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3D9EA" w14:textId="77777777" w:rsidR="001D6B91" w:rsidRPr="001D6B91" w:rsidRDefault="001D6B91" w:rsidP="001D6B91">
      <w:pPr>
        <w:jc w:val="center"/>
        <w:rPr>
          <w:rFonts w:ascii="Cambria" w:hAnsi="Cambria" w:cs="Calibri"/>
          <w:color w:val="000000"/>
          <w:lang w:val="en-IN" w:eastAsia="en-IN"/>
        </w:rPr>
      </w:pPr>
      <w:r w:rsidRPr="001D6B91">
        <w:rPr>
          <w:rFonts w:ascii="Cambria" w:hAnsi="Cambria" w:cs="Calibri"/>
          <w:color w:val="000000"/>
          <w:lang w:val="en-IN" w:eastAsia="en-IN"/>
        </w:rPr>
        <w:t>Review Article</w:t>
      </w:r>
    </w:p>
    <w:p w14:paraId="4D15F5E6" w14:textId="77777777" w:rsidR="001D6B91" w:rsidRDefault="001D6B91" w:rsidP="00CC7C28">
      <w:pPr>
        <w:pStyle w:val="Title"/>
        <w:spacing w:after="0"/>
        <w:jc w:val="center"/>
        <w:rPr>
          <w:rFonts w:ascii="Arial" w:hAnsi="Arial" w:cs="Arial"/>
          <w:bCs/>
          <w:sz w:val="20"/>
        </w:rPr>
      </w:pPr>
    </w:p>
    <w:p w14:paraId="0C93B517" w14:textId="77777777" w:rsidR="001D6B91" w:rsidRDefault="001D6B91" w:rsidP="00CC7C28">
      <w:pPr>
        <w:pStyle w:val="Title"/>
        <w:spacing w:after="0"/>
        <w:jc w:val="center"/>
        <w:rPr>
          <w:rFonts w:ascii="Arial" w:hAnsi="Arial" w:cs="Arial"/>
          <w:bCs/>
          <w:sz w:val="20"/>
        </w:rPr>
      </w:pPr>
    </w:p>
    <w:p w14:paraId="154C130A" w14:textId="1FB56295" w:rsidR="00754C9A" w:rsidRPr="00CC7C28" w:rsidRDefault="00CC7C28" w:rsidP="00CC7C28">
      <w:pPr>
        <w:pStyle w:val="Title"/>
        <w:spacing w:after="0"/>
        <w:jc w:val="center"/>
        <w:rPr>
          <w:rFonts w:ascii="Arial" w:hAnsi="Arial" w:cs="Arial"/>
          <w:bCs/>
        </w:rPr>
      </w:pPr>
      <w:bookmarkStart w:id="0" w:name="_Hlk233060186"/>
      <w:r w:rsidRPr="00CC7C28">
        <w:rPr>
          <w:rFonts w:ascii="Arial" w:hAnsi="Arial" w:cs="Arial"/>
          <w:bCs/>
          <w:sz w:val="20"/>
        </w:rPr>
        <w:t>Fiscal Stance, Public Debt, and Inflation Dynamics in Nigeria</w:t>
      </w:r>
    </w:p>
    <w:bookmarkEnd w:id="0"/>
    <w:p w14:paraId="1EB22620" w14:textId="77777777" w:rsidR="00A258C3" w:rsidRPr="00790ADA" w:rsidRDefault="00A258C3" w:rsidP="00441B6F">
      <w:pPr>
        <w:pStyle w:val="Author"/>
        <w:spacing w:line="240" w:lineRule="auto"/>
        <w:jc w:val="both"/>
        <w:rPr>
          <w:rFonts w:ascii="Arial" w:hAnsi="Arial" w:cs="Arial"/>
          <w:sz w:val="36"/>
        </w:rPr>
      </w:pPr>
    </w:p>
    <w:p w14:paraId="56290B6E" w14:textId="40E50D19" w:rsidR="002C57D2" w:rsidRDefault="002C57D2" w:rsidP="00441B6F">
      <w:pPr>
        <w:pStyle w:val="Affiliation"/>
        <w:spacing w:after="0" w:line="240" w:lineRule="auto"/>
        <w:jc w:val="both"/>
        <w:rPr>
          <w:rFonts w:ascii="Arial" w:hAnsi="Arial" w:cs="Arial"/>
        </w:rPr>
      </w:pPr>
    </w:p>
    <w:p w14:paraId="2E344FAD" w14:textId="77777777" w:rsidR="009E2C16" w:rsidRPr="00FB3A86" w:rsidRDefault="009E2C16" w:rsidP="00441B6F">
      <w:pPr>
        <w:pStyle w:val="Affiliation"/>
        <w:spacing w:after="0" w:line="240" w:lineRule="auto"/>
        <w:jc w:val="both"/>
        <w:rPr>
          <w:rFonts w:ascii="Arial" w:hAnsi="Arial" w:cs="Arial"/>
        </w:rPr>
      </w:pPr>
    </w:p>
    <w:p w14:paraId="7FA86FC5" w14:textId="09097BD5" w:rsidR="00B01FCD" w:rsidRPr="00FB3A86" w:rsidRDefault="0068000A" w:rsidP="00441B6F">
      <w:pPr>
        <w:pStyle w:val="Copyright"/>
        <w:spacing w:after="0" w:line="240" w:lineRule="auto"/>
        <w:jc w:val="both"/>
        <w:rPr>
          <w:rFonts w:ascii="Arial" w:hAnsi="Arial" w:cs="Arial"/>
        </w:rPr>
        <w:sectPr w:rsidR="00B01FCD" w:rsidRPr="00FB3A86" w:rsidSect="009E2C16">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A6EF07D" wp14:editId="233D7DA2">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4FBA15F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BD4DF95" w14:textId="606D86C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092639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8E1E854" w14:textId="77777777" w:rsidTr="001E44FE">
        <w:tc>
          <w:tcPr>
            <w:tcW w:w="9576" w:type="dxa"/>
            <w:shd w:val="clear" w:color="auto" w:fill="F2F2F2"/>
          </w:tcPr>
          <w:p w14:paraId="179421D0" w14:textId="6D110982" w:rsidR="00505F06" w:rsidRPr="00BA1B01" w:rsidRDefault="00AE19C6" w:rsidP="00AE19C6">
            <w:pPr>
              <w:pStyle w:val="Body"/>
              <w:spacing w:after="0"/>
              <w:rPr>
                <w:rFonts w:ascii="Arial" w:eastAsia="Calibri" w:hAnsi="Arial" w:cs="Arial"/>
                <w:szCs w:val="22"/>
              </w:rPr>
            </w:pPr>
            <w:r w:rsidRPr="00AE19C6">
              <w:rPr>
                <w:rFonts w:ascii="Arial" w:eastAsia="Calibri" w:hAnsi="Arial" w:cs="Arial"/>
                <w:szCs w:val="22"/>
              </w:rPr>
              <w:t>Amidst ongoing price increases, deficits, and rising debt, Nigeria's inflation drivers are debated; it remains unclear whether they are primarily fiscal, monetary, or structural. Consequently, this study examines the individual effects of fiscal deficits and public debt on inflation and, importantly, determines if public debt moderates the relationship between fiscal deficits and inflation in Nigeria for the period 1980-2024. The study utilizes the Autoregressive Distributed Lag bounds testing methodology. The inflation rate serves as the dependent variable, while the key independent variables include fiscal deficits, public debt, and a specific interaction term linking them. Additionally, the model incorporates broad money growth, the nominal exchange rate, real GDP growth, and lending rates as control variables. The findings demonstrate a strong long-term cointegrating relationship. Notably, both fiscal deficits and public debt significantly reduced inflation in the long run. Conversely, the exchange rate, broad money growth, and lending rates were identified as the primary contributors to inflation in Nigeria. In the short run, the results suggest that the interaction between fiscal deficits and public debt lessens immediate inflationary effects, indicating that debt may mitigate inflation driven by deficits. The study concludes that inflation in Nigeria is predominantly influenced by monetary and external factors rather than being merely an outcome of fiscal imbalances, thus refuting the traditional perspective on inflation as strictly fiscally driven. The research recommends policies that emphasize strong fiscal and monetary coordination to avoid monetizing deficits and to reduce the effects of exchange rate fluctuations. Additionally, it suggests that policymakers should focus on market-oriented deficit financing and create substantial fiscal buffers to shield the economy from external and political influences, thereby fostering long-term price stability.</w:t>
            </w:r>
          </w:p>
        </w:tc>
      </w:tr>
    </w:tbl>
    <w:p w14:paraId="7D9AA817" w14:textId="41444A06" w:rsidR="00636EB2" w:rsidRDefault="00636EB2" w:rsidP="00441B6F">
      <w:pPr>
        <w:pStyle w:val="Body"/>
        <w:spacing w:after="0"/>
        <w:rPr>
          <w:rFonts w:ascii="Arial" w:hAnsi="Arial" w:cs="Arial"/>
          <w:i/>
        </w:rPr>
      </w:pPr>
    </w:p>
    <w:p w14:paraId="4F51C015" w14:textId="77777777" w:rsidR="00FA17F5" w:rsidRDefault="00FA17F5" w:rsidP="00FA17F5">
      <w:pPr>
        <w:pStyle w:val="Body"/>
        <w:spacing w:after="0"/>
        <w:rPr>
          <w:rFonts w:ascii="Arial" w:hAnsi="Arial" w:cs="Arial"/>
          <w:i/>
        </w:rPr>
      </w:pPr>
      <w:r w:rsidRPr="004E5289">
        <w:rPr>
          <w:rFonts w:ascii="Arial" w:hAnsi="Arial" w:cs="Arial"/>
          <w:i/>
        </w:rPr>
        <w:t xml:space="preserve">Keywords: Inflation, fiscal deficit, public debt, autoregressive distributed lag, fiscal theory of the price level. </w:t>
      </w:r>
    </w:p>
    <w:p w14:paraId="73D895F4" w14:textId="77777777" w:rsidR="00FA17F5" w:rsidRDefault="00FA17F5" w:rsidP="00441B6F">
      <w:pPr>
        <w:pStyle w:val="Body"/>
        <w:spacing w:after="0"/>
        <w:rPr>
          <w:rFonts w:ascii="Arial" w:hAnsi="Arial" w:cs="Arial"/>
          <w:i/>
        </w:rPr>
      </w:pPr>
    </w:p>
    <w:p w14:paraId="21489A35" w14:textId="77777777" w:rsidR="004E5289" w:rsidRDefault="004E5289" w:rsidP="004E5289">
      <w:pPr>
        <w:pStyle w:val="Body"/>
        <w:spacing w:after="0"/>
        <w:rPr>
          <w:rFonts w:ascii="Arial" w:hAnsi="Arial" w:cs="Arial"/>
          <w:i/>
        </w:rPr>
      </w:pPr>
    </w:p>
    <w:p w14:paraId="4F27D034" w14:textId="77777777" w:rsidR="00505F06" w:rsidRPr="00A24E7E" w:rsidRDefault="00505F06" w:rsidP="00441B6F">
      <w:pPr>
        <w:pStyle w:val="Body"/>
        <w:spacing w:after="0"/>
        <w:rPr>
          <w:rFonts w:ascii="Arial" w:hAnsi="Arial" w:cs="Arial"/>
          <w:i/>
        </w:rPr>
      </w:pPr>
    </w:p>
    <w:p w14:paraId="6503EA9D" w14:textId="1E062A50" w:rsidR="00B01FCD" w:rsidRDefault="00902823" w:rsidP="0080182A">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D920B43" w14:textId="68D856C3" w:rsidR="0080182A" w:rsidRDefault="0080182A" w:rsidP="0080182A">
      <w:pPr>
        <w:pStyle w:val="AbstHead"/>
        <w:spacing w:after="0"/>
        <w:jc w:val="both"/>
        <w:rPr>
          <w:rFonts w:ascii="Arial" w:hAnsi="Arial" w:cs="Arial"/>
          <w:b w:val="0"/>
          <w:bCs/>
        </w:rPr>
      </w:pPr>
    </w:p>
    <w:p w14:paraId="1C5DBF16" w14:textId="77777777" w:rsidR="0080182A" w:rsidRPr="00557BAC" w:rsidRDefault="0080182A" w:rsidP="0080182A">
      <w:pPr>
        <w:jc w:val="both"/>
        <w:rPr>
          <w:rFonts w:ascii="Arial" w:hAnsi="Arial" w:cs="Arial"/>
        </w:rPr>
      </w:pPr>
      <w:bookmarkStart w:id="1" w:name="_Hlk232691973"/>
      <w:r w:rsidRPr="00557BAC">
        <w:rPr>
          <w:rFonts w:ascii="Arial" w:hAnsi="Arial" w:cs="Arial"/>
        </w:rPr>
        <w:t>Macroeconomic stability in emerging markets is significantly influenced by choices related to fiscal funding and strategies for managing debt. Predominantly, in settings marked by weak institutions and underdeveloped financial markets (Reinhart &amp; Rogoff, 2010; Hooley et al., 2021), the existence of budgetary deficits in tandem with rising debt levels impacts inflation through an intricate interaction between monetary and fiscal policies. Recent inflationary trends in sub-Saharan Africa are not just caused by monetary variables but also stem from fiscal imbalances that undermine price stability and reduce the purchasing power of consumers (</w:t>
      </w:r>
      <w:proofErr w:type="spellStart"/>
      <w:r w:rsidRPr="00557BAC">
        <w:rPr>
          <w:rFonts w:ascii="Arial" w:hAnsi="Arial" w:cs="Arial"/>
        </w:rPr>
        <w:t>Olaoye</w:t>
      </w:r>
      <w:proofErr w:type="spellEnd"/>
      <w:r w:rsidRPr="00557BAC">
        <w:rPr>
          <w:rFonts w:ascii="Arial" w:hAnsi="Arial" w:cs="Arial"/>
        </w:rPr>
        <w:t xml:space="preserve"> et al., 2023). The global financial crisis that occurred in 2008 and the outbreak of the COVID-19 pandemic have brought significant scholarly and policy focus to the pathways through which fiscal policies can influence inflation, as unprecedented levels of </w:t>
      </w:r>
      <w:r w:rsidRPr="00557BAC">
        <w:rPr>
          <w:rFonts w:ascii="Arial" w:hAnsi="Arial" w:cs="Arial"/>
        </w:rPr>
        <w:lastRenderedPageBreak/>
        <w:t>stimulus funded by debt accumulation have raised essential concerns about the sustainability of fiscal policies and inflationary effects (</w:t>
      </w:r>
      <w:proofErr w:type="spellStart"/>
      <w:r w:rsidRPr="00557BAC">
        <w:rPr>
          <w:rFonts w:ascii="Arial" w:hAnsi="Arial" w:cs="Arial"/>
        </w:rPr>
        <w:t>Beirne</w:t>
      </w:r>
      <w:proofErr w:type="spellEnd"/>
      <w:r w:rsidRPr="00557BAC">
        <w:rPr>
          <w:rFonts w:ascii="Arial" w:hAnsi="Arial" w:cs="Arial"/>
        </w:rPr>
        <w:t xml:space="preserve"> &amp; </w:t>
      </w:r>
      <w:proofErr w:type="spellStart"/>
      <w:r w:rsidRPr="00557BAC">
        <w:rPr>
          <w:rFonts w:ascii="Arial" w:hAnsi="Arial" w:cs="Arial"/>
        </w:rPr>
        <w:t>Renzhi</w:t>
      </w:r>
      <w:proofErr w:type="spellEnd"/>
      <w:r w:rsidRPr="00557BAC">
        <w:rPr>
          <w:rFonts w:ascii="Arial" w:hAnsi="Arial" w:cs="Arial"/>
        </w:rPr>
        <w:t xml:space="preserve">, 2024). </w:t>
      </w:r>
    </w:p>
    <w:bookmarkEnd w:id="1"/>
    <w:p w14:paraId="53787174" w14:textId="77777777" w:rsidR="0080182A" w:rsidRPr="00557BAC" w:rsidRDefault="0080182A" w:rsidP="0080182A">
      <w:pPr>
        <w:jc w:val="both"/>
        <w:rPr>
          <w:rFonts w:ascii="Arial" w:hAnsi="Arial" w:cs="Arial"/>
        </w:rPr>
      </w:pPr>
      <w:r w:rsidRPr="00557BAC">
        <w:rPr>
          <w:rFonts w:ascii="Arial" w:hAnsi="Arial" w:cs="Arial"/>
        </w:rPr>
        <w:t>How the literature conceptualizes the interplay among fiscal policy, debt dynamics, and inflation hinges critically on two theoretical anchors: the Fiscal Theory of the Price Level (FTPL) and the fiscal dominance hypothesis. The FTPL proposes that misalignment between government debt and anticipated primary surpluses necessitates price-level adjustment, thereby positioning inflation as inherently a fiscal phenomenon. (</w:t>
      </w:r>
      <w:proofErr w:type="spellStart"/>
      <w:r w:rsidRPr="00557BAC">
        <w:rPr>
          <w:rFonts w:ascii="Arial" w:hAnsi="Arial" w:cs="Arial"/>
        </w:rPr>
        <w:t>Baldini</w:t>
      </w:r>
      <w:proofErr w:type="spellEnd"/>
      <w:r w:rsidRPr="00557BAC">
        <w:rPr>
          <w:rFonts w:ascii="Arial" w:hAnsi="Arial" w:cs="Arial"/>
        </w:rPr>
        <w:t xml:space="preserve"> &amp; Ribeiro, 2008; Sargent &amp; Wallace, 1981). The fiscal dominance hypothesis extends this logic into </w:t>
      </w:r>
      <w:r>
        <w:rPr>
          <w:rFonts w:ascii="Arial" w:hAnsi="Arial" w:cs="Arial"/>
        </w:rPr>
        <w:t xml:space="preserve">the </w:t>
      </w:r>
      <w:r w:rsidRPr="00557BAC">
        <w:rPr>
          <w:rFonts w:ascii="Arial" w:hAnsi="Arial" w:cs="Arial"/>
        </w:rPr>
        <w:t xml:space="preserve">institutional environment. When fiscal authorities exercise effective control over monetary authorities, typically through the central bank's financing of government deficits, inflation becomes the mechanism through which the government's long-term budget constraints achieve equilibrium (Duarte Urquhart, 2021; Hooley et al., 2021). The relevance of these channels is particularly significant in emerging markets with less developed financial systems, where substantial debt limits the capacity of central banks to effectively manage inflation expectations and maintain monetary autonomy. </w:t>
      </w:r>
    </w:p>
    <w:p w14:paraId="4EA54D66" w14:textId="77777777" w:rsidR="0080182A" w:rsidRPr="00557BAC" w:rsidRDefault="0080182A" w:rsidP="0080182A">
      <w:pPr>
        <w:jc w:val="both"/>
        <w:rPr>
          <w:rFonts w:ascii="Arial" w:hAnsi="Arial" w:cs="Arial"/>
        </w:rPr>
      </w:pPr>
      <w:r w:rsidRPr="00557BAC">
        <w:rPr>
          <w:rFonts w:ascii="Arial" w:hAnsi="Arial" w:cs="Arial"/>
        </w:rPr>
        <w:t>Cross-country evidence for sub-Saharan Africa (SSA) confirms that fiscal variables significantly affect inflation. Panel analyses of 44 SSA countries show that monetary growth alone has weak effects, while public debt shocks substantially increase inflation and amplify monetary growth's inflationary impact (</w:t>
      </w:r>
      <w:proofErr w:type="spellStart"/>
      <w:r w:rsidRPr="00557BAC">
        <w:rPr>
          <w:rFonts w:ascii="Arial" w:hAnsi="Arial" w:cs="Arial"/>
        </w:rPr>
        <w:t>Olaoye</w:t>
      </w:r>
      <w:proofErr w:type="spellEnd"/>
      <w:r w:rsidRPr="00557BAC">
        <w:rPr>
          <w:rFonts w:ascii="Arial" w:hAnsi="Arial" w:cs="Arial"/>
        </w:rPr>
        <w:t xml:space="preserve"> et al., 2023). Evidence from 25 SSA economies further demonstrates that foreign debt raises inflation, whereas domestic debt initially moderates inflation but exhibits nonlinear threshold effects, becoming destabilizing when debt-to-GDP ratios exceed 60% (</w:t>
      </w:r>
      <w:proofErr w:type="spellStart"/>
      <w:r w:rsidRPr="00557BAC">
        <w:rPr>
          <w:rFonts w:ascii="Arial" w:hAnsi="Arial" w:cs="Arial"/>
        </w:rPr>
        <w:t>Olaoye</w:t>
      </w:r>
      <w:proofErr w:type="spellEnd"/>
      <w:r w:rsidRPr="00557BAC">
        <w:rPr>
          <w:rFonts w:ascii="Arial" w:hAnsi="Arial" w:cs="Arial"/>
        </w:rPr>
        <w:t xml:space="preserve"> et al., 2022). </w:t>
      </w:r>
      <w:r w:rsidRPr="00557BAC">
        <w:rPr>
          <w:rFonts w:ascii="Arial" w:hAnsi="Arial" w:cs="Arial"/>
          <w:shd w:val="clear" w:color="auto" w:fill="FFFFFF"/>
        </w:rPr>
        <w:t>These findings support a broader threshold literature demonstrating that unsustainable debt levels constrain macroeconomic performance beyond critical thresholds (</w:t>
      </w:r>
      <w:proofErr w:type="spellStart"/>
      <w:r w:rsidRPr="00557BAC">
        <w:rPr>
          <w:rFonts w:ascii="Arial" w:hAnsi="Arial" w:cs="Arial"/>
          <w:shd w:val="clear" w:color="auto" w:fill="FFFFFF"/>
        </w:rPr>
        <w:t>Ndoricimpa</w:t>
      </w:r>
      <w:proofErr w:type="spellEnd"/>
      <w:r w:rsidRPr="00557BAC">
        <w:rPr>
          <w:rFonts w:ascii="Arial" w:hAnsi="Arial" w:cs="Arial"/>
          <w:shd w:val="clear" w:color="auto" w:fill="FFFFFF"/>
        </w:rPr>
        <w:t xml:space="preserve">, 2020; Reinhart &amp; Rogoff, 2010). Together, this empirical consensus challenges monetarist views and </w:t>
      </w:r>
      <w:proofErr w:type="spellStart"/>
      <w:r w:rsidRPr="00557BAC">
        <w:rPr>
          <w:rFonts w:ascii="Arial" w:hAnsi="Arial" w:cs="Arial"/>
          <w:shd w:val="clear" w:color="auto" w:fill="FFFFFF"/>
        </w:rPr>
        <w:t>emphasises</w:t>
      </w:r>
      <w:proofErr w:type="spellEnd"/>
      <w:r w:rsidRPr="00557BAC">
        <w:rPr>
          <w:rFonts w:ascii="Arial" w:hAnsi="Arial" w:cs="Arial"/>
          <w:shd w:val="clear" w:color="auto" w:fill="FFFFFF"/>
        </w:rPr>
        <w:t xml:space="preserve"> the importance of examining how fiscal deficits, public debt, and monetary conditions interact to determine inflation.</w:t>
      </w:r>
    </w:p>
    <w:p w14:paraId="36972F3A" w14:textId="77777777" w:rsidR="0080182A" w:rsidRPr="00557BAC" w:rsidRDefault="0080182A" w:rsidP="0080182A">
      <w:pPr>
        <w:jc w:val="both"/>
        <w:rPr>
          <w:rFonts w:ascii="Arial" w:hAnsi="Arial" w:cs="Arial"/>
        </w:rPr>
      </w:pPr>
      <w:r w:rsidRPr="00557BAC">
        <w:rPr>
          <w:rFonts w:ascii="Arial" w:hAnsi="Arial" w:cs="Arial"/>
        </w:rPr>
        <w:t>Maintaining inflation within a single-digit range while implementing counter-cyclical fiscal policies is seen as an ideal method for achieving macroeconomic stability. However, Nigeria seldom attains this equilibrium. Instead, the country's economy finds itself in a challenging situation characterized by ongoing revenue deficiencies, increasing debt levels, and persistent fluctuations in price levels (</w:t>
      </w:r>
      <w:proofErr w:type="spellStart"/>
      <w:r w:rsidRPr="00557BAC">
        <w:rPr>
          <w:rFonts w:ascii="Arial" w:hAnsi="Arial" w:cs="Arial"/>
        </w:rPr>
        <w:t>Fasanya</w:t>
      </w:r>
      <w:proofErr w:type="spellEnd"/>
      <w:r w:rsidRPr="00557BAC">
        <w:rPr>
          <w:rFonts w:ascii="Arial" w:hAnsi="Arial" w:cs="Arial"/>
        </w:rPr>
        <w:t xml:space="preserve"> et al., 2021; Nwosu et al., 2024). This instability is often </w:t>
      </w:r>
      <w:r w:rsidRPr="00557BAC">
        <w:rPr>
          <w:rFonts w:ascii="Arial" w:hAnsi="Arial" w:cs="Arial"/>
          <w:color w:val="000000" w:themeColor="text1"/>
        </w:rPr>
        <w:t xml:space="preserve">driven by misaligned policies. Significant government spending compels monetary authorities to constantly react, introducing distortions that hinder sustained capital investment. </w:t>
      </w:r>
      <w:r w:rsidRPr="00557BAC">
        <w:rPr>
          <w:rFonts w:ascii="Arial" w:hAnsi="Arial" w:cs="Arial"/>
        </w:rPr>
        <w:t>Due to these ongoing disruptions, economists continue to debate the root causes of inflation in Nigeria. Determining whether price instability fundamentally arises from fiscal irresponsibility, monetary expansion, or intrinsic structural constraints poses a significant empirical challenge, making it difficult to accurately assess the precise impact of fiscal actions in relation to other economic factors (</w:t>
      </w:r>
      <w:proofErr w:type="spellStart"/>
      <w:r w:rsidRPr="00557BAC">
        <w:rPr>
          <w:rFonts w:ascii="Arial" w:hAnsi="Arial" w:cs="Arial"/>
        </w:rPr>
        <w:t>Akinbobola</w:t>
      </w:r>
      <w:proofErr w:type="spellEnd"/>
      <w:r w:rsidRPr="00557BAC">
        <w:rPr>
          <w:rFonts w:ascii="Arial" w:hAnsi="Arial" w:cs="Arial"/>
        </w:rPr>
        <w:t xml:space="preserve">, 2012; </w:t>
      </w:r>
      <w:proofErr w:type="spellStart"/>
      <w:r w:rsidRPr="00557BAC">
        <w:rPr>
          <w:rFonts w:ascii="Arial" w:hAnsi="Arial" w:cs="Arial"/>
        </w:rPr>
        <w:t>Amassoma</w:t>
      </w:r>
      <w:proofErr w:type="spellEnd"/>
      <w:r w:rsidRPr="00557BAC">
        <w:rPr>
          <w:rFonts w:ascii="Arial" w:hAnsi="Arial" w:cs="Arial"/>
        </w:rPr>
        <w:t xml:space="preserve"> et al., 2018; Nuhu, 2021; </w:t>
      </w:r>
      <w:proofErr w:type="spellStart"/>
      <w:r w:rsidRPr="00557BAC">
        <w:rPr>
          <w:rFonts w:ascii="Arial" w:hAnsi="Arial" w:cs="Arial"/>
        </w:rPr>
        <w:t>Amaefula</w:t>
      </w:r>
      <w:proofErr w:type="spellEnd"/>
      <w:r w:rsidRPr="00557BAC">
        <w:rPr>
          <w:rFonts w:ascii="Arial" w:hAnsi="Arial" w:cs="Arial"/>
        </w:rPr>
        <w:t xml:space="preserve"> &amp; </w:t>
      </w:r>
      <w:proofErr w:type="spellStart"/>
      <w:r w:rsidRPr="00557BAC">
        <w:rPr>
          <w:rFonts w:ascii="Arial" w:hAnsi="Arial" w:cs="Arial"/>
        </w:rPr>
        <w:t>Egba</w:t>
      </w:r>
      <w:proofErr w:type="spellEnd"/>
      <w:r w:rsidRPr="00557BAC">
        <w:rPr>
          <w:rFonts w:ascii="Arial" w:hAnsi="Arial" w:cs="Arial"/>
        </w:rPr>
        <w:t xml:space="preserve">, 2024). </w:t>
      </w:r>
    </w:p>
    <w:p w14:paraId="60FB907F" w14:textId="77777777" w:rsidR="0080182A" w:rsidRPr="00557BAC" w:rsidRDefault="0080182A" w:rsidP="0080182A">
      <w:pPr>
        <w:jc w:val="both"/>
        <w:rPr>
          <w:rFonts w:ascii="Arial" w:hAnsi="Arial" w:cs="Arial"/>
        </w:rPr>
      </w:pPr>
      <w:r w:rsidRPr="00557BAC">
        <w:rPr>
          <w:rFonts w:ascii="Arial" w:hAnsi="Arial" w:cs="Arial"/>
        </w:rPr>
        <w:t>The empirical evidence from Nigeria regarding the causes of inflation presents conflicting interpretations. One viewpoint suggests that fluctuations in money supply and pressure from exchange rates are the key factors leading to inflation, regarding fiscal deficits as contributing indirectly through monetary adjustments (</w:t>
      </w:r>
      <w:proofErr w:type="spellStart"/>
      <w:r w:rsidRPr="00557BAC">
        <w:rPr>
          <w:rFonts w:ascii="Arial" w:hAnsi="Arial" w:cs="Arial"/>
        </w:rPr>
        <w:t>Akinbobola</w:t>
      </w:r>
      <w:proofErr w:type="spellEnd"/>
      <w:r w:rsidRPr="00557BAC">
        <w:rPr>
          <w:rFonts w:ascii="Arial" w:hAnsi="Arial" w:cs="Arial"/>
        </w:rPr>
        <w:t xml:space="preserve">, 2012; Nuhu, 2021; </w:t>
      </w:r>
      <w:proofErr w:type="spellStart"/>
      <w:r w:rsidRPr="00557BAC">
        <w:rPr>
          <w:rFonts w:ascii="Arial" w:hAnsi="Arial" w:cs="Arial"/>
        </w:rPr>
        <w:t>Amaefula</w:t>
      </w:r>
      <w:proofErr w:type="spellEnd"/>
      <w:r w:rsidRPr="00557BAC">
        <w:rPr>
          <w:rFonts w:ascii="Arial" w:hAnsi="Arial" w:cs="Arial"/>
        </w:rPr>
        <w:t xml:space="preserve"> &amp; </w:t>
      </w:r>
      <w:proofErr w:type="spellStart"/>
      <w:r w:rsidRPr="00557BAC">
        <w:rPr>
          <w:rFonts w:ascii="Arial" w:hAnsi="Arial" w:cs="Arial"/>
        </w:rPr>
        <w:t>Egba</w:t>
      </w:r>
      <w:proofErr w:type="spellEnd"/>
      <w:r w:rsidRPr="00557BAC">
        <w:rPr>
          <w:rFonts w:ascii="Arial" w:hAnsi="Arial" w:cs="Arial"/>
        </w:rPr>
        <w:t xml:space="preserve">, 2024). Conversely, some other research indicates that fiscal deficits have direct, long-term impacts on inflation (Abubakar et al., 2014; </w:t>
      </w:r>
      <w:proofErr w:type="spellStart"/>
      <w:r w:rsidRPr="00557BAC">
        <w:rPr>
          <w:rFonts w:ascii="Arial" w:hAnsi="Arial" w:cs="Arial"/>
        </w:rPr>
        <w:t>Fasanya</w:t>
      </w:r>
      <w:proofErr w:type="spellEnd"/>
      <w:r w:rsidRPr="00557BAC">
        <w:rPr>
          <w:rFonts w:ascii="Arial" w:hAnsi="Arial" w:cs="Arial"/>
        </w:rPr>
        <w:t xml:space="preserve"> et al., 2021; Nwosu et al., 2024). Additionally, while a decline in fiscal health has been linked to increased price instability (</w:t>
      </w:r>
      <w:proofErr w:type="spellStart"/>
      <w:r w:rsidRPr="00557BAC">
        <w:rPr>
          <w:rFonts w:ascii="Arial" w:hAnsi="Arial" w:cs="Arial"/>
        </w:rPr>
        <w:t>Imoisi</w:t>
      </w:r>
      <w:proofErr w:type="spellEnd"/>
      <w:r w:rsidRPr="00557BAC">
        <w:rPr>
          <w:rFonts w:ascii="Arial" w:hAnsi="Arial" w:cs="Arial"/>
        </w:rPr>
        <w:t>, 2021), some studies show that public debt may not hold significance when interest rates and investment levels are taken into account (</w:t>
      </w:r>
      <w:proofErr w:type="spellStart"/>
      <w:r w:rsidRPr="00557BAC">
        <w:rPr>
          <w:rFonts w:ascii="Arial" w:hAnsi="Arial" w:cs="Arial"/>
        </w:rPr>
        <w:t>Aimola</w:t>
      </w:r>
      <w:proofErr w:type="spellEnd"/>
      <w:r w:rsidRPr="00557BAC">
        <w:rPr>
          <w:rFonts w:ascii="Arial" w:hAnsi="Arial" w:cs="Arial"/>
        </w:rPr>
        <w:t xml:space="preserve"> &amp; Odhiambo, 2021). </w:t>
      </w:r>
    </w:p>
    <w:p w14:paraId="2DE33C78" w14:textId="77777777" w:rsidR="0080182A" w:rsidRPr="00557BAC" w:rsidRDefault="0080182A" w:rsidP="0080182A">
      <w:pPr>
        <w:jc w:val="both"/>
        <w:rPr>
          <w:rFonts w:ascii="Arial" w:hAnsi="Arial" w:cs="Arial"/>
        </w:rPr>
      </w:pPr>
      <w:r w:rsidRPr="00557BAC">
        <w:rPr>
          <w:rFonts w:ascii="Arial" w:hAnsi="Arial" w:cs="Arial"/>
        </w:rPr>
        <w:t>Methodological differences introduce further complexity to the debate. Historical analyses of cointegration prioritize monetary avenues while finding fiscal-inflation connections to be negligible (</w:t>
      </w:r>
      <w:proofErr w:type="spellStart"/>
      <w:r w:rsidRPr="00557BAC">
        <w:rPr>
          <w:rFonts w:ascii="Arial" w:hAnsi="Arial" w:cs="Arial"/>
        </w:rPr>
        <w:t>Ezeabasili</w:t>
      </w:r>
      <w:proofErr w:type="spellEnd"/>
      <w:r w:rsidRPr="00557BAC">
        <w:rPr>
          <w:rFonts w:ascii="Arial" w:hAnsi="Arial" w:cs="Arial"/>
        </w:rPr>
        <w:t xml:space="preserve"> et al., 2012; Abubakar et al., 2014; </w:t>
      </w:r>
      <w:proofErr w:type="spellStart"/>
      <w:r w:rsidRPr="00557BAC">
        <w:rPr>
          <w:rFonts w:ascii="Arial" w:hAnsi="Arial" w:cs="Arial"/>
        </w:rPr>
        <w:t>Aimola</w:t>
      </w:r>
      <w:proofErr w:type="spellEnd"/>
      <w:r w:rsidRPr="00557BAC">
        <w:rPr>
          <w:rFonts w:ascii="Arial" w:hAnsi="Arial" w:cs="Arial"/>
        </w:rPr>
        <w:t xml:space="preserve"> &amp; Odhiambo, 2021) whereas other studies highlight the prevalence of fiscal factors, suggesting that shocks in debt account </w:t>
      </w:r>
      <w:r w:rsidRPr="00557BAC">
        <w:rPr>
          <w:rFonts w:ascii="Arial" w:hAnsi="Arial" w:cs="Arial"/>
        </w:rPr>
        <w:lastRenderedPageBreak/>
        <w:t>for a greater portion of inflation fluctuations than do monetary shocks (</w:t>
      </w:r>
      <w:proofErr w:type="spellStart"/>
      <w:r w:rsidRPr="00557BAC">
        <w:rPr>
          <w:rFonts w:ascii="Arial" w:hAnsi="Arial" w:cs="Arial"/>
        </w:rPr>
        <w:t>Oyeleke</w:t>
      </w:r>
      <w:proofErr w:type="spellEnd"/>
      <w:r w:rsidRPr="00557BAC">
        <w:rPr>
          <w:rFonts w:ascii="Arial" w:hAnsi="Arial" w:cs="Arial"/>
        </w:rPr>
        <w:t xml:space="preserve"> &amp; </w:t>
      </w:r>
      <w:proofErr w:type="spellStart"/>
      <w:r w:rsidRPr="00557BAC">
        <w:rPr>
          <w:rFonts w:ascii="Arial" w:hAnsi="Arial" w:cs="Arial"/>
        </w:rPr>
        <w:t>Orisadare</w:t>
      </w:r>
      <w:proofErr w:type="spellEnd"/>
      <w:r w:rsidRPr="00557BAC">
        <w:rPr>
          <w:rFonts w:ascii="Arial" w:hAnsi="Arial" w:cs="Arial"/>
        </w:rPr>
        <w:t>, 2018), with deficit financing inherently resulting in inflationary pressures (</w:t>
      </w:r>
      <w:proofErr w:type="spellStart"/>
      <w:r w:rsidRPr="00557BAC">
        <w:rPr>
          <w:rFonts w:ascii="Arial" w:hAnsi="Arial" w:cs="Arial"/>
        </w:rPr>
        <w:t>Danlami</w:t>
      </w:r>
      <w:proofErr w:type="spellEnd"/>
      <w:r w:rsidRPr="00557BAC">
        <w:rPr>
          <w:rFonts w:ascii="Arial" w:hAnsi="Arial" w:cs="Arial"/>
        </w:rPr>
        <w:t xml:space="preserve"> et al., 2019). Nonlinear analysis indicates that inflation may accelerate beyond certain deficit limits (</w:t>
      </w:r>
      <w:proofErr w:type="spellStart"/>
      <w:r w:rsidRPr="00557BAC">
        <w:rPr>
          <w:rFonts w:ascii="Arial" w:hAnsi="Arial" w:cs="Arial"/>
        </w:rPr>
        <w:t>Oyeleke</w:t>
      </w:r>
      <w:proofErr w:type="spellEnd"/>
      <w:r w:rsidRPr="00557BAC">
        <w:rPr>
          <w:rFonts w:ascii="Arial" w:hAnsi="Arial" w:cs="Arial"/>
        </w:rPr>
        <w:t>, 2021), and the effects of debt can vary from established thresholds (</w:t>
      </w:r>
      <w:proofErr w:type="spellStart"/>
      <w:r w:rsidRPr="00557BAC">
        <w:rPr>
          <w:rFonts w:ascii="Arial" w:hAnsi="Arial" w:cs="Arial"/>
        </w:rPr>
        <w:t>Anisiobi</w:t>
      </w:r>
      <w:proofErr w:type="spellEnd"/>
      <w:r w:rsidRPr="00557BAC">
        <w:rPr>
          <w:rFonts w:ascii="Arial" w:hAnsi="Arial" w:cs="Arial"/>
        </w:rPr>
        <w:t xml:space="preserve"> et al., 2023; </w:t>
      </w:r>
      <w:proofErr w:type="spellStart"/>
      <w:r w:rsidRPr="00557BAC">
        <w:rPr>
          <w:rFonts w:ascii="Arial" w:hAnsi="Arial" w:cs="Arial"/>
        </w:rPr>
        <w:t>Nzeh</w:t>
      </w:r>
      <w:proofErr w:type="spellEnd"/>
      <w:r w:rsidRPr="00557BAC">
        <w:rPr>
          <w:rFonts w:ascii="Arial" w:hAnsi="Arial" w:cs="Arial"/>
        </w:rPr>
        <w:t xml:space="preserve">, 2020; </w:t>
      </w:r>
      <w:proofErr w:type="spellStart"/>
      <w:r w:rsidRPr="00557BAC">
        <w:rPr>
          <w:rFonts w:ascii="Arial" w:hAnsi="Arial" w:cs="Arial"/>
        </w:rPr>
        <w:t>Omotosho</w:t>
      </w:r>
      <w:proofErr w:type="spellEnd"/>
      <w:r w:rsidRPr="00557BAC">
        <w:rPr>
          <w:rFonts w:ascii="Arial" w:hAnsi="Arial" w:cs="Arial"/>
        </w:rPr>
        <w:t xml:space="preserve"> et al., 2016) to negligible or even disinflationary effects in the short term (</w:t>
      </w:r>
      <w:proofErr w:type="spellStart"/>
      <w:r w:rsidRPr="00557BAC">
        <w:rPr>
          <w:rFonts w:ascii="Arial" w:hAnsi="Arial" w:cs="Arial"/>
        </w:rPr>
        <w:t>Shuaibu</w:t>
      </w:r>
      <w:proofErr w:type="spellEnd"/>
      <w:r w:rsidRPr="00557BAC">
        <w:rPr>
          <w:rFonts w:ascii="Arial" w:hAnsi="Arial" w:cs="Arial"/>
        </w:rPr>
        <w:t xml:space="preserve"> et al., 2021). </w:t>
      </w:r>
    </w:p>
    <w:p w14:paraId="01938364" w14:textId="77777777" w:rsidR="0080182A" w:rsidRPr="00557BAC" w:rsidRDefault="0080182A" w:rsidP="0080182A">
      <w:pPr>
        <w:jc w:val="both"/>
        <w:rPr>
          <w:rFonts w:ascii="Arial" w:hAnsi="Arial" w:cs="Arial"/>
        </w:rPr>
      </w:pPr>
      <w:r w:rsidRPr="00557BAC">
        <w:rPr>
          <w:rFonts w:ascii="Arial" w:hAnsi="Arial" w:cs="Arial"/>
        </w:rPr>
        <w:t>The current unresolved inconsistencies lead to significant costs in policy implementation. The lack of dependable consolidation strategies places policymakers at risk of either inefficient inflation control or overly restrictive fiscal policies (</w:t>
      </w:r>
      <w:proofErr w:type="spellStart"/>
      <w:r w:rsidRPr="00557BAC">
        <w:rPr>
          <w:rFonts w:ascii="Arial" w:hAnsi="Arial" w:cs="Arial"/>
        </w:rPr>
        <w:t>Garba</w:t>
      </w:r>
      <w:proofErr w:type="spellEnd"/>
      <w:r w:rsidRPr="00557BAC">
        <w:rPr>
          <w:rFonts w:ascii="Arial" w:hAnsi="Arial" w:cs="Arial"/>
        </w:rPr>
        <w:t xml:space="preserve">, 2023; </w:t>
      </w:r>
      <w:proofErr w:type="spellStart"/>
      <w:r w:rsidRPr="00557BAC">
        <w:rPr>
          <w:rFonts w:ascii="Arial" w:hAnsi="Arial" w:cs="Arial"/>
        </w:rPr>
        <w:t>Omotosho</w:t>
      </w:r>
      <w:proofErr w:type="spellEnd"/>
      <w:r w:rsidRPr="00557BAC">
        <w:rPr>
          <w:rFonts w:ascii="Arial" w:hAnsi="Arial" w:cs="Arial"/>
        </w:rPr>
        <w:t xml:space="preserve"> et al., 2016). Poorly coordinated fiscal and monetary strategies create further obstacles for both businesses and households, causing higher borrowing costs and decreased real incomes, with swift domestic impacts of price changes driven by exchange rates and monetary influences (</w:t>
      </w:r>
      <w:proofErr w:type="spellStart"/>
      <w:r w:rsidRPr="00557BAC">
        <w:rPr>
          <w:rFonts w:ascii="Arial" w:hAnsi="Arial" w:cs="Arial"/>
        </w:rPr>
        <w:t>Akinbobola</w:t>
      </w:r>
      <w:proofErr w:type="spellEnd"/>
      <w:r w:rsidRPr="00557BAC">
        <w:rPr>
          <w:rFonts w:ascii="Arial" w:hAnsi="Arial" w:cs="Arial"/>
        </w:rPr>
        <w:t xml:space="preserve">, 2012; </w:t>
      </w:r>
      <w:proofErr w:type="spellStart"/>
      <w:r w:rsidRPr="00557BAC">
        <w:rPr>
          <w:rFonts w:ascii="Arial" w:hAnsi="Arial" w:cs="Arial"/>
        </w:rPr>
        <w:t>Imimole</w:t>
      </w:r>
      <w:proofErr w:type="spellEnd"/>
      <w:r w:rsidRPr="00557BAC">
        <w:rPr>
          <w:rFonts w:ascii="Arial" w:hAnsi="Arial" w:cs="Arial"/>
        </w:rPr>
        <w:t xml:space="preserve"> &amp; </w:t>
      </w:r>
      <w:proofErr w:type="spellStart"/>
      <w:r w:rsidRPr="00557BAC">
        <w:rPr>
          <w:rFonts w:ascii="Arial" w:hAnsi="Arial" w:cs="Arial"/>
        </w:rPr>
        <w:t>Enoma</w:t>
      </w:r>
      <w:proofErr w:type="spellEnd"/>
      <w:r w:rsidRPr="00557BAC">
        <w:rPr>
          <w:rFonts w:ascii="Arial" w:hAnsi="Arial" w:cs="Arial"/>
        </w:rPr>
        <w:t>, 2011; Nuhu, 2021).</w:t>
      </w:r>
    </w:p>
    <w:p w14:paraId="132444DC" w14:textId="77777777" w:rsidR="0080182A" w:rsidRPr="00557BAC" w:rsidRDefault="0080182A" w:rsidP="0080182A">
      <w:pPr>
        <w:jc w:val="both"/>
        <w:rPr>
          <w:rFonts w:ascii="Arial" w:hAnsi="Arial" w:cs="Arial"/>
        </w:rPr>
      </w:pPr>
      <w:r w:rsidRPr="00557BAC">
        <w:rPr>
          <w:rFonts w:ascii="Arial" w:hAnsi="Arial" w:cs="Arial"/>
        </w:rPr>
        <w:t xml:space="preserve">Despite the extensive research available, most studies focus on fiscal deficits and debt separately, neglecting to </w:t>
      </w:r>
      <w:proofErr w:type="spellStart"/>
      <w:r w:rsidRPr="00557BAC">
        <w:rPr>
          <w:rFonts w:ascii="Arial" w:hAnsi="Arial" w:cs="Arial"/>
        </w:rPr>
        <w:t>analyse</w:t>
      </w:r>
      <w:proofErr w:type="spellEnd"/>
      <w:r w:rsidRPr="00557BAC">
        <w:rPr>
          <w:rFonts w:ascii="Arial" w:hAnsi="Arial" w:cs="Arial"/>
        </w:rPr>
        <w:t xml:space="preserve"> the potential moderating influences they may exert on each other (</w:t>
      </w:r>
      <w:proofErr w:type="spellStart"/>
      <w:r w:rsidRPr="00557BAC">
        <w:rPr>
          <w:rFonts w:ascii="Arial" w:hAnsi="Arial" w:cs="Arial"/>
        </w:rPr>
        <w:t>Aimola</w:t>
      </w:r>
      <w:proofErr w:type="spellEnd"/>
      <w:r w:rsidRPr="00557BAC">
        <w:rPr>
          <w:rFonts w:ascii="Arial" w:hAnsi="Arial" w:cs="Arial"/>
        </w:rPr>
        <w:t xml:space="preserve"> &amp; Odhiambo, 2021; </w:t>
      </w:r>
      <w:proofErr w:type="spellStart"/>
      <w:r w:rsidRPr="00557BAC">
        <w:rPr>
          <w:rFonts w:ascii="Arial" w:hAnsi="Arial" w:cs="Arial"/>
        </w:rPr>
        <w:t>Oyeleke</w:t>
      </w:r>
      <w:proofErr w:type="spellEnd"/>
      <w:r w:rsidRPr="00557BAC">
        <w:rPr>
          <w:rFonts w:ascii="Arial" w:hAnsi="Arial" w:cs="Arial"/>
        </w:rPr>
        <w:t>, 2021). Additionally, they frequently provide inadequate analysis of the links between fiscal and monetary policies (</w:t>
      </w:r>
      <w:proofErr w:type="spellStart"/>
      <w:r w:rsidRPr="00557BAC">
        <w:rPr>
          <w:rFonts w:ascii="Arial" w:hAnsi="Arial" w:cs="Arial"/>
        </w:rPr>
        <w:t>Danlami</w:t>
      </w:r>
      <w:proofErr w:type="spellEnd"/>
      <w:r w:rsidRPr="00557BAC">
        <w:rPr>
          <w:rFonts w:ascii="Arial" w:hAnsi="Arial" w:cs="Arial"/>
        </w:rPr>
        <w:t xml:space="preserve"> et al., 2019; Nwosu et al., 2024; </w:t>
      </w:r>
      <w:proofErr w:type="spellStart"/>
      <w:r w:rsidRPr="00557BAC">
        <w:rPr>
          <w:rFonts w:ascii="Arial" w:hAnsi="Arial" w:cs="Arial"/>
        </w:rPr>
        <w:t>Ozurumba</w:t>
      </w:r>
      <w:proofErr w:type="spellEnd"/>
      <w:r w:rsidRPr="00557BAC">
        <w:rPr>
          <w:rFonts w:ascii="Arial" w:hAnsi="Arial" w:cs="Arial"/>
        </w:rPr>
        <w:t xml:space="preserve">, 2012; </w:t>
      </w:r>
      <w:proofErr w:type="spellStart"/>
      <w:r w:rsidRPr="00557BAC">
        <w:rPr>
          <w:rFonts w:ascii="Arial" w:hAnsi="Arial" w:cs="Arial"/>
        </w:rPr>
        <w:t>Amaefula</w:t>
      </w:r>
      <w:proofErr w:type="spellEnd"/>
      <w:r w:rsidRPr="00557BAC">
        <w:rPr>
          <w:rFonts w:ascii="Arial" w:hAnsi="Arial" w:cs="Arial"/>
        </w:rPr>
        <w:t xml:space="preserve"> &amp; </w:t>
      </w:r>
      <w:proofErr w:type="spellStart"/>
      <w:r w:rsidRPr="00557BAC">
        <w:rPr>
          <w:rFonts w:ascii="Arial" w:hAnsi="Arial" w:cs="Arial"/>
        </w:rPr>
        <w:t>Egba</w:t>
      </w:r>
      <w:proofErr w:type="spellEnd"/>
      <w:r w:rsidRPr="00557BAC">
        <w:rPr>
          <w:rFonts w:ascii="Arial" w:hAnsi="Arial" w:cs="Arial"/>
        </w:rPr>
        <w:t xml:space="preserve">, 2024). Moreover, these investigations typically </w:t>
      </w:r>
      <w:r>
        <w:rPr>
          <w:rFonts w:ascii="Arial" w:hAnsi="Arial" w:cs="Arial"/>
        </w:rPr>
        <w:t>employed</w:t>
      </w:r>
      <w:r w:rsidRPr="00557BAC">
        <w:rPr>
          <w:rFonts w:ascii="Arial" w:hAnsi="Arial" w:cs="Arial"/>
        </w:rPr>
        <w:t xml:space="preserve"> data that predates the COVID-19 pandemic and the subsidy adjustments in Nigeria that occurred in 2023 (</w:t>
      </w:r>
      <w:proofErr w:type="spellStart"/>
      <w:r w:rsidRPr="00557BAC">
        <w:rPr>
          <w:rFonts w:ascii="Arial" w:hAnsi="Arial" w:cs="Arial"/>
        </w:rPr>
        <w:t>Anisiobi</w:t>
      </w:r>
      <w:proofErr w:type="spellEnd"/>
      <w:r w:rsidRPr="00557BAC">
        <w:rPr>
          <w:rFonts w:ascii="Arial" w:hAnsi="Arial" w:cs="Arial"/>
        </w:rPr>
        <w:t xml:space="preserve"> et al., 2023; Nwosu et al., 2024). Consequently, as Nigeria continues to grapple with persistent inflation and erratic fiscal and monetary conditions,</w:t>
      </w:r>
      <w:r w:rsidRPr="00557BAC">
        <w:rPr>
          <w:rFonts w:ascii="Arial" w:hAnsi="Arial" w:cs="Arial"/>
          <w:color w:val="FF0000"/>
        </w:rPr>
        <w:t xml:space="preserve"> </w:t>
      </w:r>
      <w:r w:rsidRPr="00557BAC">
        <w:rPr>
          <w:rFonts w:ascii="Arial" w:hAnsi="Arial" w:cs="Arial"/>
        </w:rPr>
        <w:t>it remains unclear how the country's fiscal strategies and evolving public debt levels jointly influence price changes. This study addresses this problem by formally modeling inflation as a function of fiscal deficit, public debt, and their interaction within an ARDL framework over the 1980–2024 period, explicitly incorporating core controls - exchange rate, money growth, real GDP growth, and lending rates - to provide a more integrated and contemporary assessment of Nigeria's fiscal, debt, and inflation dynamics.</w:t>
      </w:r>
    </w:p>
    <w:p w14:paraId="717261DE" w14:textId="77777777" w:rsidR="0080182A" w:rsidRPr="00557BAC" w:rsidRDefault="0080182A" w:rsidP="0080182A">
      <w:pPr>
        <w:jc w:val="both"/>
        <w:rPr>
          <w:rFonts w:ascii="Arial" w:hAnsi="Arial" w:cs="Arial"/>
        </w:rPr>
      </w:pPr>
      <w:r w:rsidRPr="00557BAC">
        <w:rPr>
          <w:rFonts w:ascii="Arial" w:hAnsi="Arial" w:cs="Arial"/>
        </w:rPr>
        <w:t>This paper argues that public debt critically moderates the fiscal deficit - inflation relationship in Nigeria, such that the inflationary impact of deficits is systematically conditioned by the level of accumulated debt; by explicitly modeling this deficit - debt interaction, the study reconciles previously inconsistent Nigerian evidence and delivers a more coherent account of inflation dynamics that has eluded prior research treating these fiscal variables in isolation.</w:t>
      </w:r>
      <w:r>
        <w:rPr>
          <w:rFonts w:ascii="Arial" w:hAnsi="Arial" w:cs="Arial"/>
        </w:rPr>
        <w:t xml:space="preserve"> </w:t>
      </w:r>
      <w:r w:rsidRPr="00557BAC">
        <w:rPr>
          <w:rFonts w:ascii="Arial" w:hAnsi="Arial" w:cs="Arial"/>
        </w:rPr>
        <w:t xml:space="preserve">Following the theoretical logic of the Fiscal Theory of the Price Level and fiscal dominance frameworks (Sargent &amp; Wallace, 1981; </w:t>
      </w:r>
      <w:proofErr w:type="spellStart"/>
      <w:r w:rsidRPr="00557BAC">
        <w:rPr>
          <w:rFonts w:ascii="Arial" w:hAnsi="Arial" w:cs="Arial"/>
        </w:rPr>
        <w:t>Baldini</w:t>
      </w:r>
      <w:proofErr w:type="spellEnd"/>
      <w:r w:rsidRPr="00557BAC">
        <w:rPr>
          <w:rFonts w:ascii="Arial" w:hAnsi="Arial" w:cs="Arial"/>
        </w:rPr>
        <w:t xml:space="preserve"> &amp; Ribeiro, 2008), we test the hypothesis that the inflationary impact of fiscal deficits is not </w:t>
      </w:r>
      <w:r>
        <w:rPr>
          <w:rFonts w:ascii="Arial" w:hAnsi="Arial" w:cs="Arial"/>
        </w:rPr>
        <w:t>unconditional</w:t>
      </w:r>
      <w:r w:rsidRPr="00557BAC">
        <w:rPr>
          <w:rFonts w:ascii="Arial" w:hAnsi="Arial" w:cs="Arial"/>
        </w:rPr>
        <w:t xml:space="preserve"> but is systematically amplified or dampened depending on the level of accumulated debt. To achieve these objectives, </w:t>
      </w:r>
      <w:r>
        <w:rPr>
          <w:rFonts w:ascii="Arial" w:hAnsi="Arial" w:cs="Arial"/>
        </w:rPr>
        <w:t xml:space="preserve">specifically, </w:t>
      </w:r>
      <w:r w:rsidRPr="00557BAC">
        <w:rPr>
          <w:rFonts w:ascii="Arial" w:hAnsi="Arial" w:cs="Arial"/>
        </w:rPr>
        <w:t xml:space="preserve">we test three null hypotheses: </w:t>
      </w:r>
    </w:p>
    <w:p w14:paraId="4C2184F6" w14:textId="77777777" w:rsidR="0080182A" w:rsidRDefault="0080182A" w:rsidP="0080182A">
      <w:pPr>
        <w:jc w:val="both"/>
        <w:rPr>
          <w:rFonts w:ascii="Arial" w:hAnsi="Arial" w:cs="Arial"/>
        </w:rPr>
      </w:pPr>
    </w:p>
    <w:p w14:paraId="3CF6A49D" w14:textId="77777777" w:rsidR="0080182A" w:rsidRPr="00557BAC" w:rsidRDefault="0080182A" w:rsidP="0080182A">
      <w:pPr>
        <w:jc w:val="both"/>
        <w:rPr>
          <w:rFonts w:ascii="Arial" w:hAnsi="Arial" w:cs="Arial"/>
        </w:rPr>
      </w:pPr>
      <w:r w:rsidRPr="00557BAC">
        <w:rPr>
          <w:rFonts w:ascii="Arial" w:hAnsi="Arial" w:cs="Arial"/>
        </w:rPr>
        <w:t>H</w:t>
      </w:r>
      <w:r w:rsidRPr="00557BAC">
        <w:rPr>
          <w:rFonts w:ascii="Arial" w:hAnsi="Arial" w:cs="Arial"/>
          <w:vertAlign w:val="subscript"/>
        </w:rPr>
        <w:t>o1</w:t>
      </w:r>
      <w:r w:rsidRPr="00557BAC">
        <w:rPr>
          <w:rFonts w:ascii="Arial" w:hAnsi="Arial" w:cs="Arial"/>
        </w:rPr>
        <w:t>: fiscal deficit has no significant impact on inflation in Nigeria.</w:t>
      </w:r>
    </w:p>
    <w:p w14:paraId="5D15ED4E" w14:textId="77777777" w:rsidR="0080182A" w:rsidRPr="00557BAC" w:rsidRDefault="0080182A" w:rsidP="0080182A">
      <w:pPr>
        <w:jc w:val="both"/>
        <w:rPr>
          <w:rFonts w:ascii="Arial" w:hAnsi="Arial" w:cs="Arial"/>
        </w:rPr>
      </w:pPr>
      <w:r w:rsidRPr="00557BAC">
        <w:rPr>
          <w:rFonts w:ascii="Arial" w:hAnsi="Arial" w:cs="Arial"/>
        </w:rPr>
        <w:t>H</w:t>
      </w:r>
      <w:r w:rsidRPr="00557BAC">
        <w:rPr>
          <w:rFonts w:ascii="Arial" w:hAnsi="Arial" w:cs="Arial"/>
          <w:vertAlign w:val="subscript"/>
        </w:rPr>
        <w:t>o2</w:t>
      </w:r>
      <w:r w:rsidRPr="00557BAC">
        <w:rPr>
          <w:rFonts w:ascii="Arial" w:hAnsi="Arial" w:cs="Arial"/>
        </w:rPr>
        <w:t xml:space="preserve">: public debt has no significant impact on inflation in Nigeria. </w:t>
      </w:r>
    </w:p>
    <w:p w14:paraId="2D3DB41C" w14:textId="77777777" w:rsidR="0080182A" w:rsidRPr="00557BAC" w:rsidRDefault="0080182A" w:rsidP="0080182A">
      <w:pPr>
        <w:jc w:val="both"/>
        <w:rPr>
          <w:rFonts w:ascii="Arial" w:hAnsi="Arial" w:cs="Arial"/>
        </w:rPr>
      </w:pPr>
      <w:r w:rsidRPr="00557BAC">
        <w:rPr>
          <w:rFonts w:ascii="Arial" w:hAnsi="Arial" w:cs="Arial"/>
        </w:rPr>
        <w:t>H</w:t>
      </w:r>
      <w:r w:rsidRPr="00557BAC">
        <w:rPr>
          <w:rFonts w:ascii="Arial" w:hAnsi="Arial" w:cs="Arial"/>
          <w:vertAlign w:val="subscript"/>
        </w:rPr>
        <w:t>o3</w:t>
      </w:r>
      <w:r w:rsidRPr="00557BAC">
        <w:rPr>
          <w:rFonts w:ascii="Arial" w:hAnsi="Arial" w:cs="Arial"/>
        </w:rPr>
        <w:t>: public debt does not significantly moderate the impact of fiscal deficit on inflation in Nigeria.</w:t>
      </w:r>
    </w:p>
    <w:p w14:paraId="333369CB" w14:textId="77777777" w:rsidR="0080182A" w:rsidRDefault="0080182A" w:rsidP="0080182A">
      <w:pPr>
        <w:jc w:val="both"/>
        <w:rPr>
          <w:rFonts w:ascii="Arial" w:hAnsi="Arial" w:cs="Arial"/>
        </w:rPr>
      </w:pPr>
    </w:p>
    <w:p w14:paraId="566E5F7F" w14:textId="77777777" w:rsidR="0080182A" w:rsidRPr="00557BAC" w:rsidRDefault="0080182A" w:rsidP="0080182A">
      <w:pPr>
        <w:jc w:val="both"/>
        <w:rPr>
          <w:rFonts w:ascii="Arial" w:hAnsi="Arial" w:cs="Arial"/>
        </w:rPr>
      </w:pPr>
      <w:r w:rsidRPr="00557BAC">
        <w:rPr>
          <w:rFonts w:ascii="Arial" w:hAnsi="Arial" w:cs="Arial"/>
        </w:rPr>
        <w:t xml:space="preserve">This research contributes to the empirical operationalization of the Fiscal Theory of the Price Level (FTPL) and fiscal dominance perspectives within the context of Nigeria. By conceptualizing public debt as a moderating variable rather than a traditional regressor, the study formalizes the nonlinear, conditional nature of fiscal-price linkages. The findings offer a comprehensive outline for Nigerian decision-makers to proficiently navigate the trade-offs related to development financing, management of debt, and the preservation of price stability. By concurrently evaluating deficit and debt trends, while controlling for monetary and real economic factors, the research produces insights grounded in evidence that can guide future efforts in fiscal consolidation and the integration of monetary-fiscal policy. For the Central Bank of Nigeria, these conclusions underscore the necessity of integrating fiscal conditions into </w:t>
      </w:r>
      <w:r w:rsidRPr="00557BAC">
        <w:rPr>
          <w:rFonts w:ascii="Arial" w:hAnsi="Arial" w:cs="Arial"/>
        </w:rPr>
        <w:lastRenderedPageBreak/>
        <w:t>frameworks designed to control inflation; for fiscal authorities, the results assist in formulating sustainable fiscal regulations and establishing constraints on debt (</w:t>
      </w:r>
      <w:proofErr w:type="spellStart"/>
      <w:r w:rsidRPr="00557BAC">
        <w:rPr>
          <w:rFonts w:ascii="Arial" w:hAnsi="Arial" w:cs="Arial"/>
        </w:rPr>
        <w:t>Garba</w:t>
      </w:r>
      <w:proofErr w:type="spellEnd"/>
      <w:r w:rsidRPr="00557BAC">
        <w:rPr>
          <w:rFonts w:ascii="Arial" w:hAnsi="Arial" w:cs="Arial"/>
        </w:rPr>
        <w:t xml:space="preserve">, 2023; </w:t>
      </w:r>
      <w:proofErr w:type="spellStart"/>
      <w:r w:rsidRPr="00557BAC">
        <w:rPr>
          <w:rFonts w:ascii="Arial" w:hAnsi="Arial" w:cs="Arial"/>
        </w:rPr>
        <w:t>Omotosho</w:t>
      </w:r>
      <w:proofErr w:type="spellEnd"/>
      <w:r w:rsidRPr="00557BAC">
        <w:rPr>
          <w:rFonts w:ascii="Arial" w:hAnsi="Arial" w:cs="Arial"/>
        </w:rPr>
        <w:t xml:space="preserve"> et al., 2016). Furthermore, the analysis enhances institutional investors' comprehension of the risks tied to inflation and the pricing of government debt. </w:t>
      </w:r>
    </w:p>
    <w:p w14:paraId="6352614D" w14:textId="77777777" w:rsidR="0080182A" w:rsidRDefault="0080182A" w:rsidP="0080182A">
      <w:pPr>
        <w:jc w:val="both"/>
        <w:rPr>
          <w:rFonts w:ascii="Arial" w:hAnsi="Arial" w:cs="Arial"/>
        </w:rPr>
      </w:pPr>
    </w:p>
    <w:p w14:paraId="6A6BC2D4" w14:textId="77777777" w:rsidR="0080182A" w:rsidRDefault="0080182A" w:rsidP="0080182A">
      <w:pPr>
        <w:jc w:val="both"/>
        <w:rPr>
          <w:rFonts w:ascii="Arial" w:hAnsi="Arial" w:cs="Arial"/>
        </w:rPr>
      </w:pPr>
      <w:r w:rsidRPr="00557BAC">
        <w:rPr>
          <w:rFonts w:ascii="Arial" w:hAnsi="Arial" w:cs="Arial"/>
        </w:rPr>
        <w:t xml:space="preserve">Annual data, collected over the 1980–2024 interval, form the basis of our analysis, with primary sources including the World Bank, the International Monetary Fund, and diverse national statistical repositories. The paper proceeds along a conventional academic structure. Section 2 begins with a synthesis of theoretical foundations and relevant empirical evidence. The methodology and data are precisely articulated in Section 3. Section 4 lays out the findings, which cover descriptive statistics, diagnostic tests for unit roots and cointegration, and the estimated short-run and long-run coefficients. A thorough discussion of these results comprises Section 5. The final section, Section 6, recapitulates the study's central contributions, puts forth targeted policy guidance, outlines inherent </w:t>
      </w:r>
      <w:r>
        <w:rPr>
          <w:rFonts w:ascii="Arial" w:hAnsi="Arial" w:cs="Arial"/>
        </w:rPr>
        <w:t>limitations</w:t>
      </w:r>
      <w:r w:rsidRPr="00557BAC">
        <w:rPr>
          <w:rFonts w:ascii="Arial" w:hAnsi="Arial" w:cs="Arial"/>
        </w:rPr>
        <w:t>, and proposes directions for future research.</w:t>
      </w:r>
    </w:p>
    <w:p w14:paraId="431E2285" w14:textId="77777777" w:rsidR="0080182A" w:rsidRPr="00557BAC" w:rsidRDefault="0080182A" w:rsidP="0080182A">
      <w:pPr>
        <w:jc w:val="both"/>
        <w:rPr>
          <w:rStyle w:val="mainspantag"/>
          <w:rFonts w:ascii="Arial" w:hAnsi="Arial" w:cs="Arial"/>
        </w:rPr>
      </w:pPr>
      <w:r w:rsidRPr="00557BAC">
        <w:rPr>
          <w:rFonts w:ascii="Arial" w:hAnsi="Arial" w:cs="Arial"/>
        </w:rPr>
        <w:t xml:space="preserve"> </w:t>
      </w:r>
    </w:p>
    <w:p w14:paraId="2B8A2E7B" w14:textId="0CBC00F9" w:rsidR="0080182A" w:rsidRPr="0080182A" w:rsidRDefault="0080182A" w:rsidP="0080182A">
      <w:pPr>
        <w:rPr>
          <w:rFonts w:ascii="Arial" w:hAnsi="Arial" w:cs="Arial"/>
          <w:b/>
          <w:bCs/>
          <w:sz w:val="22"/>
          <w:szCs w:val="22"/>
        </w:rPr>
      </w:pPr>
      <w:r w:rsidRPr="0080182A">
        <w:rPr>
          <w:rFonts w:ascii="Arial" w:hAnsi="Arial" w:cs="Arial"/>
          <w:b/>
          <w:bCs/>
          <w:sz w:val="22"/>
          <w:szCs w:val="22"/>
        </w:rPr>
        <w:t>2. LITERATURE REVIEW</w:t>
      </w:r>
    </w:p>
    <w:p w14:paraId="4E855732" w14:textId="77777777" w:rsidR="0080182A" w:rsidRPr="0080182A" w:rsidRDefault="0080182A" w:rsidP="0080182A">
      <w:pPr>
        <w:pStyle w:val="AbstHead"/>
        <w:spacing w:after="0"/>
        <w:jc w:val="both"/>
        <w:rPr>
          <w:rFonts w:ascii="Arial" w:hAnsi="Arial" w:cs="Arial"/>
          <w:b w:val="0"/>
          <w:bCs/>
        </w:rPr>
      </w:pPr>
    </w:p>
    <w:p w14:paraId="6619C330" w14:textId="77777777" w:rsidR="0080182A" w:rsidRPr="00557BAC" w:rsidRDefault="0080182A" w:rsidP="0080182A">
      <w:pPr>
        <w:jc w:val="both"/>
        <w:rPr>
          <w:rFonts w:ascii="Arial" w:hAnsi="Arial" w:cs="Arial"/>
          <w:b/>
          <w:bCs/>
        </w:rPr>
      </w:pPr>
      <w:r w:rsidRPr="00557BAC">
        <w:rPr>
          <w:rFonts w:ascii="Arial" w:hAnsi="Arial" w:cs="Arial"/>
          <w:b/>
          <w:bCs/>
        </w:rPr>
        <w:t>2.1 Conceptual Clarifications</w:t>
      </w:r>
    </w:p>
    <w:p w14:paraId="0561F0AB" w14:textId="77777777" w:rsidR="0080182A" w:rsidRDefault="0080182A" w:rsidP="0080182A">
      <w:pPr>
        <w:jc w:val="both"/>
        <w:rPr>
          <w:rFonts w:ascii="Arial" w:hAnsi="Arial" w:cs="Arial"/>
        </w:rPr>
      </w:pPr>
      <w:r w:rsidRPr="00557BAC">
        <w:rPr>
          <w:rFonts w:ascii="Arial" w:hAnsi="Arial" w:cs="Arial"/>
        </w:rPr>
        <w:t>This research centers on the interaction among three core constructs: fiscal stance, public debt, and inflation dynamics within the Nigerian context (1980–2024). Conceptually, fiscal stance dictates the flow of deficits or surpluses, which aggregate into the stock of public debt. These fiscal variables, in conjunction with the monetary environment, ultimately drive price evolution.</w:t>
      </w:r>
    </w:p>
    <w:p w14:paraId="195A76A3" w14:textId="77777777" w:rsidR="0080182A" w:rsidRDefault="0080182A" w:rsidP="0080182A">
      <w:pPr>
        <w:jc w:val="both"/>
        <w:rPr>
          <w:rFonts w:ascii="Arial" w:hAnsi="Arial" w:cs="Arial"/>
          <w:b/>
          <w:bCs/>
        </w:rPr>
      </w:pPr>
    </w:p>
    <w:p w14:paraId="744A2282" w14:textId="77777777" w:rsidR="0080182A" w:rsidRPr="00557BAC" w:rsidRDefault="0080182A" w:rsidP="0080182A">
      <w:pPr>
        <w:jc w:val="both"/>
        <w:rPr>
          <w:rFonts w:ascii="Arial" w:hAnsi="Arial" w:cs="Arial"/>
          <w:b/>
          <w:bCs/>
        </w:rPr>
      </w:pPr>
      <w:r w:rsidRPr="00557BAC">
        <w:rPr>
          <w:rFonts w:ascii="Arial" w:hAnsi="Arial" w:cs="Arial"/>
          <w:b/>
          <w:bCs/>
        </w:rPr>
        <w:t>Fiscal Stance</w:t>
      </w:r>
    </w:p>
    <w:p w14:paraId="5B1AC2C5" w14:textId="77777777" w:rsidR="0080182A" w:rsidRPr="00557BAC" w:rsidRDefault="0080182A" w:rsidP="0080182A">
      <w:pPr>
        <w:jc w:val="both"/>
        <w:rPr>
          <w:rFonts w:ascii="Arial" w:hAnsi="Arial" w:cs="Arial"/>
        </w:rPr>
      </w:pPr>
      <w:r w:rsidRPr="00557BAC">
        <w:rPr>
          <w:rFonts w:ascii="Arial" w:hAnsi="Arial" w:cs="Arial"/>
        </w:rPr>
        <w:t xml:space="preserve">Fiscal stance denotes the direction of fiscal policy relative to the macroeconomic cycle and sustainability. Empirically, it is typically measured by the budget balance or fiscal deficit as a ratio to GDP, sometimes cyclically adjusted (Muller &amp; Price, 1984; </w:t>
      </w:r>
      <w:proofErr w:type="spellStart"/>
      <w:r w:rsidRPr="00557BAC">
        <w:rPr>
          <w:rFonts w:ascii="Arial" w:hAnsi="Arial" w:cs="Arial"/>
        </w:rPr>
        <w:t>Brandner</w:t>
      </w:r>
      <w:proofErr w:type="spellEnd"/>
      <w:r w:rsidRPr="00557BAC">
        <w:rPr>
          <w:rFonts w:ascii="Arial" w:hAnsi="Arial" w:cs="Arial"/>
        </w:rPr>
        <w:t xml:space="preserve"> et al., 1998). An expansionary stance signifies higher deficits, while a contractionary stance implies the opposite. Some definitions also focus on changes in the structural primary balance (Fournier &amp; </w:t>
      </w:r>
      <w:proofErr w:type="spellStart"/>
      <w:r w:rsidRPr="00557BAC">
        <w:rPr>
          <w:rFonts w:ascii="Arial" w:hAnsi="Arial" w:cs="Arial"/>
        </w:rPr>
        <w:t>Lieberknecht</w:t>
      </w:r>
      <w:proofErr w:type="spellEnd"/>
      <w:r w:rsidRPr="00557BAC">
        <w:rPr>
          <w:rFonts w:ascii="Arial" w:hAnsi="Arial" w:cs="Arial"/>
        </w:rPr>
        <w:t>, 2020). In the Nigerian context, researchers often utilize the conventional deficit-to-GDP ratio as a proxy for fiscal stance, occasionally supplemented by government expenditure details (</w:t>
      </w:r>
      <w:proofErr w:type="spellStart"/>
      <w:r w:rsidRPr="00557BAC">
        <w:rPr>
          <w:rFonts w:ascii="Arial" w:hAnsi="Arial" w:cs="Arial"/>
        </w:rPr>
        <w:t>Fasanya</w:t>
      </w:r>
      <w:proofErr w:type="spellEnd"/>
      <w:r w:rsidRPr="00557BAC">
        <w:rPr>
          <w:rFonts w:ascii="Arial" w:hAnsi="Arial" w:cs="Arial"/>
        </w:rPr>
        <w:t xml:space="preserve"> et al., 2021; </w:t>
      </w:r>
      <w:proofErr w:type="spellStart"/>
      <w:r w:rsidRPr="00557BAC">
        <w:rPr>
          <w:rFonts w:ascii="Arial" w:hAnsi="Arial" w:cs="Arial"/>
        </w:rPr>
        <w:t>Shu'Aibu</w:t>
      </w:r>
      <w:proofErr w:type="spellEnd"/>
      <w:r w:rsidRPr="00557BAC">
        <w:rPr>
          <w:rFonts w:ascii="Arial" w:hAnsi="Arial" w:cs="Arial"/>
        </w:rPr>
        <w:t xml:space="preserve"> et al., 2024). </w:t>
      </w:r>
    </w:p>
    <w:p w14:paraId="2CAEEEFC" w14:textId="77777777" w:rsidR="0080182A" w:rsidRPr="00557BAC" w:rsidRDefault="0080182A" w:rsidP="0080182A">
      <w:pPr>
        <w:jc w:val="both"/>
        <w:rPr>
          <w:rFonts w:ascii="Arial" w:hAnsi="Arial" w:cs="Arial"/>
          <w:b/>
          <w:bCs/>
        </w:rPr>
      </w:pPr>
      <w:r w:rsidRPr="00557BAC">
        <w:rPr>
          <w:rFonts w:ascii="Arial" w:hAnsi="Arial" w:cs="Arial"/>
          <w:b/>
          <w:bCs/>
        </w:rPr>
        <w:t>Public Debt</w:t>
      </w:r>
    </w:p>
    <w:p w14:paraId="4E131735" w14:textId="77777777" w:rsidR="0080182A" w:rsidRPr="00557BAC" w:rsidRDefault="0080182A" w:rsidP="0080182A">
      <w:pPr>
        <w:jc w:val="both"/>
        <w:rPr>
          <w:rFonts w:ascii="Arial" w:hAnsi="Arial" w:cs="Arial"/>
        </w:rPr>
      </w:pPr>
      <w:r w:rsidRPr="00557BAC">
        <w:rPr>
          <w:rFonts w:ascii="Arial" w:hAnsi="Arial" w:cs="Arial"/>
        </w:rPr>
        <w:t xml:space="preserve">Public debt refers to aggregate sum of government obligations that have accumulated over time due to previous deficits and their funding sources. It is typically assessed by comparing the debt level to the country's GDP, with notable differences between the components of domestic and external debt (Panizza, 2008; </w:t>
      </w:r>
      <w:proofErr w:type="spellStart"/>
      <w:r w:rsidRPr="00557BAC">
        <w:rPr>
          <w:rFonts w:ascii="Arial" w:hAnsi="Arial" w:cs="Arial"/>
        </w:rPr>
        <w:t>Aimola</w:t>
      </w:r>
      <w:proofErr w:type="spellEnd"/>
      <w:r w:rsidRPr="00557BAC">
        <w:rPr>
          <w:rFonts w:ascii="Arial" w:hAnsi="Arial" w:cs="Arial"/>
        </w:rPr>
        <w:t xml:space="preserve"> &amp; Odhiambo, 2021). In the context of macroeconomic analysis, the ratio of total public debt to GDP is utilized as a common indicator for evaluating the overall debt load and the potential for fiscal strain (Law et al., 2021; </w:t>
      </w:r>
      <w:proofErr w:type="spellStart"/>
      <w:r w:rsidRPr="00557BAC">
        <w:rPr>
          <w:rFonts w:ascii="Arial" w:hAnsi="Arial" w:cs="Arial"/>
        </w:rPr>
        <w:t>Aimola</w:t>
      </w:r>
      <w:proofErr w:type="spellEnd"/>
      <w:r w:rsidRPr="00557BAC">
        <w:rPr>
          <w:rFonts w:ascii="Arial" w:hAnsi="Arial" w:cs="Arial"/>
        </w:rPr>
        <w:t xml:space="preserve"> &amp; Odhiambo, 2021). </w:t>
      </w:r>
    </w:p>
    <w:p w14:paraId="4D6E280A" w14:textId="77777777" w:rsidR="0080182A" w:rsidRPr="00557BAC" w:rsidRDefault="0080182A" w:rsidP="0080182A">
      <w:pPr>
        <w:jc w:val="both"/>
        <w:rPr>
          <w:rFonts w:ascii="Arial" w:hAnsi="Arial" w:cs="Arial"/>
          <w:b/>
          <w:bCs/>
        </w:rPr>
      </w:pPr>
      <w:r w:rsidRPr="00557BAC">
        <w:rPr>
          <w:rFonts w:ascii="Arial" w:hAnsi="Arial" w:cs="Arial"/>
          <w:b/>
          <w:bCs/>
        </w:rPr>
        <w:t>Inflation Dynamics</w:t>
      </w:r>
    </w:p>
    <w:p w14:paraId="1602F508" w14:textId="77777777" w:rsidR="0080182A" w:rsidRPr="00557BAC" w:rsidRDefault="0080182A" w:rsidP="0080182A">
      <w:pPr>
        <w:jc w:val="both"/>
        <w:rPr>
          <w:rFonts w:ascii="Arial" w:hAnsi="Arial" w:cs="Arial"/>
        </w:rPr>
      </w:pPr>
      <w:r w:rsidRPr="00557BAC">
        <w:rPr>
          <w:rFonts w:ascii="Arial" w:hAnsi="Arial" w:cs="Arial"/>
        </w:rPr>
        <w:t xml:space="preserve">Inflation dynamics refer to the characteristics, persistence, and fundamental causes of variations in the general price level, typically </w:t>
      </w:r>
      <w:r>
        <w:rPr>
          <w:rFonts w:ascii="Arial" w:hAnsi="Arial" w:cs="Arial"/>
        </w:rPr>
        <w:t>proxied</w:t>
      </w:r>
      <w:r w:rsidRPr="00557BAC">
        <w:rPr>
          <w:rFonts w:ascii="Arial" w:hAnsi="Arial" w:cs="Arial"/>
        </w:rPr>
        <w:t xml:space="preserve"> by the annual rate of change in the Consumer Price Index (CPI). In Nigeria, contemporary macroeconomic research often represents inflation as influenced by both monetary and real factors, such as the money supply, interest rates, exchange rates, external shocks, and actual output</w:t>
      </w:r>
      <w:r>
        <w:rPr>
          <w:rFonts w:ascii="Arial" w:hAnsi="Arial" w:cs="Arial"/>
        </w:rPr>
        <w:t xml:space="preserve"> and </w:t>
      </w:r>
      <w:r w:rsidRPr="00557BAC">
        <w:rPr>
          <w:rFonts w:ascii="Arial" w:hAnsi="Arial" w:cs="Arial"/>
        </w:rPr>
        <w:t xml:space="preserve">commonly </w:t>
      </w:r>
      <w:proofErr w:type="spellStart"/>
      <w:r w:rsidRPr="00557BAC">
        <w:rPr>
          <w:rFonts w:ascii="Arial" w:hAnsi="Arial" w:cs="Arial"/>
        </w:rPr>
        <w:t>analy</w:t>
      </w:r>
      <w:r>
        <w:rPr>
          <w:rFonts w:ascii="Arial" w:hAnsi="Arial" w:cs="Arial"/>
        </w:rPr>
        <w:t>s</w:t>
      </w:r>
      <w:r w:rsidRPr="00557BAC">
        <w:rPr>
          <w:rFonts w:ascii="Arial" w:hAnsi="Arial" w:cs="Arial"/>
        </w:rPr>
        <w:t>ed</w:t>
      </w:r>
      <w:proofErr w:type="spellEnd"/>
      <w:r w:rsidRPr="00557BAC">
        <w:rPr>
          <w:rFonts w:ascii="Arial" w:hAnsi="Arial" w:cs="Arial"/>
        </w:rPr>
        <w:t xml:space="preserve"> within ARDL or VAR models (Augustine et al., 2020; </w:t>
      </w:r>
      <w:proofErr w:type="spellStart"/>
      <w:r w:rsidRPr="00557BAC">
        <w:rPr>
          <w:rFonts w:ascii="Arial" w:hAnsi="Arial" w:cs="Arial"/>
        </w:rPr>
        <w:t>Fasanya</w:t>
      </w:r>
      <w:proofErr w:type="spellEnd"/>
      <w:r w:rsidRPr="00557BAC">
        <w:rPr>
          <w:rFonts w:ascii="Arial" w:hAnsi="Arial" w:cs="Arial"/>
        </w:rPr>
        <w:t xml:space="preserve"> et al., 2021; </w:t>
      </w:r>
      <w:proofErr w:type="spellStart"/>
      <w:r w:rsidRPr="00557BAC">
        <w:rPr>
          <w:rFonts w:ascii="Arial" w:hAnsi="Arial" w:cs="Arial"/>
        </w:rPr>
        <w:t>Shu'Aibu</w:t>
      </w:r>
      <w:proofErr w:type="spellEnd"/>
      <w:r w:rsidRPr="00557BAC">
        <w:rPr>
          <w:rFonts w:ascii="Arial" w:hAnsi="Arial" w:cs="Arial"/>
        </w:rPr>
        <w:t xml:space="preserve"> et al., 2024). The concept of "dynamics" signifies that inflation is </w:t>
      </w:r>
      <w:r w:rsidRPr="00D33E86">
        <w:rPr>
          <w:rFonts w:ascii="Arial" w:hAnsi="Arial" w:cs="Arial"/>
        </w:rPr>
        <w:t>not static but responsive</w:t>
      </w:r>
      <w:r w:rsidRPr="00557BAC">
        <w:rPr>
          <w:rFonts w:ascii="Arial" w:hAnsi="Arial" w:cs="Arial"/>
        </w:rPr>
        <w:t xml:space="preserve"> to the effects of past values, expectations, and policy actions. </w:t>
      </w:r>
    </w:p>
    <w:p w14:paraId="0A7EEEE1" w14:textId="77777777" w:rsidR="0080182A" w:rsidRDefault="0080182A" w:rsidP="0080182A">
      <w:pPr>
        <w:jc w:val="both"/>
        <w:rPr>
          <w:rFonts w:ascii="Arial" w:hAnsi="Arial" w:cs="Arial"/>
          <w:b/>
          <w:bCs/>
        </w:rPr>
      </w:pPr>
    </w:p>
    <w:p w14:paraId="429EDF57" w14:textId="77777777" w:rsidR="0080182A" w:rsidRPr="007E3CD0" w:rsidRDefault="0080182A" w:rsidP="0080182A">
      <w:pPr>
        <w:jc w:val="both"/>
        <w:rPr>
          <w:rFonts w:ascii="Arial" w:hAnsi="Arial" w:cs="Arial"/>
          <w:b/>
          <w:bCs/>
        </w:rPr>
      </w:pPr>
      <w:r w:rsidRPr="007E3CD0">
        <w:rPr>
          <w:rFonts w:ascii="Arial" w:hAnsi="Arial" w:cs="Arial"/>
          <w:b/>
          <w:bCs/>
        </w:rPr>
        <w:t>2.2 Theoretical Literature Review</w:t>
      </w:r>
    </w:p>
    <w:p w14:paraId="63EAEFE2" w14:textId="77777777" w:rsidR="0080182A" w:rsidRPr="007E3CD0" w:rsidRDefault="0080182A" w:rsidP="0080182A">
      <w:pPr>
        <w:rPr>
          <w:rFonts w:ascii="Arial" w:hAnsi="Arial" w:cs="Arial"/>
        </w:rPr>
      </w:pPr>
      <w:r w:rsidRPr="007E3CD0">
        <w:rPr>
          <w:rFonts w:ascii="Arial" w:hAnsi="Arial" w:cs="Arial"/>
        </w:rPr>
        <w:lastRenderedPageBreak/>
        <w:t>There are many perspectives in the macroeconomic literature on the link between money supply, inflation, and fiscal policy. According to the Quantity Theory of Money (QTM), there is a long-standing correlation between price increases and the growth of money. Nevertheless, structural adjustments in recent years have diminished this relationship in industrialized countries (Jung, 2024). As a result, according to monetarists, monetized fiscal deficits are inherently inflationary because they increase the money supply more rapidly than actual production (</w:t>
      </w:r>
      <w:proofErr w:type="spellStart"/>
      <w:r w:rsidRPr="007E3CD0">
        <w:rPr>
          <w:rFonts w:ascii="Arial" w:hAnsi="Arial" w:cs="Arial"/>
        </w:rPr>
        <w:t>Ashra</w:t>
      </w:r>
      <w:proofErr w:type="spellEnd"/>
      <w:r w:rsidRPr="007E3CD0">
        <w:rPr>
          <w:rFonts w:ascii="Arial" w:hAnsi="Arial" w:cs="Arial"/>
        </w:rPr>
        <w:t xml:space="preserve"> et al., 2004). Conversely, Keynesian theory emphasizes aggregate demand, suggesting that government deficits stimulate output at low capacity but become inflationary near supply constraints (</w:t>
      </w:r>
      <w:proofErr w:type="spellStart"/>
      <w:r w:rsidRPr="007E3CD0">
        <w:rPr>
          <w:rFonts w:ascii="Arial" w:hAnsi="Arial" w:cs="Arial"/>
        </w:rPr>
        <w:t>Bordo</w:t>
      </w:r>
      <w:proofErr w:type="spellEnd"/>
      <w:r w:rsidRPr="007E3CD0">
        <w:rPr>
          <w:rFonts w:ascii="Arial" w:hAnsi="Arial" w:cs="Arial"/>
        </w:rPr>
        <w:t xml:space="preserve"> &amp; Levy, 2020). In modern Keynesian frameworks, the inflationary impact of deficit-financed expansions is contingent on wealth distribution, debt, and tax expectations (</w:t>
      </w:r>
      <w:proofErr w:type="spellStart"/>
      <w:r w:rsidRPr="007E3CD0">
        <w:rPr>
          <w:rFonts w:ascii="Arial" w:hAnsi="Arial" w:cs="Arial"/>
        </w:rPr>
        <w:t>Auclert</w:t>
      </w:r>
      <w:proofErr w:type="spellEnd"/>
      <w:r w:rsidRPr="007E3CD0">
        <w:rPr>
          <w:rFonts w:ascii="Arial" w:hAnsi="Arial" w:cs="Arial"/>
        </w:rPr>
        <w:t xml:space="preserve"> et al., 2018). Furthermore, when public debt is exceptionally high, additional deficits may paradoxically contract the economy as households internalize future tax burdens (Sutherland, 1997). For economies like Nigeria, this indicates that the inflationary effects of the fiscal stance are highly state-dependent.</w:t>
      </w:r>
    </w:p>
    <w:p w14:paraId="4701A4CA" w14:textId="77777777" w:rsidR="0080182A" w:rsidRDefault="0080182A" w:rsidP="0080182A">
      <w:pPr>
        <w:spacing w:after="160" w:line="259" w:lineRule="auto"/>
        <w:rPr>
          <w:rFonts w:ascii="Arial" w:hAnsi="Arial" w:cs="Arial"/>
          <w:color w:val="FF0000"/>
        </w:rPr>
      </w:pPr>
      <w:r w:rsidRPr="00154D7D">
        <w:rPr>
          <w:rFonts w:ascii="Arial" w:hAnsi="Arial" w:cs="Arial"/>
        </w:rPr>
        <w:t>By underscoring the limitations of fiscal dominance, the concept of "unpleasant monetarist arithmetic" put forth by Sargent and Wallace illustrates that when central banks are obligated to support fiscal deficits, efforts to implement stricter monetary policies without simultaneous fiscal reforms will only lead to increased interest expenses on public debt and worsen inflation in the future (</w:t>
      </w:r>
      <w:proofErr w:type="spellStart"/>
      <w:r w:rsidRPr="00154D7D">
        <w:rPr>
          <w:rFonts w:ascii="Arial" w:hAnsi="Arial" w:cs="Arial"/>
        </w:rPr>
        <w:t>Bordo</w:t>
      </w:r>
      <w:proofErr w:type="spellEnd"/>
      <w:r w:rsidRPr="00154D7D">
        <w:rPr>
          <w:rFonts w:ascii="Arial" w:hAnsi="Arial" w:cs="Arial"/>
        </w:rPr>
        <w:t xml:space="preserve"> &amp; Levy, 2020; Uribe, 2016). Expanding on this limitation, the Fiscal Theory of the Price Level (FTPL) argues that price levels naturally </w:t>
      </w:r>
      <w:r>
        <w:rPr>
          <w:rFonts w:ascii="Arial" w:hAnsi="Arial" w:cs="Arial"/>
        </w:rPr>
        <w:t>adjust</w:t>
      </w:r>
      <w:r w:rsidRPr="00154D7D">
        <w:rPr>
          <w:rFonts w:ascii="Arial" w:hAnsi="Arial" w:cs="Arial"/>
        </w:rPr>
        <w:t xml:space="preserve"> to balance the real value of debt with anticipated future primary surpluses, thereby </w:t>
      </w:r>
      <w:r w:rsidRPr="00C525E9">
        <w:rPr>
          <w:rFonts w:ascii="Arial" w:hAnsi="Arial" w:cs="Arial"/>
        </w:rPr>
        <w:t xml:space="preserve">positioning fiscal policy as the predominant determinant of inflation (Cochrane, 1998; Cochrane, 2020; </w:t>
      </w:r>
      <w:r w:rsidRPr="00154D7D">
        <w:rPr>
          <w:rFonts w:ascii="Arial" w:hAnsi="Arial" w:cs="Arial"/>
        </w:rPr>
        <w:t>Cochrane, 2021).</w:t>
      </w:r>
      <w:r>
        <w:rPr>
          <w:rFonts w:ascii="Arial" w:hAnsi="Arial" w:cs="Arial"/>
        </w:rPr>
        <w:t xml:space="preserve"> </w:t>
      </w:r>
      <w:r w:rsidRPr="00157306">
        <w:rPr>
          <w:rFonts w:ascii="Arial" w:hAnsi="Arial" w:cs="Arial"/>
        </w:rPr>
        <w:t>Contrary to traditional economic theories, Modern Monetary Theory (MMT) posits that in systems using sovereign currency, deficits are limited by actual resources instead of financial constraints, indicating that fiscal expansions do not automatically lead to inflation (Dubey, 2023). Although Nigeria does not possess complete monetary sovereignty, MMT warns against completely dismissing deficits. It stresses the importance of differentiating between sustainable debt managed by</w:t>
      </w:r>
      <w:r>
        <w:rPr>
          <w:rFonts w:ascii="Arial" w:hAnsi="Arial" w:cs="Arial"/>
        </w:rPr>
        <w:t xml:space="preserve"> </w:t>
      </w:r>
      <w:r w:rsidRPr="006C48FB">
        <w:rPr>
          <w:rFonts w:ascii="Arial" w:hAnsi="Arial" w:cs="Arial"/>
        </w:rPr>
        <w:t xml:space="preserve">credible institutions and fiscal shortfalls in precarious financial systems, </w:t>
      </w:r>
      <w:r w:rsidRPr="00157306">
        <w:rPr>
          <w:rFonts w:ascii="Arial" w:hAnsi="Arial" w:cs="Arial"/>
        </w:rPr>
        <w:t>where the effects of inflation can be significantly amplified.</w:t>
      </w:r>
      <w:r>
        <w:rPr>
          <w:rFonts w:ascii="Arial" w:hAnsi="Arial" w:cs="Arial"/>
        </w:rPr>
        <w:t xml:space="preserve"> </w:t>
      </w:r>
      <w:r w:rsidRPr="00341BE3">
        <w:rPr>
          <w:rFonts w:ascii="Arial" w:hAnsi="Arial" w:cs="Arial"/>
        </w:rPr>
        <w:t xml:space="preserve">Overall, </w:t>
      </w:r>
      <w:r w:rsidRPr="00D6065D">
        <w:rPr>
          <w:rFonts w:ascii="Arial" w:hAnsi="Arial" w:cs="Arial"/>
        </w:rPr>
        <w:t xml:space="preserve">by synthesizing these diverse theoretical strands, a strong case emerges suggesting that Nigeria's inflation trends from 1980 through 2024 are best understood as the result of </w:t>
      </w:r>
      <w:r w:rsidRPr="00341BE3">
        <w:rPr>
          <w:rFonts w:ascii="Arial" w:hAnsi="Arial" w:cs="Arial"/>
        </w:rPr>
        <w:t xml:space="preserve">a blend of fiscal actions, debt management, and monetary policies, with the credibility of these measures playing a vital role. </w:t>
      </w:r>
    </w:p>
    <w:p w14:paraId="251BC49B" w14:textId="77777777" w:rsidR="0080182A" w:rsidRPr="00506206" w:rsidRDefault="0080182A" w:rsidP="0080182A">
      <w:pPr>
        <w:rPr>
          <w:rFonts w:ascii="Arial" w:hAnsi="Arial" w:cs="Arial"/>
          <w:b/>
          <w:bCs/>
        </w:rPr>
      </w:pPr>
      <w:r>
        <w:rPr>
          <w:rFonts w:ascii="Arial" w:hAnsi="Arial" w:cs="Arial"/>
          <w:b/>
          <w:bCs/>
        </w:rPr>
        <w:t>2.</w:t>
      </w:r>
      <w:r w:rsidRPr="00506206">
        <w:rPr>
          <w:rFonts w:ascii="Arial" w:hAnsi="Arial" w:cs="Arial"/>
          <w:b/>
          <w:bCs/>
        </w:rPr>
        <w:t>3 Empirical Literature Review</w:t>
      </w:r>
    </w:p>
    <w:p w14:paraId="35524560" w14:textId="77777777" w:rsidR="0080182A" w:rsidRDefault="0080182A" w:rsidP="0080182A">
      <w:pPr>
        <w:jc w:val="both"/>
        <w:rPr>
          <w:rFonts w:ascii="Arial" w:hAnsi="Arial" w:cs="Arial"/>
          <w:b/>
          <w:bCs/>
        </w:rPr>
      </w:pPr>
    </w:p>
    <w:p w14:paraId="303C5043" w14:textId="77777777" w:rsidR="0080182A" w:rsidRPr="00506206" w:rsidRDefault="0080182A" w:rsidP="0080182A">
      <w:pPr>
        <w:jc w:val="both"/>
        <w:rPr>
          <w:rFonts w:ascii="Arial" w:hAnsi="Arial" w:cs="Arial"/>
          <w:b/>
          <w:bCs/>
        </w:rPr>
      </w:pPr>
      <w:r w:rsidRPr="00506206">
        <w:rPr>
          <w:rFonts w:ascii="Arial" w:hAnsi="Arial" w:cs="Arial"/>
          <w:b/>
          <w:bCs/>
        </w:rPr>
        <w:t>Studies Specific to Nigeria</w:t>
      </w:r>
    </w:p>
    <w:p w14:paraId="14DFF2C2" w14:textId="77777777" w:rsidR="0080182A" w:rsidRPr="00506206" w:rsidRDefault="0080182A" w:rsidP="0080182A">
      <w:pPr>
        <w:jc w:val="both"/>
        <w:rPr>
          <w:rFonts w:ascii="Arial" w:hAnsi="Arial" w:cs="Arial"/>
        </w:rPr>
      </w:pPr>
      <w:r w:rsidRPr="00506206">
        <w:rPr>
          <w:rFonts w:ascii="Arial" w:hAnsi="Arial" w:cs="Arial"/>
        </w:rPr>
        <w:t>Empirical evidence on inflation dynamics in Nigeria has historically emphasized monetary and exchange rate determinants, though recent literature increasingly integrates fiscal variables, with varying results. Foundational studies consistently identify money supply and exchange rate depreciations as primary long-run drivers of consumer prices (</w:t>
      </w:r>
      <w:proofErr w:type="spellStart"/>
      <w:r w:rsidRPr="00506206">
        <w:rPr>
          <w:rFonts w:ascii="Arial" w:hAnsi="Arial" w:cs="Arial"/>
        </w:rPr>
        <w:t>Akinbobola</w:t>
      </w:r>
      <w:proofErr w:type="spellEnd"/>
      <w:r w:rsidRPr="00506206">
        <w:rPr>
          <w:rFonts w:ascii="Arial" w:hAnsi="Arial" w:cs="Arial"/>
        </w:rPr>
        <w:t xml:space="preserve">, 2012; </w:t>
      </w:r>
      <w:proofErr w:type="spellStart"/>
      <w:r w:rsidRPr="00506206">
        <w:rPr>
          <w:rFonts w:ascii="Arial" w:hAnsi="Arial" w:cs="Arial"/>
        </w:rPr>
        <w:t>Imimole</w:t>
      </w:r>
      <w:proofErr w:type="spellEnd"/>
      <w:r w:rsidRPr="00506206">
        <w:rPr>
          <w:rFonts w:ascii="Arial" w:hAnsi="Arial" w:cs="Arial"/>
        </w:rPr>
        <w:t xml:space="preserve"> &amp; </w:t>
      </w:r>
      <w:proofErr w:type="spellStart"/>
      <w:r w:rsidRPr="00506206">
        <w:rPr>
          <w:rFonts w:ascii="Arial" w:hAnsi="Arial" w:cs="Arial"/>
        </w:rPr>
        <w:t>Enoma</w:t>
      </w:r>
      <w:proofErr w:type="spellEnd"/>
      <w:r w:rsidRPr="00506206">
        <w:rPr>
          <w:rFonts w:ascii="Arial" w:hAnsi="Arial" w:cs="Arial"/>
        </w:rPr>
        <w:t xml:space="preserve">, 2011; Nuhu, 2021). This is corroborated by more recent econometric assessments emphasizing strong exchange-rate pass-through and monetary influences (Abubakar et al., 2021; </w:t>
      </w:r>
      <w:proofErr w:type="spellStart"/>
      <w:r w:rsidRPr="00506206">
        <w:rPr>
          <w:rFonts w:ascii="Arial" w:hAnsi="Arial" w:cs="Arial"/>
        </w:rPr>
        <w:t>Amaefula</w:t>
      </w:r>
      <w:proofErr w:type="spellEnd"/>
      <w:r w:rsidRPr="00506206">
        <w:rPr>
          <w:rFonts w:ascii="Arial" w:hAnsi="Arial" w:cs="Arial"/>
        </w:rPr>
        <w:t xml:space="preserve"> &amp; </w:t>
      </w:r>
      <w:proofErr w:type="spellStart"/>
      <w:r w:rsidRPr="00506206">
        <w:rPr>
          <w:rFonts w:ascii="Arial" w:hAnsi="Arial" w:cs="Arial"/>
        </w:rPr>
        <w:t>Egba</w:t>
      </w:r>
      <w:proofErr w:type="spellEnd"/>
      <w:r w:rsidRPr="00506206">
        <w:rPr>
          <w:rFonts w:ascii="Arial" w:hAnsi="Arial" w:cs="Arial"/>
        </w:rPr>
        <w:t>, 2024). Regarding fiscal indicators, the evidence remains contested. While certain studies indicate that enduring fiscal deficits have minimal effects on inflation or demonstrate intricate endogeneity (</w:t>
      </w:r>
      <w:proofErr w:type="spellStart"/>
      <w:r w:rsidRPr="00506206">
        <w:rPr>
          <w:rFonts w:ascii="Arial" w:hAnsi="Arial" w:cs="Arial"/>
        </w:rPr>
        <w:t>Ezeabasili</w:t>
      </w:r>
      <w:proofErr w:type="spellEnd"/>
      <w:r w:rsidRPr="00506206">
        <w:rPr>
          <w:rFonts w:ascii="Arial" w:hAnsi="Arial" w:cs="Arial"/>
        </w:rPr>
        <w:t xml:space="preserve"> et al., 2012; </w:t>
      </w:r>
      <w:proofErr w:type="spellStart"/>
      <w:r w:rsidRPr="00506206">
        <w:rPr>
          <w:rFonts w:ascii="Arial" w:hAnsi="Arial" w:cs="Arial"/>
        </w:rPr>
        <w:t>Ozurumba</w:t>
      </w:r>
      <w:proofErr w:type="spellEnd"/>
      <w:r w:rsidRPr="00506206">
        <w:rPr>
          <w:rFonts w:ascii="Arial" w:hAnsi="Arial" w:cs="Arial"/>
        </w:rPr>
        <w:t>, 2012; Abubakar et al., 2014), other research posits a clear inflationary effect stemming from government expenditure (</w:t>
      </w:r>
      <w:proofErr w:type="spellStart"/>
      <w:r w:rsidRPr="00506206">
        <w:rPr>
          <w:rFonts w:ascii="Arial" w:hAnsi="Arial" w:cs="Arial"/>
        </w:rPr>
        <w:t>Danlami</w:t>
      </w:r>
      <w:proofErr w:type="spellEnd"/>
      <w:r w:rsidRPr="00506206">
        <w:rPr>
          <w:rFonts w:ascii="Arial" w:hAnsi="Arial" w:cs="Arial"/>
        </w:rPr>
        <w:t xml:space="preserve"> et al., 2019; Nwosu et al., 2024; Bello et al., 2023). Employing the ARDL methodology, </w:t>
      </w:r>
      <w:proofErr w:type="spellStart"/>
      <w:r w:rsidRPr="00506206">
        <w:rPr>
          <w:rFonts w:ascii="Arial" w:hAnsi="Arial" w:cs="Arial"/>
        </w:rPr>
        <w:t>Isiaka</w:t>
      </w:r>
      <w:proofErr w:type="spellEnd"/>
      <w:r w:rsidRPr="00506206">
        <w:rPr>
          <w:rFonts w:ascii="Arial" w:hAnsi="Arial" w:cs="Arial"/>
        </w:rPr>
        <w:t xml:space="preserve"> et al. (2022) investigated the </w:t>
      </w:r>
      <w:r>
        <w:rPr>
          <w:rFonts w:ascii="Arial" w:hAnsi="Arial" w:cs="Arial"/>
        </w:rPr>
        <w:t>relationship</w:t>
      </w:r>
      <w:r w:rsidRPr="00506206">
        <w:rPr>
          <w:rFonts w:ascii="Arial" w:hAnsi="Arial" w:cs="Arial"/>
        </w:rPr>
        <w:t xml:space="preserve"> between budget deficits in Nigeria and the rates of inflation. The results reveal that budget deficits do not exert a significant influence on inflation in either the long term or short term, leading the authors to assert that deficits in Nigeria are not intrinsically connected to inflation. In a similar analysis, </w:t>
      </w:r>
      <w:r w:rsidRPr="00506206">
        <w:rPr>
          <w:rFonts w:ascii="Arial" w:hAnsi="Arial" w:cs="Arial"/>
        </w:rPr>
        <w:lastRenderedPageBreak/>
        <w:t xml:space="preserve">Afolabi and </w:t>
      </w:r>
      <w:proofErr w:type="spellStart"/>
      <w:r w:rsidRPr="00506206">
        <w:rPr>
          <w:rFonts w:ascii="Arial" w:hAnsi="Arial" w:cs="Arial"/>
        </w:rPr>
        <w:t>Atolagbe</w:t>
      </w:r>
      <w:proofErr w:type="spellEnd"/>
      <w:r w:rsidRPr="00506206">
        <w:rPr>
          <w:rFonts w:ascii="Arial" w:hAnsi="Arial" w:cs="Arial"/>
        </w:rPr>
        <w:t xml:space="preserve"> (2018) found no indications of fiscal dominance in Nigeria, observing that budget deficits, domestic debt, and money supply did not significantly affect </w:t>
      </w:r>
      <w:r>
        <w:rPr>
          <w:rFonts w:ascii="Arial" w:hAnsi="Arial" w:cs="Arial"/>
        </w:rPr>
        <w:t>general</w:t>
      </w:r>
      <w:r w:rsidRPr="00506206">
        <w:rPr>
          <w:rFonts w:ascii="Arial" w:hAnsi="Arial" w:cs="Arial"/>
        </w:rPr>
        <w:t xml:space="preserve"> price levels during the investigated timeframe. </w:t>
      </w:r>
      <w:proofErr w:type="spellStart"/>
      <w:r w:rsidRPr="003A0B83">
        <w:rPr>
          <w:rFonts w:ascii="Arial" w:hAnsi="Arial" w:cs="Arial"/>
        </w:rPr>
        <w:t>Orisadare</w:t>
      </w:r>
      <w:proofErr w:type="spellEnd"/>
      <w:r w:rsidRPr="003A0B83">
        <w:rPr>
          <w:rFonts w:ascii="Arial" w:hAnsi="Arial" w:cs="Arial"/>
        </w:rPr>
        <w:t xml:space="preserve"> and Adeyemi (2024) found that there are significant positive associations between fiscal spending and outstanding sovereign debt in relation to monetary aggregates. However, their findings regarding fiscal dominance led them to conclude that a fiscally dominant regime is absent in Nigeria.</w:t>
      </w:r>
      <w:r w:rsidRPr="00506206">
        <w:rPr>
          <w:rFonts w:ascii="Arial" w:hAnsi="Arial" w:cs="Arial"/>
        </w:rPr>
        <w:t xml:space="preserve"> </w:t>
      </w:r>
      <w:proofErr w:type="spellStart"/>
      <w:r w:rsidRPr="00506206">
        <w:rPr>
          <w:rFonts w:ascii="Arial" w:hAnsi="Arial" w:cs="Arial"/>
        </w:rPr>
        <w:t>Oyeleke</w:t>
      </w:r>
      <w:proofErr w:type="spellEnd"/>
      <w:r w:rsidRPr="00506206">
        <w:rPr>
          <w:rFonts w:ascii="Arial" w:hAnsi="Arial" w:cs="Arial"/>
        </w:rPr>
        <w:t xml:space="preserve"> (2021) identifies a nonlinear relationship, indicating that inflationary impacts primarily occur at elevated deficit levels. In contrast, research that has focused solely on public debt frequently discovers that the impacts on price levels are statistically insignificant in both the short and long term when analyzed through linear models (</w:t>
      </w:r>
      <w:proofErr w:type="spellStart"/>
      <w:r w:rsidRPr="00506206">
        <w:rPr>
          <w:rFonts w:ascii="Arial" w:hAnsi="Arial" w:cs="Arial"/>
        </w:rPr>
        <w:t>Aimola</w:t>
      </w:r>
      <w:proofErr w:type="spellEnd"/>
      <w:r w:rsidRPr="00506206">
        <w:rPr>
          <w:rFonts w:ascii="Arial" w:hAnsi="Arial" w:cs="Arial"/>
        </w:rPr>
        <w:t xml:space="preserve"> &amp; Odhiambo, 2021; </w:t>
      </w:r>
      <w:proofErr w:type="spellStart"/>
      <w:r w:rsidRPr="00506206">
        <w:rPr>
          <w:rFonts w:ascii="Arial" w:hAnsi="Arial" w:cs="Arial"/>
        </w:rPr>
        <w:t>Shuaibu</w:t>
      </w:r>
      <w:proofErr w:type="spellEnd"/>
      <w:r w:rsidRPr="00506206">
        <w:rPr>
          <w:rFonts w:ascii="Arial" w:hAnsi="Arial" w:cs="Arial"/>
        </w:rPr>
        <w:t xml:space="preserve"> et al., 2021). </w:t>
      </w:r>
    </w:p>
    <w:p w14:paraId="6E70BCD6" w14:textId="77777777" w:rsidR="0080182A" w:rsidRPr="00506206" w:rsidRDefault="0080182A" w:rsidP="0080182A">
      <w:pPr>
        <w:jc w:val="both"/>
        <w:rPr>
          <w:rFonts w:ascii="Arial" w:hAnsi="Arial" w:cs="Arial"/>
        </w:rPr>
      </w:pPr>
      <w:r w:rsidRPr="00506206">
        <w:rPr>
          <w:rFonts w:ascii="Arial" w:hAnsi="Arial" w:cs="Arial"/>
        </w:rPr>
        <w:t xml:space="preserve">Furthermore, the fiscal-monetary interaction has been explored through the perspective of fiscal dominance, with studies by Sanusi (2020) and </w:t>
      </w:r>
      <w:proofErr w:type="spellStart"/>
      <w:r w:rsidRPr="00506206">
        <w:rPr>
          <w:rFonts w:ascii="Arial" w:hAnsi="Arial" w:cs="Arial"/>
        </w:rPr>
        <w:t>Denwi</w:t>
      </w:r>
      <w:proofErr w:type="spellEnd"/>
      <w:r w:rsidRPr="00506206">
        <w:rPr>
          <w:rFonts w:ascii="Arial" w:hAnsi="Arial" w:cs="Arial"/>
        </w:rPr>
        <w:t xml:space="preserve"> et al. (2023) examining causality between deficits and money supply, although these analyses often stop short of evaluating how debt levels condition the deficit-inflation nexus. Complementary work addressing fiscal-monetary coordination provides additional perspective. </w:t>
      </w:r>
      <w:proofErr w:type="spellStart"/>
      <w:r w:rsidRPr="00506206">
        <w:rPr>
          <w:rFonts w:ascii="Arial" w:hAnsi="Arial" w:cs="Arial"/>
        </w:rPr>
        <w:t>Ekong</w:t>
      </w:r>
      <w:proofErr w:type="spellEnd"/>
      <w:r w:rsidRPr="00506206">
        <w:rPr>
          <w:rFonts w:ascii="Arial" w:hAnsi="Arial" w:cs="Arial"/>
        </w:rPr>
        <w:t xml:space="preserve"> and Effiong (2020) found that both fiscal and monetary channels significantly influence inflation in the short and long run, underscoring that inflation is not purely a monetary phenomenon. </w:t>
      </w:r>
    </w:p>
    <w:p w14:paraId="76095F11" w14:textId="77777777" w:rsidR="0080182A" w:rsidRDefault="0080182A" w:rsidP="0080182A">
      <w:pPr>
        <w:jc w:val="both"/>
        <w:rPr>
          <w:rFonts w:ascii="Arial" w:hAnsi="Arial" w:cs="Arial"/>
          <w:b/>
          <w:bCs/>
        </w:rPr>
      </w:pPr>
    </w:p>
    <w:p w14:paraId="6090FCCB" w14:textId="77777777" w:rsidR="0080182A" w:rsidRPr="00506206" w:rsidRDefault="0080182A" w:rsidP="0080182A">
      <w:pPr>
        <w:jc w:val="both"/>
        <w:rPr>
          <w:rFonts w:ascii="Arial" w:hAnsi="Arial" w:cs="Arial"/>
          <w:b/>
          <w:bCs/>
        </w:rPr>
      </w:pPr>
      <w:r w:rsidRPr="00506206">
        <w:rPr>
          <w:rFonts w:ascii="Arial" w:hAnsi="Arial" w:cs="Arial"/>
          <w:b/>
          <w:bCs/>
        </w:rPr>
        <w:t>Other Country Specific Studies</w:t>
      </w:r>
    </w:p>
    <w:p w14:paraId="353EEE0F" w14:textId="77777777" w:rsidR="0080182A" w:rsidRPr="003A0B83" w:rsidRDefault="0080182A" w:rsidP="0080182A">
      <w:pPr>
        <w:jc w:val="both"/>
        <w:rPr>
          <w:rFonts w:ascii="Arial" w:hAnsi="Arial" w:cs="Arial"/>
        </w:rPr>
      </w:pPr>
      <w:r w:rsidRPr="003A0B83">
        <w:rPr>
          <w:rFonts w:ascii="Arial" w:hAnsi="Arial" w:cs="Arial"/>
        </w:rPr>
        <w:t>Single-country analyses outside Nigeria provide stronger evidence that the public debt-inflation nexus is highly context-dependent and heavily influenced by the prevailing monetary-fiscal regime. In Pakistan, persistent budget deficits financed by money creation underpin high inflation, validating the presence of fiscal dominance (</w:t>
      </w:r>
      <w:proofErr w:type="spellStart"/>
      <w:r w:rsidRPr="003A0B83">
        <w:rPr>
          <w:rFonts w:ascii="Arial" w:hAnsi="Arial" w:cs="Arial"/>
        </w:rPr>
        <w:t>Chandia</w:t>
      </w:r>
      <w:proofErr w:type="spellEnd"/>
      <w:r w:rsidRPr="003A0B83">
        <w:rPr>
          <w:rFonts w:ascii="Arial" w:hAnsi="Arial" w:cs="Arial"/>
        </w:rPr>
        <w:t xml:space="preserve"> et al., 2022; Ahmad et al., 2012). Also, Batool et al. (2024) examined the fiscal dominance hypothesis in Pakistan, modeling inflation as a fiscally driven monetary phenomenon. Similarly, Duarte Urquhart (2021) applied the Fiscal Theory of the Price Level (FTPL) in Paraguay, indicating that shocks to public debt led to notable inflation pressures in situations characterized by active fiscal policies, while reliable inflation-targeting approaches can mitigate this impact. Findings from some other African countries indicate that the structure of debt plays a crucial role in influencing inflation outcomes, with domestic debt having a more significant inflationary impact in the near term than external debt in Mozambique; conversely, broader debt indicators exhibit weak yet positive correlations with inflation in Kenya (Afonso &amp; </w:t>
      </w:r>
      <w:proofErr w:type="spellStart"/>
      <w:r w:rsidRPr="003A0B83">
        <w:rPr>
          <w:rFonts w:ascii="Arial" w:hAnsi="Arial" w:cs="Arial"/>
        </w:rPr>
        <w:t>Ibraimo</w:t>
      </w:r>
      <w:proofErr w:type="spellEnd"/>
      <w:r w:rsidRPr="003A0B83">
        <w:rPr>
          <w:rFonts w:ascii="Arial" w:hAnsi="Arial" w:cs="Arial"/>
        </w:rPr>
        <w:t>, 2018; Harmon, 2012).</w:t>
      </w:r>
    </w:p>
    <w:p w14:paraId="4A3F8805" w14:textId="77777777" w:rsidR="0080182A" w:rsidRPr="00506206" w:rsidRDefault="0080182A" w:rsidP="0080182A">
      <w:pPr>
        <w:jc w:val="both"/>
        <w:rPr>
          <w:rFonts w:ascii="Arial" w:hAnsi="Arial" w:cs="Arial"/>
        </w:rPr>
      </w:pPr>
    </w:p>
    <w:p w14:paraId="0252081A" w14:textId="77777777" w:rsidR="0080182A" w:rsidRPr="00506206" w:rsidRDefault="0080182A" w:rsidP="0080182A">
      <w:pPr>
        <w:jc w:val="both"/>
        <w:rPr>
          <w:rFonts w:ascii="Arial" w:hAnsi="Arial" w:cs="Arial"/>
          <w:b/>
          <w:bCs/>
        </w:rPr>
      </w:pPr>
      <w:r w:rsidRPr="00506206">
        <w:rPr>
          <w:rFonts w:ascii="Arial" w:hAnsi="Arial" w:cs="Arial"/>
          <w:b/>
          <w:bCs/>
        </w:rPr>
        <w:t xml:space="preserve">Cross-Country Studies and Regional Evidence </w:t>
      </w:r>
    </w:p>
    <w:p w14:paraId="200D9095" w14:textId="77777777" w:rsidR="0080182A" w:rsidRPr="00506206" w:rsidRDefault="0080182A" w:rsidP="0080182A">
      <w:pPr>
        <w:jc w:val="both"/>
        <w:rPr>
          <w:rFonts w:ascii="Arial" w:hAnsi="Arial" w:cs="Arial"/>
        </w:rPr>
      </w:pPr>
      <w:r w:rsidRPr="00506206">
        <w:rPr>
          <w:rFonts w:ascii="Arial" w:hAnsi="Arial" w:cs="Arial"/>
        </w:rPr>
        <w:t>Broader panel studies consistently demonstrate that fiscal imbalances and public debt act as powerful, often nonlinear, inflation drivers in developing and emerging economies. Research across large panels of developing nations reveals bidirectional interactions where public debt positively affects inflation, and inflation subsequently Granger-causes public debt, particularly in upper-middle-income economies (Van Bon, 2015; Shah et al., 2024). This is supported by evidence from emerging markets, including the BRICS economies, where unexpected debt increases and fiscal deficits significantly raise inflation, with effects exacerbated by high initial debt and tight financial conditions (</w:t>
      </w:r>
      <w:proofErr w:type="spellStart"/>
      <w:r w:rsidRPr="00506206">
        <w:rPr>
          <w:rFonts w:ascii="Arial" w:hAnsi="Arial" w:cs="Arial"/>
        </w:rPr>
        <w:t>Beirne</w:t>
      </w:r>
      <w:proofErr w:type="spellEnd"/>
      <w:r w:rsidRPr="00506206">
        <w:rPr>
          <w:rFonts w:ascii="Arial" w:hAnsi="Arial" w:cs="Arial"/>
        </w:rPr>
        <w:t xml:space="preserve"> &amp; </w:t>
      </w:r>
      <w:proofErr w:type="spellStart"/>
      <w:r w:rsidRPr="00506206">
        <w:rPr>
          <w:rFonts w:ascii="Arial" w:hAnsi="Arial" w:cs="Arial"/>
        </w:rPr>
        <w:t>Renzhi</w:t>
      </w:r>
      <w:proofErr w:type="spellEnd"/>
      <w:r w:rsidRPr="00506206">
        <w:rPr>
          <w:rFonts w:ascii="Arial" w:hAnsi="Arial" w:cs="Arial"/>
        </w:rPr>
        <w:t xml:space="preserve">, 2024; </w:t>
      </w:r>
      <w:proofErr w:type="spellStart"/>
      <w:r w:rsidRPr="00506206">
        <w:rPr>
          <w:rFonts w:ascii="Arial" w:hAnsi="Arial" w:cs="Arial"/>
        </w:rPr>
        <w:t>Khah</w:t>
      </w:r>
      <w:proofErr w:type="spellEnd"/>
      <w:r w:rsidRPr="00506206">
        <w:rPr>
          <w:rFonts w:ascii="Arial" w:hAnsi="Arial" w:cs="Arial"/>
        </w:rPr>
        <w:t xml:space="preserve"> &amp; Ahmad, 2024). Regarding the broader cross-country context, </w:t>
      </w:r>
      <w:proofErr w:type="spellStart"/>
      <w:r w:rsidRPr="00506206">
        <w:rPr>
          <w:rFonts w:ascii="Arial" w:hAnsi="Arial" w:cs="Arial"/>
        </w:rPr>
        <w:t>Dumitrescu</w:t>
      </w:r>
      <w:proofErr w:type="spellEnd"/>
      <w:r w:rsidRPr="00506206">
        <w:rPr>
          <w:rFonts w:ascii="Arial" w:hAnsi="Arial" w:cs="Arial"/>
        </w:rPr>
        <w:t xml:space="preserve"> et al. (2022) explored the nonlinear effects of public debt on inflation across 22 emerging economies. Their findings established the existence of threshold effects, revealing that while countries with small shadow economies can accommodate rising debt, those where the shadow economy exceeds 24.3% of GDP face significantly higher inflationary costs. This highlights the conditional nature of the debt-inflation relationship based on institutional and structural characteristics. Further investigating the impact of expectations, </w:t>
      </w:r>
      <w:proofErr w:type="spellStart"/>
      <w:r w:rsidRPr="00506206">
        <w:rPr>
          <w:rFonts w:ascii="Arial" w:hAnsi="Arial" w:cs="Arial"/>
        </w:rPr>
        <w:t>Brandao</w:t>
      </w:r>
      <w:proofErr w:type="spellEnd"/>
      <w:r w:rsidRPr="00506206">
        <w:rPr>
          <w:rFonts w:ascii="Arial" w:hAnsi="Arial" w:cs="Arial"/>
        </w:rPr>
        <w:t xml:space="preserve">-Marques et al. (2024) assessed how public debt </w:t>
      </w:r>
      <w:r>
        <w:rPr>
          <w:rFonts w:ascii="Arial" w:hAnsi="Arial" w:cs="Arial"/>
        </w:rPr>
        <w:t>shocks</w:t>
      </w:r>
      <w:r w:rsidRPr="00506206">
        <w:rPr>
          <w:rFonts w:ascii="Arial" w:hAnsi="Arial" w:cs="Arial"/>
        </w:rPr>
        <w:t xml:space="preserve"> influence inflation expectations in both advanced and emerging market economies. Their results demonstrated that unforeseen debt movements persistently raise long-term inflation expectations in emerging markets</w:t>
      </w:r>
      <w:r>
        <w:rPr>
          <w:rFonts w:ascii="Arial" w:hAnsi="Arial" w:cs="Arial"/>
        </w:rPr>
        <w:t xml:space="preserve">, </w:t>
      </w:r>
      <w:r w:rsidRPr="00506206">
        <w:rPr>
          <w:rFonts w:ascii="Arial" w:hAnsi="Arial" w:cs="Arial"/>
        </w:rPr>
        <w:t xml:space="preserve">particularly those with high initial debt and significant debt dollarization, whereas advanced economies remained largely unaffected. This suggests that </w:t>
      </w:r>
      <w:r w:rsidRPr="00506206">
        <w:rPr>
          <w:rFonts w:ascii="Arial" w:hAnsi="Arial" w:cs="Arial"/>
        </w:rPr>
        <w:lastRenderedPageBreak/>
        <w:t>weaker monetary policy frameworks in emerging markets heighten the inflationary risks associated with fiscal shocks.</w:t>
      </w:r>
      <w:r>
        <w:rPr>
          <w:rFonts w:ascii="Arial" w:hAnsi="Arial" w:cs="Arial"/>
        </w:rPr>
        <w:t xml:space="preserve"> </w:t>
      </w:r>
      <w:r w:rsidRPr="00506206">
        <w:rPr>
          <w:rFonts w:ascii="Arial" w:hAnsi="Arial" w:cs="Arial"/>
        </w:rPr>
        <w:t>Sub-Saharan African (SSA) regional evidence strongly links recent inflation spikes to debt-financed fiscal policy. Dynamic panel threshold models identify public debt-to-GDP thresholds (approximately 50% to 60.6%) beyond which macroeconomic instability and inflationary pressures worsen significantly (</w:t>
      </w:r>
      <w:proofErr w:type="spellStart"/>
      <w:r w:rsidRPr="00506206">
        <w:rPr>
          <w:rFonts w:ascii="Arial" w:hAnsi="Arial" w:cs="Arial"/>
        </w:rPr>
        <w:t>Olaoye</w:t>
      </w:r>
      <w:proofErr w:type="spellEnd"/>
      <w:r w:rsidRPr="00506206">
        <w:rPr>
          <w:rFonts w:ascii="Arial" w:hAnsi="Arial" w:cs="Arial"/>
        </w:rPr>
        <w:t xml:space="preserve"> et al., 2022; </w:t>
      </w:r>
      <w:proofErr w:type="spellStart"/>
      <w:r w:rsidRPr="00506206">
        <w:rPr>
          <w:rFonts w:ascii="Arial" w:hAnsi="Arial" w:cs="Arial"/>
        </w:rPr>
        <w:t>Olaoye</w:t>
      </w:r>
      <w:proofErr w:type="spellEnd"/>
      <w:r w:rsidRPr="00506206">
        <w:rPr>
          <w:rFonts w:ascii="Arial" w:hAnsi="Arial" w:cs="Arial"/>
        </w:rPr>
        <w:t xml:space="preserve"> et al., 2023; Law et al., 2021; Sumba et al., 2024). Furthermore, institutional factors play a vital role; central bank financing of deficits in SSA and interactions between governance and public debt in developed and European contexts critically determine the magnitude of inflationary outcomes (Hooley et al., 2021; Hooley et al., 2024; Van Nguyen, 2022). These cross-country findings echo the "unpleasant monetarist arithmetic," suggesting that fiscal deficits are more likely to be inflationary in highly indebted environments (Kwon et al., 2006; Kwon et al., 2009). </w:t>
      </w:r>
    </w:p>
    <w:p w14:paraId="43707461" w14:textId="77777777" w:rsidR="0080182A" w:rsidRDefault="0080182A" w:rsidP="0080182A">
      <w:pPr>
        <w:jc w:val="both"/>
        <w:rPr>
          <w:rFonts w:ascii="Arial" w:hAnsi="Arial" w:cs="Arial"/>
          <w:b/>
          <w:bCs/>
        </w:rPr>
      </w:pPr>
    </w:p>
    <w:p w14:paraId="4C2D8C52" w14:textId="77777777" w:rsidR="0080182A" w:rsidRPr="00506206" w:rsidRDefault="0080182A" w:rsidP="0080182A">
      <w:pPr>
        <w:jc w:val="both"/>
        <w:rPr>
          <w:rFonts w:ascii="Arial" w:hAnsi="Arial" w:cs="Arial"/>
          <w:b/>
          <w:bCs/>
        </w:rPr>
      </w:pPr>
      <w:r w:rsidRPr="00506206">
        <w:rPr>
          <w:rFonts w:ascii="Arial" w:hAnsi="Arial" w:cs="Arial"/>
          <w:b/>
          <w:bCs/>
        </w:rPr>
        <w:t>2.4 Gaps in the Empirical Literature Reviewed</w:t>
      </w:r>
    </w:p>
    <w:p w14:paraId="0A6D12E3" w14:textId="77777777" w:rsidR="0080182A" w:rsidRDefault="0080182A" w:rsidP="0080182A">
      <w:pPr>
        <w:jc w:val="both"/>
        <w:rPr>
          <w:rFonts w:ascii="Arial" w:hAnsi="Arial" w:cs="Arial"/>
        </w:rPr>
      </w:pPr>
    </w:p>
    <w:p w14:paraId="157A53ED" w14:textId="77777777" w:rsidR="0080182A" w:rsidRPr="00D96923" w:rsidRDefault="0080182A" w:rsidP="00385CAF">
      <w:pPr>
        <w:jc w:val="both"/>
        <w:rPr>
          <w:rFonts w:ascii="Arial" w:hAnsi="Arial" w:cs="Arial"/>
        </w:rPr>
      </w:pPr>
      <w:r w:rsidRPr="00D96923">
        <w:rPr>
          <w:rFonts w:ascii="Arial" w:hAnsi="Arial" w:cs="Arial"/>
        </w:rPr>
        <w:t xml:space="preserve">Despite considerable research efforts, significant empirical </w:t>
      </w:r>
      <w:r>
        <w:rPr>
          <w:rFonts w:ascii="Arial" w:hAnsi="Arial" w:cs="Arial"/>
        </w:rPr>
        <w:t>gaps</w:t>
      </w:r>
      <w:r w:rsidRPr="00D96923">
        <w:rPr>
          <w:rFonts w:ascii="Arial" w:hAnsi="Arial" w:cs="Arial"/>
        </w:rPr>
        <w:t xml:space="preserve"> persist in the macroeconomic literature regarding Nigeria, largely due to the fragmented examination of fiscal variables. Existing studies have assessed the inflationary effects of fiscal deficits (</w:t>
      </w:r>
      <w:proofErr w:type="spellStart"/>
      <w:r w:rsidRPr="00D96923">
        <w:rPr>
          <w:rFonts w:ascii="Arial" w:hAnsi="Arial" w:cs="Arial"/>
        </w:rPr>
        <w:t>Fasanya</w:t>
      </w:r>
      <w:proofErr w:type="spellEnd"/>
      <w:r w:rsidRPr="00D96923">
        <w:rPr>
          <w:rFonts w:ascii="Arial" w:hAnsi="Arial" w:cs="Arial"/>
        </w:rPr>
        <w:t xml:space="preserve"> et al., 2021; </w:t>
      </w:r>
      <w:proofErr w:type="spellStart"/>
      <w:r w:rsidRPr="00D96923">
        <w:rPr>
          <w:rFonts w:ascii="Arial" w:hAnsi="Arial" w:cs="Arial"/>
        </w:rPr>
        <w:t>Oyeleke</w:t>
      </w:r>
      <w:proofErr w:type="spellEnd"/>
      <w:r w:rsidRPr="00D96923">
        <w:rPr>
          <w:rFonts w:ascii="Arial" w:hAnsi="Arial" w:cs="Arial"/>
        </w:rPr>
        <w:t>, 2021; Nwosu et al., 2024) and public debt (</w:t>
      </w:r>
      <w:proofErr w:type="spellStart"/>
      <w:r w:rsidRPr="00D96923">
        <w:rPr>
          <w:rFonts w:ascii="Arial" w:hAnsi="Arial" w:cs="Arial"/>
        </w:rPr>
        <w:t>Aimola</w:t>
      </w:r>
      <w:proofErr w:type="spellEnd"/>
      <w:r w:rsidRPr="00D96923">
        <w:rPr>
          <w:rFonts w:ascii="Arial" w:hAnsi="Arial" w:cs="Arial"/>
        </w:rPr>
        <w:t xml:space="preserve"> &amp; Odhiambo, 2021; </w:t>
      </w:r>
      <w:proofErr w:type="spellStart"/>
      <w:r w:rsidRPr="00D96923">
        <w:rPr>
          <w:rFonts w:ascii="Arial" w:hAnsi="Arial" w:cs="Arial"/>
        </w:rPr>
        <w:t>Shuaibu</w:t>
      </w:r>
      <w:proofErr w:type="spellEnd"/>
      <w:r w:rsidRPr="00D96923">
        <w:rPr>
          <w:rFonts w:ascii="Arial" w:hAnsi="Arial" w:cs="Arial"/>
        </w:rPr>
        <w:t xml:space="preserve"> et al., 2021) separately; however, an integrated model that investigates their interactive effects has not been </w:t>
      </w:r>
      <w:r w:rsidRPr="00B90E4C">
        <w:rPr>
          <w:rFonts w:ascii="Arial" w:hAnsi="Arial" w:cs="Arial"/>
        </w:rPr>
        <w:t>explored</w:t>
      </w:r>
      <w:r w:rsidRPr="00D96923">
        <w:rPr>
          <w:rFonts w:ascii="Arial" w:hAnsi="Arial" w:cs="Arial"/>
        </w:rPr>
        <w:t xml:space="preserve">. Additionally, while global evidence convincingly </w:t>
      </w:r>
      <w:r w:rsidRPr="00B90E4C">
        <w:rPr>
          <w:rFonts w:ascii="Arial" w:hAnsi="Arial" w:cs="Arial"/>
        </w:rPr>
        <w:t>documents</w:t>
      </w:r>
      <w:r w:rsidRPr="00D96923">
        <w:rPr>
          <w:rFonts w:ascii="Arial" w:hAnsi="Arial" w:cs="Arial"/>
        </w:rPr>
        <w:t xml:space="preserve"> nonlinear, threshold-dependent dynamics between debt and inflation (Law et al., 2021; </w:t>
      </w:r>
      <w:proofErr w:type="spellStart"/>
      <w:r w:rsidRPr="00D96923">
        <w:rPr>
          <w:rFonts w:ascii="Arial" w:hAnsi="Arial" w:cs="Arial"/>
        </w:rPr>
        <w:t>Olaoye</w:t>
      </w:r>
      <w:proofErr w:type="spellEnd"/>
      <w:r w:rsidRPr="00D96923">
        <w:rPr>
          <w:rFonts w:ascii="Arial" w:hAnsi="Arial" w:cs="Arial"/>
        </w:rPr>
        <w:t xml:space="preserve"> et al., 2023; </w:t>
      </w:r>
      <w:proofErr w:type="spellStart"/>
      <w:r w:rsidRPr="00D96923">
        <w:rPr>
          <w:rFonts w:ascii="Arial" w:hAnsi="Arial" w:cs="Arial"/>
        </w:rPr>
        <w:t>Beirne</w:t>
      </w:r>
      <w:proofErr w:type="spellEnd"/>
      <w:r w:rsidRPr="00D96923">
        <w:rPr>
          <w:rFonts w:ascii="Arial" w:hAnsi="Arial" w:cs="Arial"/>
        </w:rPr>
        <w:t xml:space="preserve"> &amp; </w:t>
      </w:r>
      <w:proofErr w:type="spellStart"/>
      <w:r w:rsidRPr="00D96923">
        <w:rPr>
          <w:rFonts w:ascii="Arial" w:hAnsi="Arial" w:cs="Arial"/>
        </w:rPr>
        <w:t>Renzhi</w:t>
      </w:r>
      <w:proofErr w:type="spellEnd"/>
      <w:r w:rsidRPr="00D96923">
        <w:rPr>
          <w:rFonts w:ascii="Arial" w:hAnsi="Arial" w:cs="Arial"/>
        </w:rPr>
        <w:t xml:space="preserve">, 2024) and identifies clear causal relationships indicating that debt influences inflation (Kwon et al., 2006, 2009; Shah et al., 2024; </w:t>
      </w:r>
      <w:proofErr w:type="spellStart"/>
      <w:r w:rsidRPr="00D96923">
        <w:rPr>
          <w:rFonts w:ascii="Arial" w:hAnsi="Arial" w:cs="Arial"/>
        </w:rPr>
        <w:t>Olaoye</w:t>
      </w:r>
      <w:proofErr w:type="spellEnd"/>
      <w:r w:rsidRPr="00D96923">
        <w:rPr>
          <w:rFonts w:ascii="Arial" w:hAnsi="Arial" w:cs="Arial"/>
        </w:rPr>
        <w:t xml:space="preserve"> et al., 2023), studies </w:t>
      </w:r>
      <w:r w:rsidRPr="00B90E4C">
        <w:rPr>
          <w:rFonts w:ascii="Arial" w:hAnsi="Arial" w:cs="Arial"/>
        </w:rPr>
        <w:t>specific to</w:t>
      </w:r>
      <w:r w:rsidRPr="00D96923">
        <w:rPr>
          <w:rFonts w:ascii="Arial" w:hAnsi="Arial" w:cs="Arial"/>
        </w:rPr>
        <w:t xml:space="preserve"> Nigeria often yield mostly ambiguous findings. This inconsistency is likely due to methodological </w:t>
      </w:r>
      <w:r w:rsidRPr="00B90E4C">
        <w:rPr>
          <w:rFonts w:ascii="Arial" w:hAnsi="Arial" w:cs="Arial"/>
        </w:rPr>
        <w:t>shortcomings</w:t>
      </w:r>
      <w:r w:rsidRPr="00D96923">
        <w:rPr>
          <w:rFonts w:ascii="Arial" w:hAnsi="Arial" w:cs="Arial"/>
        </w:rPr>
        <w:t xml:space="preserve">, particularly the lack of interaction terms within time-series analyses. Therefore, the present study seeks to fill this methodological gap by explicitly modeling the conditional and combined effects of fiscal deficits and public debt on inflationary outcomes in Nigeria. </w:t>
      </w:r>
    </w:p>
    <w:p w14:paraId="10F26D30" w14:textId="77777777" w:rsidR="0080182A" w:rsidRPr="00506206" w:rsidRDefault="0080182A" w:rsidP="00385CAF">
      <w:pPr>
        <w:jc w:val="both"/>
        <w:rPr>
          <w:rFonts w:ascii="Arial" w:hAnsi="Arial" w:cs="Arial"/>
        </w:rPr>
      </w:pPr>
      <w:r w:rsidRPr="00506206">
        <w:rPr>
          <w:rFonts w:ascii="Arial" w:hAnsi="Arial" w:cs="Arial"/>
        </w:rPr>
        <w:t xml:space="preserve"> </w:t>
      </w:r>
    </w:p>
    <w:p w14:paraId="3E380568" w14:textId="54BC5C8F" w:rsidR="00385CAF" w:rsidRPr="00385CAF" w:rsidRDefault="00385CAF" w:rsidP="00385CAF">
      <w:pPr>
        <w:spacing w:line="360" w:lineRule="auto"/>
        <w:rPr>
          <w:rFonts w:ascii="Arial" w:hAnsi="Arial" w:cs="Arial"/>
          <w:b/>
          <w:bCs/>
        </w:rPr>
      </w:pPr>
      <w:r>
        <w:rPr>
          <w:rFonts w:ascii="Arial" w:hAnsi="Arial" w:cs="Arial"/>
          <w:b/>
          <w:bCs/>
        </w:rPr>
        <w:t xml:space="preserve">3. </w:t>
      </w:r>
      <w:r w:rsidRPr="00385CAF">
        <w:rPr>
          <w:rFonts w:ascii="Arial" w:hAnsi="Arial" w:cs="Arial"/>
          <w:b/>
          <w:bCs/>
          <w:sz w:val="22"/>
          <w:szCs w:val="22"/>
        </w:rPr>
        <w:t>METHODOLOGY AND DATA</w:t>
      </w:r>
    </w:p>
    <w:p w14:paraId="624C70BC" w14:textId="77777777" w:rsidR="00790ADA" w:rsidRPr="00FB3A86" w:rsidRDefault="00790ADA" w:rsidP="00441B6F">
      <w:pPr>
        <w:pStyle w:val="Body"/>
        <w:spacing w:after="0"/>
        <w:rPr>
          <w:rFonts w:ascii="Arial" w:hAnsi="Arial" w:cs="Arial"/>
        </w:rPr>
      </w:pPr>
    </w:p>
    <w:p w14:paraId="7862373F" w14:textId="77777777" w:rsidR="00385CAF" w:rsidRPr="00506206" w:rsidRDefault="00385CAF" w:rsidP="00385CAF">
      <w:pPr>
        <w:spacing w:line="360" w:lineRule="auto"/>
        <w:rPr>
          <w:rFonts w:ascii="Arial" w:hAnsi="Arial" w:cs="Arial"/>
          <w:b/>
          <w:bCs/>
        </w:rPr>
      </w:pPr>
      <w:r w:rsidRPr="00506206">
        <w:rPr>
          <w:rFonts w:ascii="Arial" w:hAnsi="Arial" w:cs="Arial"/>
          <w:b/>
          <w:bCs/>
        </w:rPr>
        <w:t>3.1 Theoretical framework</w:t>
      </w:r>
    </w:p>
    <w:p w14:paraId="6AEE56A8" w14:textId="77777777" w:rsidR="00385CAF" w:rsidRPr="00506206" w:rsidRDefault="00385CAF" w:rsidP="00385CAF">
      <w:pPr>
        <w:jc w:val="both"/>
        <w:rPr>
          <w:rFonts w:ascii="Arial" w:hAnsi="Arial" w:cs="Arial"/>
        </w:rPr>
      </w:pPr>
      <w:r w:rsidRPr="00506206">
        <w:rPr>
          <w:rFonts w:ascii="Arial" w:hAnsi="Arial" w:cs="Arial"/>
        </w:rPr>
        <w:t xml:space="preserve">The empirical model relies on the Fiscal Theory of the Price Level and associated ideas of fiscal dominance, which claim that the price level adjusts so that the real value of government debt coincides with the present value of expected primary surpluses. This implies inflation results from both fiscal and monetary factors and is not solely a monetary phenomenon (Cochrane, 2021). From this viewpoint, the fiscal position, as shown by the magnitude and persistence of deficits, along with the amount of public debt, plays a crucial role in determining inflation trends, particularly in economies with limited tax capacity and credibility. The unpleasant monetarist arithmetic further demonstrates that in regimes dominated by fiscal policy, efforts to reduce inflation through raising interest rates may ultimately necessitate increased inflation in the future if fiscal deficits and debt are not addressed (Uribe, 2016). These insights support an empirical framework wherein inflation is explicitly influenced by fiscal deficits, public debt, and their interactions, in addition to monetary and real variables. </w:t>
      </w:r>
    </w:p>
    <w:p w14:paraId="547F6517" w14:textId="77777777" w:rsidR="00385CAF" w:rsidRDefault="00385CAF" w:rsidP="00385CAF">
      <w:pPr>
        <w:jc w:val="both"/>
        <w:rPr>
          <w:rFonts w:ascii="Arial" w:hAnsi="Arial" w:cs="Arial"/>
          <w:b/>
          <w:bCs/>
        </w:rPr>
      </w:pPr>
    </w:p>
    <w:p w14:paraId="3655F926" w14:textId="77777777" w:rsidR="00385CAF" w:rsidRPr="007C7D62" w:rsidRDefault="00385CAF" w:rsidP="00385CAF">
      <w:pPr>
        <w:jc w:val="both"/>
        <w:rPr>
          <w:rFonts w:ascii="Arial" w:hAnsi="Arial" w:cs="Arial"/>
          <w:b/>
          <w:bCs/>
        </w:rPr>
      </w:pPr>
      <w:r w:rsidRPr="007C7D62">
        <w:rPr>
          <w:rFonts w:ascii="Arial" w:hAnsi="Arial" w:cs="Arial"/>
          <w:b/>
          <w:bCs/>
        </w:rPr>
        <w:t>3.2 Variables, Expected Signs, and Data</w:t>
      </w:r>
    </w:p>
    <w:p w14:paraId="1B43FFD2" w14:textId="77777777" w:rsidR="00385CAF" w:rsidRPr="00B90E4C" w:rsidRDefault="00385CAF" w:rsidP="00385CAF">
      <w:pPr>
        <w:rPr>
          <w:rFonts w:ascii="Arial" w:hAnsi="Arial" w:cs="Arial"/>
        </w:rPr>
      </w:pPr>
      <w:r w:rsidRPr="00B90E4C">
        <w:rPr>
          <w:rFonts w:ascii="Arial" w:hAnsi="Arial" w:cs="Arial"/>
        </w:rPr>
        <w:t>Nigeria's annual inflation rate (INF, measured by the CPI percentage change) is the dependent variable. The primary independent variables are the ratio of fiscal deficit to GDP (FD) and the ratio of public debt to GDP (PD). An interaction term (FD</w:t>
      </w:r>
      <w:r>
        <w:rPr>
          <w:rFonts w:ascii="Arial" w:hAnsi="Arial" w:cs="Arial"/>
        </w:rPr>
        <w:t>*</w:t>
      </w:r>
      <w:r w:rsidRPr="00B90E4C">
        <w:rPr>
          <w:rFonts w:ascii="Arial" w:hAnsi="Arial" w:cs="Arial"/>
        </w:rPr>
        <w:t xml:space="preserve">PD) is included to evaluate whether public debt influences the inflationary effects of fiscal deficits. Control variables consist of the growth of broad money (M2) to account for liquidity, the nominal exchange rate (LEXR) for pass-through impacts, real GDP growth (RGDPG) to reflect </w:t>
      </w:r>
      <w:r w:rsidRPr="00B90E4C">
        <w:rPr>
          <w:rFonts w:ascii="Arial" w:hAnsi="Arial" w:cs="Arial"/>
        </w:rPr>
        <w:lastRenderedPageBreak/>
        <w:t>demand and supply trends, and the lending rate (LR) to represent conditions for domestic financing. A</w:t>
      </w:r>
      <w:r>
        <w:rPr>
          <w:rFonts w:ascii="Arial" w:hAnsi="Arial" w:cs="Arial"/>
        </w:rPr>
        <w:t>-</w:t>
      </w:r>
      <w:r w:rsidRPr="00B90E4C">
        <w:rPr>
          <w:rFonts w:ascii="Arial" w:hAnsi="Arial" w:cs="Arial"/>
        </w:rPr>
        <w:t>priori, higher FD, M2, LEXR, and particularly the interactive effect of FD*PD</w:t>
      </w:r>
      <w:r w:rsidRPr="007C7D62">
        <w:rPr>
          <w:rFonts w:ascii="Arial" w:hAnsi="Arial" w:cs="Arial"/>
        </w:rPr>
        <w:t>,</w:t>
      </w:r>
      <w:r w:rsidRPr="00B90E4C">
        <w:rPr>
          <w:rFonts w:ascii="Arial" w:hAnsi="Arial" w:cs="Arial"/>
        </w:rPr>
        <w:t xml:space="preserve"> are anticipated to positively influence inflation, consistent with FTPL frameworks (</w:t>
      </w:r>
      <w:proofErr w:type="spellStart"/>
      <w:r w:rsidRPr="00B90E4C">
        <w:rPr>
          <w:rFonts w:ascii="Arial" w:hAnsi="Arial" w:cs="Arial"/>
        </w:rPr>
        <w:t>Aimola</w:t>
      </w:r>
      <w:proofErr w:type="spellEnd"/>
      <w:r w:rsidRPr="00B90E4C">
        <w:rPr>
          <w:rFonts w:ascii="Arial" w:hAnsi="Arial" w:cs="Arial"/>
        </w:rPr>
        <w:t xml:space="preserve"> &amp; Odhiambo, 2021; Nwosu et al., 2024). The expected signs for RGDPG and LR remain ambiguous. Data are annual and secondary, sourced from World Development Indicators, the IMF's International Financial Statistics, the Central Bank of Nigeria Statistical Bulletin, and the National Bureau of Statistics, with some variables log-transformed to mitigate heteroscedasticity. </w:t>
      </w:r>
    </w:p>
    <w:p w14:paraId="1AB9ED0A" w14:textId="77777777" w:rsidR="00385CAF" w:rsidRPr="007C7D62" w:rsidRDefault="00385CAF" w:rsidP="00385CAF">
      <w:pPr>
        <w:jc w:val="both"/>
        <w:rPr>
          <w:rFonts w:ascii="Arial" w:hAnsi="Arial" w:cs="Arial"/>
        </w:rPr>
      </w:pPr>
    </w:p>
    <w:p w14:paraId="69C752A0" w14:textId="77777777" w:rsidR="00385CAF" w:rsidRPr="007C7D62" w:rsidRDefault="00385CAF" w:rsidP="00385CAF">
      <w:pPr>
        <w:jc w:val="both"/>
        <w:rPr>
          <w:rFonts w:ascii="Arial" w:hAnsi="Arial" w:cs="Arial"/>
          <w:b/>
          <w:bCs/>
        </w:rPr>
      </w:pPr>
      <w:r w:rsidRPr="007C7D62">
        <w:rPr>
          <w:rFonts w:ascii="Arial" w:hAnsi="Arial" w:cs="Arial"/>
          <w:b/>
          <w:bCs/>
        </w:rPr>
        <w:t>3.3 Pre-Estimation Tests and Method of Analysis</w:t>
      </w:r>
    </w:p>
    <w:p w14:paraId="1EB9B498" w14:textId="77777777" w:rsidR="00385CAF" w:rsidRPr="007C7D62" w:rsidRDefault="00385CAF" w:rsidP="00385CAF">
      <w:pPr>
        <w:jc w:val="both"/>
        <w:rPr>
          <w:rFonts w:ascii="Arial" w:hAnsi="Arial" w:cs="Arial"/>
        </w:rPr>
      </w:pPr>
      <w:r w:rsidRPr="007C7D62">
        <w:rPr>
          <w:rFonts w:ascii="Arial" w:hAnsi="Arial" w:cs="Arial"/>
        </w:rPr>
        <w:t xml:space="preserve">Our empirical strategy unfolds in distinct phases, beginning with fundamental diagnostic assessments that encompass descriptive statistics and preliminary pairwise correlation analysis. To establish a sound basis for time-series modeling, unit root tests, specifically the Augmented Dickey-Fuller (ADF) and Phillips-Perron (PP) methodologies, are subsequently deployed. This step confirms the integration orders of variables, carefully ensuring all series are either </w:t>
      </w:r>
      <w:proofErr w:type="gramStart"/>
      <w:r w:rsidRPr="007C7D62">
        <w:rPr>
          <w:rFonts w:ascii="Arial" w:hAnsi="Arial" w:cs="Arial"/>
        </w:rPr>
        <w:t>I(</w:t>
      </w:r>
      <w:proofErr w:type="gramEnd"/>
      <w:r w:rsidRPr="007C7D62">
        <w:rPr>
          <w:rFonts w:ascii="Arial" w:hAnsi="Arial" w:cs="Arial"/>
        </w:rPr>
        <w:t xml:space="preserve">0) or I(1), effectively precluding issues associated with higher-order integration. With stationarity characteristics confirmed, the investigation then advances to the Autoregressive Distributed Lag (ARDL) bounds testing procedure, </w:t>
      </w:r>
      <w:r>
        <w:rPr>
          <w:rFonts w:ascii="Arial" w:hAnsi="Arial" w:cs="Arial"/>
        </w:rPr>
        <w:t>to detect t</w:t>
      </w:r>
      <w:r w:rsidRPr="007C7D62">
        <w:rPr>
          <w:rFonts w:ascii="Arial" w:hAnsi="Arial" w:cs="Arial"/>
        </w:rPr>
        <w:t>he existence of long-run cointegrating relationships among the variables (</w:t>
      </w:r>
      <w:proofErr w:type="spellStart"/>
      <w:r w:rsidRPr="007C7D62">
        <w:rPr>
          <w:rFonts w:ascii="Arial" w:hAnsi="Arial" w:cs="Arial"/>
        </w:rPr>
        <w:t>Pesaran</w:t>
      </w:r>
      <w:proofErr w:type="spellEnd"/>
      <w:r w:rsidRPr="007C7D62">
        <w:rPr>
          <w:rFonts w:ascii="Arial" w:hAnsi="Arial" w:cs="Arial"/>
        </w:rPr>
        <w:t xml:space="preserve"> et al., 2001; </w:t>
      </w:r>
      <w:proofErr w:type="spellStart"/>
      <w:r w:rsidRPr="007C7D62">
        <w:rPr>
          <w:rFonts w:ascii="Arial" w:hAnsi="Arial" w:cs="Arial"/>
        </w:rPr>
        <w:t>Pesaran</w:t>
      </w:r>
      <w:proofErr w:type="spellEnd"/>
      <w:r w:rsidRPr="007C7D62">
        <w:rPr>
          <w:rFonts w:ascii="Arial" w:hAnsi="Arial" w:cs="Arial"/>
        </w:rPr>
        <w:t>, 2015).</w:t>
      </w:r>
    </w:p>
    <w:p w14:paraId="5551F758" w14:textId="77777777" w:rsidR="00385CAF" w:rsidRPr="007C7D62" w:rsidRDefault="00385CAF" w:rsidP="00385CAF">
      <w:pPr>
        <w:jc w:val="both"/>
        <w:rPr>
          <w:rFonts w:ascii="Arial" w:hAnsi="Arial" w:cs="Arial"/>
          <w:color w:val="FF0000"/>
        </w:rPr>
      </w:pPr>
    </w:p>
    <w:p w14:paraId="448AD9CA" w14:textId="77777777" w:rsidR="00385CAF" w:rsidRPr="007C7D62" w:rsidRDefault="00385CAF" w:rsidP="00385CAF">
      <w:pPr>
        <w:rPr>
          <w:rFonts w:ascii="Arial" w:hAnsi="Arial" w:cs="Arial"/>
        </w:rPr>
      </w:pPr>
      <w:r w:rsidRPr="007C7D62">
        <w:rPr>
          <w:rFonts w:ascii="Arial" w:hAnsi="Arial" w:cs="Arial"/>
        </w:rPr>
        <w:t xml:space="preserve">With cointegration empirically confirmed, the chosen ARDL model undergoes estimation via Ordinary Least Squares (OLS). An Error Correction Model (ECM) is subsequently derived, which then </w:t>
      </w:r>
      <w:r>
        <w:rPr>
          <w:rFonts w:ascii="Arial" w:hAnsi="Arial" w:cs="Arial"/>
        </w:rPr>
        <w:t>captures</w:t>
      </w:r>
      <w:r w:rsidRPr="007C7D62">
        <w:rPr>
          <w:rFonts w:ascii="Arial" w:hAnsi="Arial" w:cs="Arial"/>
        </w:rPr>
        <w:t xml:space="preserve"> the short-run dynamics of the system and provides a measure of its adjustment speed towards the long-run equilibrium (</w:t>
      </w:r>
      <w:proofErr w:type="spellStart"/>
      <w:r w:rsidRPr="007C7D62">
        <w:rPr>
          <w:rFonts w:ascii="Arial" w:hAnsi="Arial" w:cs="Arial"/>
        </w:rPr>
        <w:t>Pesaran</w:t>
      </w:r>
      <w:proofErr w:type="spellEnd"/>
      <w:r w:rsidRPr="007C7D62">
        <w:rPr>
          <w:rFonts w:ascii="Arial" w:hAnsi="Arial" w:cs="Arial"/>
        </w:rPr>
        <w:t xml:space="preserve"> et al., 2001; </w:t>
      </w:r>
      <w:proofErr w:type="spellStart"/>
      <w:r w:rsidRPr="007C7D62">
        <w:rPr>
          <w:rFonts w:ascii="Arial" w:hAnsi="Arial" w:cs="Arial"/>
        </w:rPr>
        <w:t>Natsiopoulos</w:t>
      </w:r>
      <w:proofErr w:type="spellEnd"/>
      <w:r w:rsidRPr="007C7D62">
        <w:rPr>
          <w:rFonts w:ascii="Arial" w:hAnsi="Arial" w:cs="Arial"/>
        </w:rPr>
        <w:t xml:space="preserve"> &amp; </w:t>
      </w:r>
      <w:proofErr w:type="spellStart"/>
      <w:r w:rsidRPr="007C7D62">
        <w:rPr>
          <w:rFonts w:ascii="Arial" w:hAnsi="Arial" w:cs="Arial"/>
        </w:rPr>
        <w:t>Tzeremes</w:t>
      </w:r>
      <w:proofErr w:type="spellEnd"/>
      <w:r w:rsidRPr="007C7D62">
        <w:rPr>
          <w:rFonts w:ascii="Arial" w:hAnsi="Arial" w:cs="Arial"/>
        </w:rPr>
        <w:t>, 2022). Post-estimation, a series of rigorous diagnostic checks are performed: these evaluate for the presence of serial correlation, heteroscedasticity, the distribution properties of the residuals, and the appropriateness of the functional form, involving a Ramsey RESET test. Parameter stability is further evaluated using CUSUM and CUSUMSQ tests, while Newey-West robust standard errors are applied to mitigate any potential issues arising from residual heteroscedasticity or autocorrelation.</w:t>
      </w:r>
    </w:p>
    <w:p w14:paraId="1DD1E6AA" w14:textId="77777777" w:rsidR="00385CAF" w:rsidRPr="007C7D62" w:rsidRDefault="00385CAF" w:rsidP="00385CAF">
      <w:pPr>
        <w:rPr>
          <w:rFonts w:ascii="Arial" w:hAnsi="Arial" w:cs="Arial"/>
        </w:rPr>
      </w:pPr>
    </w:p>
    <w:p w14:paraId="188AB7CA" w14:textId="77777777" w:rsidR="00385CAF" w:rsidRPr="007C7D62" w:rsidRDefault="00385CAF" w:rsidP="00385CAF">
      <w:pPr>
        <w:spacing w:line="360" w:lineRule="auto"/>
        <w:rPr>
          <w:rFonts w:ascii="Arial" w:hAnsi="Arial" w:cs="Arial"/>
          <w:b/>
          <w:bCs/>
        </w:rPr>
      </w:pPr>
      <w:r w:rsidRPr="007C7D62">
        <w:rPr>
          <w:rFonts w:ascii="Arial" w:hAnsi="Arial" w:cs="Arial"/>
          <w:b/>
          <w:bCs/>
        </w:rPr>
        <w:t>3.4 Model specification</w:t>
      </w:r>
    </w:p>
    <w:p w14:paraId="1CB9846C" w14:textId="0DE6EA4C" w:rsidR="00385CAF" w:rsidRDefault="00385CAF" w:rsidP="00385CAF">
      <w:pPr>
        <w:jc w:val="both"/>
        <w:rPr>
          <w:rFonts w:ascii="Arial" w:hAnsi="Arial" w:cs="Arial"/>
        </w:rPr>
      </w:pPr>
      <w:r w:rsidRPr="007C7D62">
        <w:rPr>
          <w:rFonts w:ascii="Arial" w:hAnsi="Arial" w:cs="Arial"/>
        </w:rPr>
        <w:t>To assess the interaction between fiscal stance, public debt, and inflation dynamics in Nigeria, this study, the functional relationship implied by the theoretical framework can be written in general form as:</w:t>
      </w:r>
    </w:p>
    <w:p w14:paraId="6EB72CA4" w14:textId="77777777" w:rsidR="00385CAF" w:rsidRPr="007C7D62" w:rsidRDefault="00385CAF" w:rsidP="00385CAF">
      <w:pPr>
        <w:jc w:val="both"/>
        <w:rPr>
          <w:rFonts w:ascii="Arial" w:hAnsi="Arial" w:cs="Arial"/>
        </w:rPr>
      </w:pPr>
    </w:p>
    <w:p w14:paraId="1419D404" w14:textId="22141560" w:rsidR="00385CAF" w:rsidRDefault="00385CAF" w:rsidP="00385CAF">
      <w:pPr>
        <w:spacing w:line="360" w:lineRule="auto"/>
        <w:jc w:val="both"/>
        <w:rPr>
          <w:rFonts w:ascii="Arial" w:hAnsi="Arial" w:cs="Arial"/>
        </w:rPr>
      </w:pPr>
      <w:proofErr w:type="spellStart"/>
      <w:r w:rsidRPr="007C7D62">
        <w:rPr>
          <w:rFonts w:ascii="Arial" w:hAnsi="Arial" w:cs="Arial"/>
        </w:rPr>
        <w:t>INF</w:t>
      </w:r>
      <w:r w:rsidRPr="007C7D62">
        <w:rPr>
          <w:rFonts w:ascii="Arial" w:hAnsi="Arial" w:cs="Arial"/>
          <w:vertAlign w:val="subscript"/>
        </w:rPr>
        <w:t>t</w:t>
      </w:r>
      <w:proofErr w:type="spellEnd"/>
      <w:r w:rsidRPr="007C7D62">
        <w:rPr>
          <w:rFonts w:ascii="Arial" w:hAnsi="Arial" w:cs="Arial"/>
        </w:rPr>
        <w:t xml:space="preserve"> = f (</w:t>
      </w:r>
      <w:proofErr w:type="spellStart"/>
      <w:r w:rsidRPr="007C7D62">
        <w:rPr>
          <w:rFonts w:ascii="Arial" w:hAnsi="Arial" w:cs="Arial"/>
        </w:rPr>
        <w:t>FD</w:t>
      </w:r>
      <w:r w:rsidRPr="007C7D62">
        <w:rPr>
          <w:rFonts w:ascii="Arial" w:hAnsi="Arial" w:cs="Arial"/>
          <w:vertAlign w:val="subscript"/>
        </w:rPr>
        <w:t>t</w:t>
      </w:r>
      <w:proofErr w:type="spellEnd"/>
      <w:r w:rsidRPr="007C7D62">
        <w:rPr>
          <w:rFonts w:ascii="Arial" w:hAnsi="Arial" w:cs="Arial"/>
        </w:rPr>
        <w:t xml:space="preserve">, </w:t>
      </w:r>
      <w:proofErr w:type="spellStart"/>
      <w:r w:rsidRPr="007C7D62">
        <w:rPr>
          <w:rFonts w:ascii="Arial" w:hAnsi="Arial" w:cs="Arial"/>
        </w:rPr>
        <w:t>PD</w:t>
      </w:r>
      <w:r w:rsidRPr="007C7D62">
        <w:rPr>
          <w:rFonts w:ascii="Arial" w:hAnsi="Arial" w:cs="Arial"/>
          <w:vertAlign w:val="subscript"/>
        </w:rPr>
        <w:t>t</w:t>
      </w:r>
      <w:proofErr w:type="spellEnd"/>
      <w:r w:rsidRPr="007C7D62">
        <w:rPr>
          <w:rFonts w:ascii="Arial" w:hAnsi="Arial" w:cs="Arial"/>
        </w:rPr>
        <w:t>, FD*</w:t>
      </w:r>
      <w:proofErr w:type="spellStart"/>
      <w:r w:rsidRPr="007C7D62">
        <w:rPr>
          <w:rFonts w:ascii="Arial" w:hAnsi="Arial" w:cs="Arial"/>
        </w:rPr>
        <w:t>PD</w:t>
      </w:r>
      <w:r w:rsidRPr="007C7D62">
        <w:rPr>
          <w:rFonts w:ascii="Arial" w:hAnsi="Arial" w:cs="Arial"/>
          <w:vertAlign w:val="subscript"/>
        </w:rPr>
        <w:t>t</w:t>
      </w:r>
      <w:proofErr w:type="spellEnd"/>
      <w:r w:rsidRPr="007C7D62">
        <w:rPr>
          <w:rFonts w:ascii="Arial" w:hAnsi="Arial" w:cs="Arial"/>
        </w:rPr>
        <w:t xml:space="preserve">, </w:t>
      </w:r>
      <w:proofErr w:type="spellStart"/>
      <w:r w:rsidRPr="007C7D62">
        <w:rPr>
          <w:rFonts w:ascii="Arial" w:hAnsi="Arial" w:cs="Arial"/>
        </w:rPr>
        <w:t>LEXR</w:t>
      </w:r>
      <w:r w:rsidRPr="007C7D62">
        <w:rPr>
          <w:rFonts w:ascii="Arial" w:hAnsi="Arial" w:cs="Arial"/>
          <w:vertAlign w:val="subscript"/>
        </w:rPr>
        <w:t>t</w:t>
      </w:r>
      <w:proofErr w:type="spellEnd"/>
      <w:r w:rsidRPr="007C7D62">
        <w:rPr>
          <w:rFonts w:ascii="Arial" w:hAnsi="Arial" w:cs="Arial"/>
        </w:rPr>
        <w:t>, M2</w:t>
      </w:r>
      <w:r w:rsidRPr="007C7D62">
        <w:rPr>
          <w:rFonts w:ascii="Arial" w:hAnsi="Arial" w:cs="Arial"/>
          <w:vertAlign w:val="subscript"/>
        </w:rPr>
        <w:t>t</w:t>
      </w:r>
      <w:r w:rsidRPr="007C7D62">
        <w:rPr>
          <w:rFonts w:ascii="Arial" w:hAnsi="Arial" w:cs="Arial"/>
        </w:rPr>
        <w:t xml:space="preserve">, </w:t>
      </w:r>
      <w:proofErr w:type="spellStart"/>
      <w:r w:rsidRPr="007C7D62">
        <w:rPr>
          <w:rFonts w:ascii="Arial" w:hAnsi="Arial" w:cs="Arial"/>
        </w:rPr>
        <w:t>RGDPG</w:t>
      </w:r>
      <w:r w:rsidRPr="007C7D62">
        <w:rPr>
          <w:rFonts w:ascii="Arial" w:hAnsi="Arial" w:cs="Arial"/>
          <w:vertAlign w:val="subscript"/>
        </w:rPr>
        <w:t>t</w:t>
      </w:r>
      <w:proofErr w:type="spellEnd"/>
      <w:r w:rsidRPr="007C7D62">
        <w:rPr>
          <w:rFonts w:ascii="Arial" w:hAnsi="Arial" w:cs="Arial"/>
        </w:rPr>
        <w:t xml:space="preserve">, </w:t>
      </w:r>
      <w:proofErr w:type="spellStart"/>
      <w:r w:rsidRPr="007C7D62">
        <w:rPr>
          <w:rFonts w:ascii="Arial" w:hAnsi="Arial" w:cs="Arial"/>
        </w:rPr>
        <w:t>LR</w:t>
      </w:r>
      <w:r w:rsidRPr="007C7D62">
        <w:rPr>
          <w:rFonts w:ascii="Arial" w:hAnsi="Arial" w:cs="Arial"/>
          <w:vertAlign w:val="subscript"/>
        </w:rPr>
        <w:t>t</w:t>
      </w:r>
      <w:proofErr w:type="spellEnd"/>
      <w:r w:rsidRPr="007C7D62">
        <w:rPr>
          <w:rFonts w:ascii="Arial" w:hAnsi="Arial" w:cs="Arial"/>
        </w:rPr>
        <w:t>)</w:t>
      </w:r>
      <w:r>
        <w:rPr>
          <w:rFonts w:ascii="Arial" w:hAnsi="Arial" w:cs="Arial"/>
        </w:rPr>
        <w:tab/>
      </w:r>
      <w:r w:rsidRPr="007C7D62">
        <w:rPr>
          <w:rFonts w:ascii="Arial" w:hAnsi="Arial" w:cs="Arial"/>
        </w:rPr>
        <w:tab/>
      </w:r>
      <w:r w:rsidRPr="007C7D62">
        <w:rPr>
          <w:rFonts w:ascii="Arial" w:hAnsi="Arial" w:cs="Arial"/>
        </w:rPr>
        <w:tab/>
      </w:r>
      <w:r w:rsidRPr="007C7D62">
        <w:rPr>
          <w:rFonts w:ascii="Arial" w:hAnsi="Arial" w:cs="Arial"/>
        </w:rPr>
        <w:tab/>
      </w:r>
      <w:r w:rsidRPr="007C7D62">
        <w:rPr>
          <w:rFonts w:ascii="Arial" w:hAnsi="Arial" w:cs="Arial"/>
        </w:rPr>
        <w:tab/>
        <w:t>(1)</w:t>
      </w:r>
    </w:p>
    <w:p w14:paraId="7784DB03" w14:textId="77777777" w:rsidR="00385CAF" w:rsidRPr="007C7D62" w:rsidRDefault="00385CAF" w:rsidP="00385CAF">
      <w:pPr>
        <w:spacing w:line="360" w:lineRule="auto"/>
        <w:jc w:val="both"/>
        <w:rPr>
          <w:rFonts w:ascii="Arial" w:hAnsi="Arial" w:cs="Arial"/>
        </w:rPr>
      </w:pPr>
    </w:p>
    <w:p w14:paraId="3DE75A72" w14:textId="6164C5CF" w:rsidR="00385CAF" w:rsidRDefault="00385CAF" w:rsidP="00385CAF">
      <w:pPr>
        <w:jc w:val="both"/>
        <w:rPr>
          <w:rFonts w:ascii="Arial" w:hAnsi="Arial" w:cs="Arial"/>
        </w:rPr>
      </w:pPr>
      <w:r w:rsidRPr="007C7D62">
        <w:rPr>
          <w:rFonts w:ascii="Arial" w:hAnsi="Arial" w:cs="Arial"/>
        </w:rPr>
        <w:t xml:space="preserve">To </w:t>
      </w:r>
      <w:proofErr w:type="spellStart"/>
      <w:r w:rsidRPr="007C7D62">
        <w:rPr>
          <w:rFonts w:ascii="Arial" w:hAnsi="Arial" w:cs="Arial"/>
        </w:rPr>
        <w:t>operationalise</w:t>
      </w:r>
      <w:proofErr w:type="spellEnd"/>
      <w:r w:rsidRPr="007C7D62">
        <w:rPr>
          <w:rFonts w:ascii="Arial" w:hAnsi="Arial" w:cs="Arial"/>
        </w:rPr>
        <w:t xml:space="preserve"> this relationship in an ARDL form, following the methodology of </w:t>
      </w:r>
      <w:proofErr w:type="spellStart"/>
      <w:r w:rsidRPr="007C7D62">
        <w:rPr>
          <w:rFonts w:ascii="Arial" w:hAnsi="Arial" w:cs="Arial"/>
        </w:rPr>
        <w:t>Pesaran</w:t>
      </w:r>
      <w:proofErr w:type="spellEnd"/>
      <w:r w:rsidRPr="007C7D62">
        <w:rPr>
          <w:rFonts w:ascii="Arial" w:hAnsi="Arial" w:cs="Arial"/>
        </w:rPr>
        <w:t xml:space="preserve"> et al. (2001), the estimation involves specifying the Unrestricted Error Correction Model (UECM) for cointegration testing, the Long-Run equilibrium model, and the Restricted Error Correction Model (ECM) for short-run dynamics.</w:t>
      </w:r>
    </w:p>
    <w:p w14:paraId="720592F4" w14:textId="77777777" w:rsidR="00385CAF" w:rsidRPr="007C7D62" w:rsidRDefault="00385CAF" w:rsidP="00385CAF">
      <w:pPr>
        <w:jc w:val="both"/>
        <w:rPr>
          <w:rFonts w:ascii="Arial" w:hAnsi="Arial" w:cs="Arial"/>
        </w:rPr>
      </w:pPr>
    </w:p>
    <w:p w14:paraId="2DA752F3" w14:textId="77777777" w:rsidR="00385CAF" w:rsidRDefault="00385CAF" w:rsidP="00385CAF">
      <w:pPr>
        <w:spacing w:line="360" w:lineRule="auto"/>
        <w:jc w:val="both"/>
        <w:rPr>
          <w:rFonts w:ascii="Arial" w:hAnsi="Arial" w:cs="Arial"/>
          <w:b/>
          <w:bCs/>
        </w:rPr>
      </w:pPr>
    </w:p>
    <w:p w14:paraId="6F859BB5" w14:textId="67F14314" w:rsidR="00385CAF" w:rsidRPr="00506206" w:rsidRDefault="00385CAF" w:rsidP="00385CAF">
      <w:pPr>
        <w:spacing w:line="360" w:lineRule="auto"/>
        <w:jc w:val="both"/>
        <w:rPr>
          <w:rFonts w:ascii="Arial" w:hAnsi="Arial" w:cs="Arial"/>
          <w:b/>
          <w:bCs/>
        </w:rPr>
      </w:pPr>
      <w:proofErr w:type="spellStart"/>
      <w:r w:rsidRPr="00506206">
        <w:rPr>
          <w:rFonts w:ascii="Arial" w:hAnsi="Arial" w:cs="Arial"/>
          <w:b/>
          <w:bCs/>
        </w:rPr>
        <w:t>i</w:t>
      </w:r>
      <w:proofErr w:type="spellEnd"/>
      <w:r w:rsidRPr="00506206">
        <w:rPr>
          <w:rFonts w:ascii="Arial" w:hAnsi="Arial" w:cs="Arial"/>
          <w:b/>
          <w:bCs/>
        </w:rPr>
        <w:t>) Unrestricted Error Correction Model (UECM)</w:t>
      </w:r>
    </w:p>
    <w:p w14:paraId="73B355DA" w14:textId="77777777" w:rsidR="00385CAF" w:rsidRPr="00506206" w:rsidRDefault="00385CAF" w:rsidP="00385CAF">
      <w:pPr>
        <w:jc w:val="both"/>
        <w:rPr>
          <w:rFonts w:ascii="Arial" w:hAnsi="Arial" w:cs="Arial"/>
        </w:rPr>
      </w:pPr>
      <w:r w:rsidRPr="00506206">
        <w:rPr>
          <w:rFonts w:ascii="Arial" w:hAnsi="Arial" w:cs="Arial"/>
        </w:rPr>
        <w:t>The UECM is utilized for the ARDL bounds test to determine the existence of a long-run relationship. It combines short-run dynamics in differences with the long-run relationship in levels:</w:t>
      </w:r>
    </w:p>
    <w:p w14:paraId="41F18A00" w14:textId="77777777" w:rsidR="00385CAF" w:rsidRPr="008D2A8D" w:rsidRDefault="00385CAF" w:rsidP="00385CAF">
      <w:pPr>
        <w:spacing w:line="360" w:lineRule="auto"/>
        <w:jc w:val="both"/>
        <w:rPr>
          <w:rFonts w:ascii="Times New Roman" w:hAnsi="Times New Roman"/>
          <w:sz w:val="24"/>
          <w:szCs w:val="24"/>
        </w:rPr>
      </w:pPr>
    </w:p>
    <w:p w14:paraId="6A47FAF0" w14:textId="44FABB29" w:rsidR="00385CAF" w:rsidRPr="00506206" w:rsidRDefault="00385CAF" w:rsidP="00385CAF">
      <w:pPr>
        <w:spacing w:line="360" w:lineRule="auto"/>
        <w:jc w:val="both"/>
        <w:rPr>
          <w:rFonts w:ascii="Arial" w:hAnsi="Arial" w:cs="Arial"/>
        </w:rPr>
      </w:pPr>
      <w:proofErr w:type="spellStart"/>
      <w:r w:rsidRPr="00506206">
        <w:rPr>
          <w:rFonts w:ascii="Arial" w:hAnsi="Arial" w:cs="Arial"/>
        </w:rPr>
        <w:lastRenderedPageBreak/>
        <w:t>ΔINF</w:t>
      </w:r>
      <w:r w:rsidRPr="00506206">
        <w:rPr>
          <w:rFonts w:ascii="Arial" w:hAnsi="Arial" w:cs="Arial"/>
          <w:vertAlign w:val="subscript"/>
        </w:rPr>
        <w:t>t</w:t>
      </w:r>
      <w:proofErr w:type="spellEnd"/>
      <w:r w:rsidRPr="00506206">
        <w:rPr>
          <w:rFonts w:ascii="Arial" w:hAnsi="Arial" w:cs="Arial"/>
        </w:rPr>
        <w:t xml:space="preserve"> = φ</w:t>
      </w:r>
      <w:r w:rsidRPr="00506206">
        <w:rPr>
          <w:rFonts w:ascii="Arial" w:hAnsi="Arial" w:cs="Arial"/>
          <w:vertAlign w:val="subscript"/>
        </w:rPr>
        <w:t>0</w:t>
      </w:r>
      <w:r w:rsidRPr="00506206">
        <w:rPr>
          <w:rFonts w:ascii="Arial" w:hAnsi="Arial" w:cs="Arial"/>
        </w:rPr>
        <w:t xml:space="preserve"> + Σᵢ</w:t>
      </w:r>
      <w:r w:rsidRPr="00506206">
        <w:rPr>
          <w:rFonts w:ascii="Cambria Math" w:hAnsi="Cambria Math" w:cs="Cambria Math"/>
        </w:rPr>
        <w:t>₌₁</w:t>
      </w:r>
      <w:r w:rsidRPr="00506206">
        <w:rPr>
          <w:rFonts w:ascii="Arial" w:hAnsi="Arial" w:cs="Arial"/>
        </w:rPr>
        <w:t>ᵖφ</w:t>
      </w:r>
      <w:r w:rsidRPr="00506206">
        <w:rPr>
          <w:rFonts w:ascii="Arial" w:hAnsi="Arial" w:cs="Arial"/>
          <w:vertAlign w:val="subscript"/>
        </w:rPr>
        <w:t>1i</w:t>
      </w:r>
      <w:r w:rsidRPr="00506206">
        <w:rPr>
          <w:rFonts w:ascii="Arial" w:hAnsi="Arial" w:cs="Arial"/>
        </w:rPr>
        <w:t>ΔINF</w:t>
      </w:r>
      <w:r w:rsidRPr="00506206">
        <w:rPr>
          <w:rFonts w:ascii="Arial" w:hAnsi="Arial" w:cs="Arial"/>
          <w:vertAlign w:val="subscript"/>
        </w:rPr>
        <w:t>t-i</w:t>
      </w:r>
      <w:r w:rsidRPr="00506206">
        <w:rPr>
          <w:rFonts w:ascii="Arial" w:hAnsi="Arial" w:cs="Arial"/>
        </w:rPr>
        <w:t xml:space="preserve"> + Σⱼ</w:t>
      </w:r>
      <w:r w:rsidRPr="00506206">
        <w:rPr>
          <w:rFonts w:ascii="Cambria Math" w:hAnsi="Cambria Math" w:cs="Cambria Math"/>
        </w:rPr>
        <w:t>₌₀</w:t>
      </w:r>
      <w:r w:rsidRPr="00506206">
        <w:rPr>
          <w:rFonts w:ascii="Arial" w:hAnsi="Arial" w:cs="Arial"/>
          <w:vertAlign w:val="superscript"/>
        </w:rPr>
        <w:t>q1</w:t>
      </w:r>
      <w:r w:rsidRPr="00506206">
        <w:rPr>
          <w:rFonts w:ascii="Arial" w:hAnsi="Arial" w:cs="Arial"/>
        </w:rPr>
        <w:t>φ</w:t>
      </w:r>
      <w:r w:rsidRPr="00506206">
        <w:rPr>
          <w:rFonts w:ascii="Arial" w:hAnsi="Arial" w:cs="Arial"/>
          <w:vertAlign w:val="subscript"/>
        </w:rPr>
        <w:t>2j</w:t>
      </w:r>
      <w:r w:rsidRPr="00506206">
        <w:rPr>
          <w:rFonts w:ascii="Arial" w:hAnsi="Arial" w:cs="Arial"/>
        </w:rPr>
        <w:t>ΔFD</w:t>
      </w:r>
      <w:r w:rsidRPr="00506206">
        <w:rPr>
          <w:rFonts w:ascii="Arial" w:hAnsi="Arial" w:cs="Arial"/>
          <w:vertAlign w:val="subscript"/>
        </w:rPr>
        <w:t>t-j</w:t>
      </w:r>
      <w:r w:rsidRPr="00506206">
        <w:rPr>
          <w:rFonts w:ascii="Arial" w:hAnsi="Arial" w:cs="Arial"/>
        </w:rPr>
        <w:t xml:space="preserve"> + Σⱼ</w:t>
      </w:r>
      <w:r w:rsidRPr="00506206">
        <w:rPr>
          <w:rFonts w:ascii="Cambria Math" w:hAnsi="Cambria Math" w:cs="Cambria Math"/>
        </w:rPr>
        <w:t>₌₀</w:t>
      </w:r>
      <w:r w:rsidRPr="00506206">
        <w:rPr>
          <w:rFonts w:ascii="Arial" w:hAnsi="Arial" w:cs="Arial"/>
          <w:vertAlign w:val="superscript"/>
        </w:rPr>
        <w:t>q2</w:t>
      </w:r>
      <w:r w:rsidRPr="00506206">
        <w:rPr>
          <w:rFonts w:ascii="Arial" w:hAnsi="Arial" w:cs="Arial"/>
        </w:rPr>
        <w:t>φ</w:t>
      </w:r>
      <w:r w:rsidRPr="00506206">
        <w:rPr>
          <w:rFonts w:ascii="Arial" w:hAnsi="Arial" w:cs="Arial"/>
          <w:vertAlign w:val="subscript"/>
        </w:rPr>
        <w:t>3j</w:t>
      </w:r>
      <w:r w:rsidRPr="00506206">
        <w:rPr>
          <w:rFonts w:ascii="Arial" w:hAnsi="Arial" w:cs="Arial"/>
        </w:rPr>
        <w:t>ΔPD</w:t>
      </w:r>
      <w:r w:rsidRPr="00506206">
        <w:rPr>
          <w:rFonts w:ascii="Arial" w:hAnsi="Arial" w:cs="Arial"/>
          <w:vertAlign w:val="subscript"/>
        </w:rPr>
        <w:t>t-j</w:t>
      </w:r>
      <w:r w:rsidRPr="00506206">
        <w:rPr>
          <w:rFonts w:ascii="Arial" w:hAnsi="Arial" w:cs="Arial"/>
        </w:rPr>
        <w:t xml:space="preserve"> + Σⱼ</w:t>
      </w:r>
      <w:r w:rsidRPr="00506206">
        <w:rPr>
          <w:rFonts w:ascii="Cambria Math" w:hAnsi="Cambria Math" w:cs="Cambria Math"/>
        </w:rPr>
        <w:t>₌₀</w:t>
      </w:r>
      <w:r w:rsidRPr="00506206">
        <w:rPr>
          <w:rFonts w:ascii="Arial" w:hAnsi="Arial" w:cs="Arial"/>
          <w:vertAlign w:val="superscript"/>
        </w:rPr>
        <w:t>q3</w:t>
      </w:r>
      <w:r w:rsidRPr="00506206">
        <w:rPr>
          <w:rFonts w:ascii="Arial" w:hAnsi="Arial" w:cs="Arial"/>
        </w:rPr>
        <w:t>φ</w:t>
      </w:r>
      <w:r w:rsidRPr="00506206">
        <w:rPr>
          <w:rFonts w:ascii="Arial" w:hAnsi="Arial" w:cs="Arial"/>
          <w:vertAlign w:val="subscript"/>
        </w:rPr>
        <w:t>4j</w:t>
      </w:r>
      <w:r w:rsidRPr="00506206">
        <w:rPr>
          <w:rFonts w:ascii="Arial" w:hAnsi="Arial" w:cs="Arial"/>
        </w:rPr>
        <w:t>ΔFD*</w:t>
      </w:r>
      <w:proofErr w:type="spellStart"/>
      <w:r w:rsidRPr="00506206">
        <w:rPr>
          <w:rFonts w:ascii="Arial" w:hAnsi="Arial" w:cs="Arial"/>
        </w:rPr>
        <w:t>PD</w:t>
      </w:r>
      <w:r w:rsidRPr="00506206">
        <w:rPr>
          <w:rFonts w:ascii="Arial" w:hAnsi="Arial" w:cs="Arial"/>
          <w:vertAlign w:val="subscript"/>
        </w:rPr>
        <w:t>t</w:t>
      </w:r>
      <w:proofErr w:type="spellEnd"/>
      <w:r w:rsidRPr="00506206">
        <w:rPr>
          <w:rFonts w:ascii="Arial" w:hAnsi="Arial" w:cs="Arial"/>
          <w:vertAlign w:val="subscript"/>
        </w:rPr>
        <w:t>-j</w:t>
      </w:r>
      <w:r w:rsidRPr="00506206">
        <w:rPr>
          <w:rFonts w:ascii="Arial" w:hAnsi="Arial" w:cs="Arial"/>
        </w:rPr>
        <w:t xml:space="preserve"> + Σⱼ</w:t>
      </w:r>
      <w:r w:rsidRPr="00506206">
        <w:rPr>
          <w:rFonts w:ascii="Cambria Math" w:hAnsi="Cambria Math" w:cs="Cambria Math"/>
        </w:rPr>
        <w:t>₌₀</w:t>
      </w:r>
      <w:r w:rsidRPr="00506206">
        <w:rPr>
          <w:rFonts w:ascii="Arial" w:hAnsi="Arial" w:cs="Arial"/>
          <w:vertAlign w:val="superscript"/>
        </w:rPr>
        <w:t>q4</w:t>
      </w:r>
      <w:r w:rsidRPr="00506206">
        <w:rPr>
          <w:rFonts w:ascii="Arial" w:hAnsi="Arial" w:cs="Arial"/>
        </w:rPr>
        <w:t>φ</w:t>
      </w:r>
      <w:r w:rsidRPr="00506206">
        <w:rPr>
          <w:rFonts w:ascii="Arial" w:hAnsi="Arial" w:cs="Arial"/>
          <w:vertAlign w:val="subscript"/>
        </w:rPr>
        <w:t>5j</w:t>
      </w:r>
      <w:r w:rsidRPr="00506206">
        <w:rPr>
          <w:rFonts w:ascii="Arial" w:hAnsi="Arial" w:cs="Arial"/>
        </w:rPr>
        <w:t>ΔLEXR</w:t>
      </w:r>
      <w:r w:rsidRPr="00506206">
        <w:rPr>
          <w:rFonts w:ascii="Arial" w:hAnsi="Arial" w:cs="Arial"/>
          <w:vertAlign w:val="subscript"/>
        </w:rPr>
        <w:t>t-j</w:t>
      </w:r>
      <w:r w:rsidRPr="00506206">
        <w:rPr>
          <w:rFonts w:ascii="Arial" w:hAnsi="Arial" w:cs="Arial"/>
        </w:rPr>
        <w:t xml:space="preserve"> + Σⱼ</w:t>
      </w:r>
      <w:r w:rsidRPr="00506206">
        <w:rPr>
          <w:rFonts w:ascii="Cambria Math" w:hAnsi="Cambria Math" w:cs="Cambria Math"/>
        </w:rPr>
        <w:t>₌₀</w:t>
      </w:r>
      <w:r w:rsidRPr="00506206">
        <w:rPr>
          <w:rFonts w:ascii="Arial" w:hAnsi="Arial" w:cs="Arial"/>
          <w:vertAlign w:val="superscript"/>
        </w:rPr>
        <w:t>q5</w:t>
      </w:r>
      <w:r w:rsidRPr="00506206">
        <w:rPr>
          <w:rFonts w:ascii="Arial" w:hAnsi="Arial" w:cs="Arial"/>
        </w:rPr>
        <w:t>φ</w:t>
      </w:r>
      <w:r w:rsidRPr="00506206">
        <w:rPr>
          <w:rFonts w:ascii="Arial" w:hAnsi="Arial" w:cs="Arial"/>
          <w:vertAlign w:val="subscript"/>
        </w:rPr>
        <w:t>6j</w:t>
      </w:r>
      <w:r w:rsidRPr="00506206">
        <w:rPr>
          <w:rFonts w:ascii="Arial" w:hAnsi="Arial" w:cs="Arial"/>
        </w:rPr>
        <w:t>ΔM2</w:t>
      </w:r>
      <w:r w:rsidRPr="00506206">
        <w:rPr>
          <w:rFonts w:ascii="Arial" w:hAnsi="Arial" w:cs="Arial"/>
          <w:vertAlign w:val="subscript"/>
        </w:rPr>
        <w:t>t-j</w:t>
      </w:r>
      <w:r w:rsidRPr="00506206">
        <w:rPr>
          <w:rFonts w:ascii="Arial" w:hAnsi="Arial" w:cs="Arial"/>
        </w:rPr>
        <w:t xml:space="preserve"> + Σⱼ</w:t>
      </w:r>
      <w:r w:rsidRPr="00506206">
        <w:rPr>
          <w:rFonts w:ascii="Cambria Math" w:hAnsi="Cambria Math" w:cs="Cambria Math"/>
        </w:rPr>
        <w:t>₌₀</w:t>
      </w:r>
      <w:r w:rsidRPr="00506206">
        <w:rPr>
          <w:rFonts w:ascii="Arial" w:hAnsi="Arial" w:cs="Arial"/>
          <w:vertAlign w:val="superscript"/>
        </w:rPr>
        <w:t>q6</w:t>
      </w:r>
      <w:r w:rsidRPr="00506206">
        <w:rPr>
          <w:rFonts w:ascii="Arial" w:hAnsi="Arial" w:cs="Arial"/>
        </w:rPr>
        <w:t>φ</w:t>
      </w:r>
      <w:r w:rsidRPr="00506206">
        <w:rPr>
          <w:rFonts w:ascii="Arial" w:hAnsi="Arial" w:cs="Arial"/>
          <w:vertAlign w:val="subscript"/>
        </w:rPr>
        <w:t>7j</w:t>
      </w:r>
      <w:r w:rsidRPr="00506206">
        <w:rPr>
          <w:rFonts w:ascii="Arial" w:hAnsi="Arial" w:cs="Arial"/>
        </w:rPr>
        <w:t>ΔRGDPG</w:t>
      </w:r>
      <w:r w:rsidRPr="00506206">
        <w:rPr>
          <w:rFonts w:ascii="Arial" w:hAnsi="Arial" w:cs="Arial"/>
          <w:vertAlign w:val="subscript"/>
        </w:rPr>
        <w:t>t-j</w:t>
      </w:r>
      <w:r w:rsidRPr="00506206">
        <w:rPr>
          <w:rFonts w:ascii="Arial" w:hAnsi="Arial" w:cs="Arial"/>
        </w:rPr>
        <w:t xml:space="preserve"> + Σⱼ</w:t>
      </w:r>
      <w:r w:rsidRPr="00506206">
        <w:rPr>
          <w:rFonts w:ascii="Cambria Math" w:hAnsi="Cambria Math" w:cs="Cambria Math"/>
        </w:rPr>
        <w:t>₌₀</w:t>
      </w:r>
      <w:r w:rsidRPr="00506206">
        <w:rPr>
          <w:rFonts w:ascii="Arial" w:hAnsi="Arial" w:cs="Arial"/>
          <w:vertAlign w:val="superscript"/>
        </w:rPr>
        <w:t>q7</w:t>
      </w:r>
      <w:r w:rsidRPr="00506206">
        <w:rPr>
          <w:rFonts w:ascii="Arial" w:hAnsi="Arial" w:cs="Arial"/>
        </w:rPr>
        <w:t>φ</w:t>
      </w:r>
      <w:r w:rsidRPr="00506206">
        <w:rPr>
          <w:rFonts w:ascii="Arial" w:hAnsi="Arial" w:cs="Arial"/>
          <w:vertAlign w:val="subscript"/>
        </w:rPr>
        <w:t>8j</w:t>
      </w:r>
      <w:r w:rsidRPr="00506206">
        <w:rPr>
          <w:rFonts w:ascii="Arial" w:hAnsi="Arial" w:cs="Arial"/>
        </w:rPr>
        <w:t>ΔLR</w:t>
      </w:r>
      <w:r w:rsidRPr="00506206">
        <w:rPr>
          <w:rFonts w:ascii="Arial" w:hAnsi="Arial" w:cs="Arial"/>
          <w:vertAlign w:val="subscript"/>
        </w:rPr>
        <w:t>t-j</w:t>
      </w:r>
      <w:r w:rsidRPr="00506206">
        <w:rPr>
          <w:rFonts w:ascii="Arial" w:hAnsi="Arial" w:cs="Arial"/>
        </w:rPr>
        <w:t xml:space="preserve"> + β</w:t>
      </w:r>
      <w:r w:rsidRPr="00506206">
        <w:rPr>
          <w:rFonts w:ascii="Arial" w:hAnsi="Arial" w:cs="Arial"/>
          <w:vertAlign w:val="subscript"/>
        </w:rPr>
        <w:t>1</w:t>
      </w:r>
      <w:r w:rsidRPr="00506206">
        <w:rPr>
          <w:rFonts w:ascii="Arial" w:hAnsi="Arial" w:cs="Arial"/>
        </w:rPr>
        <w:t>INF</w:t>
      </w:r>
      <w:r w:rsidRPr="00506206">
        <w:rPr>
          <w:rFonts w:ascii="Arial" w:hAnsi="Arial" w:cs="Arial"/>
          <w:vertAlign w:val="subscript"/>
        </w:rPr>
        <w:t>t-1</w:t>
      </w:r>
      <w:r w:rsidRPr="00506206">
        <w:rPr>
          <w:rFonts w:ascii="Arial" w:hAnsi="Arial" w:cs="Arial"/>
        </w:rPr>
        <w:t xml:space="preserve"> + β</w:t>
      </w:r>
      <w:r w:rsidRPr="00506206">
        <w:rPr>
          <w:rFonts w:ascii="Arial" w:hAnsi="Arial" w:cs="Arial"/>
          <w:vertAlign w:val="subscript"/>
        </w:rPr>
        <w:t>2</w:t>
      </w:r>
      <w:r w:rsidRPr="00506206">
        <w:rPr>
          <w:rFonts w:ascii="Arial" w:hAnsi="Arial" w:cs="Arial"/>
        </w:rPr>
        <w:t>FD</w:t>
      </w:r>
      <w:r w:rsidRPr="00506206">
        <w:rPr>
          <w:rFonts w:ascii="Arial" w:hAnsi="Arial" w:cs="Arial"/>
          <w:vertAlign w:val="subscript"/>
        </w:rPr>
        <w:t>t-1</w:t>
      </w:r>
      <w:r w:rsidRPr="00506206">
        <w:rPr>
          <w:rFonts w:ascii="Arial" w:hAnsi="Arial" w:cs="Arial"/>
        </w:rPr>
        <w:t xml:space="preserve"> + β</w:t>
      </w:r>
      <w:r w:rsidRPr="00506206">
        <w:rPr>
          <w:rFonts w:ascii="Arial" w:hAnsi="Arial" w:cs="Arial"/>
          <w:vertAlign w:val="subscript"/>
        </w:rPr>
        <w:t>3</w:t>
      </w:r>
      <w:r w:rsidRPr="00506206">
        <w:rPr>
          <w:rFonts w:ascii="Arial" w:hAnsi="Arial" w:cs="Arial"/>
        </w:rPr>
        <w:t>PD</w:t>
      </w:r>
      <w:r w:rsidRPr="00506206">
        <w:rPr>
          <w:rFonts w:ascii="Arial" w:hAnsi="Arial" w:cs="Arial"/>
          <w:vertAlign w:val="subscript"/>
        </w:rPr>
        <w:t>t-1</w:t>
      </w:r>
      <w:r w:rsidRPr="00506206">
        <w:rPr>
          <w:rFonts w:ascii="Arial" w:hAnsi="Arial" w:cs="Arial"/>
        </w:rPr>
        <w:t xml:space="preserve"> + β</w:t>
      </w:r>
      <w:r w:rsidRPr="00506206">
        <w:rPr>
          <w:rFonts w:ascii="Arial" w:hAnsi="Arial" w:cs="Arial"/>
          <w:vertAlign w:val="subscript"/>
        </w:rPr>
        <w:t>4</w:t>
      </w:r>
      <w:r w:rsidRPr="00506206">
        <w:rPr>
          <w:rFonts w:ascii="Arial" w:hAnsi="Arial" w:cs="Arial"/>
        </w:rPr>
        <w:t>FD*PD</w:t>
      </w:r>
      <w:r w:rsidRPr="00506206">
        <w:rPr>
          <w:rFonts w:ascii="Arial" w:hAnsi="Arial" w:cs="Arial"/>
          <w:vertAlign w:val="subscript"/>
        </w:rPr>
        <w:t>t-1</w:t>
      </w:r>
      <w:r w:rsidRPr="00506206">
        <w:rPr>
          <w:rFonts w:ascii="Arial" w:hAnsi="Arial" w:cs="Arial"/>
        </w:rPr>
        <w:t xml:space="preserve"> + β</w:t>
      </w:r>
      <w:r w:rsidRPr="00506206">
        <w:rPr>
          <w:rFonts w:ascii="Arial" w:hAnsi="Arial" w:cs="Arial"/>
          <w:vertAlign w:val="subscript"/>
        </w:rPr>
        <w:t>5</w:t>
      </w:r>
      <w:r w:rsidRPr="00506206">
        <w:rPr>
          <w:rFonts w:ascii="Arial" w:hAnsi="Arial" w:cs="Arial"/>
        </w:rPr>
        <w:t>LEXR</w:t>
      </w:r>
      <w:r w:rsidRPr="00506206">
        <w:rPr>
          <w:rFonts w:ascii="Arial" w:hAnsi="Arial" w:cs="Arial"/>
          <w:vertAlign w:val="subscript"/>
        </w:rPr>
        <w:t>t-1</w:t>
      </w:r>
      <w:r w:rsidRPr="00506206">
        <w:rPr>
          <w:rFonts w:ascii="Arial" w:hAnsi="Arial" w:cs="Arial"/>
        </w:rPr>
        <w:t xml:space="preserve"> + β</w:t>
      </w:r>
      <w:r w:rsidRPr="00506206">
        <w:rPr>
          <w:rFonts w:ascii="Arial" w:hAnsi="Arial" w:cs="Arial"/>
          <w:vertAlign w:val="subscript"/>
        </w:rPr>
        <w:t>6</w:t>
      </w:r>
      <w:r w:rsidRPr="00506206">
        <w:rPr>
          <w:rFonts w:ascii="Arial" w:hAnsi="Arial" w:cs="Arial"/>
        </w:rPr>
        <w:t>M</w:t>
      </w:r>
      <w:r w:rsidRPr="00506206">
        <w:rPr>
          <w:rFonts w:ascii="Arial" w:hAnsi="Arial" w:cs="Arial"/>
          <w:vertAlign w:val="subscript"/>
        </w:rPr>
        <w:t>2t-1</w:t>
      </w:r>
      <w:r w:rsidRPr="00506206">
        <w:rPr>
          <w:rFonts w:ascii="Arial" w:hAnsi="Arial" w:cs="Arial"/>
        </w:rPr>
        <w:t xml:space="preserve"> + β</w:t>
      </w:r>
      <w:r w:rsidRPr="00506206">
        <w:rPr>
          <w:rFonts w:ascii="Arial" w:hAnsi="Arial" w:cs="Arial"/>
          <w:vertAlign w:val="subscript"/>
        </w:rPr>
        <w:t>7</w:t>
      </w:r>
      <w:r w:rsidRPr="00506206">
        <w:rPr>
          <w:rFonts w:ascii="Arial" w:hAnsi="Arial" w:cs="Arial"/>
        </w:rPr>
        <w:t>RGDPG</w:t>
      </w:r>
      <w:r w:rsidRPr="00506206">
        <w:rPr>
          <w:rFonts w:ascii="Arial" w:hAnsi="Arial" w:cs="Arial"/>
          <w:vertAlign w:val="subscript"/>
        </w:rPr>
        <w:t>t-1</w:t>
      </w:r>
      <w:r w:rsidRPr="00506206">
        <w:rPr>
          <w:rFonts w:ascii="Arial" w:hAnsi="Arial" w:cs="Arial"/>
        </w:rPr>
        <w:t xml:space="preserve"> + β</w:t>
      </w:r>
      <w:r w:rsidRPr="00506206">
        <w:rPr>
          <w:rFonts w:ascii="Arial" w:hAnsi="Arial" w:cs="Arial"/>
          <w:vertAlign w:val="subscript"/>
        </w:rPr>
        <w:t>8</w:t>
      </w:r>
      <w:r w:rsidRPr="00506206">
        <w:rPr>
          <w:rFonts w:ascii="Arial" w:hAnsi="Arial" w:cs="Arial"/>
        </w:rPr>
        <w:t>LR</w:t>
      </w:r>
      <w:r w:rsidRPr="00506206">
        <w:rPr>
          <w:rFonts w:ascii="Arial" w:hAnsi="Arial" w:cs="Arial"/>
          <w:vertAlign w:val="subscript"/>
        </w:rPr>
        <w:t>t-1</w:t>
      </w:r>
      <w:r w:rsidRPr="00506206">
        <w:rPr>
          <w:rFonts w:ascii="Arial" w:hAnsi="Arial" w:cs="Arial"/>
        </w:rPr>
        <w:t xml:space="preserve"> + </w:t>
      </w:r>
      <w:proofErr w:type="spellStart"/>
      <w:r w:rsidRPr="00506206">
        <w:rPr>
          <w:rFonts w:ascii="Arial" w:hAnsi="Arial" w:cs="Arial"/>
        </w:rPr>
        <w:t>μ</w:t>
      </w:r>
      <w:r w:rsidRPr="00506206">
        <w:rPr>
          <w:rFonts w:ascii="Arial" w:hAnsi="Arial" w:cs="Arial"/>
          <w:vertAlign w:val="subscript"/>
        </w:rPr>
        <w:t>t</w:t>
      </w:r>
      <w:proofErr w:type="spellEnd"/>
      <w:r w:rsidRPr="00506206">
        <w:rPr>
          <w:rFonts w:ascii="Arial" w:hAnsi="Arial" w:cs="Arial"/>
        </w:rPr>
        <w:t xml:space="preserve">                          </w:t>
      </w:r>
      <w:proofErr w:type="gramStart"/>
      <w:r w:rsidRPr="00506206">
        <w:rPr>
          <w:rFonts w:ascii="Arial" w:hAnsi="Arial" w:cs="Arial"/>
        </w:rPr>
        <w:t xml:space="preserve">   (</w:t>
      </w:r>
      <w:proofErr w:type="gramEnd"/>
      <w:r w:rsidRPr="00506206">
        <w:rPr>
          <w:rFonts w:ascii="Arial" w:hAnsi="Arial" w:cs="Arial"/>
        </w:rPr>
        <w:t xml:space="preserve">2)  </w:t>
      </w:r>
    </w:p>
    <w:p w14:paraId="6672BA54" w14:textId="77777777" w:rsidR="00385CAF" w:rsidRDefault="00385CAF" w:rsidP="00385CAF">
      <w:pPr>
        <w:spacing w:line="360" w:lineRule="auto"/>
        <w:jc w:val="both"/>
        <w:rPr>
          <w:rFonts w:ascii="Times New Roman" w:hAnsi="Times New Roman"/>
          <w:b/>
          <w:bCs/>
          <w:sz w:val="24"/>
          <w:szCs w:val="24"/>
        </w:rPr>
      </w:pPr>
    </w:p>
    <w:p w14:paraId="5A630CFE" w14:textId="77777777" w:rsidR="00385CAF" w:rsidRPr="00506206" w:rsidRDefault="00385CAF" w:rsidP="00385CAF">
      <w:pPr>
        <w:spacing w:line="360" w:lineRule="auto"/>
        <w:jc w:val="both"/>
        <w:rPr>
          <w:rFonts w:ascii="Arial" w:hAnsi="Arial" w:cs="Arial"/>
          <w:b/>
          <w:bCs/>
        </w:rPr>
      </w:pPr>
      <w:r w:rsidRPr="00506206">
        <w:rPr>
          <w:rFonts w:ascii="Arial" w:hAnsi="Arial" w:cs="Arial"/>
          <w:b/>
          <w:bCs/>
        </w:rPr>
        <w:t>ii) Long-Run ARDL Specification</w:t>
      </w:r>
    </w:p>
    <w:p w14:paraId="24F65C5E" w14:textId="77777777" w:rsidR="00385CAF" w:rsidRPr="00506206" w:rsidRDefault="00385CAF" w:rsidP="00385CAF">
      <w:pPr>
        <w:spacing w:line="360" w:lineRule="auto"/>
        <w:jc w:val="both"/>
        <w:rPr>
          <w:rFonts w:ascii="Arial" w:hAnsi="Arial" w:cs="Arial"/>
        </w:rPr>
      </w:pPr>
      <w:r w:rsidRPr="00506206">
        <w:rPr>
          <w:rFonts w:ascii="Arial" w:hAnsi="Arial" w:cs="Arial"/>
        </w:rPr>
        <w:t>Upon confirming cointegration, the long-run equilibrium relationship is specified as follows:</w:t>
      </w:r>
    </w:p>
    <w:p w14:paraId="1A4251CD" w14:textId="77777777" w:rsidR="00385CAF" w:rsidRPr="00506206" w:rsidRDefault="00385CAF" w:rsidP="00385CAF">
      <w:pPr>
        <w:spacing w:line="360" w:lineRule="auto"/>
        <w:jc w:val="both"/>
        <w:rPr>
          <w:rFonts w:ascii="Arial" w:hAnsi="Arial" w:cs="Arial"/>
        </w:rPr>
      </w:pPr>
      <w:proofErr w:type="spellStart"/>
      <w:r w:rsidRPr="00506206">
        <w:rPr>
          <w:rFonts w:ascii="Arial" w:hAnsi="Arial" w:cs="Arial"/>
        </w:rPr>
        <w:t>INF</w:t>
      </w:r>
      <w:r w:rsidRPr="00506206">
        <w:rPr>
          <w:rFonts w:ascii="Arial" w:hAnsi="Arial" w:cs="Arial"/>
          <w:vertAlign w:val="subscript"/>
        </w:rPr>
        <w:t>t</w:t>
      </w:r>
      <w:proofErr w:type="spellEnd"/>
      <w:r w:rsidRPr="00506206">
        <w:rPr>
          <w:rFonts w:ascii="Arial" w:hAnsi="Arial" w:cs="Arial"/>
          <w:vertAlign w:val="subscript"/>
        </w:rPr>
        <w:t xml:space="preserve"> </w:t>
      </w:r>
      <w:r w:rsidRPr="00506206">
        <w:rPr>
          <w:rFonts w:ascii="Arial" w:hAnsi="Arial" w:cs="Arial"/>
        </w:rPr>
        <w:t>= α</w:t>
      </w:r>
      <w:r w:rsidRPr="00506206">
        <w:rPr>
          <w:rFonts w:ascii="Arial" w:hAnsi="Arial" w:cs="Arial"/>
          <w:vertAlign w:val="subscript"/>
        </w:rPr>
        <w:t>0</w:t>
      </w:r>
      <w:r w:rsidRPr="00506206">
        <w:rPr>
          <w:rFonts w:ascii="Arial" w:hAnsi="Arial" w:cs="Arial"/>
        </w:rPr>
        <w:t xml:space="preserve"> + α</w:t>
      </w:r>
      <w:r w:rsidRPr="00506206">
        <w:rPr>
          <w:rFonts w:ascii="Arial" w:hAnsi="Arial" w:cs="Arial"/>
          <w:vertAlign w:val="subscript"/>
        </w:rPr>
        <w:t>1</w:t>
      </w:r>
      <w:r w:rsidRPr="00506206">
        <w:rPr>
          <w:rFonts w:ascii="Arial" w:hAnsi="Arial" w:cs="Arial"/>
        </w:rPr>
        <w:t>FD</w:t>
      </w:r>
      <w:r w:rsidRPr="00506206">
        <w:rPr>
          <w:rFonts w:ascii="Arial" w:hAnsi="Arial" w:cs="Arial"/>
          <w:vertAlign w:val="subscript"/>
        </w:rPr>
        <w:t>t</w:t>
      </w:r>
      <w:r w:rsidRPr="00506206">
        <w:rPr>
          <w:rFonts w:ascii="Arial" w:hAnsi="Arial" w:cs="Arial"/>
        </w:rPr>
        <w:t xml:space="preserve"> + α</w:t>
      </w:r>
      <w:r w:rsidRPr="00506206">
        <w:rPr>
          <w:rFonts w:ascii="Arial" w:hAnsi="Arial" w:cs="Arial"/>
          <w:vertAlign w:val="subscript"/>
        </w:rPr>
        <w:t>2</w:t>
      </w:r>
      <w:r w:rsidRPr="00506206">
        <w:rPr>
          <w:rFonts w:ascii="Arial" w:hAnsi="Arial" w:cs="Arial"/>
        </w:rPr>
        <w:t>PD</w:t>
      </w:r>
      <w:r w:rsidRPr="00506206">
        <w:rPr>
          <w:rFonts w:ascii="Arial" w:hAnsi="Arial" w:cs="Arial"/>
          <w:vertAlign w:val="subscript"/>
        </w:rPr>
        <w:t xml:space="preserve">t </w:t>
      </w:r>
      <w:r w:rsidRPr="00506206">
        <w:rPr>
          <w:rFonts w:ascii="Arial" w:hAnsi="Arial" w:cs="Arial"/>
        </w:rPr>
        <w:t>+ α</w:t>
      </w:r>
      <w:r w:rsidRPr="00506206">
        <w:rPr>
          <w:rFonts w:ascii="Arial" w:hAnsi="Arial" w:cs="Arial"/>
          <w:vertAlign w:val="subscript"/>
        </w:rPr>
        <w:t>3</w:t>
      </w:r>
      <w:r w:rsidRPr="00506206">
        <w:rPr>
          <w:rFonts w:ascii="Arial" w:hAnsi="Arial" w:cs="Arial"/>
        </w:rPr>
        <w:t>FD*</w:t>
      </w:r>
      <w:proofErr w:type="spellStart"/>
      <w:r w:rsidRPr="00506206">
        <w:rPr>
          <w:rFonts w:ascii="Arial" w:hAnsi="Arial" w:cs="Arial"/>
        </w:rPr>
        <w:t>PD</w:t>
      </w:r>
      <w:r w:rsidRPr="00506206">
        <w:rPr>
          <w:rFonts w:ascii="Arial" w:hAnsi="Arial" w:cs="Arial"/>
          <w:vertAlign w:val="subscript"/>
        </w:rPr>
        <w:t>t</w:t>
      </w:r>
      <w:proofErr w:type="spellEnd"/>
      <w:r w:rsidRPr="00506206">
        <w:rPr>
          <w:rFonts w:ascii="Arial" w:hAnsi="Arial" w:cs="Arial"/>
        </w:rPr>
        <w:t xml:space="preserve"> + α</w:t>
      </w:r>
      <w:r w:rsidRPr="00506206">
        <w:rPr>
          <w:rFonts w:ascii="Arial" w:hAnsi="Arial" w:cs="Arial"/>
          <w:vertAlign w:val="subscript"/>
        </w:rPr>
        <w:t>4</w:t>
      </w:r>
      <w:r w:rsidRPr="00506206">
        <w:rPr>
          <w:rFonts w:ascii="Arial" w:hAnsi="Arial" w:cs="Arial"/>
        </w:rPr>
        <w:t>LEXR</w:t>
      </w:r>
      <w:r w:rsidRPr="00506206">
        <w:rPr>
          <w:rFonts w:ascii="Arial" w:hAnsi="Arial" w:cs="Arial"/>
          <w:vertAlign w:val="subscript"/>
        </w:rPr>
        <w:t>t</w:t>
      </w:r>
      <w:r w:rsidRPr="00506206">
        <w:rPr>
          <w:rFonts w:ascii="Arial" w:hAnsi="Arial" w:cs="Arial"/>
        </w:rPr>
        <w:t xml:space="preserve"> + α</w:t>
      </w:r>
      <w:r w:rsidRPr="00506206">
        <w:rPr>
          <w:rFonts w:ascii="Arial" w:hAnsi="Arial" w:cs="Arial"/>
          <w:vertAlign w:val="subscript"/>
        </w:rPr>
        <w:t>5</w:t>
      </w:r>
      <w:r w:rsidRPr="00506206">
        <w:rPr>
          <w:rFonts w:ascii="Arial" w:hAnsi="Arial" w:cs="Arial"/>
        </w:rPr>
        <w:t>M</w:t>
      </w:r>
      <w:r w:rsidRPr="00506206">
        <w:rPr>
          <w:rFonts w:ascii="Arial" w:hAnsi="Arial" w:cs="Arial"/>
          <w:vertAlign w:val="subscript"/>
        </w:rPr>
        <w:t>2t</w:t>
      </w:r>
      <w:r w:rsidRPr="00506206">
        <w:rPr>
          <w:rFonts w:ascii="Arial" w:hAnsi="Arial" w:cs="Arial"/>
        </w:rPr>
        <w:t xml:space="preserve"> + α</w:t>
      </w:r>
      <w:r w:rsidRPr="00506206">
        <w:rPr>
          <w:rFonts w:ascii="Arial" w:hAnsi="Arial" w:cs="Arial"/>
          <w:vertAlign w:val="subscript"/>
        </w:rPr>
        <w:t>6</w:t>
      </w:r>
      <w:r w:rsidRPr="00506206">
        <w:rPr>
          <w:rFonts w:ascii="Arial" w:hAnsi="Arial" w:cs="Arial"/>
        </w:rPr>
        <w:t>RGDPG</w:t>
      </w:r>
      <w:r w:rsidRPr="00506206">
        <w:rPr>
          <w:rFonts w:ascii="Arial" w:hAnsi="Arial" w:cs="Arial"/>
          <w:vertAlign w:val="subscript"/>
        </w:rPr>
        <w:t>t</w:t>
      </w:r>
      <w:r w:rsidRPr="00506206">
        <w:rPr>
          <w:rFonts w:ascii="Arial" w:hAnsi="Arial" w:cs="Arial"/>
        </w:rPr>
        <w:t xml:space="preserve"> + α</w:t>
      </w:r>
      <w:r w:rsidRPr="00506206">
        <w:rPr>
          <w:rFonts w:ascii="Arial" w:hAnsi="Arial" w:cs="Arial"/>
          <w:vertAlign w:val="subscript"/>
        </w:rPr>
        <w:t>7</w:t>
      </w:r>
      <w:r w:rsidRPr="00506206">
        <w:rPr>
          <w:rFonts w:ascii="Arial" w:hAnsi="Arial" w:cs="Arial"/>
        </w:rPr>
        <w:t>LR</w:t>
      </w:r>
      <w:r w:rsidRPr="00506206">
        <w:rPr>
          <w:rFonts w:ascii="Arial" w:hAnsi="Arial" w:cs="Arial"/>
          <w:vertAlign w:val="subscript"/>
        </w:rPr>
        <w:t>t</w:t>
      </w:r>
      <w:r w:rsidRPr="00506206">
        <w:rPr>
          <w:rFonts w:ascii="Arial" w:hAnsi="Arial" w:cs="Arial"/>
        </w:rPr>
        <w:t xml:space="preserve"> + </w:t>
      </w:r>
      <w:proofErr w:type="spellStart"/>
      <w:r w:rsidRPr="00506206">
        <w:rPr>
          <w:rFonts w:ascii="Arial" w:hAnsi="Arial" w:cs="Arial"/>
        </w:rPr>
        <w:t>ε</w:t>
      </w:r>
      <w:r w:rsidRPr="00506206">
        <w:rPr>
          <w:rFonts w:ascii="Arial" w:hAnsi="Arial" w:cs="Arial"/>
          <w:vertAlign w:val="subscript"/>
        </w:rPr>
        <w:t>t</w:t>
      </w:r>
      <w:proofErr w:type="spellEnd"/>
      <w:r w:rsidRPr="00506206">
        <w:rPr>
          <w:rFonts w:ascii="Arial" w:hAnsi="Arial" w:cs="Arial"/>
        </w:rPr>
        <w:t xml:space="preserve">         </w:t>
      </w:r>
      <w:proofErr w:type="gramStart"/>
      <w:r w:rsidRPr="00506206">
        <w:rPr>
          <w:rFonts w:ascii="Arial" w:hAnsi="Arial" w:cs="Arial"/>
        </w:rPr>
        <w:t xml:space="preserve">   (</w:t>
      </w:r>
      <w:proofErr w:type="gramEnd"/>
      <w:r w:rsidRPr="00506206">
        <w:rPr>
          <w:rFonts w:ascii="Arial" w:hAnsi="Arial" w:cs="Arial"/>
        </w:rPr>
        <w:t>3)</w:t>
      </w:r>
    </w:p>
    <w:p w14:paraId="7D48DC2B" w14:textId="77777777" w:rsidR="00385CAF" w:rsidRPr="00506206" w:rsidRDefault="00385CAF" w:rsidP="00385CAF">
      <w:pPr>
        <w:jc w:val="both"/>
        <w:rPr>
          <w:rFonts w:ascii="Arial" w:hAnsi="Arial" w:cs="Arial"/>
        </w:rPr>
      </w:pPr>
      <w:r>
        <w:rPr>
          <w:rFonts w:ascii="Arial" w:hAnsi="Arial" w:cs="Arial"/>
        </w:rPr>
        <w:t>where</w:t>
      </w:r>
      <w:r w:rsidRPr="00506206">
        <w:rPr>
          <w:rFonts w:ascii="Arial" w:hAnsi="Arial" w:cs="Arial"/>
        </w:rPr>
        <w:t xml:space="preserve"> the long-run parameters α</w:t>
      </w:r>
      <w:r w:rsidRPr="00506206">
        <w:rPr>
          <w:rFonts w:ascii="Arial" w:hAnsi="Arial" w:cs="Arial"/>
          <w:vertAlign w:val="subscript"/>
        </w:rPr>
        <w:t>1</w:t>
      </w:r>
      <w:r w:rsidRPr="00506206">
        <w:rPr>
          <w:rFonts w:ascii="Arial" w:hAnsi="Arial" w:cs="Arial"/>
        </w:rPr>
        <w:t xml:space="preserve"> and α</w:t>
      </w:r>
      <w:r w:rsidRPr="00506206">
        <w:rPr>
          <w:rFonts w:ascii="Arial" w:hAnsi="Arial" w:cs="Arial"/>
          <w:vertAlign w:val="subscript"/>
        </w:rPr>
        <w:t>2</w:t>
      </w:r>
      <w:r w:rsidRPr="00506206">
        <w:rPr>
          <w:rFonts w:ascii="Arial" w:hAnsi="Arial" w:cs="Arial"/>
        </w:rPr>
        <w:t xml:space="preserve"> capture the inflationary impacts of the fiscal deficit-to-GDP ratio (FD) and the public debt-to-GDP ratio (PD), respectively. Both are hypothesized to exhibit positive signs, reflecting demand-pull pressures from expansionary fiscal policy and solvency concerns inherent in fiscal dominance. Crucially, the interaction coefficient α</w:t>
      </w:r>
      <w:r w:rsidRPr="00506206">
        <w:rPr>
          <w:rFonts w:ascii="Arial" w:hAnsi="Arial" w:cs="Arial"/>
          <w:vertAlign w:val="subscript"/>
        </w:rPr>
        <w:t>3</w:t>
      </w:r>
      <w:r w:rsidRPr="00506206">
        <w:rPr>
          <w:rFonts w:ascii="Arial" w:hAnsi="Arial" w:cs="Arial"/>
        </w:rPr>
        <w:t xml:space="preserve"> serves as a direct empirical test of the Fiscal Theory of the Price Level; a positive sign posits that high existing debt burdens exacerbate the inflationary consequences of fiscal deficits.</w:t>
      </w:r>
      <w:r>
        <w:rPr>
          <w:rFonts w:ascii="Arial" w:hAnsi="Arial" w:cs="Arial"/>
        </w:rPr>
        <w:t xml:space="preserve"> </w:t>
      </w:r>
      <w:r w:rsidRPr="00506206">
        <w:rPr>
          <w:rFonts w:ascii="Arial" w:hAnsi="Arial" w:cs="Arial"/>
        </w:rPr>
        <w:t>Among the macroeconomic controls, α</w:t>
      </w:r>
      <w:r w:rsidRPr="00506206">
        <w:rPr>
          <w:rFonts w:ascii="Arial" w:hAnsi="Arial" w:cs="Arial"/>
          <w:vertAlign w:val="subscript"/>
        </w:rPr>
        <w:t>4</w:t>
      </w:r>
      <w:r w:rsidRPr="00506206">
        <w:rPr>
          <w:rFonts w:ascii="Arial" w:hAnsi="Arial" w:cs="Arial"/>
        </w:rPr>
        <w:t xml:space="preserve"> and α</w:t>
      </w:r>
      <w:r w:rsidRPr="00506206">
        <w:rPr>
          <w:rFonts w:ascii="Arial" w:hAnsi="Arial" w:cs="Arial"/>
          <w:vertAlign w:val="subscript"/>
        </w:rPr>
        <w:t>5</w:t>
      </w:r>
      <w:r w:rsidRPr="00506206">
        <w:rPr>
          <w:rFonts w:ascii="Arial" w:hAnsi="Arial" w:cs="Arial"/>
        </w:rPr>
        <w:t xml:space="preserve"> are expected to be positive, capturing the pass-through effects of Naira depreciation (LEXR) and the monetarist liquidity dynamics associated with broad money growth (M2). Conversely, the coefficients for real GDP growth α</w:t>
      </w:r>
      <w:r w:rsidRPr="00506206">
        <w:rPr>
          <w:rFonts w:ascii="Arial" w:hAnsi="Arial" w:cs="Arial"/>
          <w:vertAlign w:val="subscript"/>
        </w:rPr>
        <w:t>6</w:t>
      </w:r>
      <w:r w:rsidRPr="00506206">
        <w:rPr>
          <w:rFonts w:ascii="Arial" w:hAnsi="Arial" w:cs="Arial"/>
        </w:rPr>
        <w:t xml:space="preserve"> and the lending rate α</w:t>
      </w:r>
      <w:r w:rsidRPr="00506206">
        <w:rPr>
          <w:rFonts w:ascii="Arial" w:hAnsi="Arial" w:cs="Arial"/>
          <w:vertAlign w:val="subscript"/>
        </w:rPr>
        <w:t>7</w:t>
      </w:r>
      <w:r w:rsidRPr="00506206">
        <w:rPr>
          <w:rFonts w:ascii="Arial" w:hAnsi="Arial" w:cs="Arial"/>
        </w:rPr>
        <w:t xml:space="preserve"> have theoretically ambiguous signs, as they embody conflicting dynamics; namely, supply-side capacity improvements versus demand-pull expansion, and cost-push inflation versus contraction in credit demand.</w:t>
      </w:r>
    </w:p>
    <w:p w14:paraId="6F334E63" w14:textId="77777777" w:rsidR="00385CAF" w:rsidRDefault="00385CAF" w:rsidP="00385CAF">
      <w:pPr>
        <w:spacing w:line="360" w:lineRule="auto"/>
        <w:jc w:val="both"/>
        <w:rPr>
          <w:rFonts w:ascii="Arial" w:hAnsi="Arial" w:cs="Arial"/>
          <w:b/>
          <w:bCs/>
        </w:rPr>
      </w:pPr>
    </w:p>
    <w:p w14:paraId="1E53140B" w14:textId="77777777" w:rsidR="00385CAF" w:rsidRPr="00506206" w:rsidRDefault="00385CAF" w:rsidP="00385CAF">
      <w:pPr>
        <w:spacing w:line="360" w:lineRule="auto"/>
        <w:jc w:val="both"/>
        <w:rPr>
          <w:rFonts w:ascii="Arial" w:hAnsi="Arial" w:cs="Arial"/>
          <w:b/>
          <w:bCs/>
        </w:rPr>
      </w:pPr>
      <w:r w:rsidRPr="00506206">
        <w:rPr>
          <w:rFonts w:ascii="Arial" w:hAnsi="Arial" w:cs="Arial"/>
          <w:b/>
          <w:bCs/>
        </w:rPr>
        <w:t>iii) Restricted Error Correction Model (Short-Run)</w:t>
      </w:r>
    </w:p>
    <w:p w14:paraId="7434A902" w14:textId="77777777" w:rsidR="00385CAF" w:rsidRDefault="00385CAF" w:rsidP="00385CAF">
      <w:pPr>
        <w:jc w:val="both"/>
        <w:rPr>
          <w:rFonts w:ascii="Arial" w:hAnsi="Arial" w:cs="Arial"/>
        </w:rPr>
      </w:pPr>
      <w:r w:rsidRPr="00506206">
        <w:rPr>
          <w:rFonts w:ascii="Arial" w:hAnsi="Arial" w:cs="Arial"/>
        </w:rPr>
        <w:t>The short-run model captures the immediate response of inflation to fiscal and monetary shocks and the speed of adjustment toward equilibrium:</w:t>
      </w:r>
    </w:p>
    <w:p w14:paraId="2344A8B7" w14:textId="77777777" w:rsidR="00385CAF" w:rsidRPr="00506206" w:rsidRDefault="00385CAF" w:rsidP="00385CAF">
      <w:pPr>
        <w:jc w:val="both"/>
        <w:rPr>
          <w:rFonts w:ascii="Arial" w:hAnsi="Arial" w:cs="Arial"/>
          <w:vertAlign w:val="superscript"/>
        </w:rPr>
      </w:pPr>
    </w:p>
    <w:p w14:paraId="28DE1631" w14:textId="189BD6CE" w:rsidR="00385CAF" w:rsidRPr="00506206" w:rsidRDefault="00385CAF" w:rsidP="00385CAF">
      <w:pPr>
        <w:spacing w:line="360" w:lineRule="auto"/>
        <w:jc w:val="both"/>
        <w:rPr>
          <w:rFonts w:ascii="Arial" w:hAnsi="Arial" w:cs="Arial"/>
        </w:rPr>
      </w:pPr>
      <w:proofErr w:type="spellStart"/>
      <w:r w:rsidRPr="00506206">
        <w:rPr>
          <w:rFonts w:ascii="Arial" w:hAnsi="Arial" w:cs="Arial"/>
        </w:rPr>
        <w:t>ΔINF</w:t>
      </w:r>
      <w:r w:rsidRPr="00506206">
        <w:rPr>
          <w:rFonts w:ascii="Arial" w:hAnsi="Arial" w:cs="Arial"/>
          <w:vertAlign w:val="subscript"/>
        </w:rPr>
        <w:t>t</w:t>
      </w:r>
      <w:proofErr w:type="spellEnd"/>
      <w:r w:rsidRPr="00506206">
        <w:rPr>
          <w:rFonts w:ascii="Arial" w:hAnsi="Arial" w:cs="Arial"/>
        </w:rPr>
        <w:t xml:space="preserve"> = φ</w:t>
      </w:r>
      <w:r w:rsidRPr="00506206">
        <w:rPr>
          <w:rFonts w:ascii="Arial" w:hAnsi="Arial" w:cs="Arial"/>
          <w:vertAlign w:val="subscript"/>
        </w:rPr>
        <w:t>0</w:t>
      </w:r>
      <w:r w:rsidRPr="00506206">
        <w:rPr>
          <w:rFonts w:ascii="Arial" w:hAnsi="Arial" w:cs="Arial"/>
        </w:rPr>
        <w:t xml:space="preserve"> + Σᵢ</w:t>
      </w:r>
      <w:r w:rsidRPr="00506206">
        <w:rPr>
          <w:rFonts w:ascii="Cambria Math" w:hAnsi="Cambria Math" w:cs="Cambria Math"/>
        </w:rPr>
        <w:t>₌₁</w:t>
      </w:r>
      <w:r w:rsidRPr="00506206">
        <w:rPr>
          <w:rFonts w:ascii="Arial" w:hAnsi="Arial" w:cs="Arial"/>
        </w:rPr>
        <w:t>ᵖ φ</w:t>
      </w:r>
      <w:r w:rsidRPr="00506206">
        <w:rPr>
          <w:rFonts w:ascii="Arial" w:hAnsi="Arial" w:cs="Arial"/>
          <w:vertAlign w:val="subscript"/>
        </w:rPr>
        <w:t>1i</w:t>
      </w:r>
      <w:r w:rsidRPr="00506206">
        <w:rPr>
          <w:rFonts w:ascii="Arial" w:hAnsi="Arial" w:cs="Arial"/>
        </w:rPr>
        <w:t>ΔINF</w:t>
      </w:r>
      <w:r w:rsidRPr="00506206">
        <w:rPr>
          <w:rFonts w:ascii="Arial" w:hAnsi="Arial" w:cs="Arial"/>
          <w:vertAlign w:val="subscript"/>
        </w:rPr>
        <w:t>t-i</w:t>
      </w:r>
      <w:r w:rsidRPr="00506206">
        <w:rPr>
          <w:rFonts w:ascii="Arial" w:hAnsi="Arial" w:cs="Arial"/>
        </w:rPr>
        <w:t xml:space="preserve"> + Σⱼ</w:t>
      </w:r>
      <w:r w:rsidRPr="00506206">
        <w:rPr>
          <w:rFonts w:ascii="Cambria Math" w:hAnsi="Cambria Math" w:cs="Cambria Math"/>
        </w:rPr>
        <w:t>₌₀</w:t>
      </w:r>
      <w:r w:rsidRPr="00506206">
        <w:rPr>
          <w:rFonts w:ascii="Arial" w:hAnsi="Arial" w:cs="Arial"/>
          <w:vertAlign w:val="superscript"/>
        </w:rPr>
        <w:t>q1</w:t>
      </w:r>
      <w:r w:rsidRPr="00506206">
        <w:rPr>
          <w:rFonts w:ascii="Arial" w:hAnsi="Arial" w:cs="Arial"/>
        </w:rPr>
        <w:t>φ</w:t>
      </w:r>
      <w:r w:rsidRPr="00506206">
        <w:rPr>
          <w:rFonts w:ascii="Arial" w:hAnsi="Arial" w:cs="Arial"/>
          <w:vertAlign w:val="subscript"/>
        </w:rPr>
        <w:t>2j</w:t>
      </w:r>
      <w:r w:rsidRPr="00506206">
        <w:rPr>
          <w:rFonts w:ascii="Arial" w:hAnsi="Arial" w:cs="Arial"/>
        </w:rPr>
        <w:t>ΔFD</w:t>
      </w:r>
      <w:r w:rsidRPr="00506206">
        <w:rPr>
          <w:rFonts w:ascii="Arial" w:hAnsi="Arial" w:cs="Arial"/>
          <w:vertAlign w:val="subscript"/>
        </w:rPr>
        <w:t>t-j</w:t>
      </w:r>
      <w:r w:rsidRPr="00506206">
        <w:rPr>
          <w:rFonts w:ascii="Arial" w:hAnsi="Arial" w:cs="Arial"/>
        </w:rPr>
        <w:t xml:space="preserve"> + Σⱼ</w:t>
      </w:r>
      <w:r w:rsidRPr="00506206">
        <w:rPr>
          <w:rFonts w:ascii="Cambria Math" w:hAnsi="Cambria Math" w:cs="Cambria Math"/>
        </w:rPr>
        <w:t>₌₀</w:t>
      </w:r>
      <w:r w:rsidRPr="00506206">
        <w:rPr>
          <w:rFonts w:ascii="Arial" w:hAnsi="Arial" w:cs="Arial"/>
          <w:vertAlign w:val="superscript"/>
        </w:rPr>
        <w:t>q2</w:t>
      </w:r>
      <w:r w:rsidRPr="00506206">
        <w:rPr>
          <w:rFonts w:ascii="Arial" w:hAnsi="Arial" w:cs="Arial"/>
        </w:rPr>
        <w:t>φ</w:t>
      </w:r>
      <w:r w:rsidRPr="00506206">
        <w:rPr>
          <w:rFonts w:ascii="Arial" w:hAnsi="Arial" w:cs="Arial"/>
          <w:vertAlign w:val="subscript"/>
        </w:rPr>
        <w:t>3j</w:t>
      </w:r>
      <w:r w:rsidRPr="00506206">
        <w:rPr>
          <w:rFonts w:ascii="Arial" w:hAnsi="Arial" w:cs="Arial"/>
        </w:rPr>
        <w:t>ΔPD</w:t>
      </w:r>
      <w:r w:rsidRPr="00506206">
        <w:rPr>
          <w:rFonts w:ascii="Arial" w:hAnsi="Arial" w:cs="Arial"/>
          <w:vertAlign w:val="subscript"/>
        </w:rPr>
        <w:t>t-j</w:t>
      </w:r>
      <w:r w:rsidRPr="00506206">
        <w:rPr>
          <w:rFonts w:ascii="Arial" w:hAnsi="Arial" w:cs="Arial"/>
        </w:rPr>
        <w:t xml:space="preserve"> + Σⱼ</w:t>
      </w:r>
      <w:r w:rsidRPr="00506206">
        <w:rPr>
          <w:rFonts w:ascii="Cambria Math" w:hAnsi="Cambria Math" w:cs="Cambria Math"/>
        </w:rPr>
        <w:t>₌₀</w:t>
      </w:r>
      <w:r w:rsidRPr="00506206">
        <w:rPr>
          <w:rFonts w:ascii="Arial" w:hAnsi="Arial" w:cs="Arial"/>
          <w:vertAlign w:val="superscript"/>
        </w:rPr>
        <w:t>q3</w:t>
      </w:r>
      <w:r w:rsidRPr="00506206">
        <w:rPr>
          <w:rFonts w:ascii="Arial" w:hAnsi="Arial" w:cs="Arial"/>
        </w:rPr>
        <w:t>φ</w:t>
      </w:r>
      <w:r w:rsidRPr="00506206">
        <w:rPr>
          <w:rFonts w:ascii="Arial" w:hAnsi="Arial" w:cs="Arial"/>
          <w:vertAlign w:val="subscript"/>
        </w:rPr>
        <w:t>4j</w:t>
      </w:r>
      <w:r w:rsidRPr="00506206">
        <w:rPr>
          <w:rFonts w:ascii="Arial" w:hAnsi="Arial" w:cs="Arial"/>
        </w:rPr>
        <w:t>ΔFD*</w:t>
      </w:r>
      <w:proofErr w:type="spellStart"/>
      <w:r w:rsidRPr="00506206">
        <w:rPr>
          <w:rFonts w:ascii="Arial" w:hAnsi="Arial" w:cs="Arial"/>
        </w:rPr>
        <w:t>PD</w:t>
      </w:r>
      <w:r w:rsidRPr="00506206">
        <w:rPr>
          <w:rFonts w:ascii="Arial" w:hAnsi="Arial" w:cs="Arial"/>
          <w:vertAlign w:val="subscript"/>
        </w:rPr>
        <w:t>t</w:t>
      </w:r>
      <w:proofErr w:type="spellEnd"/>
      <w:r w:rsidRPr="00506206">
        <w:rPr>
          <w:rFonts w:ascii="Arial" w:hAnsi="Arial" w:cs="Arial"/>
          <w:vertAlign w:val="subscript"/>
        </w:rPr>
        <w:t>-j</w:t>
      </w:r>
      <w:r w:rsidRPr="00506206">
        <w:rPr>
          <w:rFonts w:ascii="Arial" w:hAnsi="Arial" w:cs="Arial"/>
        </w:rPr>
        <w:t xml:space="preserve"> + Σⱼ</w:t>
      </w:r>
      <w:r w:rsidRPr="00506206">
        <w:rPr>
          <w:rFonts w:ascii="Cambria Math" w:hAnsi="Cambria Math" w:cs="Cambria Math"/>
        </w:rPr>
        <w:t>₌₀</w:t>
      </w:r>
      <w:r w:rsidRPr="00506206">
        <w:rPr>
          <w:rFonts w:ascii="Arial" w:hAnsi="Arial" w:cs="Arial"/>
          <w:vertAlign w:val="superscript"/>
        </w:rPr>
        <w:t>q4</w:t>
      </w:r>
      <w:r w:rsidRPr="00506206">
        <w:rPr>
          <w:rFonts w:ascii="Arial" w:hAnsi="Arial" w:cs="Arial"/>
        </w:rPr>
        <w:t xml:space="preserve"> φ</w:t>
      </w:r>
      <w:r w:rsidRPr="00506206">
        <w:rPr>
          <w:rFonts w:ascii="Arial" w:hAnsi="Arial" w:cs="Arial"/>
          <w:vertAlign w:val="subscript"/>
        </w:rPr>
        <w:t>5j</w:t>
      </w:r>
      <w:r w:rsidRPr="00506206">
        <w:rPr>
          <w:rFonts w:ascii="Arial" w:hAnsi="Arial" w:cs="Arial"/>
        </w:rPr>
        <w:t>ΔLEXR</w:t>
      </w:r>
      <w:r w:rsidRPr="00506206">
        <w:rPr>
          <w:rFonts w:ascii="Arial" w:hAnsi="Arial" w:cs="Arial"/>
          <w:vertAlign w:val="subscript"/>
        </w:rPr>
        <w:t>t-j</w:t>
      </w:r>
      <w:r w:rsidRPr="00506206">
        <w:rPr>
          <w:rFonts w:ascii="Arial" w:hAnsi="Arial" w:cs="Arial"/>
        </w:rPr>
        <w:t xml:space="preserve"> + Σⱼ</w:t>
      </w:r>
      <w:r w:rsidRPr="00506206">
        <w:rPr>
          <w:rFonts w:ascii="Cambria Math" w:hAnsi="Cambria Math" w:cs="Cambria Math"/>
        </w:rPr>
        <w:t>₌₀</w:t>
      </w:r>
      <w:r w:rsidRPr="00506206">
        <w:rPr>
          <w:rFonts w:ascii="Arial" w:hAnsi="Arial" w:cs="Arial"/>
          <w:vertAlign w:val="superscript"/>
        </w:rPr>
        <w:t>q5</w:t>
      </w:r>
      <w:r w:rsidRPr="00506206">
        <w:rPr>
          <w:rFonts w:ascii="Arial" w:hAnsi="Arial" w:cs="Arial"/>
        </w:rPr>
        <w:t>φ</w:t>
      </w:r>
      <w:r w:rsidRPr="00506206">
        <w:rPr>
          <w:rFonts w:ascii="Arial" w:hAnsi="Arial" w:cs="Arial"/>
          <w:vertAlign w:val="subscript"/>
        </w:rPr>
        <w:t>6j</w:t>
      </w:r>
      <w:r w:rsidRPr="00506206">
        <w:rPr>
          <w:rFonts w:ascii="Arial" w:hAnsi="Arial" w:cs="Arial"/>
        </w:rPr>
        <w:t>ΔM2</w:t>
      </w:r>
      <w:r w:rsidRPr="00506206">
        <w:rPr>
          <w:rFonts w:ascii="Arial" w:hAnsi="Arial" w:cs="Arial"/>
          <w:vertAlign w:val="subscript"/>
        </w:rPr>
        <w:t>t-j</w:t>
      </w:r>
      <w:r w:rsidRPr="00506206">
        <w:rPr>
          <w:rFonts w:ascii="Arial" w:hAnsi="Arial" w:cs="Arial"/>
        </w:rPr>
        <w:t xml:space="preserve"> + Σⱼ</w:t>
      </w:r>
      <w:r w:rsidRPr="00506206">
        <w:rPr>
          <w:rFonts w:ascii="Cambria Math" w:hAnsi="Cambria Math" w:cs="Cambria Math"/>
        </w:rPr>
        <w:t>₌₀</w:t>
      </w:r>
      <w:r w:rsidRPr="00506206">
        <w:rPr>
          <w:rFonts w:ascii="Arial" w:hAnsi="Arial" w:cs="Arial"/>
          <w:vertAlign w:val="superscript"/>
        </w:rPr>
        <w:t>q6</w:t>
      </w:r>
      <w:r w:rsidRPr="00506206">
        <w:rPr>
          <w:rFonts w:ascii="Arial" w:hAnsi="Arial" w:cs="Arial"/>
        </w:rPr>
        <w:t>φ</w:t>
      </w:r>
      <w:r w:rsidRPr="00506206">
        <w:rPr>
          <w:rFonts w:ascii="Arial" w:hAnsi="Arial" w:cs="Arial"/>
          <w:vertAlign w:val="subscript"/>
        </w:rPr>
        <w:t>7j</w:t>
      </w:r>
      <w:r w:rsidRPr="00506206">
        <w:rPr>
          <w:rFonts w:ascii="Arial" w:hAnsi="Arial" w:cs="Arial"/>
        </w:rPr>
        <w:t>ΔRGDPG</w:t>
      </w:r>
      <w:r w:rsidRPr="00506206">
        <w:rPr>
          <w:rFonts w:ascii="Arial" w:hAnsi="Arial" w:cs="Arial"/>
          <w:vertAlign w:val="subscript"/>
        </w:rPr>
        <w:t>t-j</w:t>
      </w:r>
      <w:r w:rsidRPr="00506206">
        <w:rPr>
          <w:rFonts w:ascii="Arial" w:hAnsi="Arial" w:cs="Arial"/>
        </w:rPr>
        <w:t xml:space="preserve"> + Σⱼ</w:t>
      </w:r>
      <w:r w:rsidRPr="00506206">
        <w:rPr>
          <w:rFonts w:ascii="Cambria Math" w:hAnsi="Cambria Math" w:cs="Cambria Math"/>
        </w:rPr>
        <w:t>₌₀</w:t>
      </w:r>
      <w:r w:rsidRPr="00506206">
        <w:rPr>
          <w:rFonts w:ascii="Arial" w:hAnsi="Arial" w:cs="Arial"/>
          <w:vertAlign w:val="superscript"/>
        </w:rPr>
        <w:t>q7</w:t>
      </w:r>
      <w:r w:rsidRPr="00506206">
        <w:rPr>
          <w:rFonts w:ascii="Arial" w:hAnsi="Arial" w:cs="Arial"/>
        </w:rPr>
        <w:t>φ</w:t>
      </w:r>
      <w:r w:rsidRPr="00506206">
        <w:rPr>
          <w:rFonts w:ascii="Arial" w:hAnsi="Arial" w:cs="Arial"/>
          <w:vertAlign w:val="subscript"/>
        </w:rPr>
        <w:t>8j</w:t>
      </w:r>
      <w:r w:rsidRPr="00506206">
        <w:rPr>
          <w:rFonts w:ascii="Arial" w:hAnsi="Arial" w:cs="Arial"/>
        </w:rPr>
        <w:t>ΔLR</w:t>
      </w:r>
      <w:r w:rsidRPr="00506206">
        <w:rPr>
          <w:rFonts w:ascii="Arial" w:hAnsi="Arial" w:cs="Arial"/>
          <w:vertAlign w:val="subscript"/>
        </w:rPr>
        <w:t>t-j</w:t>
      </w:r>
      <w:r w:rsidRPr="00506206">
        <w:rPr>
          <w:rFonts w:ascii="Arial" w:hAnsi="Arial" w:cs="Arial"/>
        </w:rPr>
        <w:t xml:space="preserve"> + ψECM</w:t>
      </w:r>
      <w:r w:rsidRPr="00506206">
        <w:rPr>
          <w:rFonts w:ascii="Arial" w:hAnsi="Arial" w:cs="Arial"/>
          <w:vertAlign w:val="subscript"/>
        </w:rPr>
        <w:t>t-1</w:t>
      </w:r>
      <w:r w:rsidRPr="00506206">
        <w:rPr>
          <w:rFonts w:ascii="Arial" w:hAnsi="Arial" w:cs="Arial"/>
        </w:rPr>
        <w:t xml:space="preserve"> + </w:t>
      </w:r>
      <w:proofErr w:type="spellStart"/>
      <w:r w:rsidRPr="00506206">
        <w:rPr>
          <w:rFonts w:ascii="Arial" w:hAnsi="Arial" w:cs="Arial"/>
        </w:rPr>
        <w:t>μ</w:t>
      </w:r>
      <w:r w:rsidRPr="00506206">
        <w:rPr>
          <w:rFonts w:ascii="Arial" w:hAnsi="Arial" w:cs="Arial"/>
          <w:vertAlign w:val="subscript"/>
        </w:rPr>
        <w:t>t</w:t>
      </w:r>
      <w:proofErr w:type="spellEnd"/>
      <w:r w:rsidRPr="00506206">
        <w:rPr>
          <w:rFonts w:ascii="Arial" w:hAnsi="Arial" w:cs="Arial"/>
          <w:vertAlign w:val="subscript"/>
        </w:rPr>
        <w:t xml:space="preserve">   </w:t>
      </w:r>
      <w:r>
        <w:rPr>
          <w:rFonts w:ascii="Arial" w:hAnsi="Arial" w:cs="Arial"/>
          <w:vertAlign w:val="subscript"/>
        </w:rPr>
        <w:t xml:space="preserve">         </w:t>
      </w:r>
      <w:r w:rsidRPr="00506206">
        <w:rPr>
          <w:rFonts w:ascii="Arial" w:hAnsi="Arial" w:cs="Arial"/>
          <w:vertAlign w:val="subscript"/>
        </w:rPr>
        <w:t xml:space="preserve">  </w:t>
      </w:r>
      <w:proofErr w:type="gramStart"/>
      <w:r w:rsidRPr="00506206">
        <w:rPr>
          <w:rFonts w:ascii="Arial" w:hAnsi="Arial" w:cs="Arial"/>
          <w:vertAlign w:val="subscript"/>
        </w:rPr>
        <w:t xml:space="preserve">   </w:t>
      </w:r>
      <w:r>
        <w:rPr>
          <w:rFonts w:ascii="Arial" w:hAnsi="Arial" w:cs="Arial"/>
        </w:rPr>
        <w:t>(</w:t>
      </w:r>
      <w:proofErr w:type="gramEnd"/>
      <w:r>
        <w:rPr>
          <w:rFonts w:ascii="Arial" w:hAnsi="Arial" w:cs="Arial"/>
        </w:rPr>
        <w:t>4)</w:t>
      </w:r>
    </w:p>
    <w:p w14:paraId="6B061C4E" w14:textId="77777777" w:rsidR="00385CAF" w:rsidRPr="00506206" w:rsidRDefault="00385CAF" w:rsidP="00385CAF">
      <w:pPr>
        <w:jc w:val="both"/>
        <w:rPr>
          <w:rFonts w:ascii="Arial" w:hAnsi="Arial" w:cs="Arial"/>
        </w:rPr>
      </w:pPr>
      <w:r>
        <w:rPr>
          <w:rFonts w:ascii="Arial" w:hAnsi="Arial" w:cs="Arial"/>
        </w:rPr>
        <w:t>where</w:t>
      </w:r>
      <w:r w:rsidRPr="00506206">
        <w:rPr>
          <w:rFonts w:ascii="Arial" w:hAnsi="Arial" w:cs="Arial"/>
        </w:rPr>
        <w:t>, the φ coefficients denote immediate impact multipliers and inflation persistence. Finally, a statistically significant and negative error correction coefficient (ψ) is theoretically required to confirm cointegration. This parameter quantifies the system's speed of adjustment, indicating how rapidly inflation reverts to its long-run equilibrium path following transient macroeconomic shocks.</w:t>
      </w:r>
      <w:r>
        <w:rPr>
          <w:rFonts w:ascii="Arial" w:hAnsi="Arial" w:cs="Arial"/>
        </w:rPr>
        <w:t xml:space="preserve"> </w:t>
      </w:r>
      <w:r w:rsidRPr="00506206">
        <w:rPr>
          <w:rFonts w:ascii="Arial" w:hAnsi="Arial" w:cs="Arial"/>
        </w:rPr>
        <w:t xml:space="preserve">By estimating this unified ARDL model for inflation, the study is able to address all three objectives related to the long-run and short-run effects of fiscal stance, public debt, and their interaction on inflation dynamics in Nigeria while controlling for the key monetary and real macroeconomic variables. </w:t>
      </w:r>
    </w:p>
    <w:p w14:paraId="6478D99D" w14:textId="77777777" w:rsidR="00385CAF" w:rsidRDefault="00385CAF" w:rsidP="00385CAF">
      <w:pPr>
        <w:pStyle w:val="ListParagraph"/>
        <w:spacing w:after="0" w:line="360" w:lineRule="auto"/>
        <w:ind w:left="1080"/>
        <w:rPr>
          <w:rFonts w:ascii="Arial" w:hAnsi="Arial" w:cs="Arial"/>
          <w:b/>
          <w:bCs/>
          <w:sz w:val="20"/>
          <w:szCs w:val="20"/>
        </w:rPr>
      </w:pPr>
    </w:p>
    <w:p w14:paraId="07F6BC07" w14:textId="0FC35B61" w:rsidR="00B01FCD" w:rsidRDefault="00000F8F" w:rsidP="00441B6F">
      <w:pPr>
        <w:pStyle w:val="ConcHead"/>
        <w:spacing w:after="0"/>
        <w:jc w:val="both"/>
        <w:rPr>
          <w:rFonts w:ascii="Arial" w:hAnsi="Arial" w:cs="Arial"/>
        </w:rPr>
      </w:pPr>
      <w:r>
        <w:rPr>
          <w:rFonts w:ascii="Arial" w:hAnsi="Arial" w:cs="Arial"/>
        </w:rPr>
        <w:t xml:space="preserve">4. </w:t>
      </w:r>
      <w:r w:rsidR="00385CAF">
        <w:rPr>
          <w:rFonts w:ascii="Arial" w:hAnsi="Arial" w:cs="Arial"/>
        </w:rPr>
        <w:t>RESULTS</w:t>
      </w:r>
    </w:p>
    <w:p w14:paraId="1F98026E" w14:textId="77777777" w:rsidR="00790ADA" w:rsidRPr="00FB3A86" w:rsidRDefault="00790ADA" w:rsidP="00441B6F">
      <w:pPr>
        <w:pStyle w:val="ConcHead"/>
        <w:spacing w:after="0"/>
        <w:jc w:val="both"/>
        <w:rPr>
          <w:rFonts w:ascii="Arial" w:hAnsi="Arial" w:cs="Arial"/>
        </w:rPr>
      </w:pPr>
    </w:p>
    <w:p w14:paraId="5C65ECB5" w14:textId="77777777" w:rsidR="00385CAF" w:rsidRPr="00506206" w:rsidRDefault="00385CAF" w:rsidP="00385CAF">
      <w:pPr>
        <w:spacing w:line="360" w:lineRule="auto"/>
        <w:rPr>
          <w:rFonts w:ascii="Arial" w:hAnsi="Arial" w:cs="Arial"/>
          <w:b/>
          <w:bCs/>
        </w:rPr>
      </w:pPr>
      <w:r w:rsidRPr="00506206">
        <w:rPr>
          <w:rFonts w:ascii="Arial" w:hAnsi="Arial" w:cs="Arial"/>
          <w:b/>
          <w:bCs/>
        </w:rPr>
        <w:t>4.1. Descriptive Statistics</w:t>
      </w:r>
    </w:p>
    <w:p w14:paraId="4D36CA7F" w14:textId="77777777" w:rsidR="00385CAF" w:rsidRPr="00506206" w:rsidRDefault="00385CAF" w:rsidP="00385CAF">
      <w:pPr>
        <w:jc w:val="both"/>
        <w:rPr>
          <w:rFonts w:ascii="Arial" w:hAnsi="Arial" w:cs="Arial"/>
        </w:rPr>
      </w:pPr>
      <w:r w:rsidRPr="00506206">
        <w:rPr>
          <w:rFonts w:ascii="Arial" w:hAnsi="Arial" w:cs="Arial"/>
        </w:rPr>
        <w:t>Table 1 provides an overview of the summary statistics for the variables utilized in the research. The dependent variable, inflation (INF), had an average value of 19.19%, demonstrating considerable variability, as indicated by a standard deviation of 16.11 and a wide interval ranging from 5.39% to 72.84%. Fiscal deficit (FD) showed an average of -2.45% of GDP, while public debt (PD) had a mean value of 25.61%. The interaction term (PD*FD) demonstrates a notably high standard deviation of 106.71, accompanied by an extensive range from -324.00 to 118.20, illustrating the combined variability of its underlying components.</w:t>
      </w:r>
      <w:r>
        <w:rPr>
          <w:rFonts w:ascii="Arial" w:hAnsi="Arial" w:cs="Arial"/>
        </w:rPr>
        <w:t xml:space="preserve"> </w:t>
      </w:r>
      <w:r w:rsidRPr="00506206">
        <w:rPr>
          <w:rFonts w:ascii="Arial" w:hAnsi="Arial" w:cs="Arial"/>
        </w:rPr>
        <w:t xml:space="preserve">Regarding the control variables, broad money growth (M2) and lending rates </w:t>
      </w:r>
      <w:r w:rsidRPr="00506206">
        <w:rPr>
          <w:rFonts w:ascii="Arial" w:hAnsi="Arial" w:cs="Arial"/>
        </w:rPr>
        <w:lastRenderedPageBreak/>
        <w:t xml:space="preserve">(LR) averaged 24.18% and 17.08%, respectively. Real GDP growth (RGDPG) averaged 2.97%, despite experiencing significant fluctuations ranging from a contraction of -13.13% to a peak growth of 15.33%. The distributional properties, assessed via Skewness and Kurtosis, reveal that INF and M2 are positively skewed and leptokurtic (peaked). Conversely, the </w:t>
      </w:r>
      <w:proofErr w:type="spellStart"/>
      <w:r w:rsidRPr="00506206">
        <w:rPr>
          <w:rFonts w:ascii="Arial" w:hAnsi="Arial" w:cs="Arial"/>
        </w:rPr>
        <w:t>Jarque-Bera</w:t>
      </w:r>
      <w:proofErr w:type="spellEnd"/>
      <w:r w:rsidRPr="00506206">
        <w:rPr>
          <w:rFonts w:ascii="Arial" w:hAnsi="Arial" w:cs="Arial"/>
        </w:rPr>
        <w:t xml:space="preserve"> test for normality indicates that FD (p=0.93), PD (p=0.31), the interaction term PD*FD (p=0.21), LEXR (p=0.11), and LR (p=0.51) all follow a normal distribution, as their probability values exceed the 0.05 threshold. However, the null hypothesis of normality is rejected for INF, M2, and RGDPG at the 1% significance level, a common characteristic in macroeconomic time-series data which necessitates a robust dynamic estimation technique such as the ARDL model.</w:t>
      </w:r>
    </w:p>
    <w:p w14:paraId="4A0355CF" w14:textId="77777777" w:rsidR="00385CAF" w:rsidRDefault="00385CAF" w:rsidP="00385CAF">
      <w:pPr>
        <w:spacing w:line="360" w:lineRule="auto"/>
        <w:rPr>
          <w:rFonts w:ascii="Arial" w:hAnsi="Arial" w:cs="Arial"/>
          <w:b/>
          <w:bCs/>
        </w:rPr>
      </w:pPr>
    </w:p>
    <w:p w14:paraId="73237D90" w14:textId="77777777" w:rsidR="00385CAF" w:rsidRPr="00506206" w:rsidRDefault="00385CAF" w:rsidP="00385CAF">
      <w:pPr>
        <w:spacing w:line="360" w:lineRule="auto"/>
        <w:rPr>
          <w:rFonts w:ascii="Arial" w:hAnsi="Arial" w:cs="Arial"/>
          <w:b/>
          <w:bCs/>
        </w:rPr>
      </w:pPr>
      <w:r w:rsidRPr="00506206">
        <w:rPr>
          <w:rFonts w:ascii="Arial" w:hAnsi="Arial" w:cs="Arial"/>
          <w:b/>
          <w:bCs/>
        </w:rPr>
        <w:t>Table 1: Descriptive Statistics</w:t>
      </w:r>
    </w:p>
    <w:tbl>
      <w:tblPr>
        <w:tblStyle w:val="TableGrid"/>
        <w:tblW w:w="9639" w:type="dxa"/>
        <w:tblInd w:w="108" w:type="dxa"/>
        <w:tblLook w:val="04A0" w:firstRow="1" w:lastRow="0" w:firstColumn="1" w:lastColumn="0" w:noHBand="0" w:noVBand="1"/>
      </w:tblPr>
      <w:tblGrid>
        <w:gridCol w:w="1497"/>
        <w:gridCol w:w="1063"/>
        <w:gridCol w:w="837"/>
        <w:gridCol w:w="950"/>
        <w:gridCol w:w="1232"/>
        <w:gridCol w:w="844"/>
        <w:gridCol w:w="1063"/>
        <w:gridCol w:w="1032"/>
        <w:gridCol w:w="1121"/>
      </w:tblGrid>
      <w:tr w:rsidR="00385CAF" w:rsidRPr="00506206" w14:paraId="6C27CFCA" w14:textId="77777777" w:rsidTr="003A76BC">
        <w:tc>
          <w:tcPr>
            <w:tcW w:w="1497" w:type="dxa"/>
          </w:tcPr>
          <w:p w14:paraId="3394F8F2" w14:textId="77777777" w:rsidR="00385CAF" w:rsidRPr="00506206" w:rsidRDefault="00385CAF" w:rsidP="003A76BC">
            <w:pPr>
              <w:spacing w:line="360" w:lineRule="auto"/>
              <w:rPr>
                <w:rFonts w:ascii="Arial" w:hAnsi="Arial" w:cs="Arial"/>
                <w:sz w:val="20"/>
                <w:szCs w:val="20"/>
              </w:rPr>
            </w:pPr>
          </w:p>
        </w:tc>
        <w:tc>
          <w:tcPr>
            <w:tcW w:w="1063" w:type="dxa"/>
            <w:vAlign w:val="bottom"/>
          </w:tcPr>
          <w:p w14:paraId="751F2AA9" w14:textId="77777777" w:rsidR="00385CAF" w:rsidRPr="00506206" w:rsidRDefault="00385CAF" w:rsidP="003A76BC">
            <w:pPr>
              <w:spacing w:line="360" w:lineRule="auto"/>
              <w:jc w:val="center"/>
              <w:rPr>
                <w:rFonts w:ascii="Arial" w:hAnsi="Arial" w:cs="Arial"/>
                <w:b/>
                <w:bCs/>
                <w:sz w:val="20"/>
                <w:szCs w:val="20"/>
              </w:rPr>
            </w:pPr>
            <w:r w:rsidRPr="00506206">
              <w:rPr>
                <w:rFonts w:ascii="Arial" w:hAnsi="Arial" w:cs="Arial"/>
                <w:b/>
                <w:bCs/>
                <w:sz w:val="20"/>
                <w:szCs w:val="20"/>
              </w:rPr>
              <w:t>INF</w:t>
            </w:r>
          </w:p>
        </w:tc>
        <w:tc>
          <w:tcPr>
            <w:tcW w:w="837" w:type="dxa"/>
            <w:vAlign w:val="bottom"/>
          </w:tcPr>
          <w:p w14:paraId="47B491ED" w14:textId="77777777" w:rsidR="00385CAF" w:rsidRPr="00506206" w:rsidRDefault="00385CAF" w:rsidP="003A76BC">
            <w:pPr>
              <w:spacing w:line="360" w:lineRule="auto"/>
              <w:jc w:val="center"/>
              <w:rPr>
                <w:rFonts w:ascii="Arial" w:hAnsi="Arial" w:cs="Arial"/>
                <w:b/>
                <w:bCs/>
                <w:sz w:val="20"/>
                <w:szCs w:val="20"/>
              </w:rPr>
            </w:pPr>
            <w:r w:rsidRPr="00506206">
              <w:rPr>
                <w:rFonts w:ascii="Arial" w:hAnsi="Arial" w:cs="Arial"/>
                <w:b/>
                <w:bCs/>
                <w:sz w:val="20"/>
                <w:szCs w:val="20"/>
              </w:rPr>
              <w:t>FD</w:t>
            </w:r>
          </w:p>
        </w:tc>
        <w:tc>
          <w:tcPr>
            <w:tcW w:w="950" w:type="dxa"/>
            <w:vAlign w:val="bottom"/>
          </w:tcPr>
          <w:p w14:paraId="754F06BD" w14:textId="77777777" w:rsidR="00385CAF" w:rsidRPr="00506206" w:rsidRDefault="00385CAF" w:rsidP="003A76BC">
            <w:pPr>
              <w:spacing w:line="360" w:lineRule="auto"/>
              <w:jc w:val="center"/>
              <w:rPr>
                <w:rFonts w:ascii="Arial" w:hAnsi="Arial" w:cs="Arial"/>
                <w:b/>
                <w:bCs/>
                <w:sz w:val="20"/>
                <w:szCs w:val="20"/>
              </w:rPr>
            </w:pPr>
            <w:r w:rsidRPr="00506206">
              <w:rPr>
                <w:rFonts w:ascii="Arial" w:hAnsi="Arial" w:cs="Arial"/>
                <w:b/>
                <w:bCs/>
                <w:sz w:val="20"/>
                <w:szCs w:val="20"/>
              </w:rPr>
              <w:t>PD</w:t>
            </w:r>
          </w:p>
        </w:tc>
        <w:tc>
          <w:tcPr>
            <w:tcW w:w="1232" w:type="dxa"/>
          </w:tcPr>
          <w:p w14:paraId="73C27219" w14:textId="77777777" w:rsidR="00385CAF" w:rsidRPr="00506206" w:rsidRDefault="00385CAF" w:rsidP="003A76BC">
            <w:pPr>
              <w:spacing w:line="360" w:lineRule="auto"/>
              <w:jc w:val="center"/>
              <w:rPr>
                <w:rFonts w:ascii="Arial" w:hAnsi="Arial" w:cs="Arial"/>
                <w:b/>
                <w:bCs/>
                <w:sz w:val="20"/>
                <w:szCs w:val="20"/>
              </w:rPr>
            </w:pPr>
            <w:r w:rsidRPr="00506206">
              <w:rPr>
                <w:rFonts w:ascii="Arial" w:hAnsi="Arial" w:cs="Arial"/>
                <w:b/>
                <w:bCs/>
                <w:sz w:val="20"/>
                <w:szCs w:val="20"/>
              </w:rPr>
              <w:t>PD*FD</w:t>
            </w:r>
          </w:p>
        </w:tc>
        <w:tc>
          <w:tcPr>
            <w:tcW w:w="844" w:type="dxa"/>
            <w:vAlign w:val="bottom"/>
          </w:tcPr>
          <w:p w14:paraId="05A02997" w14:textId="77777777" w:rsidR="00385CAF" w:rsidRPr="00506206" w:rsidRDefault="00385CAF" w:rsidP="003A76BC">
            <w:pPr>
              <w:spacing w:line="360" w:lineRule="auto"/>
              <w:jc w:val="center"/>
              <w:rPr>
                <w:rFonts w:ascii="Arial" w:hAnsi="Arial" w:cs="Arial"/>
                <w:b/>
                <w:bCs/>
                <w:sz w:val="20"/>
                <w:szCs w:val="20"/>
              </w:rPr>
            </w:pPr>
            <w:r w:rsidRPr="00506206">
              <w:rPr>
                <w:rFonts w:ascii="Arial" w:hAnsi="Arial" w:cs="Arial"/>
                <w:b/>
                <w:bCs/>
                <w:sz w:val="20"/>
                <w:szCs w:val="20"/>
              </w:rPr>
              <w:t>LEXR</w:t>
            </w:r>
          </w:p>
        </w:tc>
        <w:tc>
          <w:tcPr>
            <w:tcW w:w="1063" w:type="dxa"/>
            <w:vAlign w:val="bottom"/>
          </w:tcPr>
          <w:p w14:paraId="6C6826BF" w14:textId="77777777" w:rsidR="00385CAF" w:rsidRPr="00506206" w:rsidRDefault="00385CAF" w:rsidP="003A76BC">
            <w:pPr>
              <w:spacing w:line="360" w:lineRule="auto"/>
              <w:jc w:val="center"/>
              <w:rPr>
                <w:rFonts w:ascii="Arial" w:hAnsi="Arial" w:cs="Arial"/>
                <w:b/>
                <w:bCs/>
                <w:sz w:val="20"/>
                <w:szCs w:val="20"/>
              </w:rPr>
            </w:pPr>
            <w:r w:rsidRPr="00506206">
              <w:rPr>
                <w:rFonts w:ascii="Arial" w:hAnsi="Arial" w:cs="Arial"/>
                <w:b/>
                <w:bCs/>
                <w:sz w:val="20"/>
                <w:szCs w:val="20"/>
              </w:rPr>
              <w:t>M2</w:t>
            </w:r>
          </w:p>
        </w:tc>
        <w:tc>
          <w:tcPr>
            <w:tcW w:w="1032" w:type="dxa"/>
            <w:vAlign w:val="bottom"/>
          </w:tcPr>
          <w:p w14:paraId="72A3639F" w14:textId="77777777" w:rsidR="00385CAF" w:rsidRPr="00506206" w:rsidRDefault="00385CAF" w:rsidP="003A76BC">
            <w:pPr>
              <w:spacing w:line="360" w:lineRule="auto"/>
              <w:jc w:val="center"/>
              <w:rPr>
                <w:rFonts w:ascii="Arial" w:hAnsi="Arial" w:cs="Arial"/>
                <w:b/>
                <w:bCs/>
                <w:sz w:val="20"/>
                <w:szCs w:val="20"/>
              </w:rPr>
            </w:pPr>
            <w:r w:rsidRPr="00506206">
              <w:rPr>
                <w:rFonts w:ascii="Arial" w:hAnsi="Arial" w:cs="Arial"/>
                <w:b/>
                <w:bCs/>
                <w:sz w:val="20"/>
                <w:szCs w:val="20"/>
              </w:rPr>
              <w:t>RGDPG</w:t>
            </w:r>
          </w:p>
        </w:tc>
        <w:tc>
          <w:tcPr>
            <w:tcW w:w="1121" w:type="dxa"/>
            <w:vAlign w:val="bottom"/>
          </w:tcPr>
          <w:p w14:paraId="0131BCE2" w14:textId="77777777" w:rsidR="00385CAF" w:rsidRPr="00506206" w:rsidRDefault="00385CAF" w:rsidP="003A76BC">
            <w:pPr>
              <w:spacing w:line="360" w:lineRule="auto"/>
              <w:jc w:val="center"/>
              <w:rPr>
                <w:rFonts w:ascii="Arial" w:hAnsi="Arial" w:cs="Arial"/>
                <w:b/>
                <w:bCs/>
                <w:sz w:val="20"/>
                <w:szCs w:val="20"/>
              </w:rPr>
            </w:pPr>
            <w:r w:rsidRPr="00506206">
              <w:rPr>
                <w:rFonts w:ascii="Arial" w:hAnsi="Arial" w:cs="Arial"/>
                <w:b/>
                <w:bCs/>
                <w:sz w:val="20"/>
                <w:szCs w:val="20"/>
              </w:rPr>
              <w:t>LR</w:t>
            </w:r>
          </w:p>
        </w:tc>
      </w:tr>
      <w:tr w:rsidR="00385CAF" w:rsidRPr="00506206" w14:paraId="672AEC46" w14:textId="77777777" w:rsidTr="003A76BC">
        <w:tc>
          <w:tcPr>
            <w:tcW w:w="1497" w:type="dxa"/>
            <w:vAlign w:val="bottom"/>
          </w:tcPr>
          <w:p w14:paraId="4E5B603C" w14:textId="77777777" w:rsidR="00385CAF" w:rsidRPr="00506206" w:rsidRDefault="00385CAF" w:rsidP="003A76BC">
            <w:pPr>
              <w:spacing w:line="360" w:lineRule="auto"/>
              <w:rPr>
                <w:rFonts w:ascii="Arial" w:hAnsi="Arial" w:cs="Arial"/>
                <w:b/>
                <w:bCs/>
                <w:sz w:val="20"/>
                <w:szCs w:val="20"/>
              </w:rPr>
            </w:pPr>
            <w:r w:rsidRPr="00506206">
              <w:rPr>
                <w:rFonts w:ascii="Arial" w:hAnsi="Arial" w:cs="Arial"/>
                <w:b/>
                <w:bCs/>
                <w:sz w:val="20"/>
                <w:szCs w:val="20"/>
              </w:rPr>
              <w:t>Mean</w:t>
            </w:r>
          </w:p>
        </w:tc>
        <w:tc>
          <w:tcPr>
            <w:tcW w:w="1063" w:type="dxa"/>
            <w:vAlign w:val="bottom"/>
          </w:tcPr>
          <w:p w14:paraId="2287B9BC"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19.19</w:t>
            </w:r>
          </w:p>
        </w:tc>
        <w:tc>
          <w:tcPr>
            <w:tcW w:w="837" w:type="dxa"/>
            <w:vAlign w:val="bottom"/>
          </w:tcPr>
          <w:p w14:paraId="4BED3644"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-2.45</w:t>
            </w:r>
          </w:p>
        </w:tc>
        <w:tc>
          <w:tcPr>
            <w:tcW w:w="950" w:type="dxa"/>
            <w:vAlign w:val="bottom"/>
          </w:tcPr>
          <w:p w14:paraId="6647A7CA"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25.61</w:t>
            </w:r>
          </w:p>
        </w:tc>
        <w:tc>
          <w:tcPr>
            <w:tcW w:w="1232" w:type="dxa"/>
            <w:vAlign w:val="bottom"/>
          </w:tcPr>
          <w:p w14:paraId="65FCEF76"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-71.35</w:t>
            </w:r>
          </w:p>
        </w:tc>
        <w:tc>
          <w:tcPr>
            <w:tcW w:w="844" w:type="dxa"/>
            <w:vAlign w:val="bottom"/>
          </w:tcPr>
          <w:p w14:paraId="337B5E1B"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3.70</w:t>
            </w:r>
          </w:p>
        </w:tc>
        <w:tc>
          <w:tcPr>
            <w:tcW w:w="1063" w:type="dxa"/>
            <w:vAlign w:val="bottom"/>
          </w:tcPr>
          <w:p w14:paraId="1ED5FC4A"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24.18</w:t>
            </w:r>
          </w:p>
        </w:tc>
        <w:tc>
          <w:tcPr>
            <w:tcW w:w="1032" w:type="dxa"/>
            <w:vAlign w:val="bottom"/>
          </w:tcPr>
          <w:p w14:paraId="123C6B7E"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2.97</w:t>
            </w:r>
          </w:p>
        </w:tc>
        <w:tc>
          <w:tcPr>
            <w:tcW w:w="1121" w:type="dxa"/>
            <w:vAlign w:val="bottom"/>
          </w:tcPr>
          <w:p w14:paraId="32F474A0"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17.08</w:t>
            </w:r>
          </w:p>
        </w:tc>
      </w:tr>
      <w:tr w:rsidR="00385CAF" w:rsidRPr="00506206" w14:paraId="30A88484" w14:textId="77777777" w:rsidTr="003A76BC">
        <w:tc>
          <w:tcPr>
            <w:tcW w:w="1497" w:type="dxa"/>
            <w:vAlign w:val="bottom"/>
          </w:tcPr>
          <w:p w14:paraId="74B72493" w14:textId="77777777" w:rsidR="00385CAF" w:rsidRPr="00506206" w:rsidRDefault="00385CAF" w:rsidP="003A76BC">
            <w:pPr>
              <w:spacing w:line="360" w:lineRule="auto"/>
              <w:rPr>
                <w:rFonts w:ascii="Arial" w:hAnsi="Arial" w:cs="Arial"/>
                <w:b/>
                <w:bCs/>
                <w:sz w:val="20"/>
                <w:szCs w:val="20"/>
              </w:rPr>
            </w:pPr>
            <w:r w:rsidRPr="00506206">
              <w:rPr>
                <w:rFonts w:ascii="Arial" w:hAnsi="Arial" w:cs="Arial"/>
                <w:b/>
                <w:bCs/>
                <w:sz w:val="20"/>
                <w:szCs w:val="20"/>
              </w:rPr>
              <w:t>Median</w:t>
            </w:r>
          </w:p>
        </w:tc>
        <w:tc>
          <w:tcPr>
            <w:tcW w:w="1063" w:type="dxa"/>
            <w:vAlign w:val="bottom"/>
          </w:tcPr>
          <w:p w14:paraId="310311DD"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13.01</w:t>
            </w:r>
          </w:p>
        </w:tc>
        <w:tc>
          <w:tcPr>
            <w:tcW w:w="837" w:type="dxa"/>
            <w:vAlign w:val="bottom"/>
          </w:tcPr>
          <w:p w14:paraId="5DD12BDE"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-2.96</w:t>
            </w:r>
          </w:p>
        </w:tc>
        <w:tc>
          <w:tcPr>
            <w:tcW w:w="950" w:type="dxa"/>
            <w:vAlign w:val="bottom"/>
          </w:tcPr>
          <w:p w14:paraId="3C8CC2A8"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24.20</w:t>
            </w:r>
          </w:p>
        </w:tc>
        <w:tc>
          <w:tcPr>
            <w:tcW w:w="1232" w:type="dxa"/>
            <w:vAlign w:val="bottom"/>
          </w:tcPr>
          <w:p w14:paraId="7F148D28"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-61.70</w:t>
            </w:r>
          </w:p>
        </w:tc>
        <w:tc>
          <w:tcPr>
            <w:tcW w:w="844" w:type="dxa"/>
            <w:vAlign w:val="bottom"/>
          </w:tcPr>
          <w:p w14:paraId="52782779"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4.78</w:t>
            </w:r>
          </w:p>
        </w:tc>
        <w:tc>
          <w:tcPr>
            <w:tcW w:w="1063" w:type="dxa"/>
            <w:vAlign w:val="bottom"/>
          </w:tcPr>
          <w:p w14:paraId="668F352E"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19.41</w:t>
            </w:r>
          </w:p>
        </w:tc>
        <w:tc>
          <w:tcPr>
            <w:tcW w:w="1032" w:type="dxa"/>
            <w:vAlign w:val="bottom"/>
          </w:tcPr>
          <w:p w14:paraId="1EF818F4"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4.06</w:t>
            </w:r>
          </w:p>
        </w:tc>
        <w:tc>
          <w:tcPr>
            <w:tcW w:w="1121" w:type="dxa"/>
            <w:vAlign w:val="bottom"/>
          </w:tcPr>
          <w:p w14:paraId="2EE20A0E"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16.90</w:t>
            </w:r>
          </w:p>
        </w:tc>
      </w:tr>
      <w:tr w:rsidR="00385CAF" w:rsidRPr="00506206" w14:paraId="25F032B3" w14:textId="77777777" w:rsidTr="003A76BC">
        <w:tc>
          <w:tcPr>
            <w:tcW w:w="1497" w:type="dxa"/>
            <w:vAlign w:val="bottom"/>
          </w:tcPr>
          <w:p w14:paraId="4BF09617" w14:textId="77777777" w:rsidR="00385CAF" w:rsidRPr="00506206" w:rsidRDefault="00385CAF" w:rsidP="003A76BC">
            <w:pPr>
              <w:spacing w:line="360" w:lineRule="auto"/>
              <w:rPr>
                <w:rFonts w:ascii="Arial" w:hAnsi="Arial" w:cs="Arial"/>
                <w:b/>
                <w:bCs/>
                <w:sz w:val="20"/>
                <w:szCs w:val="20"/>
              </w:rPr>
            </w:pPr>
            <w:r w:rsidRPr="00506206">
              <w:rPr>
                <w:rFonts w:ascii="Arial" w:hAnsi="Arial" w:cs="Arial"/>
                <w:b/>
                <w:bCs/>
                <w:sz w:val="20"/>
                <w:szCs w:val="20"/>
              </w:rPr>
              <w:t>Maximum</w:t>
            </w:r>
          </w:p>
        </w:tc>
        <w:tc>
          <w:tcPr>
            <w:tcW w:w="1063" w:type="dxa"/>
            <w:vAlign w:val="bottom"/>
          </w:tcPr>
          <w:p w14:paraId="67BADDE6"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72.84</w:t>
            </w:r>
          </w:p>
        </w:tc>
        <w:tc>
          <w:tcPr>
            <w:tcW w:w="837" w:type="dxa"/>
            <w:vAlign w:val="bottom"/>
          </w:tcPr>
          <w:p w14:paraId="06DFAFD4"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6.22</w:t>
            </w:r>
          </w:p>
        </w:tc>
        <w:tc>
          <w:tcPr>
            <w:tcW w:w="950" w:type="dxa"/>
            <w:vAlign w:val="bottom"/>
          </w:tcPr>
          <w:p w14:paraId="4E690160"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53.20</w:t>
            </w:r>
          </w:p>
        </w:tc>
        <w:tc>
          <w:tcPr>
            <w:tcW w:w="1232" w:type="dxa"/>
            <w:vAlign w:val="bottom"/>
          </w:tcPr>
          <w:p w14:paraId="2D66A3E8"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 118.20</w:t>
            </w:r>
          </w:p>
        </w:tc>
        <w:tc>
          <w:tcPr>
            <w:tcW w:w="844" w:type="dxa"/>
            <w:vAlign w:val="bottom"/>
          </w:tcPr>
          <w:p w14:paraId="55AAC190"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7.30</w:t>
            </w:r>
          </w:p>
        </w:tc>
        <w:tc>
          <w:tcPr>
            <w:tcW w:w="1063" w:type="dxa"/>
            <w:vAlign w:val="bottom"/>
          </w:tcPr>
          <w:p w14:paraId="12D099B1"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87.76</w:t>
            </w:r>
          </w:p>
        </w:tc>
        <w:tc>
          <w:tcPr>
            <w:tcW w:w="1032" w:type="dxa"/>
            <w:vAlign w:val="bottom"/>
          </w:tcPr>
          <w:p w14:paraId="67A4CFC0"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15.33</w:t>
            </w:r>
          </w:p>
        </w:tc>
        <w:tc>
          <w:tcPr>
            <w:tcW w:w="1121" w:type="dxa"/>
            <w:vAlign w:val="bottom"/>
          </w:tcPr>
          <w:p w14:paraId="38C2D849"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31.65</w:t>
            </w:r>
          </w:p>
        </w:tc>
      </w:tr>
      <w:tr w:rsidR="00385CAF" w:rsidRPr="00506206" w14:paraId="2B8103A8" w14:textId="77777777" w:rsidTr="003A76BC">
        <w:tc>
          <w:tcPr>
            <w:tcW w:w="1497" w:type="dxa"/>
            <w:vAlign w:val="bottom"/>
          </w:tcPr>
          <w:p w14:paraId="0AD5D020" w14:textId="77777777" w:rsidR="00385CAF" w:rsidRPr="00506206" w:rsidRDefault="00385CAF" w:rsidP="003A76BC">
            <w:pPr>
              <w:spacing w:line="360" w:lineRule="auto"/>
              <w:rPr>
                <w:rFonts w:ascii="Arial" w:hAnsi="Arial" w:cs="Arial"/>
                <w:b/>
                <w:bCs/>
                <w:sz w:val="20"/>
                <w:szCs w:val="20"/>
              </w:rPr>
            </w:pPr>
            <w:r w:rsidRPr="00506206">
              <w:rPr>
                <w:rFonts w:ascii="Arial" w:hAnsi="Arial" w:cs="Arial"/>
                <w:b/>
                <w:bCs/>
                <w:sz w:val="20"/>
                <w:szCs w:val="20"/>
              </w:rPr>
              <w:t>Minimum</w:t>
            </w:r>
          </w:p>
        </w:tc>
        <w:tc>
          <w:tcPr>
            <w:tcW w:w="1063" w:type="dxa"/>
            <w:vAlign w:val="bottom"/>
          </w:tcPr>
          <w:p w14:paraId="479E1FF6"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5.39</w:t>
            </w:r>
          </w:p>
        </w:tc>
        <w:tc>
          <w:tcPr>
            <w:tcW w:w="837" w:type="dxa"/>
            <w:vAlign w:val="bottom"/>
          </w:tcPr>
          <w:p w14:paraId="183CED06"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-11.80</w:t>
            </w:r>
          </w:p>
        </w:tc>
        <w:tc>
          <w:tcPr>
            <w:tcW w:w="950" w:type="dxa"/>
            <w:vAlign w:val="bottom"/>
          </w:tcPr>
          <w:p w14:paraId="745DABAF"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5.20</w:t>
            </w:r>
          </w:p>
        </w:tc>
        <w:tc>
          <w:tcPr>
            <w:tcW w:w="1232" w:type="dxa"/>
            <w:vAlign w:val="bottom"/>
          </w:tcPr>
          <w:p w14:paraId="489054BB"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-324.00</w:t>
            </w:r>
          </w:p>
        </w:tc>
        <w:tc>
          <w:tcPr>
            <w:tcW w:w="844" w:type="dxa"/>
            <w:vAlign w:val="bottom"/>
          </w:tcPr>
          <w:p w14:paraId="640F6305"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-0.60</w:t>
            </w:r>
          </w:p>
        </w:tc>
        <w:tc>
          <w:tcPr>
            <w:tcW w:w="1063" w:type="dxa"/>
            <w:vAlign w:val="bottom"/>
          </w:tcPr>
          <w:p w14:paraId="3D56B5E5"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-0.79</w:t>
            </w:r>
          </w:p>
        </w:tc>
        <w:tc>
          <w:tcPr>
            <w:tcW w:w="1032" w:type="dxa"/>
            <w:vAlign w:val="bottom"/>
          </w:tcPr>
          <w:p w14:paraId="428CEE6E"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-13.13</w:t>
            </w:r>
          </w:p>
        </w:tc>
        <w:tc>
          <w:tcPr>
            <w:tcW w:w="1121" w:type="dxa"/>
            <w:vAlign w:val="bottom"/>
          </w:tcPr>
          <w:p w14:paraId="33A3BC71"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8.43</w:t>
            </w:r>
          </w:p>
        </w:tc>
      </w:tr>
      <w:tr w:rsidR="00385CAF" w:rsidRPr="00506206" w14:paraId="2F0D93D9" w14:textId="77777777" w:rsidTr="003A76BC">
        <w:tc>
          <w:tcPr>
            <w:tcW w:w="1497" w:type="dxa"/>
            <w:vAlign w:val="bottom"/>
          </w:tcPr>
          <w:p w14:paraId="0F761E40" w14:textId="77777777" w:rsidR="00385CAF" w:rsidRPr="00506206" w:rsidRDefault="00385CAF" w:rsidP="003A76BC">
            <w:pPr>
              <w:spacing w:line="360" w:lineRule="auto"/>
              <w:rPr>
                <w:rFonts w:ascii="Arial" w:hAnsi="Arial" w:cs="Arial"/>
                <w:b/>
                <w:bCs/>
                <w:sz w:val="20"/>
                <w:szCs w:val="20"/>
              </w:rPr>
            </w:pPr>
            <w:r w:rsidRPr="00506206">
              <w:rPr>
                <w:rFonts w:ascii="Arial" w:hAnsi="Arial" w:cs="Arial"/>
                <w:b/>
                <w:bCs/>
                <w:sz w:val="20"/>
                <w:szCs w:val="20"/>
              </w:rPr>
              <w:t>Std. Dev.</w:t>
            </w:r>
          </w:p>
        </w:tc>
        <w:tc>
          <w:tcPr>
            <w:tcW w:w="1063" w:type="dxa"/>
            <w:vAlign w:val="bottom"/>
          </w:tcPr>
          <w:p w14:paraId="4173250A"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16.11</w:t>
            </w:r>
          </w:p>
        </w:tc>
        <w:tc>
          <w:tcPr>
            <w:tcW w:w="837" w:type="dxa"/>
            <w:vAlign w:val="bottom"/>
          </w:tcPr>
          <w:p w14:paraId="7960B56A"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3.99</w:t>
            </w:r>
          </w:p>
        </w:tc>
        <w:tc>
          <w:tcPr>
            <w:tcW w:w="950" w:type="dxa"/>
            <w:vAlign w:val="bottom"/>
          </w:tcPr>
          <w:p w14:paraId="0E1C99F9"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13.42</w:t>
            </w:r>
          </w:p>
        </w:tc>
        <w:tc>
          <w:tcPr>
            <w:tcW w:w="1232" w:type="dxa"/>
            <w:vAlign w:val="bottom"/>
          </w:tcPr>
          <w:p w14:paraId="7A4B9FAC"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 106.71</w:t>
            </w:r>
          </w:p>
        </w:tc>
        <w:tc>
          <w:tcPr>
            <w:tcW w:w="844" w:type="dxa"/>
            <w:vAlign w:val="bottom"/>
          </w:tcPr>
          <w:p w14:paraId="42398EDB"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2.17</w:t>
            </w:r>
          </w:p>
        </w:tc>
        <w:tc>
          <w:tcPr>
            <w:tcW w:w="1063" w:type="dxa"/>
            <w:vAlign w:val="bottom"/>
          </w:tcPr>
          <w:p w14:paraId="352A4DB0"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17.99</w:t>
            </w:r>
          </w:p>
        </w:tc>
        <w:tc>
          <w:tcPr>
            <w:tcW w:w="1032" w:type="dxa"/>
            <w:vAlign w:val="bottom"/>
          </w:tcPr>
          <w:p w14:paraId="32F32285"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5.29</w:t>
            </w:r>
          </w:p>
        </w:tc>
        <w:tc>
          <w:tcPr>
            <w:tcW w:w="1121" w:type="dxa"/>
            <w:vAlign w:val="bottom"/>
          </w:tcPr>
          <w:p w14:paraId="34800A08"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4.86</w:t>
            </w:r>
          </w:p>
        </w:tc>
      </w:tr>
      <w:tr w:rsidR="00385CAF" w:rsidRPr="00506206" w14:paraId="778572F8" w14:textId="77777777" w:rsidTr="003A76BC">
        <w:tc>
          <w:tcPr>
            <w:tcW w:w="1497" w:type="dxa"/>
            <w:vAlign w:val="bottom"/>
          </w:tcPr>
          <w:p w14:paraId="36EDB57D" w14:textId="77777777" w:rsidR="00385CAF" w:rsidRPr="00506206" w:rsidRDefault="00385CAF" w:rsidP="003A76BC">
            <w:pPr>
              <w:spacing w:line="360" w:lineRule="auto"/>
              <w:rPr>
                <w:rFonts w:ascii="Arial" w:hAnsi="Arial" w:cs="Arial"/>
                <w:b/>
                <w:bCs/>
                <w:sz w:val="20"/>
                <w:szCs w:val="20"/>
              </w:rPr>
            </w:pPr>
            <w:r w:rsidRPr="00506206">
              <w:rPr>
                <w:rFonts w:ascii="Arial" w:hAnsi="Arial" w:cs="Arial"/>
                <w:b/>
                <w:bCs/>
                <w:sz w:val="20"/>
                <w:szCs w:val="20"/>
              </w:rPr>
              <w:t>Skewness</w:t>
            </w:r>
          </w:p>
        </w:tc>
        <w:tc>
          <w:tcPr>
            <w:tcW w:w="1063" w:type="dxa"/>
            <w:vAlign w:val="bottom"/>
          </w:tcPr>
          <w:p w14:paraId="58584517"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1.83</w:t>
            </w:r>
          </w:p>
        </w:tc>
        <w:tc>
          <w:tcPr>
            <w:tcW w:w="837" w:type="dxa"/>
            <w:vAlign w:val="bottom"/>
          </w:tcPr>
          <w:p w14:paraId="4D5F6489"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-0.13</w:t>
            </w:r>
          </w:p>
        </w:tc>
        <w:tc>
          <w:tcPr>
            <w:tcW w:w="950" w:type="dxa"/>
            <w:vAlign w:val="bottom"/>
          </w:tcPr>
          <w:p w14:paraId="5FA0CC29"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0.39</w:t>
            </w:r>
          </w:p>
        </w:tc>
        <w:tc>
          <w:tcPr>
            <w:tcW w:w="1232" w:type="dxa"/>
            <w:vAlign w:val="bottom"/>
          </w:tcPr>
          <w:p w14:paraId="36C52C6B"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-0.64</w:t>
            </w:r>
          </w:p>
        </w:tc>
        <w:tc>
          <w:tcPr>
            <w:tcW w:w="844" w:type="dxa"/>
            <w:vAlign w:val="bottom"/>
          </w:tcPr>
          <w:p w14:paraId="4545D173"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-0.70</w:t>
            </w:r>
          </w:p>
        </w:tc>
        <w:tc>
          <w:tcPr>
            <w:tcW w:w="1063" w:type="dxa"/>
            <w:vAlign w:val="bottom"/>
          </w:tcPr>
          <w:p w14:paraId="2280F4AF"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1.27</w:t>
            </w:r>
          </w:p>
        </w:tc>
        <w:tc>
          <w:tcPr>
            <w:tcW w:w="1032" w:type="dxa"/>
            <w:vAlign w:val="bottom"/>
          </w:tcPr>
          <w:p w14:paraId="48379120"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-0.85</w:t>
            </w:r>
          </w:p>
        </w:tc>
        <w:tc>
          <w:tcPr>
            <w:tcW w:w="1121" w:type="dxa"/>
            <w:vAlign w:val="bottom"/>
          </w:tcPr>
          <w:p w14:paraId="16C75145"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0.33</w:t>
            </w:r>
          </w:p>
        </w:tc>
      </w:tr>
      <w:tr w:rsidR="00385CAF" w:rsidRPr="00506206" w14:paraId="24BF1B34" w14:textId="77777777" w:rsidTr="003A76BC">
        <w:tc>
          <w:tcPr>
            <w:tcW w:w="1497" w:type="dxa"/>
            <w:vAlign w:val="bottom"/>
          </w:tcPr>
          <w:p w14:paraId="5598890E" w14:textId="77777777" w:rsidR="00385CAF" w:rsidRPr="00506206" w:rsidRDefault="00385CAF" w:rsidP="003A76BC">
            <w:pPr>
              <w:spacing w:line="360" w:lineRule="auto"/>
              <w:rPr>
                <w:rFonts w:ascii="Arial" w:hAnsi="Arial" w:cs="Arial"/>
                <w:b/>
                <w:bCs/>
                <w:sz w:val="20"/>
                <w:szCs w:val="20"/>
              </w:rPr>
            </w:pPr>
            <w:r w:rsidRPr="00506206">
              <w:rPr>
                <w:rFonts w:ascii="Arial" w:hAnsi="Arial" w:cs="Arial"/>
                <w:b/>
                <w:bCs/>
                <w:sz w:val="20"/>
                <w:szCs w:val="20"/>
              </w:rPr>
              <w:t>Kurtosis</w:t>
            </w:r>
          </w:p>
        </w:tc>
        <w:tc>
          <w:tcPr>
            <w:tcW w:w="1063" w:type="dxa"/>
            <w:vAlign w:val="bottom"/>
          </w:tcPr>
          <w:p w14:paraId="57CECCC1"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5.41</w:t>
            </w:r>
          </w:p>
        </w:tc>
        <w:tc>
          <w:tcPr>
            <w:tcW w:w="837" w:type="dxa"/>
            <w:vAlign w:val="bottom"/>
          </w:tcPr>
          <w:p w14:paraId="3391ECD1"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2.91</w:t>
            </w:r>
          </w:p>
        </w:tc>
        <w:tc>
          <w:tcPr>
            <w:tcW w:w="950" w:type="dxa"/>
            <w:vAlign w:val="bottom"/>
          </w:tcPr>
          <w:p w14:paraId="0036EC90"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2.19</w:t>
            </w:r>
          </w:p>
        </w:tc>
        <w:tc>
          <w:tcPr>
            <w:tcW w:w="1232" w:type="dxa"/>
            <w:vAlign w:val="bottom"/>
          </w:tcPr>
          <w:p w14:paraId="561E1399"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 2.86</w:t>
            </w:r>
          </w:p>
        </w:tc>
        <w:tc>
          <w:tcPr>
            <w:tcW w:w="844" w:type="dxa"/>
            <w:vAlign w:val="bottom"/>
          </w:tcPr>
          <w:p w14:paraId="5AE2B2C4"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2.36</w:t>
            </w:r>
          </w:p>
        </w:tc>
        <w:tc>
          <w:tcPr>
            <w:tcW w:w="1063" w:type="dxa"/>
            <w:vAlign w:val="bottom"/>
          </w:tcPr>
          <w:p w14:paraId="45F0FDCB"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4.97</w:t>
            </w:r>
          </w:p>
        </w:tc>
        <w:tc>
          <w:tcPr>
            <w:tcW w:w="1032" w:type="dxa"/>
            <w:vAlign w:val="bottom"/>
          </w:tcPr>
          <w:p w14:paraId="49452080"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4.66</w:t>
            </w:r>
          </w:p>
        </w:tc>
        <w:tc>
          <w:tcPr>
            <w:tcW w:w="1121" w:type="dxa"/>
            <w:vAlign w:val="bottom"/>
          </w:tcPr>
          <w:p w14:paraId="7BFC9A79"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3.54</w:t>
            </w:r>
          </w:p>
        </w:tc>
      </w:tr>
      <w:tr w:rsidR="00385CAF" w:rsidRPr="00506206" w14:paraId="2AC2FFAA" w14:textId="77777777" w:rsidTr="003A76BC">
        <w:tc>
          <w:tcPr>
            <w:tcW w:w="1497" w:type="dxa"/>
            <w:vAlign w:val="bottom"/>
          </w:tcPr>
          <w:p w14:paraId="52836E7C" w14:textId="77777777" w:rsidR="00385CAF" w:rsidRPr="00506206" w:rsidRDefault="00385CAF" w:rsidP="003A76BC">
            <w:pPr>
              <w:spacing w:line="360" w:lineRule="auto"/>
              <w:rPr>
                <w:rFonts w:ascii="Arial" w:hAnsi="Arial" w:cs="Arial"/>
                <w:b/>
                <w:bCs/>
                <w:sz w:val="20"/>
                <w:szCs w:val="20"/>
              </w:rPr>
            </w:pPr>
            <w:proofErr w:type="spellStart"/>
            <w:r w:rsidRPr="00506206">
              <w:rPr>
                <w:rFonts w:ascii="Arial" w:hAnsi="Arial" w:cs="Arial"/>
                <w:b/>
                <w:bCs/>
                <w:sz w:val="20"/>
                <w:szCs w:val="20"/>
              </w:rPr>
              <w:t>Jarque-Bera</w:t>
            </w:r>
            <w:proofErr w:type="spellEnd"/>
          </w:p>
          <w:p w14:paraId="173267A9" w14:textId="77777777" w:rsidR="00385CAF" w:rsidRPr="00506206" w:rsidRDefault="00385CAF" w:rsidP="003A76BC">
            <w:pPr>
              <w:spacing w:line="360" w:lineRule="auto"/>
              <w:rPr>
                <w:rFonts w:ascii="Arial" w:hAnsi="Arial" w:cs="Arial"/>
                <w:b/>
                <w:bCs/>
                <w:sz w:val="20"/>
                <w:szCs w:val="20"/>
              </w:rPr>
            </w:pPr>
            <w:r w:rsidRPr="00506206">
              <w:rPr>
                <w:rFonts w:ascii="Arial" w:hAnsi="Arial" w:cs="Arial"/>
                <w:b/>
                <w:bCs/>
                <w:sz w:val="20"/>
                <w:szCs w:val="20"/>
              </w:rPr>
              <w:t>Probability</w:t>
            </w:r>
          </w:p>
        </w:tc>
        <w:tc>
          <w:tcPr>
            <w:tcW w:w="1063" w:type="dxa"/>
            <w:vAlign w:val="bottom"/>
          </w:tcPr>
          <w:p w14:paraId="03BF855B"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36.02</w:t>
            </w:r>
          </w:p>
          <w:p w14:paraId="656BA80F"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0.00</w:t>
            </w:r>
          </w:p>
        </w:tc>
        <w:tc>
          <w:tcPr>
            <w:tcW w:w="837" w:type="dxa"/>
            <w:vAlign w:val="bottom"/>
          </w:tcPr>
          <w:p w14:paraId="6E1B2389"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0.15</w:t>
            </w:r>
          </w:p>
          <w:p w14:paraId="222F21AD"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0.93</w:t>
            </w:r>
          </w:p>
        </w:tc>
        <w:tc>
          <w:tcPr>
            <w:tcW w:w="950" w:type="dxa"/>
            <w:vAlign w:val="bottom"/>
          </w:tcPr>
          <w:p w14:paraId="052BBAB3"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2.36</w:t>
            </w:r>
          </w:p>
          <w:p w14:paraId="79A61820"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0.31</w:t>
            </w:r>
          </w:p>
        </w:tc>
        <w:tc>
          <w:tcPr>
            <w:tcW w:w="1232" w:type="dxa"/>
            <w:vAlign w:val="bottom"/>
          </w:tcPr>
          <w:p w14:paraId="73F87F2E"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 3.09</w:t>
            </w:r>
          </w:p>
          <w:p w14:paraId="1F33F5C8"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0.21</w:t>
            </w:r>
          </w:p>
        </w:tc>
        <w:tc>
          <w:tcPr>
            <w:tcW w:w="844" w:type="dxa"/>
            <w:vAlign w:val="bottom"/>
          </w:tcPr>
          <w:p w14:paraId="2768CD0E"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4.44</w:t>
            </w:r>
          </w:p>
          <w:p w14:paraId="7A8F4BED"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0.11</w:t>
            </w:r>
          </w:p>
        </w:tc>
        <w:tc>
          <w:tcPr>
            <w:tcW w:w="1063" w:type="dxa"/>
            <w:vAlign w:val="bottom"/>
          </w:tcPr>
          <w:p w14:paraId="6660CBFD"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19.30</w:t>
            </w:r>
          </w:p>
          <w:p w14:paraId="2A7EA3B8"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0.00</w:t>
            </w:r>
          </w:p>
        </w:tc>
        <w:tc>
          <w:tcPr>
            <w:tcW w:w="1032" w:type="dxa"/>
            <w:vAlign w:val="bottom"/>
          </w:tcPr>
          <w:p w14:paraId="575B9884"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10.62</w:t>
            </w:r>
          </w:p>
          <w:p w14:paraId="6FF6F583"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0.00</w:t>
            </w:r>
          </w:p>
        </w:tc>
        <w:tc>
          <w:tcPr>
            <w:tcW w:w="1121" w:type="dxa"/>
            <w:vAlign w:val="bottom"/>
          </w:tcPr>
          <w:p w14:paraId="7035A291"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1.36</w:t>
            </w:r>
          </w:p>
          <w:p w14:paraId="54AA77CE"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0.51</w:t>
            </w:r>
          </w:p>
        </w:tc>
      </w:tr>
      <w:tr w:rsidR="00385CAF" w:rsidRPr="00506206" w14:paraId="1CB4F817" w14:textId="77777777" w:rsidTr="003A76BC">
        <w:tc>
          <w:tcPr>
            <w:tcW w:w="1497" w:type="dxa"/>
            <w:vAlign w:val="bottom"/>
          </w:tcPr>
          <w:p w14:paraId="15D6F0D5" w14:textId="77777777" w:rsidR="00385CAF" w:rsidRPr="00506206" w:rsidRDefault="00385CAF" w:rsidP="003A76BC">
            <w:pPr>
              <w:spacing w:line="360" w:lineRule="auto"/>
              <w:rPr>
                <w:rFonts w:ascii="Arial" w:hAnsi="Arial" w:cs="Arial"/>
                <w:b/>
                <w:bCs/>
                <w:sz w:val="20"/>
                <w:szCs w:val="20"/>
              </w:rPr>
            </w:pPr>
            <w:r w:rsidRPr="00506206">
              <w:rPr>
                <w:rFonts w:ascii="Arial" w:hAnsi="Arial" w:cs="Arial"/>
                <w:b/>
                <w:bCs/>
                <w:sz w:val="20"/>
                <w:szCs w:val="20"/>
              </w:rPr>
              <w:t>Sum</w:t>
            </w:r>
          </w:p>
        </w:tc>
        <w:tc>
          <w:tcPr>
            <w:tcW w:w="1063" w:type="dxa"/>
            <w:vAlign w:val="bottom"/>
          </w:tcPr>
          <w:p w14:paraId="71E1C736"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863.63</w:t>
            </w:r>
          </w:p>
        </w:tc>
        <w:tc>
          <w:tcPr>
            <w:tcW w:w="837" w:type="dxa"/>
            <w:vAlign w:val="bottom"/>
          </w:tcPr>
          <w:p w14:paraId="7DA4466B"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-110.47</w:t>
            </w:r>
          </w:p>
        </w:tc>
        <w:tc>
          <w:tcPr>
            <w:tcW w:w="950" w:type="dxa"/>
            <w:vAlign w:val="bottom"/>
          </w:tcPr>
          <w:p w14:paraId="222E74FA"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1152.50</w:t>
            </w:r>
          </w:p>
        </w:tc>
        <w:tc>
          <w:tcPr>
            <w:tcW w:w="1232" w:type="dxa"/>
            <w:vAlign w:val="bottom"/>
          </w:tcPr>
          <w:p w14:paraId="6B4A6945"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-3210.66</w:t>
            </w:r>
          </w:p>
        </w:tc>
        <w:tc>
          <w:tcPr>
            <w:tcW w:w="844" w:type="dxa"/>
            <w:vAlign w:val="bottom"/>
          </w:tcPr>
          <w:p w14:paraId="20B55CBA"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166.69</w:t>
            </w:r>
          </w:p>
        </w:tc>
        <w:tc>
          <w:tcPr>
            <w:tcW w:w="1063" w:type="dxa"/>
            <w:vAlign w:val="bottom"/>
          </w:tcPr>
          <w:p w14:paraId="68B30B55"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1088.06</w:t>
            </w:r>
          </w:p>
        </w:tc>
        <w:tc>
          <w:tcPr>
            <w:tcW w:w="1032" w:type="dxa"/>
            <w:vAlign w:val="bottom"/>
          </w:tcPr>
          <w:p w14:paraId="37C6ABD3"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133.50</w:t>
            </w:r>
          </w:p>
        </w:tc>
        <w:tc>
          <w:tcPr>
            <w:tcW w:w="1121" w:type="dxa"/>
            <w:vAlign w:val="bottom"/>
          </w:tcPr>
          <w:p w14:paraId="5BBA7F5D"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768.62</w:t>
            </w:r>
          </w:p>
        </w:tc>
      </w:tr>
      <w:tr w:rsidR="00385CAF" w:rsidRPr="00506206" w14:paraId="1A6AD44B" w14:textId="77777777" w:rsidTr="003A76BC">
        <w:tc>
          <w:tcPr>
            <w:tcW w:w="1497" w:type="dxa"/>
            <w:vAlign w:val="bottom"/>
          </w:tcPr>
          <w:p w14:paraId="659E5402" w14:textId="77777777" w:rsidR="00385CAF" w:rsidRPr="00506206" w:rsidRDefault="00385CAF" w:rsidP="003A76BC">
            <w:pPr>
              <w:spacing w:line="360" w:lineRule="auto"/>
              <w:rPr>
                <w:rFonts w:ascii="Arial" w:hAnsi="Arial" w:cs="Arial"/>
                <w:b/>
                <w:bCs/>
                <w:sz w:val="20"/>
                <w:szCs w:val="20"/>
              </w:rPr>
            </w:pPr>
            <w:r w:rsidRPr="00506206">
              <w:rPr>
                <w:rFonts w:ascii="Arial" w:hAnsi="Arial" w:cs="Arial"/>
                <w:b/>
                <w:bCs/>
                <w:sz w:val="20"/>
                <w:szCs w:val="20"/>
              </w:rPr>
              <w:t>Sum Sq. Dev.</w:t>
            </w:r>
          </w:p>
        </w:tc>
        <w:tc>
          <w:tcPr>
            <w:tcW w:w="1063" w:type="dxa"/>
            <w:vAlign w:val="bottom"/>
          </w:tcPr>
          <w:p w14:paraId="0609BFC6"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11416.23</w:t>
            </w:r>
          </w:p>
        </w:tc>
        <w:tc>
          <w:tcPr>
            <w:tcW w:w="837" w:type="dxa"/>
            <w:vAlign w:val="bottom"/>
          </w:tcPr>
          <w:p w14:paraId="3F0EC9C0"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699.18</w:t>
            </w:r>
          </w:p>
        </w:tc>
        <w:tc>
          <w:tcPr>
            <w:tcW w:w="950" w:type="dxa"/>
            <w:vAlign w:val="bottom"/>
          </w:tcPr>
          <w:p w14:paraId="355E94C8"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7925.14</w:t>
            </w:r>
          </w:p>
        </w:tc>
        <w:tc>
          <w:tcPr>
            <w:tcW w:w="1232" w:type="dxa"/>
            <w:vAlign w:val="bottom"/>
          </w:tcPr>
          <w:p w14:paraId="087E81D2"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 501021.20</w:t>
            </w:r>
          </w:p>
        </w:tc>
        <w:tc>
          <w:tcPr>
            <w:tcW w:w="844" w:type="dxa"/>
            <w:vAlign w:val="bottom"/>
          </w:tcPr>
          <w:p w14:paraId="7846FB80"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206.39</w:t>
            </w:r>
          </w:p>
        </w:tc>
        <w:tc>
          <w:tcPr>
            <w:tcW w:w="1063" w:type="dxa"/>
            <w:vAlign w:val="bottom"/>
          </w:tcPr>
          <w:p w14:paraId="562B4FC4"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14239.04</w:t>
            </w:r>
          </w:p>
        </w:tc>
        <w:tc>
          <w:tcPr>
            <w:tcW w:w="1032" w:type="dxa"/>
            <w:vAlign w:val="bottom"/>
          </w:tcPr>
          <w:p w14:paraId="569FEC31"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1232.51</w:t>
            </w:r>
          </w:p>
        </w:tc>
        <w:tc>
          <w:tcPr>
            <w:tcW w:w="1121" w:type="dxa"/>
            <w:vAlign w:val="bottom"/>
          </w:tcPr>
          <w:p w14:paraId="5034F369"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1040.13</w:t>
            </w:r>
          </w:p>
        </w:tc>
      </w:tr>
      <w:tr w:rsidR="00385CAF" w:rsidRPr="00506206" w14:paraId="22655001" w14:textId="77777777" w:rsidTr="003A76BC">
        <w:tc>
          <w:tcPr>
            <w:tcW w:w="1497" w:type="dxa"/>
            <w:vAlign w:val="bottom"/>
          </w:tcPr>
          <w:p w14:paraId="0F5F1039" w14:textId="77777777" w:rsidR="00385CAF" w:rsidRPr="00506206" w:rsidRDefault="00385CAF" w:rsidP="003A76BC">
            <w:pPr>
              <w:spacing w:line="360" w:lineRule="auto"/>
              <w:rPr>
                <w:rFonts w:ascii="Arial" w:hAnsi="Arial" w:cs="Arial"/>
                <w:b/>
                <w:bCs/>
                <w:sz w:val="20"/>
                <w:szCs w:val="20"/>
              </w:rPr>
            </w:pPr>
            <w:r w:rsidRPr="00506206">
              <w:rPr>
                <w:rFonts w:ascii="Arial" w:hAnsi="Arial" w:cs="Arial"/>
                <w:b/>
                <w:bCs/>
                <w:sz w:val="20"/>
                <w:szCs w:val="20"/>
              </w:rPr>
              <w:t>Observations</w:t>
            </w:r>
          </w:p>
        </w:tc>
        <w:tc>
          <w:tcPr>
            <w:tcW w:w="1063" w:type="dxa"/>
            <w:vAlign w:val="bottom"/>
          </w:tcPr>
          <w:p w14:paraId="4CFE1F6A"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45</w:t>
            </w:r>
          </w:p>
        </w:tc>
        <w:tc>
          <w:tcPr>
            <w:tcW w:w="837" w:type="dxa"/>
            <w:vAlign w:val="bottom"/>
          </w:tcPr>
          <w:p w14:paraId="4C081500"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45</w:t>
            </w:r>
          </w:p>
        </w:tc>
        <w:tc>
          <w:tcPr>
            <w:tcW w:w="950" w:type="dxa"/>
            <w:vAlign w:val="bottom"/>
          </w:tcPr>
          <w:p w14:paraId="6D1A85A0"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45</w:t>
            </w:r>
          </w:p>
        </w:tc>
        <w:tc>
          <w:tcPr>
            <w:tcW w:w="1232" w:type="dxa"/>
            <w:vAlign w:val="bottom"/>
          </w:tcPr>
          <w:p w14:paraId="2D854928"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45</w:t>
            </w:r>
          </w:p>
        </w:tc>
        <w:tc>
          <w:tcPr>
            <w:tcW w:w="844" w:type="dxa"/>
            <w:vAlign w:val="bottom"/>
          </w:tcPr>
          <w:p w14:paraId="6D544B16"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45</w:t>
            </w:r>
          </w:p>
        </w:tc>
        <w:tc>
          <w:tcPr>
            <w:tcW w:w="1063" w:type="dxa"/>
            <w:vAlign w:val="bottom"/>
          </w:tcPr>
          <w:p w14:paraId="55D176BD"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45</w:t>
            </w:r>
          </w:p>
        </w:tc>
        <w:tc>
          <w:tcPr>
            <w:tcW w:w="1032" w:type="dxa"/>
            <w:vAlign w:val="bottom"/>
          </w:tcPr>
          <w:p w14:paraId="5FC5124A"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45</w:t>
            </w:r>
          </w:p>
        </w:tc>
        <w:tc>
          <w:tcPr>
            <w:tcW w:w="1121" w:type="dxa"/>
            <w:vAlign w:val="bottom"/>
          </w:tcPr>
          <w:p w14:paraId="265B94B9"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45</w:t>
            </w:r>
          </w:p>
        </w:tc>
      </w:tr>
    </w:tbl>
    <w:p w14:paraId="23BB0531" w14:textId="77777777" w:rsidR="00385CAF" w:rsidRPr="008D2A8D" w:rsidRDefault="00385CAF" w:rsidP="00385CAF">
      <w:pPr>
        <w:spacing w:line="360" w:lineRule="auto"/>
        <w:rPr>
          <w:rFonts w:ascii="Times New Roman" w:hAnsi="Times New Roman"/>
          <w:b/>
          <w:bCs/>
          <w:sz w:val="24"/>
          <w:szCs w:val="24"/>
        </w:rPr>
      </w:pPr>
      <w:r w:rsidRPr="00506206">
        <w:rPr>
          <w:rFonts w:ascii="Arial" w:hAnsi="Arial" w:cs="Arial"/>
          <w:b/>
          <w:bCs/>
        </w:rPr>
        <w:t xml:space="preserve">  Source: Author’s computation using EViews 13</w:t>
      </w:r>
      <w:r w:rsidRPr="008D2A8D">
        <w:rPr>
          <w:rFonts w:ascii="Times New Roman" w:hAnsi="Times New Roman"/>
          <w:b/>
          <w:bCs/>
          <w:sz w:val="24"/>
          <w:szCs w:val="24"/>
        </w:rPr>
        <w:t xml:space="preserve"> </w:t>
      </w:r>
    </w:p>
    <w:p w14:paraId="58C2DF92" w14:textId="77777777" w:rsidR="00385CAF" w:rsidRPr="00506206" w:rsidRDefault="00385CAF" w:rsidP="00385CAF">
      <w:pPr>
        <w:spacing w:line="360" w:lineRule="auto"/>
        <w:rPr>
          <w:rFonts w:ascii="Arial" w:hAnsi="Arial" w:cs="Arial"/>
          <w:b/>
          <w:bCs/>
        </w:rPr>
      </w:pPr>
      <w:r w:rsidRPr="00506206">
        <w:rPr>
          <w:rFonts w:ascii="Arial" w:hAnsi="Arial" w:cs="Arial"/>
          <w:b/>
          <w:bCs/>
        </w:rPr>
        <w:t>4.2 Correlation Analysis</w:t>
      </w:r>
    </w:p>
    <w:p w14:paraId="4707DBC6" w14:textId="77777777" w:rsidR="00385CAF" w:rsidRPr="00506206" w:rsidRDefault="00385CAF" w:rsidP="00385CAF">
      <w:pPr>
        <w:jc w:val="both"/>
        <w:rPr>
          <w:rFonts w:ascii="Arial" w:hAnsi="Arial" w:cs="Arial"/>
        </w:rPr>
      </w:pPr>
      <w:r w:rsidRPr="00506206">
        <w:rPr>
          <w:rFonts w:ascii="Arial" w:hAnsi="Arial" w:cs="Arial"/>
        </w:rPr>
        <w:t>Table 2 presents the results of the pair-wise correlation analysis, including the coefficients and their respective probability values. This analysis is essential for identifying the initial bivariate relationships between the variables and for diagnosing potential multicollinearity issues. The correlation results indicate that the public debt-to-GDP ratio (PD) and the lending rate (LR) are the primary significant correlates of the inflation rate (INF). PD shows a positive and statistically significant association with INF (r = 0.40, p = 0.01), suggesting that higher levels of public debt are linearly associated with rising price levels. Similarly, LR exhibits a significant positive correlation with INF (r = 0.37, p = 0.01). On the other hand, the fiscal deficit</w:t>
      </w:r>
      <w:r>
        <w:rPr>
          <w:rFonts w:ascii="Arial" w:hAnsi="Arial" w:cs="Arial"/>
        </w:rPr>
        <w:t xml:space="preserve"> to</w:t>
      </w:r>
      <w:r w:rsidRPr="00506206">
        <w:rPr>
          <w:rFonts w:ascii="Arial" w:hAnsi="Arial" w:cs="Arial"/>
        </w:rPr>
        <w:t xml:space="preserve"> GDP ratio (FD) is negatively correlated with inflation (r = 0.05, p=0.72), but not statistically significant. The interaction term (FD*PD) is also negatively correlated (r = ,0.23), but not significant at the 5% level (p=0.13). The control variables: exchange rate (LEXR), broad money growth (M2) and real GDP growth (RGDPG), do not have statistically significant linear association with INF.</w:t>
      </w:r>
      <w:r>
        <w:rPr>
          <w:rFonts w:ascii="Arial" w:hAnsi="Arial" w:cs="Arial"/>
        </w:rPr>
        <w:t xml:space="preserve"> </w:t>
      </w:r>
      <w:r w:rsidRPr="00506206">
        <w:rPr>
          <w:rFonts w:ascii="Arial" w:hAnsi="Arial" w:cs="Arial"/>
        </w:rPr>
        <w:t xml:space="preserve">The correlation analysis reveals several compelling positive links. </w:t>
      </w:r>
      <w:r>
        <w:rPr>
          <w:rFonts w:ascii="Arial" w:hAnsi="Arial" w:cs="Arial"/>
        </w:rPr>
        <w:t>F</w:t>
      </w:r>
      <w:r w:rsidRPr="00506206">
        <w:rPr>
          <w:rFonts w:ascii="Arial" w:hAnsi="Arial" w:cs="Arial"/>
        </w:rPr>
        <w:t>iscal deficit</w:t>
      </w:r>
      <w:r>
        <w:rPr>
          <w:rFonts w:ascii="Arial" w:hAnsi="Arial" w:cs="Arial"/>
        </w:rPr>
        <w:t>s</w:t>
      </w:r>
      <w:r w:rsidRPr="00506206">
        <w:rPr>
          <w:rFonts w:ascii="Arial" w:hAnsi="Arial" w:cs="Arial"/>
        </w:rPr>
        <w:t xml:space="preserve">, for example, is found to correlate significantly with real GDP growth (r = 0.59, p &lt; 0.01). Parallel to this, fiscal deficits also demonstrate a robust positive association with exchange rate depreciation (r = 0.53, p &lt; 0.01). A distinct positive relationship also manifests </w:t>
      </w:r>
      <w:r w:rsidRPr="00506206">
        <w:rPr>
          <w:rFonts w:ascii="Arial" w:hAnsi="Arial" w:cs="Arial"/>
        </w:rPr>
        <w:lastRenderedPageBreak/>
        <w:t xml:space="preserve">between money supply growth and the prevailing lending rate (r = 0.38, p = 0.01). For the most part, the correlation coefficients observed are less than 0.80, suggesting that the model does not generally suffer from a multicollinearity problem. Nevertheless, a particularly strong linear dependence does exist between the fiscal deficit and the FD*PD interaction term, registering a correlation coefficient of 0.89 (p &lt; 0.01). However, this is expected, given that FD*PD is a product. In the context of an ARDL framework, which accounts for the dynamic lag structure of variables, such interaction-based correlations do not compromise the structural integrity of the parameter estimates. </w:t>
      </w:r>
    </w:p>
    <w:p w14:paraId="13871ED0" w14:textId="77777777" w:rsidR="00385CAF" w:rsidRDefault="00385CAF" w:rsidP="00385CAF">
      <w:pPr>
        <w:spacing w:line="360" w:lineRule="auto"/>
        <w:rPr>
          <w:rFonts w:ascii="Arial" w:hAnsi="Arial" w:cs="Arial"/>
          <w:b/>
          <w:bCs/>
        </w:rPr>
      </w:pPr>
      <w:r w:rsidRPr="00506206">
        <w:rPr>
          <w:rFonts w:ascii="Arial" w:hAnsi="Arial" w:cs="Arial"/>
          <w:b/>
          <w:bCs/>
        </w:rPr>
        <w:t xml:space="preserve">  </w:t>
      </w:r>
    </w:p>
    <w:p w14:paraId="41B5C9E9" w14:textId="77777777" w:rsidR="00385CAF" w:rsidRPr="00506206" w:rsidRDefault="00385CAF" w:rsidP="00385CAF">
      <w:pPr>
        <w:spacing w:line="360" w:lineRule="auto"/>
        <w:rPr>
          <w:rFonts w:ascii="Arial" w:hAnsi="Arial" w:cs="Arial"/>
          <w:b/>
          <w:bCs/>
        </w:rPr>
      </w:pPr>
      <w:r w:rsidRPr="00506206">
        <w:rPr>
          <w:rFonts w:ascii="Arial" w:hAnsi="Arial" w:cs="Arial"/>
          <w:b/>
          <w:bCs/>
        </w:rPr>
        <w:t>Table 2: Pair-wise correlation matrix</w:t>
      </w:r>
    </w:p>
    <w:tbl>
      <w:tblPr>
        <w:tblStyle w:val="TableGrid"/>
        <w:tblW w:w="9750" w:type="dxa"/>
        <w:tblInd w:w="108" w:type="dxa"/>
        <w:tblLook w:val="04A0" w:firstRow="1" w:lastRow="0" w:firstColumn="1" w:lastColumn="0" w:noHBand="0" w:noVBand="1"/>
      </w:tblPr>
      <w:tblGrid>
        <w:gridCol w:w="1342"/>
        <w:gridCol w:w="1095"/>
        <w:gridCol w:w="1094"/>
        <w:gridCol w:w="1094"/>
        <w:gridCol w:w="1094"/>
        <w:gridCol w:w="972"/>
        <w:gridCol w:w="993"/>
        <w:gridCol w:w="1134"/>
        <w:gridCol w:w="932"/>
      </w:tblGrid>
      <w:tr w:rsidR="00385CAF" w:rsidRPr="00506206" w14:paraId="61FF1D03" w14:textId="77777777" w:rsidTr="00C32177">
        <w:trPr>
          <w:trHeight w:val="640"/>
        </w:trPr>
        <w:tc>
          <w:tcPr>
            <w:tcW w:w="1342" w:type="dxa"/>
          </w:tcPr>
          <w:p w14:paraId="760FB9E5" w14:textId="77777777" w:rsidR="00385CAF" w:rsidRPr="00506206" w:rsidRDefault="00385CAF" w:rsidP="003A76BC">
            <w:pPr>
              <w:spacing w:line="360" w:lineRule="auto"/>
              <w:rPr>
                <w:rFonts w:ascii="Arial" w:hAnsi="Arial" w:cs="Arial"/>
                <w:b/>
                <w:bCs/>
                <w:sz w:val="20"/>
                <w:szCs w:val="20"/>
              </w:rPr>
            </w:pPr>
            <w:r w:rsidRPr="00506206">
              <w:rPr>
                <w:rFonts w:ascii="Arial" w:hAnsi="Arial" w:cs="Arial"/>
                <w:b/>
                <w:bCs/>
                <w:sz w:val="20"/>
                <w:szCs w:val="20"/>
              </w:rPr>
              <w:t>Correlation</w:t>
            </w:r>
          </w:p>
          <w:p w14:paraId="545B869E" w14:textId="77777777" w:rsidR="00385CAF" w:rsidRPr="00506206" w:rsidRDefault="00385CAF" w:rsidP="003A76BC">
            <w:pPr>
              <w:spacing w:line="360" w:lineRule="auto"/>
              <w:rPr>
                <w:rFonts w:ascii="Arial" w:hAnsi="Arial" w:cs="Arial"/>
                <w:b/>
                <w:bCs/>
                <w:sz w:val="20"/>
                <w:szCs w:val="20"/>
              </w:rPr>
            </w:pPr>
            <w:r w:rsidRPr="00506206">
              <w:rPr>
                <w:rFonts w:ascii="Arial" w:hAnsi="Arial" w:cs="Arial"/>
                <w:b/>
                <w:bCs/>
                <w:sz w:val="20"/>
                <w:szCs w:val="20"/>
              </w:rPr>
              <w:t>Probability</w:t>
            </w:r>
          </w:p>
        </w:tc>
        <w:tc>
          <w:tcPr>
            <w:tcW w:w="1095" w:type="dxa"/>
          </w:tcPr>
          <w:p w14:paraId="56484220" w14:textId="77777777" w:rsidR="00385CAF" w:rsidRPr="00506206" w:rsidRDefault="00385CAF" w:rsidP="003A76BC">
            <w:pPr>
              <w:spacing w:line="360" w:lineRule="auto"/>
              <w:rPr>
                <w:rFonts w:ascii="Arial" w:hAnsi="Arial" w:cs="Arial"/>
                <w:b/>
                <w:bCs/>
                <w:sz w:val="20"/>
                <w:szCs w:val="20"/>
              </w:rPr>
            </w:pPr>
            <w:r w:rsidRPr="00506206">
              <w:rPr>
                <w:rFonts w:ascii="Arial" w:hAnsi="Arial" w:cs="Arial"/>
                <w:b/>
                <w:bCs/>
                <w:sz w:val="20"/>
                <w:szCs w:val="20"/>
              </w:rPr>
              <w:t>INF</w:t>
            </w:r>
          </w:p>
        </w:tc>
        <w:tc>
          <w:tcPr>
            <w:tcW w:w="1094" w:type="dxa"/>
          </w:tcPr>
          <w:p w14:paraId="2D1DA097" w14:textId="77777777" w:rsidR="00385CAF" w:rsidRPr="00506206" w:rsidRDefault="00385CAF" w:rsidP="003A76BC">
            <w:pPr>
              <w:spacing w:line="360" w:lineRule="auto"/>
              <w:rPr>
                <w:rFonts w:ascii="Arial" w:hAnsi="Arial" w:cs="Arial"/>
                <w:b/>
                <w:bCs/>
                <w:sz w:val="20"/>
                <w:szCs w:val="20"/>
              </w:rPr>
            </w:pPr>
            <w:r w:rsidRPr="00506206">
              <w:rPr>
                <w:rFonts w:ascii="Arial" w:hAnsi="Arial" w:cs="Arial"/>
                <w:b/>
                <w:bCs/>
                <w:sz w:val="20"/>
                <w:szCs w:val="20"/>
              </w:rPr>
              <w:t>FD</w:t>
            </w:r>
          </w:p>
        </w:tc>
        <w:tc>
          <w:tcPr>
            <w:tcW w:w="1094" w:type="dxa"/>
          </w:tcPr>
          <w:p w14:paraId="64A687F6" w14:textId="77777777" w:rsidR="00385CAF" w:rsidRPr="00506206" w:rsidRDefault="00385CAF" w:rsidP="003A76BC">
            <w:pPr>
              <w:spacing w:line="360" w:lineRule="auto"/>
              <w:rPr>
                <w:rFonts w:ascii="Arial" w:hAnsi="Arial" w:cs="Arial"/>
                <w:b/>
                <w:bCs/>
                <w:sz w:val="20"/>
                <w:szCs w:val="20"/>
              </w:rPr>
            </w:pPr>
            <w:r w:rsidRPr="00506206">
              <w:rPr>
                <w:rFonts w:ascii="Arial" w:hAnsi="Arial" w:cs="Arial"/>
                <w:b/>
                <w:bCs/>
                <w:sz w:val="20"/>
                <w:szCs w:val="20"/>
              </w:rPr>
              <w:t>PD</w:t>
            </w:r>
          </w:p>
        </w:tc>
        <w:tc>
          <w:tcPr>
            <w:tcW w:w="1094" w:type="dxa"/>
          </w:tcPr>
          <w:p w14:paraId="63BAD0AA" w14:textId="0BDB036F" w:rsidR="00385CAF" w:rsidRPr="00506206" w:rsidRDefault="00385CAF" w:rsidP="003A76BC">
            <w:pPr>
              <w:spacing w:line="360" w:lineRule="auto"/>
              <w:rPr>
                <w:rFonts w:ascii="Arial" w:hAnsi="Arial" w:cs="Arial"/>
                <w:b/>
                <w:bCs/>
                <w:sz w:val="20"/>
                <w:szCs w:val="20"/>
              </w:rPr>
            </w:pPr>
            <w:r w:rsidRPr="00506206">
              <w:rPr>
                <w:rFonts w:ascii="Arial" w:hAnsi="Arial" w:cs="Arial"/>
                <w:b/>
                <w:bCs/>
                <w:sz w:val="20"/>
                <w:szCs w:val="20"/>
              </w:rPr>
              <w:t>FD</w:t>
            </w:r>
            <w:r w:rsidR="00C32177">
              <w:rPr>
                <w:rFonts w:ascii="Arial" w:hAnsi="Arial" w:cs="Arial"/>
                <w:b/>
                <w:bCs/>
                <w:sz w:val="20"/>
                <w:szCs w:val="20"/>
              </w:rPr>
              <w:t>*</w:t>
            </w:r>
            <w:r w:rsidRPr="00506206">
              <w:rPr>
                <w:rFonts w:ascii="Arial" w:hAnsi="Arial" w:cs="Arial"/>
                <w:b/>
                <w:bCs/>
                <w:sz w:val="20"/>
                <w:szCs w:val="20"/>
              </w:rPr>
              <w:t>PD</w:t>
            </w:r>
          </w:p>
        </w:tc>
        <w:tc>
          <w:tcPr>
            <w:tcW w:w="972" w:type="dxa"/>
          </w:tcPr>
          <w:p w14:paraId="10E403F8" w14:textId="77777777" w:rsidR="00385CAF" w:rsidRPr="00506206" w:rsidRDefault="00385CAF" w:rsidP="003A76BC">
            <w:pPr>
              <w:spacing w:line="360" w:lineRule="auto"/>
              <w:rPr>
                <w:rFonts w:ascii="Arial" w:hAnsi="Arial" w:cs="Arial"/>
                <w:b/>
                <w:bCs/>
                <w:sz w:val="20"/>
                <w:szCs w:val="20"/>
              </w:rPr>
            </w:pPr>
            <w:r w:rsidRPr="00506206">
              <w:rPr>
                <w:rFonts w:ascii="Arial" w:hAnsi="Arial" w:cs="Arial"/>
                <w:b/>
                <w:bCs/>
                <w:sz w:val="20"/>
                <w:szCs w:val="20"/>
              </w:rPr>
              <w:t>LEXR</w:t>
            </w:r>
          </w:p>
        </w:tc>
        <w:tc>
          <w:tcPr>
            <w:tcW w:w="993" w:type="dxa"/>
          </w:tcPr>
          <w:p w14:paraId="1678FE63" w14:textId="77777777" w:rsidR="00385CAF" w:rsidRPr="00506206" w:rsidRDefault="00385CAF" w:rsidP="003A76BC">
            <w:pPr>
              <w:spacing w:line="360" w:lineRule="auto"/>
              <w:rPr>
                <w:rFonts w:ascii="Arial" w:hAnsi="Arial" w:cs="Arial"/>
                <w:b/>
                <w:bCs/>
                <w:sz w:val="20"/>
                <w:szCs w:val="20"/>
              </w:rPr>
            </w:pPr>
            <w:r w:rsidRPr="00506206">
              <w:rPr>
                <w:rFonts w:ascii="Arial" w:hAnsi="Arial" w:cs="Arial"/>
                <w:b/>
                <w:bCs/>
                <w:sz w:val="20"/>
                <w:szCs w:val="20"/>
              </w:rPr>
              <w:t>M2</w:t>
            </w:r>
          </w:p>
        </w:tc>
        <w:tc>
          <w:tcPr>
            <w:tcW w:w="1134" w:type="dxa"/>
          </w:tcPr>
          <w:p w14:paraId="3AC3E5C5" w14:textId="77777777" w:rsidR="00385CAF" w:rsidRPr="00506206" w:rsidRDefault="00385CAF" w:rsidP="003A76BC">
            <w:pPr>
              <w:spacing w:line="360" w:lineRule="auto"/>
              <w:rPr>
                <w:rFonts w:ascii="Arial" w:hAnsi="Arial" w:cs="Arial"/>
                <w:b/>
                <w:bCs/>
                <w:sz w:val="20"/>
                <w:szCs w:val="20"/>
              </w:rPr>
            </w:pPr>
            <w:r w:rsidRPr="00506206">
              <w:rPr>
                <w:rFonts w:ascii="Arial" w:hAnsi="Arial" w:cs="Arial"/>
                <w:b/>
                <w:bCs/>
                <w:sz w:val="20"/>
                <w:szCs w:val="20"/>
              </w:rPr>
              <w:t>RGDPG</w:t>
            </w:r>
          </w:p>
        </w:tc>
        <w:tc>
          <w:tcPr>
            <w:tcW w:w="932" w:type="dxa"/>
          </w:tcPr>
          <w:p w14:paraId="08528D30" w14:textId="77777777" w:rsidR="00385CAF" w:rsidRPr="00506206" w:rsidRDefault="00385CAF" w:rsidP="003A76BC">
            <w:pPr>
              <w:spacing w:line="360" w:lineRule="auto"/>
              <w:rPr>
                <w:rFonts w:ascii="Arial" w:hAnsi="Arial" w:cs="Arial"/>
                <w:b/>
                <w:bCs/>
                <w:sz w:val="20"/>
                <w:szCs w:val="20"/>
              </w:rPr>
            </w:pPr>
            <w:r w:rsidRPr="00506206">
              <w:rPr>
                <w:rFonts w:ascii="Arial" w:hAnsi="Arial" w:cs="Arial"/>
                <w:b/>
                <w:bCs/>
                <w:sz w:val="20"/>
                <w:szCs w:val="20"/>
              </w:rPr>
              <w:t>LR</w:t>
            </w:r>
          </w:p>
        </w:tc>
      </w:tr>
      <w:tr w:rsidR="00385CAF" w:rsidRPr="00506206" w14:paraId="5505145D" w14:textId="77777777" w:rsidTr="00C32177">
        <w:trPr>
          <w:trHeight w:val="627"/>
        </w:trPr>
        <w:tc>
          <w:tcPr>
            <w:tcW w:w="1342" w:type="dxa"/>
          </w:tcPr>
          <w:p w14:paraId="1308ED3C" w14:textId="77777777" w:rsidR="00385CAF" w:rsidRPr="00506206" w:rsidRDefault="00385CAF" w:rsidP="003A76BC">
            <w:pPr>
              <w:spacing w:line="360" w:lineRule="auto"/>
              <w:rPr>
                <w:rFonts w:ascii="Arial" w:hAnsi="Arial" w:cs="Arial"/>
                <w:b/>
                <w:bCs/>
                <w:sz w:val="20"/>
                <w:szCs w:val="20"/>
              </w:rPr>
            </w:pPr>
            <w:r w:rsidRPr="00506206">
              <w:rPr>
                <w:rFonts w:ascii="Arial" w:hAnsi="Arial" w:cs="Arial"/>
                <w:b/>
                <w:bCs/>
                <w:sz w:val="20"/>
                <w:szCs w:val="20"/>
              </w:rPr>
              <w:t>INF</w:t>
            </w:r>
          </w:p>
        </w:tc>
        <w:tc>
          <w:tcPr>
            <w:tcW w:w="1095" w:type="dxa"/>
          </w:tcPr>
          <w:p w14:paraId="5881D4E9"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1.00</w:t>
            </w:r>
          </w:p>
          <w:p w14:paraId="07D1DEBE"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w:t>
            </w:r>
          </w:p>
        </w:tc>
        <w:tc>
          <w:tcPr>
            <w:tcW w:w="1094" w:type="dxa"/>
          </w:tcPr>
          <w:p w14:paraId="195AC850" w14:textId="77777777" w:rsidR="00385CAF" w:rsidRPr="00506206" w:rsidRDefault="00385CAF" w:rsidP="003A76BC">
            <w:pPr>
              <w:spacing w:line="360" w:lineRule="auto"/>
              <w:rPr>
                <w:rFonts w:ascii="Arial" w:hAnsi="Arial" w:cs="Arial"/>
                <w:sz w:val="20"/>
                <w:szCs w:val="20"/>
              </w:rPr>
            </w:pPr>
          </w:p>
        </w:tc>
        <w:tc>
          <w:tcPr>
            <w:tcW w:w="1094" w:type="dxa"/>
          </w:tcPr>
          <w:p w14:paraId="4AC35BC3" w14:textId="77777777" w:rsidR="00385CAF" w:rsidRPr="00506206" w:rsidRDefault="00385CAF" w:rsidP="003A76BC">
            <w:pPr>
              <w:spacing w:line="360" w:lineRule="auto"/>
              <w:rPr>
                <w:rFonts w:ascii="Arial" w:hAnsi="Arial" w:cs="Arial"/>
                <w:sz w:val="20"/>
                <w:szCs w:val="20"/>
              </w:rPr>
            </w:pPr>
          </w:p>
        </w:tc>
        <w:tc>
          <w:tcPr>
            <w:tcW w:w="1094" w:type="dxa"/>
          </w:tcPr>
          <w:p w14:paraId="43A4123E" w14:textId="77777777" w:rsidR="00385CAF" w:rsidRPr="00506206" w:rsidRDefault="00385CAF" w:rsidP="003A76BC">
            <w:pPr>
              <w:spacing w:line="360" w:lineRule="auto"/>
              <w:rPr>
                <w:rFonts w:ascii="Arial" w:hAnsi="Arial" w:cs="Arial"/>
                <w:sz w:val="20"/>
                <w:szCs w:val="20"/>
              </w:rPr>
            </w:pPr>
          </w:p>
        </w:tc>
        <w:tc>
          <w:tcPr>
            <w:tcW w:w="972" w:type="dxa"/>
          </w:tcPr>
          <w:p w14:paraId="085CBC87" w14:textId="77777777" w:rsidR="00385CAF" w:rsidRPr="00506206" w:rsidRDefault="00385CAF" w:rsidP="003A76BC">
            <w:pPr>
              <w:spacing w:line="360" w:lineRule="auto"/>
              <w:rPr>
                <w:rFonts w:ascii="Arial" w:hAnsi="Arial" w:cs="Arial"/>
                <w:sz w:val="20"/>
                <w:szCs w:val="20"/>
              </w:rPr>
            </w:pPr>
          </w:p>
        </w:tc>
        <w:tc>
          <w:tcPr>
            <w:tcW w:w="993" w:type="dxa"/>
          </w:tcPr>
          <w:p w14:paraId="68B93F03" w14:textId="77777777" w:rsidR="00385CAF" w:rsidRPr="00506206" w:rsidRDefault="00385CAF" w:rsidP="003A76BC">
            <w:pPr>
              <w:spacing w:line="360" w:lineRule="auto"/>
              <w:rPr>
                <w:rFonts w:ascii="Arial" w:hAnsi="Arial" w:cs="Arial"/>
                <w:sz w:val="20"/>
                <w:szCs w:val="20"/>
              </w:rPr>
            </w:pPr>
          </w:p>
        </w:tc>
        <w:tc>
          <w:tcPr>
            <w:tcW w:w="1134" w:type="dxa"/>
          </w:tcPr>
          <w:p w14:paraId="25B34A3B" w14:textId="77777777" w:rsidR="00385CAF" w:rsidRPr="00506206" w:rsidRDefault="00385CAF" w:rsidP="003A76BC">
            <w:pPr>
              <w:spacing w:line="360" w:lineRule="auto"/>
              <w:rPr>
                <w:rFonts w:ascii="Arial" w:hAnsi="Arial" w:cs="Arial"/>
                <w:sz w:val="20"/>
                <w:szCs w:val="20"/>
              </w:rPr>
            </w:pPr>
          </w:p>
        </w:tc>
        <w:tc>
          <w:tcPr>
            <w:tcW w:w="932" w:type="dxa"/>
          </w:tcPr>
          <w:p w14:paraId="6A3381BD" w14:textId="77777777" w:rsidR="00385CAF" w:rsidRPr="00506206" w:rsidRDefault="00385CAF" w:rsidP="003A76BC">
            <w:pPr>
              <w:spacing w:line="360" w:lineRule="auto"/>
              <w:rPr>
                <w:rFonts w:ascii="Arial" w:hAnsi="Arial" w:cs="Arial"/>
                <w:sz w:val="20"/>
                <w:szCs w:val="20"/>
              </w:rPr>
            </w:pPr>
          </w:p>
        </w:tc>
      </w:tr>
      <w:tr w:rsidR="00385CAF" w:rsidRPr="00506206" w14:paraId="4940FFC8" w14:textId="77777777" w:rsidTr="00C32177">
        <w:trPr>
          <w:trHeight w:val="640"/>
        </w:trPr>
        <w:tc>
          <w:tcPr>
            <w:tcW w:w="1342" w:type="dxa"/>
          </w:tcPr>
          <w:p w14:paraId="3EEB126C" w14:textId="77777777" w:rsidR="00385CAF" w:rsidRPr="00506206" w:rsidRDefault="00385CAF" w:rsidP="003A76BC">
            <w:pPr>
              <w:spacing w:line="360" w:lineRule="auto"/>
              <w:rPr>
                <w:rFonts w:ascii="Arial" w:hAnsi="Arial" w:cs="Arial"/>
                <w:b/>
                <w:bCs/>
                <w:sz w:val="20"/>
                <w:szCs w:val="20"/>
              </w:rPr>
            </w:pPr>
            <w:r w:rsidRPr="00506206">
              <w:rPr>
                <w:rFonts w:ascii="Arial" w:hAnsi="Arial" w:cs="Arial"/>
                <w:b/>
                <w:bCs/>
                <w:sz w:val="20"/>
                <w:szCs w:val="20"/>
              </w:rPr>
              <w:t>FD</w:t>
            </w:r>
          </w:p>
        </w:tc>
        <w:tc>
          <w:tcPr>
            <w:tcW w:w="1095" w:type="dxa"/>
          </w:tcPr>
          <w:p w14:paraId="5B2E7C85"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-0.05</w:t>
            </w:r>
          </w:p>
          <w:p w14:paraId="216BD881"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(0.72)</w:t>
            </w:r>
          </w:p>
        </w:tc>
        <w:tc>
          <w:tcPr>
            <w:tcW w:w="1094" w:type="dxa"/>
          </w:tcPr>
          <w:p w14:paraId="415D8CB4"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1.00</w:t>
            </w:r>
          </w:p>
          <w:p w14:paraId="3CEBA5F0"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w:t>
            </w:r>
          </w:p>
        </w:tc>
        <w:tc>
          <w:tcPr>
            <w:tcW w:w="1094" w:type="dxa"/>
          </w:tcPr>
          <w:p w14:paraId="3749CC25" w14:textId="77777777" w:rsidR="00385CAF" w:rsidRPr="00506206" w:rsidRDefault="00385CAF" w:rsidP="003A76BC">
            <w:pPr>
              <w:spacing w:line="360" w:lineRule="auto"/>
              <w:rPr>
                <w:rFonts w:ascii="Arial" w:hAnsi="Arial" w:cs="Arial"/>
                <w:sz w:val="20"/>
                <w:szCs w:val="20"/>
              </w:rPr>
            </w:pPr>
          </w:p>
        </w:tc>
        <w:tc>
          <w:tcPr>
            <w:tcW w:w="1094" w:type="dxa"/>
          </w:tcPr>
          <w:p w14:paraId="252966C2" w14:textId="77777777" w:rsidR="00385CAF" w:rsidRPr="00506206" w:rsidRDefault="00385CAF" w:rsidP="003A76BC">
            <w:pPr>
              <w:spacing w:line="360" w:lineRule="auto"/>
              <w:rPr>
                <w:rFonts w:ascii="Arial" w:hAnsi="Arial" w:cs="Arial"/>
                <w:sz w:val="20"/>
                <w:szCs w:val="20"/>
              </w:rPr>
            </w:pPr>
          </w:p>
        </w:tc>
        <w:tc>
          <w:tcPr>
            <w:tcW w:w="972" w:type="dxa"/>
          </w:tcPr>
          <w:p w14:paraId="4057E69C" w14:textId="77777777" w:rsidR="00385CAF" w:rsidRPr="00506206" w:rsidRDefault="00385CAF" w:rsidP="003A76BC">
            <w:pPr>
              <w:spacing w:line="360" w:lineRule="auto"/>
              <w:rPr>
                <w:rFonts w:ascii="Arial" w:hAnsi="Arial" w:cs="Arial"/>
                <w:sz w:val="20"/>
                <w:szCs w:val="20"/>
              </w:rPr>
            </w:pPr>
          </w:p>
        </w:tc>
        <w:tc>
          <w:tcPr>
            <w:tcW w:w="993" w:type="dxa"/>
          </w:tcPr>
          <w:p w14:paraId="0736C91D" w14:textId="77777777" w:rsidR="00385CAF" w:rsidRPr="00506206" w:rsidRDefault="00385CAF" w:rsidP="003A76BC">
            <w:pPr>
              <w:spacing w:line="360" w:lineRule="auto"/>
              <w:rPr>
                <w:rFonts w:ascii="Arial" w:hAnsi="Arial" w:cs="Arial"/>
                <w:sz w:val="20"/>
                <w:szCs w:val="20"/>
              </w:rPr>
            </w:pPr>
          </w:p>
        </w:tc>
        <w:tc>
          <w:tcPr>
            <w:tcW w:w="1134" w:type="dxa"/>
          </w:tcPr>
          <w:p w14:paraId="5BCE1A3A" w14:textId="77777777" w:rsidR="00385CAF" w:rsidRPr="00506206" w:rsidRDefault="00385CAF" w:rsidP="003A76BC">
            <w:pPr>
              <w:spacing w:line="360" w:lineRule="auto"/>
              <w:rPr>
                <w:rFonts w:ascii="Arial" w:hAnsi="Arial" w:cs="Arial"/>
                <w:sz w:val="20"/>
                <w:szCs w:val="20"/>
              </w:rPr>
            </w:pPr>
          </w:p>
        </w:tc>
        <w:tc>
          <w:tcPr>
            <w:tcW w:w="932" w:type="dxa"/>
          </w:tcPr>
          <w:p w14:paraId="0CD101DC" w14:textId="77777777" w:rsidR="00385CAF" w:rsidRPr="00506206" w:rsidRDefault="00385CAF" w:rsidP="003A76BC">
            <w:pPr>
              <w:spacing w:line="360" w:lineRule="auto"/>
              <w:rPr>
                <w:rFonts w:ascii="Arial" w:hAnsi="Arial" w:cs="Arial"/>
                <w:sz w:val="20"/>
                <w:szCs w:val="20"/>
              </w:rPr>
            </w:pPr>
          </w:p>
        </w:tc>
      </w:tr>
      <w:tr w:rsidR="00385CAF" w:rsidRPr="00506206" w14:paraId="4E658E25" w14:textId="77777777" w:rsidTr="00C32177">
        <w:trPr>
          <w:trHeight w:val="640"/>
        </w:trPr>
        <w:tc>
          <w:tcPr>
            <w:tcW w:w="1342" w:type="dxa"/>
          </w:tcPr>
          <w:p w14:paraId="5DA17199" w14:textId="77777777" w:rsidR="00385CAF" w:rsidRPr="00506206" w:rsidRDefault="00385CAF" w:rsidP="003A76BC">
            <w:pPr>
              <w:spacing w:line="360" w:lineRule="auto"/>
              <w:rPr>
                <w:rFonts w:ascii="Arial" w:hAnsi="Arial" w:cs="Arial"/>
                <w:b/>
                <w:bCs/>
                <w:sz w:val="20"/>
                <w:szCs w:val="20"/>
              </w:rPr>
            </w:pPr>
            <w:r w:rsidRPr="00506206">
              <w:rPr>
                <w:rFonts w:ascii="Arial" w:hAnsi="Arial" w:cs="Arial"/>
                <w:b/>
                <w:bCs/>
                <w:sz w:val="20"/>
                <w:szCs w:val="20"/>
              </w:rPr>
              <w:t>PD</w:t>
            </w:r>
          </w:p>
        </w:tc>
        <w:tc>
          <w:tcPr>
            <w:tcW w:w="1095" w:type="dxa"/>
          </w:tcPr>
          <w:p w14:paraId="158FE189"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0.40</w:t>
            </w:r>
          </w:p>
          <w:p w14:paraId="4BCC0E46"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w:t>
            </w:r>
            <w:proofErr w:type="gramStart"/>
            <w:r w:rsidRPr="00506206">
              <w:rPr>
                <w:rFonts w:ascii="Arial" w:hAnsi="Arial" w:cs="Arial"/>
                <w:sz w:val="20"/>
                <w:szCs w:val="20"/>
              </w:rPr>
              <w:t>0.01)*</w:t>
            </w:r>
            <w:proofErr w:type="gramEnd"/>
            <w:r w:rsidRPr="00506206">
              <w:rPr>
                <w:rFonts w:ascii="Arial" w:hAnsi="Arial" w:cs="Arial"/>
                <w:sz w:val="20"/>
                <w:szCs w:val="20"/>
              </w:rPr>
              <w:t>*</w:t>
            </w:r>
          </w:p>
        </w:tc>
        <w:tc>
          <w:tcPr>
            <w:tcW w:w="1094" w:type="dxa"/>
          </w:tcPr>
          <w:p w14:paraId="6E4C7489"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-0.16</w:t>
            </w:r>
          </w:p>
          <w:p w14:paraId="061F9533"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(0.29)</w:t>
            </w:r>
          </w:p>
        </w:tc>
        <w:tc>
          <w:tcPr>
            <w:tcW w:w="1094" w:type="dxa"/>
          </w:tcPr>
          <w:p w14:paraId="04AB6886"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1.00</w:t>
            </w:r>
          </w:p>
          <w:p w14:paraId="3ED5897D"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w:t>
            </w:r>
          </w:p>
        </w:tc>
        <w:tc>
          <w:tcPr>
            <w:tcW w:w="1094" w:type="dxa"/>
          </w:tcPr>
          <w:p w14:paraId="21084BB7" w14:textId="77777777" w:rsidR="00385CAF" w:rsidRPr="00506206" w:rsidRDefault="00385CAF" w:rsidP="003A76BC">
            <w:pPr>
              <w:spacing w:line="360" w:lineRule="auto"/>
              <w:rPr>
                <w:rFonts w:ascii="Arial" w:hAnsi="Arial" w:cs="Arial"/>
                <w:sz w:val="20"/>
                <w:szCs w:val="20"/>
              </w:rPr>
            </w:pPr>
          </w:p>
        </w:tc>
        <w:tc>
          <w:tcPr>
            <w:tcW w:w="972" w:type="dxa"/>
          </w:tcPr>
          <w:p w14:paraId="564D7403" w14:textId="77777777" w:rsidR="00385CAF" w:rsidRPr="00506206" w:rsidRDefault="00385CAF" w:rsidP="003A76BC">
            <w:pPr>
              <w:spacing w:line="360" w:lineRule="auto"/>
              <w:rPr>
                <w:rFonts w:ascii="Arial" w:hAnsi="Arial" w:cs="Arial"/>
                <w:sz w:val="20"/>
                <w:szCs w:val="20"/>
              </w:rPr>
            </w:pPr>
          </w:p>
        </w:tc>
        <w:tc>
          <w:tcPr>
            <w:tcW w:w="993" w:type="dxa"/>
          </w:tcPr>
          <w:p w14:paraId="74686A55" w14:textId="77777777" w:rsidR="00385CAF" w:rsidRPr="00506206" w:rsidRDefault="00385CAF" w:rsidP="003A76BC">
            <w:pPr>
              <w:spacing w:line="360" w:lineRule="auto"/>
              <w:rPr>
                <w:rFonts w:ascii="Arial" w:hAnsi="Arial" w:cs="Arial"/>
                <w:sz w:val="20"/>
                <w:szCs w:val="20"/>
              </w:rPr>
            </w:pPr>
          </w:p>
        </w:tc>
        <w:tc>
          <w:tcPr>
            <w:tcW w:w="1134" w:type="dxa"/>
          </w:tcPr>
          <w:p w14:paraId="64C43783" w14:textId="77777777" w:rsidR="00385CAF" w:rsidRPr="00506206" w:rsidRDefault="00385CAF" w:rsidP="003A76BC">
            <w:pPr>
              <w:spacing w:line="360" w:lineRule="auto"/>
              <w:rPr>
                <w:rFonts w:ascii="Arial" w:hAnsi="Arial" w:cs="Arial"/>
                <w:sz w:val="20"/>
                <w:szCs w:val="20"/>
              </w:rPr>
            </w:pPr>
          </w:p>
        </w:tc>
        <w:tc>
          <w:tcPr>
            <w:tcW w:w="932" w:type="dxa"/>
          </w:tcPr>
          <w:p w14:paraId="56928783" w14:textId="77777777" w:rsidR="00385CAF" w:rsidRPr="00506206" w:rsidRDefault="00385CAF" w:rsidP="003A76BC">
            <w:pPr>
              <w:spacing w:line="360" w:lineRule="auto"/>
              <w:rPr>
                <w:rFonts w:ascii="Arial" w:hAnsi="Arial" w:cs="Arial"/>
                <w:sz w:val="20"/>
                <w:szCs w:val="20"/>
              </w:rPr>
            </w:pPr>
          </w:p>
        </w:tc>
      </w:tr>
      <w:tr w:rsidR="00385CAF" w:rsidRPr="00506206" w14:paraId="4C196CFE" w14:textId="77777777" w:rsidTr="00C32177">
        <w:trPr>
          <w:trHeight w:val="627"/>
        </w:trPr>
        <w:tc>
          <w:tcPr>
            <w:tcW w:w="1342" w:type="dxa"/>
          </w:tcPr>
          <w:p w14:paraId="290B0E50" w14:textId="77777777" w:rsidR="00385CAF" w:rsidRPr="00506206" w:rsidRDefault="00385CAF" w:rsidP="003A76BC">
            <w:pPr>
              <w:spacing w:line="360" w:lineRule="auto"/>
              <w:rPr>
                <w:rFonts w:ascii="Arial" w:hAnsi="Arial" w:cs="Arial"/>
                <w:b/>
                <w:bCs/>
                <w:sz w:val="20"/>
                <w:szCs w:val="20"/>
              </w:rPr>
            </w:pPr>
            <w:r w:rsidRPr="00506206">
              <w:rPr>
                <w:rFonts w:ascii="Arial" w:hAnsi="Arial" w:cs="Arial"/>
                <w:b/>
                <w:bCs/>
                <w:sz w:val="20"/>
                <w:szCs w:val="20"/>
              </w:rPr>
              <w:t>FD_PD</w:t>
            </w:r>
          </w:p>
        </w:tc>
        <w:tc>
          <w:tcPr>
            <w:tcW w:w="1095" w:type="dxa"/>
          </w:tcPr>
          <w:p w14:paraId="2830E9FB"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-0.23</w:t>
            </w:r>
          </w:p>
          <w:p w14:paraId="778D10A1"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(0.13)</w:t>
            </w:r>
          </w:p>
        </w:tc>
        <w:tc>
          <w:tcPr>
            <w:tcW w:w="1094" w:type="dxa"/>
          </w:tcPr>
          <w:p w14:paraId="79C3F782"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0.89</w:t>
            </w:r>
          </w:p>
          <w:p w14:paraId="6DFB1C5A"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w:t>
            </w:r>
            <w:proofErr w:type="gramStart"/>
            <w:r w:rsidRPr="00506206">
              <w:rPr>
                <w:rFonts w:ascii="Arial" w:hAnsi="Arial" w:cs="Arial"/>
                <w:sz w:val="20"/>
                <w:szCs w:val="20"/>
              </w:rPr>
              <w:t>0.00)*</w:t>
            </w:r>
            <w:proofErr w:type="gramEnd"/>
            <w:r w:rsidRPr="00506206">
              <w:rPr>
                <w:rFonts w:ascii="Arial" w:hAnsi="Arial" w:cs="Arial"/>
                <w:sz w:val="20"/>
                <w:szCs w:val="20"/>
              </w:rPr>
              <w:t>**</w:t>
            </w:r>
          </w:p>
        </w:tc>
        <w:tc>
          <w:tcPr>
            <w:tcW w:w="1094" w:type="dxa"/>
          </w:tcPr>
          <w:p w14:paraId="557B98B6"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-0.32</w:t>
            </w:r>
          </w:p>
          <w:p w14:paraId="019E6D3D"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w:t>
            </w:r>
            <w:proofErr w:type="gramStart"/>
            <w:r w:rsidRPr="00506206">
              <w:rPr>
                <w:rFonts w:ascii="Arial" w:hAnsi="Arial" w:cs="Arial"/>
                <w:sz w:val="20"/>
                <w:szCs w:val="20"/>
              </w:rPr>
              <w:t>0.03)*</w:t>
            </w:r>
            <w:proofErr w:type="gramEnd"/>
            <w:r w:rsidRPr="00506206">
              <w:rPr>
                <w:rFonts w:ascii="Arial" w:hAnsi="Arial" w:cs="Arial"/>
                <w:sz w:val="20"/>
                <w:szCs w:val="20"/>
              </w:rPr>
              <w:t>*</w:t>
            </w:r>
          </w:p>
        </w:tc>
        <w:tc>
          <w:tcPr>
            <w:tcW w:w="1094" w:type="dxa"/>
          </w:tcPr>
          <w:p w14:paraId="35D17EF3"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1.00</w:t>
            </w:r>
          </w:p>
          <w:p w14:paraId="40FFF630"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w:t>
            </w:r>
          </w:p>
        </w:tc>
        <w:tc>
          <w:tcPr>
            <w:tcW w:w="972" w:type="dxa"/>
          </w:tcPr>
          <w:p w14:paraId="36946070" w14:textId="77777777" w:rsidR="00385CAF" w:rsidRPr="00506206" w:rsidRDefault="00385CAF" w:rsidP="003A76BC">
            <w:pPr>
              <w:spacing w:line="360" w:lineRule="auto"/>
              <w:rPr>
                <w:rFonts w:ascii="Arial" w:hAnsi="Arial" w:cs="Arial"/>
                <w:sz w:val="20"/>
                <w:szCs w:val="20"/>
              </w:rPr>
            </w:pPr>
          </w:p>
        </w:tc>
        <w:tc>
          <w:tcPr>
            <w:tcW w:w="993" w:type="dxa"/>
          </w:tcPr>
          <w:p w14:paraId="754469B9" w14:textId="77777777" w:rsidR="00385CAF" w:rsidRPr="00506206" w:rsidRDefault="00385CAF" w:rsidP="003A76BC">
            <w:pPr>
              <w:spacing w:line="360" w:lineRule="auto"/>
              <w:rPr>
                <w:rFonts w:ascii="Arial" w:hAnsi="Arial" w:cs="Arial"/>
                <w:sz w:val="20"/>
                <w:szCs w:val="20"/>
              </w:rPr>
            </w:pPr>
          </w:p>
        </w:tc>
        <w:tc>
          <w:tcPr>
            <w:tcW w:w="1134" w:type="dxa"/>
          </w:tcPr>
          <w:p w14:paraId="5C98D185" w14:textId="77777777" w:rsidR="00385CAF" w:rsidRPr="00506206" w:rsidRDefault="00385CAF" w:rsidP="003A76BC">
            <w:pPr>
              <w:spacing w:line="360" w:lineRule="auto"/>
              <w:rPr>
                <w:rFonts w:ascii="Arial" w:hAnsi="Arial" w:cs="Arial"/>
                <w:sz w:val="20"/>
                <w:szCs w:val="20"/>
              </w:rPr>
            </w:pPr>
          </w:p>
        </w:tc>
        <w:tc>
          <w:tcPr>
            <w:tcW w:w="932" w:type="dxa"/>
          </w:tcPr>
          <w:p w14:paraId="6DAACA22" w14:textId="77777777" w:rsidR="00385CAF" w:rsidRPr="00506206" w:rsidRDefault="00385CAF" w:rsidP="003A76BC">
            <w:pPr>
              <w:spacing w:line="360" w:lineRule="auto"/>
              <w:rPr>
                <w:rFonts w:ascii="Arial" w:hAnsi="Arial" w:cs="Arial"/>
                <w:sz w:val="20"/>
                <w:szCs w:val="20"/>
              </w:rPr>
            </w:pPr>
          </w:p>
        </w:tc>
      </w:tr>
      <w:tr w:rsidR="00385CAF" w:rsidRPr="00506206" w14:paraId="00D4B601" w14:textId="77777777" w:rsidTr="00C32177">
        <w:trPr>
          <w:trHeight w:val="640"/>
        </w:trPr>
        <w:tc>
          <w:tcPr>
            <w:tcW w:w="1342" w:type="dxa"/>
          </w:tcPr>
          <w:p w14:paraId="067722D2" w14:textId="77777777" w:rsidR="00385CAF" w:rsidRPr="00506206" w:rsidRDefault="00385CAF" w:rsidP="003A76BC">
            <w:pPr>
              <w:spacing w:line="360" w:lineRule="auto"/>
              <w:rPr>
                <w:rFonts w:ascii="Arial" w:hAnsi="Arial" w:cs="Arial"/>
                <w:b/>
                <w:bCs/>
                <w:sz w:val="20"/>
                <w:szCs w:val="20"/>
              </w:rPr>
            </w:pPr>
            <w:r w:rsidRPr="00506206">
              <w:rPr>
                <w:rFonts w:ascii="Arial" w:hAnsi="Arial" w:cs="Arial"/>
                <w:b/>
                <w:bCs/>
                <w:sz w:val="20"/>
                <w:szCs w:val="20"/>
              </w:rPr>
              <w:t>LEXR</w:t>
            </w:r>
          </w:p>
        </w:tc>
        <w:tc>
          <w:tcPr>
            <w:tcW w:w="1095" w:type="dxa"/>
          </w:tcPr>
          <w:p w14:paraId="237F7DE6"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-0.11</w:t>
            </w:r>
          </w:p>
          <w:p w14:paraId="6D0DAF74"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(0.45)</w:t>
            </w:r>
          </w:p>
        </w:tc>
        <w:tc>
          <w:tcPr>
            <w:tcW w:w="1094" w:type="dxa"/>
          </w:tcPr>
          <w:p w14:paraId="4110D93F"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0.53</w:t>
            </w:r>
          </w:p>
          <w:p w14:paraId="3E6B1323"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w:t>
            </w:r>
            <w:proofErr w:type="gramStart"/>
            <w:r w:rsidRPr="00506206">
              <w:rPr>
                <w:rFonts w:ascii="Arial" w:hAnsi="Arial" w:cs="Arial"/>
                <w:sz w:val="20"/>
                <w:szCs w:val="20"/>
              </w:rPr>
              <w:t>0.00)*</w:t>
            </w:r>
            <w:proofErr w:type="gramEnd"/>
            <w:r w:rsidRPr="00506206">
              <w:rPr>
                <w:rFonts w:ascii="Arial" w:hAnsi="Arial" w:cs="Arial"/>
                <w:sz w:val="20"/>
                <w:szCs w:val="20"/>
              </w:rPr>
              <w:t>**</w:t>
            </w:r>
          </w:p>
        </w:tc>
        <w:tc>
          <w:tcPr>
            <w:tcW w:w="1094" w:type="dxa"/>
          </w:tcPr>
          <w:p w14:paraId="2CCA09F8"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-0.18</w:t>
            </w:r>
          </w:p>
          <w:p w14:paraId="5DED4A48"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(0.23)</w:t>
            </w:r>
          </w:p>
        </w:tc>
        <w:tc>
          <w:tcPr>
            <w:tcW w:w="1094" w:type="dxa"/>
          </w:tcPr>
          <w:p w14:paraId="7347882A"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0.52</w:t>
            </w:r>
          </w:p>
          <w:p w14:paraId="1A3FB590"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w:t>
            </w:r>
            <w:proofErr w:type="gramStart"/>
            <w:r w:rsidRPr="00506206">
              <w:rPr>
                <w:rFonts w:ascii="Arial" w:hAnsi="Arial" w:cs="Arial"/>
                <w:sz w:val="20"/>
                <w:szCs w:val="20"/>
              </w:rPr>
              <w:t>0.00)*</w:t>
            </w:r>
            <w:proofErr w:type="gramEnd"/>
            <w:r w:rsidRPr="00506206">
              <w:rPr>
                <w:rFonts w:ascii="Arial" w:hAnsi="Arial" w:cs="Arial"/>
                <w:sz w:val="20"/>
                <w:szCs w:val="20"/>
              </w:rPr>
              <w:t>**</w:t>
            </w:r>
          </w:p>
        </w:tc>
        <w:tc>
          <w:tcPr>
            <w:tcW w:w="972" w:type="dxa"/>
          </w:tcPr>
          <w:p w14:paraId="192503FF"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1.00</w:t>
            </w:r>
          </w:p>
          <w:p w14:paraId="3C170755"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w:t>
            </w:r>
          </w:p>
        </w:tc>
        <w:tc>
          <w:tcPr>
            <w:tcW w:w="993" w:type="dxa"/>
          </w:tcPr>
          <w:p w14:paraId="5A811C79" w14:textId="77777777" w:rsidR="00385CAF" w:rsidRPr="00506206" w:rsidRDefault="00385CAF" w:rsidP="003A76BC">
            <w:pPr>
              <w:spacing w:line="360" w:lineRule="auto"/>
              <w:rPr>
                <w:rFonts w:ascii="Arial" w:hAnsi="Arial" w:cs="Arial"/>
                <w:sz w:val="20"/>
                <w:szCs w:val="20"/>
              </w:rPr>
            </w:pPr>
          </w:p>
        </w:tc>
        <w:tc>
          <w:tcPr>
            <w:tcW w:w="1134" w:type="dxa"/>
          </w:tcPr>
          <w:p w14:paraId="262E2A92" w14:textId="77777777" w:rsidR="00385CAF" w:rsidRPr="00506206" w:rsidRDefault="00385CAF" w:rsidP="003A76BC">
            <w:pPr>
              <w:spacing w:line="360" w:lineRule="auto"/>
              <w:rPr>
                <w:rFonts w:ascii="Arial" w:hAnsi="Arial" w:cs="Arial"/>
                <w:sz w:val="20"/>
                <w:szCs w:val="20"/>
              </w:rPr>
            </w:pPr>
          </w:p>
        </w:tc>
        <w:tc>
          <w:tcPr>
            <w:tcW w:w="932" w:type="dxa"/>
          </w:tcPr>
          <w:p w14:paraId="5423E9FF" w14:textId="77777777" w:rsidR="00385CAF" w:rsidRPr="00506206" w:rsidRDefault="00385CAF" w:rsidP="003A76BC">
            <w:pPr>
              <w:spacing w:line="360" w:lineRule="auto"/>
              <w:rPr>
                <w:rFonts w:ascii="Arial" w:hAnsi="Arial" w:cs="Arial"/>
                <w:sz w:val="20"/>
                <w:szCs w:val="20"/>
              </w:rPr>
            </w:pPr>
          </w:p>
        </w:tc>
      </w:tr>
      <w:tr w:rsidR="00385CAF" w:rsidRPr="00506206" w14:paraId="4467D3B4" w14:textId="77777777" w:rsidTr="00C32177">
        <w:trPr>
          <w:trHeight w:val="640"/>
        </w:trPr>
        <w:tc>
          <w:tcPr>
            <w:tcW w:w="1342" w:type="dxa"/>
          </w:tcPr>
          <w:p w14:paraId="7B56FA15" w14:textId="77777777" w:rsidR="00385CAF" w:rsidRPr="00506206" w:rsidRDefault="00385CAF" w:rsidP="003A76BC">
            <w:pPr>
              <w:spacing w:line="360" w:lineRule="auto"/>
              <w:rPr>
                <w:rFonts w:ascii="Arial" w:hAnsi="Arial" w:cs="Arial"/>
                <w:b/>
                <w:bCs/>
                <w:sz w:val="20"/>
                <w:szCs w:val="20"/>
              </w:rPr>
            </w:pPr>
            <w:r w:rsidRPr="00506206">
              <w:rPr>
                <w:rFonts w:ascii="Arial" w:hAnsi="Arial" w:cs="Arial"/>
                <w:b/>
                <w:bCs/>
                <w:sz w:val="20"/>
                <w:szCs w:val="20"/>
              </w:rPr>
              <w:t>M2</w:t>
            </w:r>
          </w:p>
        </w:tc>
        <w:tc>
          <w:tcPr>
            <w:tcW w:w="1095" w:type="dxa"/>
          </w:tcPr>
          <w:p w14:paraId="52C500E6"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0.20</w:t>
            </w:r>
          </w:p>
          <w:p w14:paraId="6AC053F0"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(0.19)</w:t>
            </w:r>
          </w:p>
        </w:tc>
        <w:tc>
          <w:tcPr>
            <w:tcW w:w="1094" w:type="dxa"/>
          </w:tcPr>
          <w:p w14:paraId="6F611CF7"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0.33</w:t>
            </w:r>
          </w:p>
          <w:p w14:paraId="7BA11674"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w:t>
            </w:r>
            <w:proofErr w:type="gramStart"/>
            <w:r w:rsidRPr="00506206">
              <w:rPr>
                <w:rFonts w:ascii="Arial" w:hAnsi="Arial" w:cs="Arial"/>
                <w:sz w:val="20"/>
                <w:szCs w:val="20"/>
              </w:rPr>
              <w:t>0.03)*</w:t>
            </w:r>
            <w:proofErr w:type="gramEnd"/>
            <w:r w:rsidRPr="00506206">
              <w:rPr>
                <w:rFonts w:ascii="Arial" w:hAnsi="Arial" w:cs="Arial"/>
                <w:sz w:val="20"/>
                <w:szCs w:val="20"/>
              </w:rPr>
              <w:t>*</w:t>
            </w:r>
          </w:p>
        </w:tc>
        <w:tc>
          <w:tcPr>
            <w:tcW w:w="1094" w:type="dxa"/>
          </w:tcPr>
          <w:p w14:paraId="6DE7618A"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0.27</w:t>
            </w:r>
          </w:p>
          <w:p w14:paraId="6095DFA5" w14:textId="77777777" w:rsidR="00385CAF" w:rsidRPr="00506206" w:rsidRDefault="00385CAF" w:rsidP="003A76BC">
            <w:pPr>
              <w:spacing w:line="360" w:lineRule="auto"/>
              <w:rPr>
                <w:rFonts w:ascii="Arial" w:hAnsi="Arial" w:cs="Arial"/>
                <w:sz w:val="20"/>
                <w:szCs w:val="20"/>
              </w:rPr>
            </w:pPr>
            <w:proofErr w:type="gramStart"/>
            <w:r w:rsidRPr="00506206">
              <w:rPr>
                <w:rFonts w:ascii="Arial" w:hAnsi="Arial" w:cs="Arial"/>
                <w:sz w:val="20"/>
                <w:szCs w:val="20"/>
              </w:rPr>
              <w:t>0.07)*</w:t>
            </w:r>
            <w:proofErr w:type="gramEnd"/>
          </w:p>
        </w:tc>
        <w:tc>
          <w:tcPr>
            <w:tcW w:w="1094" w:type="dxa"/>
          </w:tcPr>
          <w:p w14:paraId="70B1A829"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0.20</w:t>
            </w:r>
          </w:p>
          <w:p w14:paraId="6A8D2A52"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(0.18)</w:t>
            </w:r>
          </w:p>
        </w:tc>
        <w:tc>
          <w:tcPr>
            <w:tcW w:w="972" w:type="dxa"/>
          </w:tcPr>
          <w:p w14:paraId="449D8EB0"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0.10</w:t>
            </w:r>
          </w:p>
          <w:p w14:paraId="6B77DC4A"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(0.50)</w:t>
            </w:r>
          </w:p>
        </w:tc>
        <w:tc>
          <w:tcPr>
            <w:tcW w:w="993" w:type="dxa"/>
          </w:tcPr>
          <w:p w14:paraId="704AE15D"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1.00</w:t>
            </w:r>
          </w:p>
          <w:p w14:paraId="03B4AEF1"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w:t>
            </w:r>
          </w:p>
        </w:tc>
        <w:tc>
          <w:tcPr>
            <w:tcW w:w="1134" w:type="dxa"/>
          </w:tcPr>
          <w:p w14:paraId="45A7F44B" w14:textId="77777777" w:rsidR="00385CAF" w:rsidRPr="00506206" w:rsidRDefault="00385CAF" w:rsidP="003A76BC">
            <w:pPr>
              <w:spacing w:line="360" w:lineRule="auto"/>
              <w:rPr>
                <w:rFonts w:ascii="Arial" w:hAnsi="Arial" w:cs="Arial"/>
                <w:sz w:val="20"/>
                <w:szCs w:val="20"/>
              </w:rPr>
            </w:pPr>
          </w:p>
        </w:tc>
        <w:tc>
          <w:tcPr>
            <w:tcW w:w="932" w:type="dxa"/>
          </w:tcPr>
          <w:p w14:paraId="5753C98C" w14:textId="77777777" w:rsidR="00385CAF" w:rsidRPr="00506206" w:rsidRDefault="00385CAF" w:rsidP="003A76BC">
            <w:pPr>
              <w:spacing w:line="360" w:lineRule="auto"/>
              <w:rPr>
                <w:rFonts w:ascii="Arial" w:hAnsi="Arial" w:cs="Arial"/>
                <w:sz w:val="20"/>
                <w:szCs w:val="20"/>
              </w:rPr>
            </w:pPr>
          </w:p>
        </w:tc>
      </w:tr>
      <w:tr w:rsidR="00385CAF" w:rsidRPr="00506206" w14:paraId="465F2045" w14:textId="77777777" w:rsidTr="00C32177">
        <w:trPr>
          <w:trHeight w:val="627"/>
        </w:trPr>
        <w:tc>
          <w:tcPr>
            <w:tcW w:w="1342" w:type="dxa"/>
          </w:tcPr>
          <w:p w14:paraId="5E31840B" w14:textId="77777777" w:rsidR="00385CAF" w:rsidRPr="00506206" w:rsidRDefault="00385CAF" w:rsidP="003A76BC">
            <w:pPr>
              <w:spacing w:line="360" w:lineRule="auto"/>
              <w:rPr>
                <w:rFonts w:ascii="Arial" w:hAnsi="Arial" w:cs="Arial"/>
                <w:b/>
                <w:bCs/>
                <w:sz w:val="20"/>
                <w:szCs w:val="20"/>
              </w:rPr>
            </w:pPr>
            <w:r w:rsidRPr="00506206">
              <w:rPr>
                <w:rFonts w:ascii="Arial" w:hAnsi="Arial" w:cs="Arial"/>
                <w:b/>
                <w:bCs/>
                <w:sz w:val="20"/>
                <w:szCs w:val="20"/>
              </w:rPr>
              <w:t>RGDPG</w:t>
            </w:r>
          </w:p>
        </w:tc>
        <w:tc>
          <w:tcPr>
            <w:tcW w:w="1095" w:type="dxa"/>
          </w:tcPr>
          <w:p w14:paraId="2CA38A2A"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-0.19</w:t>
            </w:r>
          </w:p>
          <w:p w14:paraId="18F843E1"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(0.22)</w:t>
            </w:r>
          </w:p>
        </w:tc>
        <w:tc>
          <w:tcPr>
            <w:tcW w:w="1094" w:type="dxa"/>
          </w:tcPr>
          <w:p w14:paraId="0750C152"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0.59</w:t>
            </w:r>
          </w:p>
          <w:p w14:paraId="40150B34"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w:t>
            </w:r>
            <w:proofErr w:type="gramStart"/>
            <w:r w:rsidRPr="00506206">
              <w:rPr>
                <w:rFonts w:ascii="Arial" w:hAnsi="Arial" w:cs="Arial"/>
                <w:sz w:val="20"/>
                <w:szCs w:val="20"/>
              </w:rPr>
              <w:t>0.00)*</w:t>
            </w:r>
            <w:proofErr w:type="gramEnd"/>
            <w:r w:rsidRPr="00506206">
              <w:rPr>
                <w:rFonts w:ascii="Arial" w:hAnsi="Arial" w:cs="Arial"/>
                <w:sz w:val="20"/>
                <w:szCs w:val="20"/>
              </w:rPr>
              <w:t>**</w:t>
            </w:r>
          </w:p>
        </w:tc>
        <w:tc>
          <w:tcPr>
            <w:tcW w:w="1094" w:type="dxa"/>
          </w:tcPr>
          <w:p w14:paraId="025BAE60"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-0.05</w:t>
            </w:r>
          </w:p>
          <w:p w14:paraId="123D3C3F"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(0.73)</w:t>
            </w:r>
          </w:p>
        </w:tc>
        <w:tc>
          <w:tcPr>
            <w:tcW w:w="1094" w:type="dxa"/>
          </w:tcPr>
          <w:p w14:paraId="523CE62C"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0.50</w:t>
            </w:r>
          </w:p>
          <w:p w14:paraId="05571A0D"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w:t>
            </w:r>
            <w:proofErr w:type="gramStart"/>
            <w:r w:rsidRPr="00506206">
              <w:rPr>
                <w:rFonts w:ascii="Arial" w:hAnsi="Arial" w:cs="Arial"/>
                <w:sz w:val="20"/>
                <w:szCs w:val="20"/>
              </w:rPr>
              <w:t>0.00)*</w:t>
            </w:r>
            <w:proofErr w:type="gramEnd"/>
            <w:r w:rsidRPr="00506206">
              <w:rPr>
                <w:rFonts w:ascii="Arial" w:hAnsi="Arial" w:cs="Arial"/>
                <w:sz w:val="20"/>
                <w:szCs w:val="20"/>
              </w:rPr>
              <w:t>**</w:t>
            </w:r>
          </w:p>
        </w:tc>
        <w:tc>
          <w:tcPr>
            <w:tcW w:w="972" w:type="dxa"/>
          </w:tcPr>
          <w:p w14:paraId="798F260F"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0.39</w:t>
            </w:r>
          </w:p>
          <w:p w14:paraId="03B3F647"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w:t>
            </w:r>
            <w:proofErr w:type="gramStart"/>
            <w:r w:rsidRPr="00506206">
              <w:rPr>
                <w:rFonts w:ascii="Arial" w:hAnsi="Arial" w:cs="Arial"/>
                <w:sz w:val="20"/>
                <w:szCs w:val="20"/>
              </w:rPr>
              <w:t>0.00)*</w:t>
            </w:r>
            <w:proofErr w:type="gramEnd"/>
            <w:r w:rsidRPr="00506206">
              <w:rPr>
                <w:rFonts w:ascii="Arial" w:hAnsi="Arial" w:cs="Arial"/>
                <w:sz w:val="20"/>
                <w:szCs w:val="20"/>
              </w:rPr>
              <w:t>**</w:t>
            </w:r>
          </w:p>
        </w:tc>
        <w:tc>
          <w:tcPr>
            <w:tcW w:w="993" w:type="dxa"/>
          </w:tcPr>
          <w:p w14:paraId="29FBB9C4"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0.20</w:t>
            </w:r>
          </w:p>
          <w:p w14:paraId="391261FB"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(0.20)</w:t>
            </w:r>
          </w:p>
        </w:tc>
        <w:tc>
          <w:tcPr>
            <w:tcW w:w="1134" w:type="dxa"/>
          </w:tcPr>
          <w:p w14:paraId="1145A27E"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1.00</w:t>
            </w:r>
          </w:p>
          <w:p w14:paraId="37777A1D"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w:t>
            </w:r>
          </w:p>
        </w:tc>
        <w:tc>
          <w:tcPr>
            <w:tcW w:w="932" w:type="dxa"/>
          </w:tcPr>
          <w:p w14:paraId="7D94892B" w14:textId="77777777" w:rsidR="00385CAF" w:rsidRPr="00506206" w:rsidRDefault="00385CAF" w:rsidP="003A76BC">
            <w:pPr>
              <w:spacing w:line="360" w:lineRule="auto"/>
              <w:rPr>
                <w:rFonts w:ascii="Arial" w:hAnsi="Arial" w:cs="Arial"/>
                <w:sz w:val="20"/>
                <w:szCs w:val="20"/>
              </w:rPr>
            </w:pPr>
          </w:p>
        </w:tc>
      </w:tr>
      <w:tr w:rsidR="00385CAF" w:rsidRPr="00506206" w14:paraId="497B7640" w14:textId="77777777" w:rsidTr="00C32177">
        <w:trPr>
          <w:trHeight w:val="640"/>
        </w:trPr>
        <w:tc>
          <w:tcPr>
            <w:tcW w:w="1342" w:type="dxa"/>
          </w:tcPr>
          <w:p w14:paraId="4A65D567" w14:textId="77777777" w:rsidR="00385CAF" w:rsidRPr="00506206" w:rsidRDefault="00385CAF" w:rsidP="003A76BC">
            <w:pPr>
              <w:spacing w:line="360" w:lineRule="auto"/>
              <w:rPr>
                <w:rFonts w:ascii="Arial" w:hAnsi="Arial" w:cs="Arial"/>
                <w:b/>
                <w:bCs/>
                <w:sz w:val="20"/>
                <w:szCs w:val="20"/>
              </w:rPr>
            </w:pPr>
            <w:r w:rsidRPr="00506206">
              <w:rPr>
                <w:rFonts w:ascii="Arial" w:hAnsi="Arial" w:cs="Arial"/>
                <w:b/>
                <w:bCs/>
                <w:sz w:val="20"/>
                <w:szCs w:val="20"/>
              </w:rPr>
              <w:t>LR</w:t>
            </w:r>
          </w:p>
        </w:tc>
        <w:tc>
          <w:tcPr>
            <w:tcW w:w="1095" w:type="dxa"/>
          </w:tcPr>
          <w:p w14:paraId="3FB89E32"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0.37</w:t>
            </w:r>
          </w:p>
          <w:p w14:paraId="2899AC79"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w:t>
            </w:r>
            <w:proofErr w:type="gramStart"/>
            <w:r w:rsidRPr="00506206">
              <w:rPr>
                <w:rFonts w:ascii="Arial" w:hAnsi="Arial" w:cs="Arial"/>
                <w:sz w:val="20"/>
                <w:szCs w:val="20"/>
              </w:rPr>
              <w:t>0.01)*</w:t>
            </w:r>
            <w:proofErr w:type="gramEnd"/>
            <w:r w:rsidRPr="00506206">
              <w:rPr>
                <w:rFonts w:ascii="Arial" w:hAnsi="Arial" w:cs="Arial"/>
                <w:sz w:val="20"/>
                <w:szCs w:val="20"/>
              </w:rPr>
              <w:t>**</w:t>
            </w:r>
          </w:p>
        </w:tc>
        <w:tc>
          <w:tcPr>
            <w:tcW w:w="1094" w:type="dxa"/>
          </w:tcPr>
          <w:p w14:paraId="2A7A5C4D"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0.47</w:t>
            </w:r>
          </w:p>
          <w:p w14:paraId="3333AE3F"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w:t>
            </w:r>
            <w:proofErr w:type="gramStart"/>
            <w:r w:rsidRPr="00506206">
              <w:rPr>
                <w:rFonts w:ascii="Arial" w:hAnsi="Arial" w:cs="Arial"/>
                <w:sz w:val="20"/>
                <w:szCs w:val="20"/>
              </w:rPr>
              <w:t>0.00)*</w:t>
            </w:r>
            <w:proofErr w:type="gramEnd"/>
            <w:r w:rsidRPr="00506206">
              <w:rPr>
                <w:rFonts w:ascii="Arial" w:hAnsi="Arial" w:cs="Arial"/>
                <w:sz w:val="20"/>
                <w:szCs w:val="20"/>
              </w:rPr>
              <w:t>**</w:t>
            </w:r>
          </w:p>
        </w:tc>
        <w:tc>
          <w:tcPr>
            <w:tcW w:w="1094" w:type="dxa"/>
          </w:tcPr>
          <w:p w14:paraId="60B06A2C"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0.43</w:t>
            </w:r>
          </w:p>
          <w:p w14:paraId="6AE5F82B"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w:t>
            </w:r>
            <w:proofErr w:type="gramStart"/>
            <w:r w:rsidRPr="00506206">
              <w:rPr>
                <w:rFonts w:ascii="Arial" w:hAnsi="Arial" w:cs="Arial"/>
                <w:sz w:val="20"/>
                <w:szCs w:val="20"/>
              </w:rPr>
              <w:t>0.00)*</w:t>
            </w:r>
            <w:proofErr w:type="gramEnd"/>
            <w:r w:rsidRPr="00506206">
              <w:rPr>
                <w:rFonts w:ascii="Arial" w:hAnsi="Arial" w:cs="Arial"/>
                <w:sz w:val="20"/>
                <w:szCs w:val="20"/>
              </w:rPr>
              <w:t>**</w:t>
            </w:r>
          </w:p>
        </w:tc>
        <w:tc>
          <w:tcPr>
            <w:tcW w:w="1094" w:type="dxa"/>
          </w:tcPr>
          <w:p w14:paraId="136E6FD4"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0.32</w:t>
            </w:r>
          </w:p>
          <w:p w14:paraId="0EC4C234"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w:t>
            </w:r>
            <w:proofErr w:type="gramStart"/>
            <w:r w:rsidRPr="00506206">
              <w:rPr>
                <w:rFonts w:ascii="Arial" w:hAnsi="Arial" w:cs="Arial"/>
                <w:sz w:val="20"/>
                <w:szCs w:val="20"/>
              </w:rPr>
              <w:t>0.03)*</w:t>
            </w:r>
            <w:proofErr w:type="gramEnd"/>
            <w:r w:rsidRPr="00506206">
              <w:rPr>
                <w:rFonts w:ascii="Arial" w:hAnsi="Arial" w:cs="Arial"/>
                <w:sz w:val="20"/>
                <w:szCs w:val="20"/>
              </w:rPr>
              <w:t>*</w:t>
            </w:r>
          </w:p>
        </w:tc>
        <w:tc>
          <w:tcPr>
            <w:tcW w:w="972" w:type="dxa"/>
          </w:tcPr>
          <w:p w14:paraId="2D5B027C"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0.35</w:t>
            </w:r>
          </w:p>
          <w:p w14:paraId="177B0E5D"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w:t>
            </w:r>
            <w:proofErr w:type="gramStart"/>
            <w:r w:rsidRPr="00506206">
              <w:rPr>
                <w:rFonts w:ascii="Arial" w:hAnsi="Arial" w:cs="Arial"/>
                <w:sz w:val="20"/>
                <w:szCs w:val="20"/>
              </w:rPr>
              <w:t>0.02)*</w:t>
            </w:r>
            <w:proofErr w:type="gramEnd"/>
            <w:r w:rsidRPr="00506206">
              <w:rPr>
                <w:rFonts w:ascii="Arial" w:hAnsi="Arial" w:cs="Arial"/>
                <w:sz w:val="20"/>
                <w:szCs w:val="20"/>
              </w:rPr>
              <w:t>*</w:t>
            </w:r>
          </w:p>
        </w:tc>
        <w:tc>
          <w:tcPr>
            <w:tcW w:w="993" w:type="dxa"/>
          </w:tcPr>
          <w:p w14:paraId="66E2CBEA"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0.38</w:t>
            </w:r>
          </w:p>
          <w:p w14:paraId="25B5D0D0"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w:t>
            </w:r>
            <w:proofErr w:type="gramStart"/>
            <w:r w:rsidRPr="00506206">
              <w:rPr>
                <w:rFonts w:ascii="Arial" w:hAnsi="Arial" w:cs="Arial"/>
                <w:sz w:val="20"/>
                <w:szCs w:val="20"/>
              </w:rPr>
              <w:t>0.01)*</w:t>
            </w:r>
            <w:proofErr w:type="gramEnd"/>
            <w:r w:rsidRPr="00506206">
              <w:rPr>
                <w:rFonts w:ascii="Arial" w:hAnsi="Arial" w:cs="Arial"/>
                <w:sz w:val="20"/>
                <w:szCs w:val="20"/>
              </w:rPr>
              <w:t>**</w:t>
            </w:r>
          </w:p>
        </w:tc>
        <w:tc>
          <w:tcPr>
            <w:tcW w:w="1134" w:type="dxa"/>
          </w:tcPr>
          <w:p w14:paraId="4B187841"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0.42</w:t>
            </w:r>
          </w:p>
          <w:p w14:paraId="04CA3467"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w:t>
            </w:r>
            <w:proofErr w:type="gramStart"/>
            <w:r w:rsidRPr="00506206">
              <w:rPr>
                <w:rFonts w:ascii="Arial" w:hAnsi="Arial" w:cs="Arial"/>
                <w:sz w:val="20"/>
                <w:szCs w:val="20"/>
              </w:rPr>
              <w:t>0.00)*</w:t>
            </w:r>
            <w:proofErr w:type="gramEnd"/>
            <w:r w:rsidRPr="00506206">
              <w:rPr>
                <w:rFonts w:ascii="Arial" w:hAnsi="Arial" w:cs="Arial"/>
                <w:sz w:val="20"/>
                <w:szCs w:val="20"/>
              </w:rPr>
              <w:t>**</w:t>
            </w:r>
          </w:p>
        </w:tc>
        <w:tc>
          <w:tcPr>
            <w:tcW w:w="932" w:type="dxa"/>
          </w:tcPr>
          <w:p w14:paraId="5C48FE47"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1.00</w:t>
            </w:r>
          </w:p>
          <w:p w14:paraId="774FBFBC"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w:t>
            </w:r>
          </w:p>
        </w:tc>
      </w:tr>
    </w:tbl>
    <w:p w14:paraId="20743EE8" w14:textId="77777777" w:rsidR="00385CAF" w:rsidRPr="00506206" w:rsidRDefault="00385CAF" w:rsidP="00385CAF">
      <w:pPr>
        <w:spacing w:line="360" w:lineRule="auto"/>
        <w:rPr>
          <w:rFonts w:ascii="Arial" w:hAnsi="Arial" w:cs="Arial"/>
          <w:b/>
          <w:bCs/>
        </w:rPr>
      </w:pPr>
      <w:r w:rsidRPr="00506206">
        <w:rPr>
          <w:rFonts w:ascii="Arial" w:hAnsi="Arial" w:cs="Arial"/>
          <w:b/>
          <w:bCs/>
        </w:rPr>
        <w:t xml:space="preserve">  Source: Author’s computation using EViews 13 </w:t>
      </w:r>
    </w:p>
    <w:p w14:paraId="0F300504" w14:textId="77777777" w:rsidR="00385CAF" w:rsidRDefault="00385CAF" w:rsidP="00385CAF">
      <w:pPr>
        <w:rPr>
          <w:rFonts w:ascii="Arial" w:hAnsi="Arial" w:cs="Arial"/>
        </w:rPr>
      </w:pPr>
      <w:r w:rsidRPr="00506206">
        <w:rPr>
          <w:rFonts w:ascii="Arial" w:hAnsi="Arial" w:cs="Arial"/>
          <w:b/>
          <w:bCs/>
        </w:rPr>
        <w:t xml:space="preserve">  Note: </w:t>
      </w:r>
      <w:r w:rsidRPr="00506206">
        <w:rPr>
          <w:rFonts w:ascii="Arial" w:hAnsi="Arial" w:cs="Arial"/>
        </w:rPr>
        <w:t xml:space="preserve">Probability values are in parentheses. ***, **, and * indicate significance at the 1%, </w:t>
      </w:r>
      <w:r>
        <w:rPr>
          <w:rFonts w:ascii="Arial" w:hAnsi="Arial" w:cs="Arial"/>
        </w:rPr>
        <w:t xml:space="preserve">  </w:t>
      </w:r>
    </w:p>
    <w:p w14:paraId="194A488D" w14:textId="23E1C9AC" w:rsidR="00385CAF" w:rsidRDefault="00385CAF" w:rsidP="00385CAF">
      <w:pPr>
        <w:rPr>
          <w:rFonts w:ascii="Arial" w:hAnsi="Arial" w:cs="Arial"/>
        </w:rPr>
      </w:pPr>
      <w:r>
        <w:rPr>
          <w:rFonts w:ascii="Arial" w:hAnsi="Arial" w:cs="Arial"/>
        </w:rPr>
        <w:t xml:space="preserve">   </w:t>
      </w:r>
      <w:r w:rsidRPr="00506206">
        <w:rPr>
          <w:rFonts w:ascii="Arial" w:hAnsi="Arial" w:cs="Arial"/>
        </w:rPr>
        <w:t>5%</w:t>
      </w:r>
      <w:r w:rsidR="00C32177">
        <w:rPr>
          <w:rFonts w:ascii="Arial" w:hAnsi="Arial" w:cs="Arial"/>
        </w:rPr>
        <w:t xml:space="preserve"> </w:t>
      </w:r>
      <w:r w:rsidRPr="00506206">
        <w:rPr>
          <w:rFonts w:ascii="Arial" w:hAnsi="Arial" w:cs="Arial"/>
        </w:rPr>
        <w:t>and 10% levels respectively.</w:t>
      </w:r>
    </w:p>
    <w:p w14:paraId="51CE1340" w14:textId="77777777" w:rsidR="00385CAF" w:rsidRPr="00506206" w:rsidRDefault="00385CAF" w:rsidP="00385CAF">
      <w:pPr>
        <w:rPr>
          <w:rFonts w:ascii="Arial" w:hAnsi="Arial" w:cs="Arial"/>
        </w:rPr>
      </w:pPr>
    </w:p>
    <w:p w14:paraId="69C569C5" w14:textId="77777777" w:rsidR="00385CAF" w:rsidRPr="00506206" w:rsidRDefault="00385CAF" w:rsidP="00385CAF">
      <w:pPr>
        <w:spacing w:line="360" w:lineRule="auto"/>
        <w:rPr>
          <w:rFonts w:ascii="Arial" w:hAnsi="Arial" w:cs="Arial"/>
          <w:b/>
          <w:bCs/>
        </w:rPr>
      </w:pPr>
      <w:r w:rsidRPr="00506206">
        <w:rPr>
          <w:rFonts w:ascii="Arial" w:hAnsi="Arial" w:cs="Arial"/>
          <w:b/>
          <w:bCs/>
        </w:rPr>
        <w:t xml:space="preserve">4.3 Unit Root test results </w:t>
      </w:r>
    </w:p>
    <w:p w14:paraId="55779D81" w14:textId="77777777" w:rsidR="00385CAF" w:rsidRPr="00506206" w:rsidRDefault="00385CAF" w:rsidP="00385CAF">
      <w:pPr>
        <w:jc w:val="both"/>
        <w:rPr>
          <w:rFonts w:ascii="Arial" w:hAnsi="Arial" w:cs="Arial"/>
        </w:rPr>
      </w:pPr>
      <w:r w:rsidRPr="00506206">
        <w:rPr>
          <w:rFonts w:ascii="Arial" w:hAnsi="Arial" w:cs="Arial"/>
        </w:rPr>
        <w:t>Before proceeding with the dynamic estimation, the stationarity properties of the variables were evaluated using the Augmented Dickey-Fuller (ADF) and Phillips-Perron (PP) tests. The results, presented in Tables 3(a) and 3(b), are essential to ensure that no variable is integrated of order two [</w:t>
      </w:r>
      <w:proofErr w:type="gramStart"/>
      <w:r w:rsidRPr="00506206">
        <w:rPr>
          <w:rFonts w:ascii="Arial" w:hAnsi="Arial" w:cs="Arial"/>
        </w:rPr>
        <w:t>I(</w:t>
      </w:r>
      <w:proofErr w:type="gramEnd"/>
      <w:r w:rsidRPr="00506206">
        <w:rPr>
          <w:rFonts w:ascii="Arial" w:hAnsi="Arial" w:cs="Arial"/>
        </w:rPr>
        <w:t>2)], as the ARDL Bounds testing framework is only valid for variables integrated of order I(0), I(1), or a mixture of both.</w:t>
      </w:r>
    </w:p>
    <w:p w14:paraId="68E25020" w14:textId="77777777" w:rsidR="00385CAF" w:rsidRDefault="00385CAF" w:rsidP="00385CAF">
      <w:pPr>
        <w:spacing w:line="360" w:lineRule="auto"/>
        <w:rPr>
          <w:rFonts w:ascii="Arial" w:hAnsi="Arial" w:cs="Arial"/>
          <w:b/>
          <w:bCs/>
        </w:rPr>
      </w:pPr>
    </w:p>
    <w:p w14:paraId="4D28DBE7" w14:textId="77777777" w:rsidR="00385CAF" w:rsidRPr="00506206" w:rsidRDefault="00385CAF" w:rsidP="00385CAF">
      <w:pPr>
        <w:spacing w:line="360" w:lineRule="auto"/>
        <w:rPr>
          <w:rFonts w:ascii="Arial" w:hAnsi="Arial" w:cs="Arial"/>
          <w:b/>
          <w:bCs/>
        </w:rPr>
      </w:pPr>
      <w:r w:rsidRPr="00506206">
        <w:rPr>
          <w:rFonts w:ascii="Arial" w:hAnsi="Arial" w:cs="Arial"/>
          <w:b/>
          <w:bCs/>
        </w:rPr>
        <w:t xml:space="preserve"> Table 3(a): Augmented Dickey-Fuller (ADF) Test Results</w:t>
      </w:r>
    </w:p>
    <w:tbl>
      <w:tblPr>
        <w:tblStyle w:val="TableGrid"/>
        <w:tblW w:w="0" w:type="auto"/>
        <w:tblInd w:w="108" w:type="dxa"/>
        <w:tblLook w:val="04A0" w:firstRow="1" w:lastRow="0" w:firstColumn="1" w:lastColumn="0" w:noHBand="0" w:noVBand="1"/>
      </w:tblPr>
      <w:tblGrid>
        <w:gridCol w:w="1960"/>
        <w:gridCol w:w="2012"/>
        <w:gridCol w:w="2075"/>
        <w:gridCol w:w="2043"/>
      </w:tblGrid>
      <w:tr w:rsidR="00385CAF" w:rsidRPr="00506206" w14:paraId="541D6B2D" w14:textId="77777777" w:rsidTr="003A76BC">
        <w:tc>
          <w:tcPr>
            <w:tcW w:w="2229" w:type="dxa"/>
          </w:tcPr>
          <w:p w14:paraId="3389058F" w14:textId="77777777" w:rsidR="00385CAF" w:rsidRPr="00506206" w:rsidRDefault="00385CAF" w:rsidP="003A76BC">
            <w:pPr>
              <w:spacing w:line="360" w:lineRule="auto"/>
              <w:rPr>
                <w:rFonts w:ascii="Arial" w:hAnsi="Arial" w:cs="Arial"/>
                <w:b/>
                <w:bCs/>
                <w:sz w:val="20"/>
                <w:szCs w:val="20"/>
              </w:rPr>
            </w:pPr>
            <w:r w:rsidRPr="00506206">
              <w:rPr>
                <w:rFonts w:ascii="Arial" w:hAnsi="Arial" w:cs="Arial"/>
                <w:b/>
                <w:bCs/>
                <w:sz w:val="20"/>
                <w:szCs w:val="20"/>
              </w:rPr>
              <w:lastRenderedPageBreak/>
              <w:t>Variable</w:t>
            </w:r>
          </w:p>
        </w:tc>
        <w:tc>
          <w:tcPr>
            <w:tcW w:w="2337" w:type="dxa"/>
          </w:tcPr>
          <w:p w14:paraId="2AA71438" w14:textId="77777777" w:rsidR="00385CAF" w:rsidRPr="00506206" w:rsidRDefault="00385CAF" w:rsidP="003A76BC">
            <w:pPr>
              <w:spacing w:line="360" w:lineRule="auto"/>
              <w:jc w:val="center"/>
              <w:rPr>
                <w:rFonts w:ascii="Arial" w:hAnsi="Arial" w:cs="Arial"/>
                <w:b/>
                <w:bCs/>
                <w:sz w:val="20"/>
                <w:szCs w:val="20"/>
              </w:rPr>
            </w:pPr>
            <w:r w:rsidRPr="00506206">
              <w:rPr>
                <w:rFonts w:ascii="Arial" w:hAnsi="Arial" w:cs="Arial"/>
                <w:b/>
                <w:bCs/>
                <w:sz w:val="20"/>
                <w:szCs w:val="20"/>
              </w:rPr>
              <w:t>t-Statistic</w:t>
            </w:r>
          </w:p>
        </w:tc>
        <w:tc>
          <w:tcPr>
            <w:tcW w:w="2338" w:type="dxa"/>
          </w:tcPr>
          <w:p w14:paraId="66BF76F1" w14:textId="77777777" w:rsidR="00385CAF" w:rsidRPr="00506206" w:rsidRDefault="00385CAF" w:rsidP="003A76BC">
            <w:pPr>
              <w:spacing w:line="360" w:lineRule="auto"/>
              <w:jc w:val="center"/>
              <w:rPr>
                <w:rFonts w:ascii="Arial" w:hAnsi="Arial" w:cs="Arial"/>
                <w:b/>
                <w:bCs/>
                <w:sz w:val="20"/>
                <w:szCs w:val="20"/>
              </w:rPr>
            </w:pPr>
            <w:r w:rsidRPr="00506206">
              <w:rPr>
                <w:rFonts w:ascii="Arial" w:hAnsi="Arial" w:cs="Arial"/>
                <w:b/>
                <w:bCs/>
                <w:sz w:val="20"/>
                <w:szCs w:val="20"/>
              </w:rPr>
              <w:t>Probability</w:t>
            </w:r>
          </w:p>
        </w:tc>
        <w:tc>
          <w:tcPr>
            <w:tcW w:w="2338" w:type="dxa"/>
          </w:tcPr>
          <w:p w14:paraId="5A42EA25" w14:textId="77777777" w:rsidR="00385CAF" w:rsidRPr="00506206" w:rsidRDefault="00385CAF" w:rsidP="003A76BC">
            <w:pPr>
              <w:spacing w:line="360" w:lineRule="auto"/>
              <w:jc w:val="center"/>
              <w:rPr>
                <w:rFonts w:ascii="Arial" w:hAnsi="Arial" w:cs="Arial"/>
                <w:b/>
                <w:bCs/>
                <w:sz w:val="20"/>
                <w:szCs w:val="20"/>
              </w:rPr>
            </w:pPr>
            <w:r w:rsidRPr="00506206">
              <w:rPr>
                <w:rFonts w:ascii="Arial" w:hAnsi="Arial" w:cs="Arial"/>
                <w:b/>
                <w:bCs/>
                <w:sz w:val="20"/>
                <w:szCs w:val="20"/>
              </w:rPr>
              <w:t>Remarks</w:t>
            </w:r>
          </w:p>
        </w:tc>
      </w:tr>
      <w:tr w:rsidR="00385CAF" w:rsidRPr="00506206" w14:paraId="042309CD" w14:textId="77777777" w:rsidTr="003A76BC">
        <w:tc>
          <w:tcPr>
            <w:tcW w:w="2229" w:type="dxa"/>
          </w:tcPr>
          <w:p w14:paraId="07A5801B" w14:textId="77777777" w:rsidR="00385CAF" w:rsidRPr="00506206" w:rsidRDefault="00385CAF" w:rsidP="003A76BC">
            <w:pPr>
              <w:spacing w:line="360" w:lineRule="auto"/>
              <w:rPr>
                <w:rFonts w:ascii="Arial" w:hAnsi="Arial" w:cs="Arial"/>
                <w:sz w:val="20"/>
                <w:szCs w:val="20"/>
              </w:rPr>
            </w:pPr>
            <w:r w:rsidRPr="00506206">
              <w:rPr>
                <w:rFonts w:ascii="Arial" w:eastAsia="Times New Roman" w:hAnsi="Arial" w:cs="Arial"/>
                <w:b/>
                <w:bCs/>
                <w:sz w:val="20"/>
                <w:szCs w:val="20"/>
                <w:bdr w:val="single" w:sz="2" w:space="0" w:color="E4E4E7" w:frame="1"/>
              </w:rPr>
              <w:t>INF</w:t>
            </w:r>
          </w:p>
        </w:tc>
        <w:tc>
          <w:tcPr>
            <w:tcW w:w="2337" w:type="dxa"/>
            <w:vAlign w:val="center"/>
          </w:tcPr>
          <w:p w14:paraId="73304EB7" w14:textId="77777777" w:rsidR="00385CAF" w:rsidRPr="00506206" w:rsidRDefault="00385CAF" w:rsidP="003A76BC">
            <w:pPr>
              <w:spacing w:line="360" w:lineRule="auto"/>
              <w:jc w:val="center"/>
              <w:rPr>
                <w:rFonts w:ascii="Arial" w:hAnsi="Arial" w:cs="Arial"/>
                <w:sz w:val="20"/>
                <w:szCs w:val="20"/>
              </w:rPr>
            </w:pPr>
            <w:r w:rsidRPr="00506206">
              <w:rPr>
                <w:rFonts w:ascii="Arial" w:eastAsia="Times New Roman" w:hAnsi="Arial" w:cs="Arial"/>
                <w:sz w:val="20"/>
                <w:szCs w:val="20"/>
              </w:rPr>
              <w:t>-3.141</w:t>
            </w:r>
          </w:p>
        </w:tc>
        <w:tc>
          <w:tcPr>
            <w:tcW w:w="2338" w:type="dxa"/>
            <w:vAlign w:val="center"/>
          </w:tcPr>
          <w:p w14:paraId="1F48CA8D" w14:textId="77777777" w:rsidR="00385CAF" w:rsidRPr="00506206" w:rsidRDefault="00385CAF" w:rsidP="003A76BC">
            <w:pPr>
              <w:spacing w:line="360" w:lineRule="auto"/>
              <w:jc w:val="center"/>
              <w:rPr>
                <w:rFonts w:ascii="Arial" w:hAnsi="Arial" w:cs="Arial"/>
                <w:sz w:val="20"/>
                <w:szCs w:val="20"/>
              </w:rPr>
            </w:pPr>
            <w:r w:rsidRPr="00506206">
              <w:rPr>
                <w:rFonts w:ascii="Arial" w:eastAsia="Times New Roman" w:hAnsi="Arial" w:cs="Arial"/>
                <w:sz w:val="20"/>
                <w:szCs w:val="20"/>
              </w:rPr>
              <w:t>0.031**</w:t>
            </w:r>
          </w:p>
        </w:tc>
        <w:tc>
          <w:tcPr>
            <w:tcW w:w="2338" w:type="dxa"/>
            <w:vAlign w:val="center"/>
          </w:tcPr>
          <w:p w14:paraId="468F57AB" w14:textId="77777777" w:rsidR="00385CAF" w:rsidRPr="00506206" w:rsidRDefault="00385CAF" w:rsidP="003A76BC">
            <w:pPr>
              <w:spacing w:line="360" w:lineRule="auto"/>
              <w:jc w:val="center"/>
              <w:rPr>
                <w:rFonts w:ascii="Arial" w:hAnsi="Arial" w:cs="Arial"/>
                <w:sz w:val="20"/>
                <w:szCs w:val="20"/>
              </w:rPr>
            </w:pPr>
            <w:proofErr w:type="gramStart"/>
            <w:r w:rsidRPr="00506206">
              <w:rPr>
                <w:rFonts w:ascii="Arial" w:eastAsia="Times New Roman" w:hAnsi="Arial" w:cs="Arial"/>
                <w:sz w:val="20"/>
                <w:szCs w:val="20"/>
              </w:rPr>
              <w:t>I(</w:t>
            </w:r>
            <w:proofErr w:type="gramEnd"/>
            <w:r w:rsidRPr="00506206">
              <w:rPr>
                <w:rFonts w:ascii="Arial" w:eastAsia="Times New Roman" w:hAnsi="Arial" w:cs="Arial"/>
                <w:sz w:val="20"/>
                <w:szCs w:val="20"/>
              </w:rPr>
              <w:t>0) Stationary</w:t>
            </w:r>
          </w:p>
        </w:tc>
      </w:tr>
      <w:tr w:rsidR="00385CAF" w:rsidRPr="00506206" w14:paraId="06EA13B1" w14:textId="77777777" w:rsidTr="003A76BC">
        <w:tc>
          <w:tcPr>
            <w:tcW w:w="2229" w:type="dxa"/>
          </w:tcPr>
          <w:p w14:paraId="4F3BA64F" w14:textId="77777777" w:rsidR="00385CAF" w:rsidRPr="00506206" w:rsidRDefault="00385CAF" w:rsidP="003A76BC">
            <w:pPr>
              <w:spacing w:line="360" w:lineRule="auto"/>
              <w:rPr>
                <w:rFonts w:ascii="Arial" w:hAnsi="Arial" w:cs="Arial"/>
                <w:sz w:val="20"/>
                <w:szCs w:val="20"/>
              </w:rPr>
            </w:pPr>
            <w:r w:rsidRPr="00506206">
              <w:rPr>
                <w:rFonts w:ascii="Arial" w:eastAsia="Times New Roman" w:hAnsi="Arial" w:cs="Arial"/>
                <w:b/>
                <w:bCs/>
                <w:sz w:val="20"/>
                <w:szCs w:val="20"/>
                <w:bdr w:val="single" w:sz="2" w:space="0" w:color="E4E4E7" w:frame="1"/>
              </w:rPr>
              <w:t>FD</w:t>
            </w:r>
          </w:p>
        </w:tc>
        <w:tc>
          <w:tcPr>
            <w:tcW w:w="2337" w:type="dxa"/>
            <w:vAlign w:val="center"/>
          </w:tcPr>
          <w:p w14:paraId="3E67FE50" w14:textId="77777777" w:rsidR="00385CAF" w:rsidRPr="00506206" w:rsidRDefault="00385CAF" w:rsidP="003A76BC">
            <w:pPr>
              <w:spacing w:line="360" w:lineRule="auto"/>
              <w:jc w:val="center"/>
              <w:rPr>
                <w:rFonts w:ascii="Arial" w:hAnsi="Arial" w:cs="Arial"/>
                <w:sz w:val="20"/>
                <w:szCs w:val="20"/>
              </w:rPr>
            </w:pPr>
            <w:r w:rsidRPr="00506206">
              <w:rPr>
                <w:rFonts w:ascii="Arial" w:eastAsia="Times New Roman" w:hAnsi="Arial" w:cs="Arial"/>
                <w:sz w:val="20"/>
                <w:szCs w:val="20"/>
              </w:rPr>
              <w:t>-3.048</w:t>
            </w:r>
          </w:p>
        </w:tc>
        <w:tc>
          <w:tcPr>
            <w:tcW w:w="2338" w:type="dxa"/>
            <w:vAlign w:val="center"/>
          </w:tcPr>
          <w:p w14:paraId="36942632" w14:textId="77777777" w:rsidR="00385CAF" w:rsidRPr="00506206" w:rsidRDefault="00385CAF" w:rsidP="003A76BC">
            <w:pPr>
              <w:spacing w:line="360" w:lineRule="auto"/>
              <w:jc w:val="center"/>
              <w:rPr>
                <w:rFonts w:ascii="Arial" w:hAnsi="Arial" w:cs="Arial"/>
                <w:sz w:val="20"/>
                <w:szCs w:val="20"/>
              </w:rPr>
            </w:pPr>
            <w:r w:rsidRPr="00506206">
              <w:rPr>
                <w:rFonts w:ascii="Arial" w:eastAsia="Times New Roman" w:hAnsi="Arial" w:cs="Arial"/>
                <w:sz w:val="20"/>
                <w:szCs w:val="20"/>
              </w:rPr>
              <w:t>0.038**</w:t>
            </w:r>
          </w:p>
        </w:tc>
        <w:tc>
          <w:tcPr>
            <w:tcW w:w="2338" w:type="dxa"/>
            <w:vAlign w:val="center"/>
          </w:tcPr>
          <w:p w14:paraId="6C8A0B8D" w14:textId="77777777" w:rsidR="00385CAF" w:rsidRPr="00506206" w:rsidRDefault="00385CAF" w:rsidP="003A76BC">
            <w:pPr>
              <w:spacing w:line="360" w:lineRule="auto"/>
              <w:jc w:val="center"/>
              <w:rPr>
                <w:rFonts w:ascii="Arial" w:hAnsi="Arial" w:cs="Arial"/>
                <w:sz w:val="20"/>
                <w:szCs w:val="20"/>
              </w:rPr>
            </w:pPr>
            <w:proofErr w:type="gramStart"/>
            <w:r w:rsidRPr="00506206">
              <w:rPr>
                <w:rFonts w:ascii="Arial" w:eastAsia="Times New Roman" w:hAnsi="Arial" w:cs="Arial"/>
                <w:sz w:val="20"/>
                <w:szCs w:val="20"/>
              </w:rPr>
              <w:t>I(</w:t>
            </w:r>
            <w:proofErr w:type="gramEnd"/>
            <w:r w:rsidRPr="00506206">
              <w:rPr>
                <w:rFonts w:ascii="Arial" w:eastAsia="Times New Roman" w:hAnsi="Arial" w:cs="Arial"/>
                <w:sz w:val="20"/>
                <w:szCs w:val="20"/>
              </w:rPr>
              <w:t>0) Stationary</w:t>
            </w:r>
          </w:p>
        </w:tc>
      </w:tr>
      <w:tr w:rsidR="00385CAF" w:rsidRPr="00506206" w14:paraId="5DBA6F56" w14:textId="77777777" w:rsidTr="003A76BC">
        <w:tc>
          <w:tcPr>
            <w:tcW w:w="2229" w:type="dxa"/>
          </w:tcPr>
          <w:p w14:paraId="5D021D54" w14:textId="77777777" w:rsidR="00385CAF" w:rsidRPr="00506206" w:rsidRDefault="00385CAF" w:rsidP="003A76BC">
            <w:pPr>
              <w:spacing w:line="360" w:lineRule="auto"/>
              <w:rPr>
                <w:rFonts w:ascii="Arial" w:hAnsi="Arial" w:cs="Arial"/>
                <w:sz w:val="20"/>
                <w:szCs w:val="20"/>
              </w:rPr>
            </w:pPr>
            <w:r w:rsidRPr="00506206">
              <w:rPr>
                <w:rFonts w:ascii="Arial" w:eastAsia="Times New Roman" w:hAnsi="Arial" w:cs="Arial"/>
                <w:b/>
                <w:bCs/>
                <w:sz w:val="20"/>
                <w:szCs w:val="20"/>
                <w:bdr w:val="single" w:sz="2" w:space="0" w:color="E4E4E7" w:frame="1"/>
              </w:rPr>
              <w:t>D(PD)</w:t>
            </w:r>
          </w:p>
        </w:tc>
        <w:tc>
          <w:tcPr>
            <w:tcW w:w="2337" w:type="dxa"/>
            <w:vAlign w:val="center"/>
          </w:tcPr>
          <w:p w14:paraId="352C09EA" w14:textId="77777777" w:rsidR="00385CAF" w:rsidRPr="00506206" w:rsidRDefault="00385CAF" w:rsidP="003A76BC">
            <w:pPr>
              <w:spacing w:line="360" w:lineRule="auto"/>
              <w:jc w:val="center"/>
              <w:rPr>
                <w:rFonts w:ascii="Arial" w:hAnsi="Arial" w:cs="Arial"/>
                <w:sz w:val="20"/>
                <w:szCs w:val="20"/>
              </w:rPr>
            </w:pPr>
            <w:r w:rsidRPr="00506206">
              <w:rPr>
                <w:rFonts w:ascii="Arial" w:eastAsia="Times New Roman" w:hAnsi="Arial" w:cs="Arial"/>
                <w:sz w:val="20"/>
                <w:szCs w:val="20"/>
              </w:rPr>
              <w:t>-5.134</w:t>
            </w:r>
          </w:p>
        </w:tc>
        <w:tc>
          <w:tcPr>
            <w:tcW w:w="2338" w:type="dxa"/>
            <w:vAlign w:val="center"/>
          </w:tcPr>
          <w:p w14:paraId="75852D25" w14:textId="77777777" w:rsidR="00385CAF" w:rsidRPr="00506206" w:rsidRDefault="00385CAF" w:rsidP="003A76BC">
            <w:pPr>
              <w:spacing w:line="360" w:lineRule="auto"/>
              <w:jc w:val="center"/>
              <w:rPr>
                <w:rFonts w:ascii="Arial" w:hAnsi="Arial" w:cs="Arial"/>
                <w:sz w:val="20"/>
                <w:szCs w:val="20"/>
              </w:rPr>
            </w:pPr>
            <w:r w:rsidRPr="00506206">
              <w:rPr>
                <w:rFonts w:ascii="Arial" w:eastAsia="Times New Roman" w:hAnsi="Arial" w:cs="Arial"/>
                <w:sz w:val="20"/>
                <w:szCs w:val="20"/>
              </w:rPr>
              <w:t>0.000***</w:t>
            </w:r>
          </w:p>
        </w:tc>
        <w:tc>
          <w:tcPr>
            <w:tcW w:w="2338" w:type="dxa"/>
            <w:vAlign w:val="center"/>
          </w:tcPr>
          <w:p w14:paraId="1121EE2A" w14:textId="77777777" w:rsidR="00385CAF" w:rsidRPr="00506206" w:rsidRDefault="00385CAF" w:rsidP="003A76BC">
            <w:pPr>
              <w:spacing w:line="360" w:lineRule="auto"/>
              <w:jc w:val="center"/>
              <w:rPr>
                <w:rFonts w:ascii="Arial" w:hAnsi="Arial" w:cs="Arial"/>
                <w:sz w:val="20"/>
                <w:szCs w:val="20"/>
              </w:rPr>
            </w:pPr>
            <w:proofErr w:type="gramStart"/>
            <w:r w:rsidRPr="00506206">
              <w:rPr>
                <w:rFonts w:ascii="Arial" w:eastAsia="Times New Roman" w:hAnsi="Arial" w:cs="Arial"/>
                <w:sz w:val="20"/>
                <w:szCs w:val="20"/>
              </w:rPr>
              <w:t>I(</w:t>
            </w:r>
            <w:proofErr w:type="gramEnd"/>
            <w:r w:rsidRPr="00506206">
              <w:rPr>
                <w:rFonts w:ascii="Arial" w:eastAsia="Times New Roman" w:hAnsi="Arial" w:cs="Arial"/>
                <w:sz w:val="20"/>
                <w:szCs w:val="20"/>
              </w:rPr>
              <w:t>1) Stationary</w:t>
            </w:r>
          </w:p>
        </w:tc>
      </w:tr>
      <w:tr w:rsidR="00385CAF" w:rsidRPr="00506206" w14:paraId="47B945DD" w14:textId="77777777" w:rsidTr="003A76BC">
        <w:tc>
          <w:tcPr>
            <w:tcW w:w="2229" w:type="dxa"/>
          </w:tcPr>
          <w:p w14:paraId="544E2B47"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D(FD*PD)</w:t>
            </w:r>
            <w:r w:rsidRPr="00506206">
              <w:rPr>
                <w:rFonts w:ascii="Arial" w:hAnsi="Arial" w:cs="Arial"/>
                <w:sz w:val="20"/>
                <w:szCs w:val="20"/>
              </w:rPr>
              <w:tab/>
            </w:r>
          </w:p>
        </w:tc>
        <w:tc>
          <w:tcPr>
            <w:tcW w:w="2337" w:type="dxa"/>
          </w:tcPr>
          <w:p w14:paraId="55DF385B"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-3.766</w:t>
            </w:r>
          </w:p>
        </w:tc>
        <w:tc>
          <w:tcPr>
            <w:tcW w:w="2338" w:type="dxa"/>
          </w:tcPr>
          <w:p w14:paraId="6F81D4AC"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0.030**</w:t>
            </w:r>
          </w:p>
        </w:tc>
        <w:tc>
          <w:tcPr>
            <w:tcW w:w="2338" w:type="dxa"/>
          </w:tcPr>
          <w:p w14:paraId="62C8AD9D" w14:textId="77777777" w:rsidR="00385CAF" w:rsidRPr="00506206" w:rsidRDefault="00385CAF" w:rsidP="003A76BC">
            <w:pPr>
              <w:spacing w:line="360" w:lineRule="auto"/>
              <w:jc w:val="center"/>
              <w:rPr>
                <w:rFonts w:ascii="Arial" w:hAnsi="Arial" w:cs="Arial"/>
                <w:sz w:val="20"/>
                <w:szCs w:val="20"/>
              </w:rPr>
            </w:pPr>
            <w:proofErr w:type="gramStart"/>
            <w:r w:rsidRPr="00506206">
              <w:rPr>
                <w:rFonts w:ascii="Arial" w:hAnsi="Arial" w:cs="Arial"/>
                <w:sz w:val="20"/>
                <w:szCs w:val="20"/>
              </w:rPr>
              <w:t>I(</w:t>
            </w:r>
            <w:proofErr w:type="gramEnd"/>
            <w:r w:rsidRPr="00506206">
              <w:rPr>
                <w:rFonts w:ascii="Arial" w:hAnsi="Arial" w:cs="Arial"/>
                <w:sz w:val="20"/>
                <w:szCs w:val="20"/>
              </w:rPr>
              <w:t>1) Stationary</w:t>
            </w:r>
          </w:p>
        </w:tc>
      </w:tr>
      <w:tr w:rsidR="00385CAF" w:rsidRPr="00506206" w14:paraId="4080DA69" w14:textId="77777777" w:rsidTr="003A76BC">
        <w:tc>
          <w:tcPr>
            <w:tcW w:w="2229" w:type="dxa"/>
            <w:vAlign w:val="center"/>
          </w:tcPr>
          <w:p w14:paraId="29BA035B" w14:textId="77777777" w:rsidR="00385CAF" w:rsidRPr="00506206" w:rsidRDefault="00385CAF" w:rsidP="003A76BC">
            <w:pPr>
              <w:spacing w:line="360" w:lineRule="auto"/>
              <w:rPr>
                <w:rFonts w:ascii="Arial" w:hAnsi="Arial" w:cs="Arial"/>
                <w:sz w:val="20"/>
                <w:szCs w:val="20"/>
              </w:rPr>
            </w:pPr>
            <w:r w:rsidRPr="00506206">
              <w:rPr>
                <w:rFonts w:ascii="Arial" w:eastAsia="Times New Roman" w:hAnsi="Arial" w:cs="Arial"/>
                <w:b/>
                <w:bCs/>
                <w:sz w:val="20"/>
                <w:szCs w:val="20"/>
                <w:bdr w:val="single" w:sz="2" w:space="0" w:color="E4E4E7" w:frame="1"/>
              </w:rPr>
              <w:t>D(LEXR)</w:t>
            </w:r>
          </w:p>
        </w:tc>
        <w:tc>
          <w:tcPr>
            <w:tcW w:w="2337" w:type="dxa"/>
            <w:vAlign w:val="center"/>
          </w:tcPr>
          <w:p w14:paraId="601F8C41" w14:textId="77777777" w:rsidR="00385CAF" w:rsidRPr="00506206" w:rsidRDefault="00385CAF" w:rsidP="003A76BC">
            <w:pPr>
              <w:spacing w:line="360" w:lineRule="auto"/>
              <w:jc w:val="center"/>
              <w:rPr>
                <w:rFonts w:ascii="Arial" w:hAnsi="Arial" w:cs="Arial"/>
                <w:sz w:val="20"/>
                <w:szCs w:val="20"/>
              </w:rPr>
            </w:pPr>
            <w:r w:rsidRPr="00506206">
              <w:rPr>
                <w:rFonts w:ascii="Arial" w:eastAsia="Times New Roman" w:hAnsi="Arial" w:cs="Arial"/>
                <w:sz w:val="20"/>
                <w:szCs w:val="20"/>
              </w:rPr>
              <w:t>-5.074</w:t>
            </w:r>
          </w:p>
        </w:tc>
        <w:tc>
          <w:tcPr>
            <w:tcW w:w="2338" w:type="dxa"/>
          </w:tcPr>
          <w:p w14:paraId="35547D6B" w14:textId="77777777" w:rsidR="00385CAF" w:rsidRPr="00506206" w:rsidRDefault="00385CAF" w:rsidP="003A76BC">
            <w:pPr>
              <w:spacing w:line="360" w:lineRule="auto"/>
              <w:jc w:val="center"/>
              <w:rPr>
                <w:rFonts w:ascii="Arial" w:hAnsi="Arial" w:cs="Arial"/>
                <w:sz w:val="20"/>
                <w:szCs w:val="20"/>
              </w:rPr>
            </w:pPr>
            <w:r w:rsidRPr="00506206">
              <w:rPr>
                <w:rFonts w:ascii="Arial" w:eastAsia="Times New Roman" w:hAnsi="Arial" w:cs="Arial"/>
                <w:sz w:val="20"/>
                <w:szCs w:val="20"/>
              </w:rPr>
              <w:t>0.000***</w:t>
            </w:r>
          </w:p>
        </w:tc>
        <w:tc>
          <w:tcPr>
            <w:tcW w:w="2338" w:type="dxa"/>
          </w:tcPr>
          <w:p w14:paraId="055C499E" w14:textId="77777777" w:rsidR="00385CAF" w:rsidRPr="00506206" w:rsidRDefault="00385CAF" w:rsidP="003A76BC">
            <w:pPr>
              <w:spacing w:line="360" w:lineRule="auto"/>
              <w:jc w:val="center"/>
              <w:rPr>
                <w:rFonts w:ascii="Arial" w:hAnsi="Arial" w:cs="Arial"/>
                <w:sz w:val="20"/>
                <w:szCs w:val="20"/>
              </w:rPr>
            </w:pPr>
            <w:proofErr w:type="gramStart"/>
            <w:r w:rsidRPr="00506206">
              <w:rPr>
                <w:rFonts w:ascii="Arial" w:eastAsia="Times New Roman" w:hAnsi="Arial" w:cs="Arial"/>
                <w:sz w:val="20"/>
                <w:szCs w:val="20"/>
              </w:rPr>
              <w:t>I(</w:t>
            </w:r>
            <w:proofErr w:type="gramEnd"/>
            <w:r w:rsidRPr="00506206">
              <w:rPr>
                <w:rFonts w:ascii="Arial" w:eastAsia="Times New Roman" w:hAnsi="Arial" w:cs="Arial"/>
                <w:sz w:val="20"/>
                <w:szCs w:val="20"/>
              </w:rPr>
              <w:t>1) Stationary</w:t>
            </w:r>
          </w:p>
        </w:tc>
      </w:tr>
      <w:tr w:rsidR="00385CAF" w:rsidRPr="00506206" w14:paraId="16A348B2" w14:textId="77777777" w:rsidTr="003A76BC">
        <w:tc>
          <w:tcPr>
            <w:tcW w:w="2229" w:type="dxa"/>
          </w:tcPr>
          <w:p w14:paraId="2A47C7D6" w14:textId="77777777" w:rsidR="00385CAF" w:rsidRPr="00506206" w:rsidRDefault="00385CAF" w:rsidP="003A76BC">
            <w:pPr>
              <w:spacing w:line="360" w:lineRule="auto"/>
              <w:rPr>
                <w:rFonts w:ascii="Arial" w:hAnsi="Arial" w:cs="Arial"/>
                <w:sz w:val="20"/>
                <w:szCs w:val="20"/>
              </w:rPr>
            </w:pPr>
            <w:r w:rsidRPr="00506206">
              <w:rPr>
                <w:rFonts w:ascii="Arial" w:eastAsia="Times New Roman" w:hAnsi="Arial" w:cs="Arial"/>
                <w:b/>
                <w:bCs/>
                <w:sz w:val="20"/>
                <w:szCs w:val="20"/>
                <w:bdr w:val="single" w:sz="2" w:space="0" w:color="E4E4E7" w:frame="1"/>
              </w:rPr>
              <w:t>M2</w:t>
            </w:r>
          </w:p>
        </w:tc>
        <w:tc>
          <w:tcPr>
            <w:tcW w:w="2337" w:type="dxa"/>
            <w:vAlign w:val="center"/>
          </w:tcPr>
          <w:p w14:paraId="1ECA207B" w14:textId="77777777" w:rsidR="00385CAF" w:rsidRPr="00506206" w:rsidRDefault="00385CAF" w:rsidP="003A76BC">
            <w:pPr>
              <w:spacing w:line="360" w:lineRule="auto"/>
              <w:jc w:val="center"/>
              <w:rPr>
                <w:rFonts w:ascii="Arial" w:hAnsi="Arial" w:cs="Arial"/>
                <w:sz w:val="20"/>
                <w:szCs w:val="20"/>
              </w:rPr>
            </w:pPr>
            <w:r w:rsidRPr="00506206">
              <w:rPr>
                <w:rFonts w:ascii="Arial" w:eastAsia="Times New Roman" w:hAnsi="Arial" w:cs="Arial"/>
                <w:sz w:val="20"/>
                <w:szCs w:val="20"/>
              </w:rPr>
              <w:t>-3.821</w:t>
            </w:r>
          </w:p>
        </w:tc>
        <w:tc>
          <w:tcPr>
            <w:tcW w:w="2338" w:type="dxa"/>
          </w:tcPr>
          <w:p w14:paraId="4B4CC9F4" w14:textId="77777777" w:rsidR="00385CAF" w:rsidRPr="00506206" w:rsidRDefault="00385CAF" w:rsidP="003A76BC">
            <w:pPr>
              <w:spacing w:line="360" w:lineRule="auto"/>
              <w:jc w:val="center"/>
              <w:rPr>
                <w:rFonts w:ascii="Arial" w:hAnsi="Arial" w:cs="Arial"/>
                <w:sz w:val="20"/>
                <w:szCs w:val="20"/>
              </w:rPr>
            </w:pPr>
            <w:r w:rsidRPr="00506206">
              <w:rPr>
                <w:rFonts w:ascii="Arial" w:eastAsia="Times New Roman" w:hAnsi="Arial" w:cs="Arial"/>
                <w:sz w:val="20"/>
                <w:szCs w:val="20"/>
              </w:rPr>
              <w:t>0.005***</w:t>
            </w:r>
          </w:p>
        </w:tc>
        <w:tc>
          <w:tcPr>
            <w:tcW w:w="2338" w:type="dxa"/>
          </w:tcPr>
          <w:p w14:paraId="5BEC631D" w14:textId="77777777" w:rsidR="00385CAF" w:rsidRPr="00506206" w:rsidRDefault="00385CAF" w:rsidP="003A76BC">
            <w:pPr>
              <w:spacing w:line="360" w:lineRule="auto"/>
              <w:jc w:val="center"/>
              <w:rPr>
                <w:rFonts w:ascii="Arial" w:hAnsi="Arial" w:cs="Arial"/>
                <w:sz w:val="20"/>
                <w:szCs w:val="20"/>
              </w:rPr>
            </w:pPr>
            <w:proofErr w:type="gramStart"/>
            <w:r w:rsidRPr="00506206">
              <w:rPr>
                <w:rFonts w:ascii="Arial" w:eastAsia="Times New Roman" w:hAnsi="Arial" w:cs="Arial"/>
                <w:sz w:val="20"/>
                <w:szCs w:val="20"/>
              </w:rPr>
              <w:t>I(</w:t>
            </w:r>
            <w:proofErr w:type="gramEnd"/>
            <w:r w:rsidRPr="00506206">
              <w:rPr>
                <w:rFonts w:ascii="Arial" w:eastAsia="Times New Roman" w:hAnsi="Arial" w:cs="Arial"/>
                <w:sz w:val="20"/>
                <w:szCs w:val="20"/>
              </w:rPr>
              <w:t>0) Stationary</w:t>
            </w:r>
          </w:p>
        </w:tc>
      </w:tr>
      <w:tr w:rsidR="00385CAF" w:rsidRPr="00506206" w14:paraId="5B0501C5" w14:textId="77777777" w:rsidTr="003A76BC">
        <w:tc>
          <w:tcPr>
            <w:tcW w:w="2229" w:type="dxa"/>
          </w:tcPr>
          <w:p w14:paraId="1128A37E" w14:textId="77777777" w:rsidR="00385CAF" w:rsidRPr="00506206" w:rsidRDefault="00385CAF" w:rsidP="003A76BC">
            <w:pPr>
              <w:spacing w:line="360" w:lineRule="auto"/>
              <w:rPr>
                <w:rFonts w:ascii="Arial" w:hAnsi="Arial" w:cs="Arial"/>
                <w:sz w:val="20"/>
                <w:szCs w:val="20"/>
              </w:rPr>
            </w:pPr>
            <w:r w:rsidRPr="00506206">
              <w:rPr>
                <w:rFonts w:ascii="Arial" w:eastAsia="Times New Roman" w:hAnsi="Arial" w:cs="Arial"/>
                <w:b/>
                <w:bCs/>
                <w:sz w:val="20"/>
                <w:szCs w:val="20"/>
                <w:bdr w:val="single" w:sz="2" w:space="0" w:color="E4E4E7" w:frame="1"/>
              </w:rPr>
              <w:t>RGDPG</w:t>
            </w:r>
          </w:p>
        </w:tc>
        <w:tc>
          <w:tcPr>
            <w:tcW w:w="2337" w:type="dxa"/>
            <w:vAlign w:val="center"/>
          </w:tcPr>
          <w:p w14:paraId="5F14CF8B" w14:textId="77777777" w:rsidR="00385CAF" w:rsidRPr="00506206" w:rsidRDefault="00385CAF" w:rsidP="003A76BC">
            <w:pPr>
              <w:spacing w:line="360" w:lineRule="auto"/>
              <w:jc w:val="center"/>
              <w:rPr>
                <w:rFonts w:ascii="Arial" w:hAnsi="Arial" w:cs="Arial"/>
                <w:sz w:val="20"/>
                <w:szCs w:val="20"/>
              </w:rPr>
            </w:pPr>
            <w:r w:rsidRPr="00506206">
              <w:rPr>
                <w:rFonts w:ascii="Arial" w:eastAsia="Times New Roman" w:hAnsi="Arial" w:cs="Arial"/>
                <w:sz w:val="20"/>
                <w:szCs w:val="20"/>
              </w:rPr>
              <w:t>-2.967</w:t>
            </w:r>
          </w:p>
        </w:tc>
        <w:tc>
          <w:tcPr>
            <w:tcW w:w="2338" w:type="dxa"/>
            <w:vAlign w:val="center"/>
          </w:tcPr>
          <w:p w14:paraId="3C6AFF3B" w14:textId="77777777" w:rsidR="00385CAF" w:rsidRPr="00506206" w:rsidRDefault="00385CAF" w:rsidP="003A76BC">
            <w:pPr>
              <w:spacing w:line="360" w:lineRule="auto"/>
              <w:jc w:val="center"/>
              <w:rPr>
                <w:rFonts w:ascii="Arial" w:hAnsi="Arial" w:cs="Arial"/>
                <w:sz w:val="20"/>
                <w:szCs w:val="20"/>
              </w:rPr>
            </w:pPr>
            <w:r w:rsidRPr="00506206">
              <w:rPr>
                <w:rFonts w:ascii="Arial" w:eastAsia="Times New Roman" w:hAnsi="Arial" w:cs="Arial"/>
                <w:sz w:val="20"/>
                <w:szCs w:val="20"/>
              </w:rPr>
              <w:t>0.046**</w:t>
            </w:r>
          </w:p>
        </w:tc>
        <w:tc>
          <w:tcPr>
            <w:tcW w:w="2338" w:type="dxa"/>
            <w:vAlign w:val="center"/>
          </w:tcPr>
          <w:p w14:paraId="6FCE5E4F" w14:textId="77777777" w:rsidR="00385CAF" w:rsidRPr="00506206" w:rsidRDefault="00385CAF" w:rsidP="003A76BC">
            <w:pPr>
              <w:spacing w:line="360" w:lineRule="auto"/>
              <w:jc w:val="center"/>
              <w:rPr>
                <w:rFonts w:ascii="Arial" w:hAnsi="Arial" w:cs="Arial"/>
                <w:sz w:val="20"/>
                <w:szCs w:val="20"/>
              </w:rPr>
            </w:pPr>
            <w:proofErr w:type="gramStart"/>
            <w:r w:rsidRPr="00506206">
              <w:rPr>
                <w:rFonts w:ascii="Arial" w:eastAsia="Times New Roman" w:hAnsi="Arial" w:cs="Arial"/>
                <w:sz w:val="20"/>
                <w:szCs w:val="20"/>
              </w:rPr>
              <w:t>I(</w:t>
            </w:r>
            <w:proofErr w:type="gramEnd"/>
            <w:r w:rsidRPr="00506206">
              <w:rPr>
                <w:rFonts w:ascii="Arial" w:eastAsia="Times New Roman" w:hAnsi="Arial" w:cs="Arial"/>
                <w:sz w:val="20"/>
                <w:szCs w:val="20"/>
              </w:rPr>
              <w:t>0) Stationary</w:t>
            </w:r>
          </w:p>
        </w:tc>
      </w:tr>
      <w:tr w:rsidR="00385CAF" w:rsidRPr="00506206" w14:paraId="38ACB7C8" w14:textId="77777777" w:rsidTr="003A76BC">
        <w:tc>
          <w:tcPr>
            <w:tcW w:w="2229" w:type="dxa"/>
          </w:tcPr>
          <w:p w14:paraId="6A21D32E"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D(LR)</w:t>
            </w:r>
          </w:p>
        </w:tc>
        <w:tc>
          <w:tcPr>
            <w:tcW w:w="2337" w:type="dxa"/>
          </w:tcPr>
          <w:p w14:paraId="2EAF8C24"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-5.380</w:t>
            </w:r>
          </w:p>
        </w:tc>
        <w:tc>
          <w:tcPr>
            <w:tcW w:w="2338" w:type="dxa"/>
          </w:tcPr>
          <w:p w14:paraId="1FA0014B"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0.000***</w:t>
            </w:r>
          </w:p>
        </w:tc>
        <w:tc>
          <w:tcPr>
            <w:tcW w:w="2338" w:type="dxa"/>
          </w:tcPr>
          <w:p w14:paraId="585E6745" w14:textId="77777777" w:rsidR="00385CAF" w:rsidRPr="00506206" w:rsidRDefault="00385CAF" w:rsidP="003A76BC">
            <w:pPr>
              <w:spacing w:line="360" w:lineRule="auto"/>
              <w:jc w:val="center"/>
              <w:rPr>
                <w:rFonts w:ascii="Arial" w:hAnsi="Arial" w:cs="Arial"/>
                <w:sz w:val="20"/>
                <w:szCs w:val="20"/>
              </w:rPr>
            </w:pPr>
            <w:proofErr w:type="gramStart"/>
            <w:r w:rsidRPr="00506206">
              <w:rPr>
                <w:rFonts w:ascii="Arial" w:eastAsia="Times New Roman" w:hAnsi="Arial" w:cs="Arial"/>
                <w:sz w:val="20"/>
                <w:szCs w:val="20"/>
              </w:rPr>
              <w:t>I(</w:t>
            </w:r>
            <w:proofErr w:type="gramEnd"/>
            <w:r w:rsidRPr="00506206">
              <w:rPr>
                <w:rFonts w:ascii="Arial" w:eastAsia="Times New Roman" w:hAnsi="Arial" w:cs="Arial"/>
                <w:sz w:val="20"/>
                <w:szCs w:val="20"/>
              </w:rPr>
              <w:t>1) Stationary</w:t>
            </w:r>
          </w:p>
        </w:tc>
      </w:tr>
    </w:tbl>
    <w:p w14:paraId="551334D8" w14:textId="77777777" w:rsidR="00385CAF" w:rsidRPr="00506206" w:rsidRDefault="00385CAF" w:rsidP="00385CAF">
      <w:pPr>
        <w:spacing w:line="360" w:lineRule="auto"/>
        <w:rPr>
          <w:rFonts w:ascii="Arial" w:hAnsi="Arial" w:cs="Arial"/>
          <w:b/>
          <w:bCs/>
        </w:rPr>
      </w:pPr>
      <w:r w:rsidRPr="00506206">
        <w:rPr>
          <w:rFonts w:ascii="Arial" w:hAnsi="Arial" w:cs="Arial"/>
          <w:b/>
          <w:bCs/>
        </w:rPr>
        <w:t xml:space="preserve">  Source: Author’s computation using EViews 13 </w:t>
      </w:r>
    </w:p>
    <w:p w14:paraId="5CDF1D5B" w14:textId="77777777" w:rsidR="00385CAF" w:rsidRPr="00506206" w:rsidRDefault="00385CAF" w:rsidP="00385CAF">
      <w:pPr>
        <w:spacing w:line="360" w:lineRule="auto"/>
        <w:rPr>
          <w:rFonts w:ascii="Arial" w:hAnsi="Arial" w:cs="Arial"/>
          <w:b/>
          <w:bCs/>
        </w:rPr>
      </w:pPr>
      <w:r w:rsidRPr="00506206">
        <w:rPr>
          <w:rFonts w:ascii="Arial" w:hAnsi="Arial" w:cs="Arial"/>
          <w:b/>
          <w:bCs/>
        </w:rPr>
        <w:t xml:space="preserve">  Table 3(b): Phillips-Perron (PP) Test Results</w:t>
      </w:r>
    </w:p>
    <w:tbl>
      <w:tblPr>
        <w:tblStyle w:val="TableGrid"/>
        <w:tblW w:w="0" w:type="auto"/>
        <w:tblInd w:w="108" w:type="dxa"/>
        <w:tblLook w:val="04A0" w:firstRow="1" w:lastRow="0" w:firstColumn="1" w:lastColumn="0" w:noHBand="0" w:noVBand="1"/>
      </w:tblPr>
      <w:tblGrid>
        <w:gridCol w:w="1945"/>
        <w:gridCol w:w="2018"/>
        <w:gridCol w:w="2079"/>
        <w:gridCol w:w="2048"/>
      </w:tblGrid>
      <w:tr w:rsidR="00385CAF" w:rsidRPr="00506206" w14:paraId="614340B8" w14:textId="77777777" w:rsidTr="003A76BC">
        <w:tc>
          <w:tcPr>
            <w:tcW w:w="2229" w:type="dxa"/>
          </w:tcPr>
          <w:p w14:paraId="7676128F" w14:textId="77777777" w:rsidR="00385CAF" w:rsidRPr="00506206" w:rsidRDefault="00385CAF" w:rsidP="003A76BC">
            <w:pPr>
              <w:spacing w:line="360" w:lineRule="auto"/>
              <w:rPr>
                <w:rFonts w:ascii="Arial" w:hAnsi="Arial" w:cs="Arial"/>
                <w:b/>
                <w:bCs/>
                <w:sz w:val="20"/>
                <w:szCs w:val="20"/>
              </w:rPr>
            </w:pPr>
            <w:r w:rsidRPr="00506206">
              <w:rPr>
                <w:rFonts w:ascii="Arial" w:hAnsi="Arial" w:cs="Arial"/>
                <w:b/>
                <w:bCs/>
                <w:sz w:val="20"/>
                <w:szCs w:val="20"/>
              </w:rPr>
              <w:t>Variable</w:t>
            </w:r>
          </w:p>
        </w:tc>
        <w:tc>
          <w:tcPr>
            <w:tcW w:w="2337" w:type="dxa"/>
          </w:tcPr>
          <w:p w14:paraId="2AB2E45F" w14:textId="77777777" w:rsidR="00385CAF" w:rsidRPr="00506206" w:rsidRDefault="00385CAF" w:rsidP="003A76BC">
            <w:pPr>
              <w:spacing w:line="360" w:lineRule="auto"/>
              <w:jc w:val="center"/>
              <w:rPr>
                <w:rFonts w:ascii="Arial" w:hAnsi="Arial" w:cs="Arial"/>
                <w:b/>
                <w:bCs/>
                <w:sz w:val="20"/>
                <w:szCs w:val="20"/>
              </w:rPr>
            </w:pPr>
            <w:r w:rsidRPr="00506206">
              <w:rPr>
                <w:rFonts w:ascii="Arial" w:hAnsi="Arial" w:cs="Arial"/>
                <w:b/>
                <w:bCs/>
                <w:sz w:val="20"/>
                <w:szCs w:val="20"/>
              </w:rPr>
              <w:t>t-Statistic</w:t>
            </w:r>
          </w:p>
        </w:tc>
        <w:tc>
          <w:tcPr>
            <w:tcW w:w="2338" w:type="dxa"/>
          </w:tcPr>
          <w:p w14:paraId="2BEFE40F" w14:textId="77777777" w:rsidR="00385CAF" w:rsidRPr="00506206" w:rsidRDefault="00385CAF" w:rsidP="003A76BC">
            <w:pPr>
              <w:spacing w:line="360" w:lineRule="auto"/>
              <w:jc w:val="center"/>
              <w:rPr>
                <w:rFonts w:ascii="Arial" w:hAnsi="Arial" w:cs="Arial"/>
                <w:b/>
                <w:bCs/>
                <w:sz w:val="20"/>
                <w:szCs w:val="20"/>
              </w:rPr>
            </w:pPr>
            <w:r w:rsidRPr="00506206">
              <w:rPr>
                <w:rFonts w:ascii="Arial" w:hAnsi="Arial" w:cs="Arial"/>
                <w:b/>
                <w:bCs/>
                <w:sz w:val="20"/>
                <w:szCs w:val="20"/>
              </w:rPr>
              <w:t>Probability</w:t>
            </w:r>
          </w:p>
        </w:tc>
        <w:tc>
          <w:tcPr>
            <w:tcW w:w="2338" w:type="dxa"/>
          </w:tcPr>
          <w:p w14:paraId="2D0CDB3B" w14:textId="77777777" w:rsidR="00385CAF" w:rsidRPr="00506206" w:rsidRDefault="00385CAF" w:rsidP="003A76BC">
            <w:pPr>
              <w:spacing w:line="360" w:lineRule="auto"/>
              <w:jc w:val="center"/>
              <w:rPr>
                <w:rFonts w:ascii="Arial" w:hAnsi="Arial" w:cs="Arial"/>
                <w:b/>
                <w:bCs/>
                <w:sz w:val="20"/>
                <w:szCs w:val="20"/>
              </w:rPr>
            </w:pPr>
            <w:r w:rsidRPr="00506206">
              <w:rPr>
                <w:rFonts w:ascii="Arial" w:hAnsi="Arial" w:cs="Arial"/>
                <w:b/>
                <w:bCs/>
                <w:sz w:val="20"/>
                <w:szCs w:val="20"/>
              </w:rPr>
              <w:t>Remarks</w:t>
            </w:r>
          </w:p>
        </w:tc>
      </w:tr>
      <w:tr w:rsidR="00385CAF" w:rsidRPr="00506206" w14:paraId="6211D923" w14:textId="77777777" w:rsidTr="003A76BC">
        <w:tc>
          <w:tcPr>
            <w:tcW w:w="2229" w:type="dxa"/>
          </w:tcPr>
          <w:p w14:paraId="6C16CE53" w14:textId="77777777" w:rsidR="00385CAF" w:rsidRPr="00506206" w:rsidRDefault="00385CAF" w:rsidP="003A76BC">
            <w:pPr>
              <w:spacing w:line="360" w:lineRule="auto"/>
              <w:rPr>
                <w:rFonts w:ascii="Arial" w:hAnsi="Arial" w:cs="Arial"/>
                <w:sz w:val="20"/>
                <w:szCs w:val="20"/>
              </w:rPr>
            </w:pPr>
            <w:r w:rsidRPr="00506206">
              <w:rPr>
                <w:rFonts w:ascii="Arial" w:eastAsia="Times New Roman" w:hAnsi="Arial" w:cs="Arial"/>
                <w:b/>
                <w:bCs/>
                <w:sz w:val="20"/>
                <w:szCs w:val="20"/>
                <w:bdr w:val="single" w:sz="2" w:space="0" w:color="E4E4E7" w:frame="1"/>
              </w:rPr>
              <w:t>INF</w:t>
            </w:r>
          </w:p>
        </w:tc>
        <w:tc>
          <w:tcPr>
            <w:tcW w:w="2337" w:type="dxa"/>
            <w:vAlign w:val="center"/>
          </w:tcPr>
          <w:p w14:paraId="41F62D2E" w14:textId="77777777" w:rsidR="00385CAF" w:rsidRPr="00506206" w:rsidRDefault="00385CAF" w:rsidP="003A76BC">
            <w:pPr>
              <w:spacing w:line="360" w:lineRule="auto"/>
              <w:jc w:val="center"/>
              <w:rPr>
                <w:rFonts w:ascii="Arial" w:hAnsi="Arial" w:cs="Arial"/>
                <w:sz w:val="20"/>
                <w:szCs w:val="20"/>
              </w:rPr>
            </w:pPr>
            <w:r w:rsidRPr="00506206">
              <w:rPr>
                <w:rFonts w:ascii="Arial" w:eastAsia="Times New Roman" w:hAnsi="Arial" w:cs="Arial"/>
                <w:sz w:val="20"/>
                <w:szCs w:val="20"/>
              </w:rPr>
              <w:t>-2.996</w:t>
            </w:r>
          </w:p>
        </w:tc>
        <w:tc>
          <w:tcPr>
            <w:tcW w:w="2338" w:type="dxa"/>
            <w:vAlign w:val="center"/>
          </w:tcPr>
          <w:p w14:paraId="1C300E43" w14:textId="77777777" w:rsidR="00385CAF" w:rsidRPr="00506206" w:rsidRDefault="00385CAF" w:rsidP="003A76BC">
            <w:pPr>
              <w:spacing w:line="360" w:lineRule="auto"/>
              <w:jc w:val="center"/>
              <w:rPr>
                <w:rFonts w:ascii="Arial" w:hAnsi="Arial" w:cs="Arial"/>
                <w:sz w:val="20"/>
                <w:szCs w:val="20"/>
              </w:rPr>
            </w:pPr>
            <w:r w:rsidRPr="00506206">
              <w:rPr>
                <w:rFonts w:ascii="Arial" w:eastAsia="Times New Roman" w:hAnsi="Arial" w:cs="Arial"/>
                <w:sz w:val="20"/>
                <w:szCs w:val="20"/>
              </w:rPr>
              <w:t>0.043**</w:t>
            </w:r>
          </w:p>
        </w:tc>
        <w:tc>
          <w:tcPr>
            <w:tcW w:w="2338" w:type="dxa"/>
            <w:vAlign w:val="center"/>
          </w:tcPr>
          <w:p w14:paraId="7A9FDDED" w14:textId="77777777" w:rsidR="00385CAF" w:rsidRPr="00506206" w:rsidRDefault="00385CAF" w:rsidP="003A76BC">
            <w:pPr>
              <w:spacing w:line="360" w:lineRule="auto"/>
              <w:jc w:val="center"/>
              <w:rPr>
                <w:rFonts w:ascii="Arial" w:hAnsi="Arial" w:cs="Arial"/>
                <w:sz w:val="20"/>
                <w:szCs w:val="20"/>
              </w:rPr>
            </w:pPr>
            <w:proofErr w:type="gramStart"/>
            <w:r w:rsidRPr="00506206">
              <w:rPr>
                <w:rFonts w:ascii="Arial" w:eastAsia="Times New Roman" w:hAnsi="Arial" w:cs="Arial"/>
                <w:sz w:val="20"/>
                <w:szCs w:val="20"/>
              </w:rPr>
              <w:t>I(</w:t>
            </w:r>
            <w:proofErr w:type="gramEnd"/>
            <w:r w:rsidRPr="00506206">
              <w:rPr>
                <w:rFonts w:ascii="Arial" w:eastAsia="Times New Roman" w:hAnsi="Arial" w:cs="Arial"/>
                <w:sz w:val="20"/>
                <w:szCs w:val="20"/>
              </w:rPr>
              <w:t>0) Stationary</w:t>
            </w:r>
          </w:p>
        </w:tc>
      </w:tr>
      <w:tr w:rsidR="00385CAF" w:rsidRPr="00506206" w14:paraId="07AFB408" w14:textId="77777777" w:rsidTr="003A76BC">
        <w:tc>
          <w:tcPr>
            <w:tcW w:w="2229" w:type="dxa"/>
          </w:tcPr>
          <w:p w14:paraId="61C40049" w14:textId="77777777" w:rsidR="00385CAF" w:rsidRPr="00506206" w:rsidRDefault="00385CAF" w:rsidP="003A76BC">
            <w:pPr>
              <w:spacing w:line="360" w:lineRule="auto"/>
              <w:rPr>
                <w:rFonts w:ascii="Arial" w:hAnsi="Arial" w:cs="Arial"/>
                <w:sz w:val="20"/>
                <w:szCs w:val="20"/>
              </w:rPr>
            </w:pPr>
            <w:r w:rsidRPr="00506206">
              <w:rPr>
                <w:rFonts w:ascii="Arial" w:eastAsia="Times New Roman" w:hAnsi="Arial" w:cs="Arial"/>
                <w:b/>
                <w:bCs/>
                <w:sz w:val="20"/>
                <w:szCs w:val="20"/>
                <w:bdr w:val="single" w:sz="2" w:space="0" w:color="E4E4E7" w:frame="1"/>
              </w:rPr>
              <w:t>D(FD)</w:t>
            </w:r>
          </w:p>
        </w:tc>
        <w:tc>
          <w:tcPr>
            <w:tcW w:w="2337" w:type="dxa"/>
            <w:vAlign w:val="center"/>
          </w:tcPr>
          <w:p w14:paraId="374BD1ED" w14:textId="77777777" w:rsidR="00385CAF" w:rsidRPr="00506206" w:rsidRDefault="00385CAF" w:rsidP="003A76BC">
            <w:pPr>
              <w:spacing w:line="360" w:lineRule="auto"/>
              <w:jc w:val="center"/>
              <w:rPr>
                <w:rFonts w:ascii="Arial" w:hAnsi="Arial" w:cs="Arial"/>
                <w:sz w:val="20"/>
                <w:szCs w:val="20"/>
              </w:rPr>
            </w:pPr>
            <w:r w:rsidRPr="00506206">
              <w:rPr>
                <w:rFonts w:ascii="Arial" w:eastAsia="Times New Roman" w:hAnsi="Arial" w:cs="Arial"/>
                <w:sz w:val="20"/>
                <w:szCs w:val="20"/>
              </w:rPr>
              <w:t>-16.199</w:t>
            </w:r>
          </w:p>
        </w:tc>
        <w:tc>
          <w:tcPr>
            <w:tcW w:w="2338" w:type="dxa"/>
            <w:vAlign w:val="center"/>
          </w:tcPr>
          <w:p w14:paraId="72C15007"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0.000***</w:t>
            </w:r>
          </w:p>
        </w:tc>
        <w:tc>
          <w:tcPr>
            <w:tcW w:w="2338" w:type="dxa"/>
            <w:vAlign w:val="center"/>
          </w:tcPr>
          <w:p w14:paraId="7D282210" w14:textId="77777777" w:rsidR="00385CAF" w:rsidRPr="00506206" w:rsidRDefault="00385CAF" w:rsidP="003A76BC">
            <w:pPr>
              <w:spacing w:line="360" w:lineRule="auto"/>
              <w:jc w:val="center"/>
              <w:rPr>
                <w:rFonts w:ascii="Arial" w:hAnsi="Arial" w:cs="Arial"/>
                <w:sz w:val="20"/>
                <w:szCs w:val="20"/>
              </w:rPr>
            </w:pPr>
            <w:proofErr w:type="gramStart"/>
            <w:r w:rsidRPr="00506206">
              <w:rPr>
                <w:rFonts w:ascii="Arial" w:eastAsia="Times New Roman" w:hAnsi="Arial" w:cs="Arial"/>
                <w:sz w:val="20"/>
                <w:szCs w:val="20"/>
              </w:rPr>
              <w:t>I(</w:t>
            </w:r>
            <w:proofErr w:type="gramEnd"/>
            <w:r w:rsidRPr="00506206">
              <w:rPr>
                <w:rFonts w:ascii="Arial" w:eastAsia="Times New Roman" w:hAnsi="Arial" w:cs="Arial"/>
                <w:sz w:val="20"/>
                <w:szCs w:val="20"/>
              </w:rPr>
              <w:t>1) Stationary</w:t>
            </w:r>
          </w:p>
        </w:tc>
      </w:tr>
      <w:tr w:rsidR="00385CAF" w:rsidRPr="00506206" w14:paraId="360F82D4" w14:textId="77777777" w:rsidTr="003A76BC">
        <w:tc>
          <w:tcPr>
            <w:tcW w:w="2229" w:type="dxa"/>
          </w:tcPr>
          <w:p w14:paraId="7A9A3FE4" w14:textId="77777777" w:rsidR="00385CAF" w:rsidRPr="00506206" w:rsidRDefault="00385CAF" w:rsidP="003A76BC">
            <w:pPr>
              <w:spacing w:line="360" w:lineRule="auto"/>
              <w:rPr>
                <w:rFonts w:ascii="Arial" w:hAnsi="Arial" w:cs="Arial"/>
                <w:sz w:val="20"/>
                <w:szCs w:val="20"/>
              </w:rPr>
            </w:pPr>
            <w:r w:rsidRPr="00506206">
              <w:rPr>
                <w:rFonts w:ascii="Arial" w:eastAsia="Times New Roman" w:hAnsi="Arial" w:cs="Arial"/>
                <w:b/>
                <w:bCs/>
                <w:sz w:val="20"/>
                <w:szCs w:val="20"/>
                <w:bdr w:val="single" w:sz="2" w:space="0" w:color="E4E4E7" w:frame="1"/>
              </w:rPr>
              <w:t>D(PD)</w:t>
            </w:r>
          </w:p>
        </w:tc>
        <w:tc>
          <w:tcPr>
            <w:tcW w:w="2337" w:type="dxa"/>
            <w:vAlign w:val="center"/>
          </w:tcPr>
          <w:p w14:paraId="0A91F562" w14:textId="77777777" w:rsidR="00385CAF" w:rsidRPr="00506206" w:rsidRDefault="00385CAF" w:rsidP="003A76BC">
            <w:pPr>
              <w:spacing w:line="360" w:lineRule="auto"/>
              <w:jc w:val="center"/>
              <w:rPr>
                <w:rFonts w:ascii="Arial" w:hAnsi="Arial" w:cs="Arial"/>
                <w:sz w:val="20"/>
                <w:szCs w:val="20"/>
              </w:rPr>
            </w:pPr>
            <w:r w:rsidRPr="00506206">
              <w:rPr>
                <w:rFonts w:ascii="Arial" w:eastAsia="Times New Roman" w:hAnsi="Arial" w:cs="Arial"/>
                <w:sz w:val="20"/>
                <w:szCs w:val="20"/>
              </w:rPr>
              <w:t>-5.134</w:t>
            </w:r>
          </w:p>
        </w:tc>
        <w:tc>
          <w:tcPr>
            <w:tcW w:w="2338" w:type="dxa"/>
            <w:vAlign w:val="center"/>
          </w:tcPr>
          <w:p w14:paraId="1C7F6547" w14:textId="77777777" w:rsidR="00385CAF" w:rsidRPr="00506206" w:rsidRDefault="00385CAF" w:rsidP="003A76BC">
            <w:pPr>
              <w:spacing w:line="360" w:lineRule="auto"/>
              <w:jc w:val="center"/>
              <w:rPr>
                <w:rFonts w:ascii="Arial" w:hAnsi="Arial" w:cs="Arial"/>
                <w:sz w:val="20"/>
                <w:szCs w:val="20"/>
              </w:rPr>
            </w:pPr>
            <w:r w:rsidRPr="00506206">
              <w:rPr>
                <w:rFonts w:ascii="Arial" w:eastAsia="Times New Roman" w:hAnsi="Arial" w:cs="Arial"/>
                <w:sz w:val="20"/>
                <w:szCs w:val="20"/>
              </w:rPr>
              <w:t>0.000***</w:t>
            </w:r>
          </w:p>
        </w:tc>
        <w:tc>
          <w:tcPr>
            <w:tcW w:w="2338" w:type="dxa"/>
            <w:vAlign w:val="center"/>
          </w:tcPr>
          <w:p w14:paraId="5E5D22DE" w14:textId="77777777" w:rsidR="00385CAF" w:rsidRPr="00506206" w:rsidRDefault="00385CAF" w:rsidP="003A76BC">
            <w:pPr>
              <w:spacing w:line="360" w:lineRule="auto"/>
              <w:jc w:val="center"/>
              <w:rPr>
                <w:rFonts w:ascii="Arial" w:hAnsi="Arial" w:cs="Arial"/>
                <w:sz w:val="20"/>
                <w:szCs w:val="20"/>
              </w:rPr>
            </w:pPr>
            <w:proofErr w:type="gramStart"/>
            <w:r w:rsidRPr="00506206">
              <w:rPr>
                <w:rFonts w:ascii="Arial" w:eastAsia="Times New Roman" w:hAnsi="Arial" w:cs="Arial"/>
                <w:sz w:val="20"/>
                <w:szCs w:val="20"/>
              </w:rPr>
              <w:t>I(</w:t>
            </w:r>
            <w:proofErr w:type="gramEnd"/>
            <w:r w:rsidRPr="00506206">
              <w:rPr>
                <w:rFonts w:ascii="Arial" w:eastAsia="Times New Roman" w:hAnsi="Arial" w:cs="Arial"/>
                <w:sz w:val="20"/>
                <w:szCs w:val="20"/>
              </w:rPr>
              <w:t>1) Stationary</w:t>
            </w:r>
          </w:p>
        </w:tc>
      </w:tr>
      <w:tr w:rsidR="00385CAF" w:rsidRPr="00506206" w14:paraId="6F461DA1" w14:textId="77777777" w:rsidTr="003A76BC">
        <w:tc>
          <w:tcPr>
            <w:tcW w:w="2229" w:type="dxa"/>
          </w:tcPr>
          <w:p w14:paraId="0C1AD33D" w14:textId="77777777" w:rsidR="00385CAF" w:rsidRPr="00506206" w:rsidRDefault="00385CAF" w:rsidP="003A76BC">
            <w:pPr>
              <w:spacing w:line="360" w:lineRule="auto"/>
              <w:rPr>
                <w:rFonts w:ascii="Arial" w:hAnsi="Arial" w:cs="Arial"/>
                <w:b/>
                <w:bCs/>
                <w:sz w:val="20"/>
                <w:szCs w:val="20"/>
              </w:rPr>
            </w:pPr>
            <w:r w:rsidRPr="00506206">
              <w:rPr>
                <w:rFonts w:ascii="Arial" w:hAnsi="Arial" w:cs="Arial"/>
                <w:b/>
                <w:bCs/>
                <w:sz w:val="20"/>
                <w:szCs w:val="20"/>
              </w:rPr>
              <w:t>(FD*PD)</w:t>
            </w:r>
            <w:r w:rsidRPr="00506206">
              <w:rPr>
                <w:rFonts w:ascii="Arial" w:hAnsi="Arial" w:cs="Arial"/>
                <w:b/>
                <w:bCs/>
                <w:sz w:val="20"/>
                <w:szCs w:val="20"/>
              </w:rPr>
              <w:tab/>
            </w:r>
          </w:p>
        </w:tc>
        <w:tc>
          <w:tcPr>
            <w:tcW w:w="2337" w:type="dxa"/>
          </w:tcPr>
          <w:p w14:paraId="7C2684ED"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-3.896</w:t>
            </w:r>
          </w:p>
        </w:tc>
        <w:tc>
          <w:tcPr>
            <w:tcW w:w="2338" w:type="dxa"/>
          </w:tcPr>
          <w:p w14:paraId="6CC67A05"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0.020**</w:t>
            </w:r>
          </w:p>
        </w:tc>
        <w:tc>
          <w:tcPr>
            <w:tcW w:w="2338" w:type="dxa"/>
          </w:tcPr>
          <w:p w14:paraId="154410D3" w14:textId="77777777" w:rsidR="00385CAF" w:rsidRPr="00506206" w:rsidRDefault="00385CAF" w:rsidP="003A76BC">
            <w:pPr>
              <w:spacing w:line="360" w:lineRule="auto"/>
              <w:jc w:val="center"/>
              <w:rPr>
                <w:rFonts w:ascii="Arial" w:hAnsi="Arial" w:cs="Arial"/>
                <w:sz w:val="20"/>
                <w:szCs w:val="20"/>
              </w:rPr>
            </w:pPr>
            <w:proofErr w:type="gramStart"/>
            <w:r w:rsidRPr="00506206">
              <w:rPr>
                <w:rFonts w:ascii="Arial" w:eastAsia="Times New Roman" w:hAnsi="Arial" w:cs="Arial"/>
                <w:sz w:val="20"/>
                <w:szCs w:val="20"/>
              </w:rPr>
              <w:t>I(</w:t>
            </w:r>
            <w:proofErr w:type="gramEnd"/>
            <w:r w:rsidRPr="00506206">
              <w:rPr>
                <w:rFonts w:ascii="Arial" w:eastAsia="Times New Roman" w:hAnsi="Arial" w:cs="Arial"/>
                <w:sz w:val="20"/>
                <w:szCs w:val="20"/>
              </w:rPr>
              <w:t>0) Stationary</w:t>
            </w:r>
          </w:p>
        </w:tc>
      </w:tr>
      <w:tr w:rsidR="00385CAF" w:rsidRPr="00506206" w14:paraId="72AF2576" w14:textId="77777777" w:rsidTr="003A76BC">
        <w:tc>
          <w:tcPr>
            <w:tcW w:w="2229" w:type="dxa"/>
            <w:vAlign w:val="center"/>
          </w:tcPr>
          <w:p w14:paraId="6FEBA56B" w14:textId="77777777" w:rsidR="00385CAF" w:rsidRPr="00506206" w:rsidRDefault="00385CAF" w:rsidP="003A76BC">
            <w:pPr>
              <w:spacing w:line="360" w:lineRule="auto"/>
              <w:rPr>
                <w:rFonts w:ascii="Arial" w:hAnsi="Arial" w:cs="Arial"/>
                <w:sz w:val="20"/>
                <w:szCs w:val="20"/>
              </w:rPr>
            </w:pPr>
            <w:r w:rsidRPr="00506206">
              <w:rPr>
                <w:rFonts w:ascii="Arial" w:eastAsia="Times New Roman" w:hAnsi="Arial" w:cs="Arial"/>
                <w:b/>
                <w:bCs/>
                <w:sz w:val="20"/>
                <w:szCs w:val="20"/>
                <w:bdr w:val="single" w:sz="2" w:space="0" w:color="E4E4E7" w:frame="1"/>
              </w:rPr>
              <w:t>D(LEXR)</w:t>
            </w:r>
          </w:p>
        </w:tc>
        <w:tc>
          <w:tcPr>
            <w:tcW w:w="2337" w:type="dxa"/>
          </w:tcPr>
          <w:p w14:paraId="3E35E47F" w14:textId="77777777" w:rsidR="00385CAF" w:rsidRPr="00506206" w:rsidRDefault="00385CAF" w:rsidP="003A76BC">
            <w:pPr>
              <w:spacing w:line="360" w:lineRule="auto"/>
              <w:jc w:val="center"/>
              <w:rPr>
                <w:rFonts w:ascii="Arial" w:hAnsi="Arial" w:cs="Arial"/>
                <w:sz w:val="20"/>
                <w:szCs w:val="20"/>
              </w:rPr>
            </w:pPr>
            <w:r w:rsidRPr="00506206">
              <w:rPr>
                <w:rFonts w:ascii="Arial" w:eastAsia="Times New Roman" w:hAnsi="Arial" w:cs="Arial"/>
                <w:sz w:val="20"/>
                <w:szCs w:val="20"/>
              </w:rPr>
              <w:t>-5.077</w:t>
            </w:r>
          </w:p>
        </w:tc>
        <w:tc>
          <w:tcPr>
            <w:tcW w:w="2338" w:type="dxa"/>
          </w:tcPr>
          <w:p w14:paraId="348BA1E5" w14:textId="77777777" w:rsidR="00385CAF" w:rsidRPr="00506206" w:rsidRDefault="00385CAF" w:rsidP="003A76BC">
            <w:pPr>
              <w:spacing w:line="360" w:lineRule="auto"/>
              <w:jc w:val="center"/>
              <w:rPr>
                <w:rFonts w:ascii="Arial" w:hAnsi="Arial" w:cs="Arial"/>
                <w:sz w:val="20"/>
                <w:szCs w:val="20"/>
              </w:rPr>
            </w:pPr>
            <w:r w:rsidRPr="00506206">
              <w:rPr>
                <w:rFonts w:ascii="Arial" w:eastAsia="Times New Roman" w:hAnsi="Arial" w:cs="Arial"/>
                <w:sz w:val="20"/>
                <w:szCs w:val="20"/>
              </w:rPr>
              <w:t>0.000***</w:t>
            </w:r>
          </w:p>
        </w:tc>
        <w:tc>
          <w:tcPr>
            <w:tcW w:w="2338" w:type="dxa"/>
          </w:tcPr>
          <w:p w14:paraId="6BCEAC26" w14:textId="77777777" w:rsidR="00385CAF" w:rsidRPr="00506206" w:rsidRDefault="00385CAF" w:rsidP="003A76BC">
            <w:pPr>
              <w:spacing w:line="360" w:lineRule="auto"/>
              <w:jc w:val="center"/>
              <w:rPr>
                <w:rFonts w:ascii="Arial" w:hAnsi="Arial" w:cs="Arial"/>
                <w:sz w:val="20"/>
                <w:szCs w:val="20"/>
              </w:rPr>
            </w:pPr>
            <w:proofErr w:type="gramStart"/>
            <w:r w:rsidRPr="00506206">
              <w:rPr>
                <w:rFonts w:ascii="Arial" w:eastAsia="Times New Roman" w:hAnsi="Arial" w:cs="Arial"/>
                <w:sz w:val="20"/>
                <w:szCs w:val="20"/>
              </w:rPr>
              <w:t>I(</w:t>
            </w:r>
            <w:proofErr w:type="gramEnd"/>
            <w:r w:rsidRPr="00506206">
              <w:rPr>
                <w:rFonts w:ascii="Arial" w:eastAsia="Times New Roman" w:hAnsi="Arial" w:cs="Arial"/>
                <w:sz w:val="20"/>
                <w:szCs w:val="20"/>
              </w:rPr>
              <w:t>1) Stationary</w:t>
            </w:r>
          </w:p>
        </w:tc>
      </w:tr>
      <w:tr w:rsidR="00385CAF" w:rsidRPr="00506206" w14:paraId="43126118" w14:textId="77777777" w:rsidTr="003A76BC">
        <w:tc>
          <w:tcPr>
            <w:tcW w:w="2229" w:type="dxa"/>
          </w:tcPr>
          <w:p w14:paraId="443D2337" w14:textId="77777777" w:rsidR="00385CAF" w:rsidRPr="00506206" w:rsidRDefault="00385CAF" w:rsidP="003A76BC">
            <w:pPr>
              <w:spacing w:line="360" w:lineRule="auto"/>
              <w:rPr>
                <w:rFonts w:ascii="Arial" w:hAnsi="Arial" w:cs="Arial"/>
                <w:sz w:val="20"/>
                <w:szCs w:val="20"/>
              </w:rPr>
            </w:pPr>
            <w:r w:rsidRPr="00506206">
              <w:rPr>
                <w:rFonts w:ascii="Arial" w:eastAsia="Times New Roman" w:hAnsi="Arial" w:cs="Arial"/>
                <w:b/>
                <w:bCs/>
                <w:sz w:val="20"/>
                <w:szCs w:val="20"/>
                <w:bdr w:val="single" w:sz="2" w:space="0" w:color="E4E4E7" w:frame="1"/>
              </w:rPr>
              <w:t>M2</w:t>
            </w:r>
          </w:p>
        </w:tc>
        <w:tc>
          <w:tcPr>
            <w:tcW w:w="2337" w:type="dxa"/>
            <w:vAlign w:val="center"/>
          </w:tcPr>
          <w:p w14:paraId="787CDEDA" w14:textId="77777777" w:rsidR="00385CAF" w:rsidRPr="00506206" w:rsidRDefault="00385CAF" w:rsidP="003A76BC">
            <w:pPr>
              <w:spacing w:line="360" w:lineRule="auto"/>
              <w:jc w:val="center"/>
              <w:rPr>
                <w:rFonts w:ascii="Arial" w:hAnsi="Arial" w:cs="Arial"/>
                <w:sz w:val="20"/>
                <w:szCs w:val="20"/>
              </w:rPr>
            </w:pPr>
            <w:r w:rsidRPr="00506206">
              <w:rPr>
                <w:rFonts w:ascii="Arial" w:eastAsia="Times New Roman" w:hAnsi="Arial" w:cs="Arial"/>
                <w:sz w:val="20"/>
                <w:szCs w:val="20"/>
              </w:rPr>
              <w:t>-3.826</w:t>
            </w:r>
          </w:p>
        </w:tc>
        <w:tc>
          <w:tcPr>
            <w:tcW w:w="2338" w:type="dxa"/>
          </w:tcPr>
          <w:p w14:paraId="697E4448" w14:textId="77777777" w:rsidR="00385CAF" w:rsidRPr="00506206" w:rsidRDefault="00385CAF" w:rsidP="003A76BC">
            <w:pPr>
              <w:spacing w:line="360" w:lineRule="auto"/>
              <w:jc w:val="center"/>
              <w:rPr>
                <w:rFonts w:ascii="Arial" w:hAnsi="Arial" w:cs="Arial"/>
                <w:sz w:val="20"/>
                <w:szCs w:val="20"/>
              </w:rPr>
            </w:pPr>
            <w:r w:rsidRPr="00506206">
              <w:rPr>
                <w:rFonts w:ascii="Arial" w:eastAsia="Times New Roman" w:hAnsi="Arial" w:cs="Arial"/>
                <w:sz w:val="20"/>
                <w:szCs w:val="20"/>
              </w:rPr>
              <w:t>0.005***</w:t>
            </w:r>
          </w:p>
        </w:tc>
        <w:tc>
          <w:tcPr>
            <w:tcW w:w="2338" w:type="dxa"/>
          </w:tcPr>
          <w:p w14:paraId="2C0E7E5C" w14:textId="77777777" w:rsidR="00385CAF" w:rsidRPr="00506206" w:rsidRDefault="00385CAF" w:rsidP="003A76BC">
            <w:pPr>
              <w:spacing w:line="360" w:lineRule="auto"/>
              <w:jc w:val="center"/>
              <w:rPr>
                <w:rFonts w:ascii="Arial" w:hAnsi="Arial" w:cs="Arial"/>
                <w:sz w:val="20"/>
                <w:szCs w:val="20"/>
              </w:rPr>
            </w:pPr>
            <w:proofErr w:type="gramStart"/>
            <w:r w:rsidRPr="00506206">
              <w:rPr>
                <w:rFonts w:ascii="Arial" w:eastAsia="Times New Roman" w:hAnsi="Arial" w:cs="Arial"/>
                <w:sz w:val="20"/>
                <w:szCs w:val="20"/>
              </w:rPr>
              <w:t>I(</w:t>
            </w:r>
            <w:proofErr w:type="gramEnd"/>
            <w:r w:rsidRPr="00506206">
              <w:rPr>
                <w:rFonts w:ascii="Arial" w:eastAsia="Times New Roman" w:hAnsi="Arial" w:cs="Arial"/>
                <w:sz w:val="20"/>
                <w:szCs w:val="20"/>
              </w:rPr>
              <w:t>0) Stationary</w:t>
            </w:r>
          </w:p>
        </w:tc>
      </w:tr>
      <w:tr w:rsidR="00385CAF" w:rsidRPr="00506206" w14:paraId="35B6FF1A" w14:textId="77777777" w:rsidTr="003A76BC">
        <w:tc>
          <w:tcPr>
            <w:tcW w:w="2229" w:type="dxa"/>
          </w:tcPr>
          <w:p w14:paraId="3323AF1C" w14:textId="77777777" w:rsidR="00385CAF" w:rsidRPr="00506206" w:rsidRDefault="00385CAF" w:rsidP="003A76BC">
            <w:pPr>
              <w:spacing w:line="360" w:lineRule="auto"/>
              <w:rPr>
                <w:rFonts w:ascii="Arial" w:hAnsi="Arial" w:cs="Arial"/>
                <w:sz w:val="20"/>
                <w:szCs w:val="20"/>
              </w:rPr>
            </w:pPr>
            <w:r w:rsidRPr="00506206">
              <w:rPr>
                <w:rFonts w:ascii="Arial" w:eastAsia="Times New Roman" w:hAnsi="Arial" w:cs="Arial"/>
                <w:b/>
                <w:bCs/>
                <w:sz w:val="20"/>
                <w:szCs w:val="20"/>
                <w:bdr w:val="single" w:sz="2" w:space="0" w:color="E4E4E7" w:frame="1"/>
              </w:rPr>
              <w:t>RGDPG</w:t>
            </w:r>
          </w:p>
        </w:tc>
        <w:tc>
          <w:tcPr>
            <w:tcW w:w="2337" w:type="dxa"/>
            <w:vAlign w:val="center"/>
          </w:tcPr>
          <w:p w14:paraId="7B019365" w14:textId="77777777" w:rsidR="00385CAF" w:rsidRPr="00506206" w:rsidRDefault="00385CAF" w:rsidP="003A76BC">
            <w:pPr>
              <w:spacing w:line="360" w:lineRule="auto"/>
              <w:jc w:val="center"/>
              <w:rPr>
                <w:rFonts w:ascii="Arial" w:hAnsi="Arial" w:cs="Arial"/>
                <w:sz w:val="20"/>
                <w:szCs w:val="20"/>
              </w:rPr>
            </w:pPr>
            <w:r w:rsidRPr="00506206">
              <w:rPr>
                <w:rFonts w:ascii="Arial" w:eastAsia="Times New Roman" w:hAnsi="Arial" w:cs="Arial"/>
                <w:sz w:val="20"/>
                <w:szCs w:val="20"/>
              </w:rPr>
              <w:t>-3.924</w:t>
            </w:r>
          </w:p>
        </w:tc>
        <w:tc>
          <w:tcPr>
            <w:tcW w:w="2338" w:type="dxa"/>
            <w:vAlign w:val="center"/>
          </w:tcPr>
          <w:p w14:paraId="06807BD0" w14:textId="77777777" w:rsidR="00385CAF" w:rsidRPr="00506206" w:rsidRDefault="00385CAF" w:rsidP="003A76BC">
            <w:pPr>
              <w:spacing w:line="360" w:lineRule="auto"/>
              <w:jc w:val="center"/>
              <w:rPr>
                <w:rFonts w:ascii="Arial" w:hAnsi="Arial" w:cs="Arial"/>
                <w:sz w:val="20"/>
                <w:szCs w:val="20"/>
              </w:rPr>
            </w:pPr>
            <w:r w:rsidRPr="00506206">
              <w:rPr>
                <w:rFonts w:ascii="Arial" w:eastAsia="Times New Roman" w:hAnsi="Arial" w:cs="Arial"/>
                <w:sz w:val="20"/>
                <w:szCs w:val="20"/>
              </w:rPr>
              <w:t>0.004***</w:t>
            </w:r>
          </w:p>
        </w:tc>
        <w:tc>
          <w:tcPr>
            <w:tcW w:w="2338" w:type="dxa"/>
            <w:vAlign w:val="center"/>
          </w:tcPr>
          <w:p w14:paraId="0A1A8041" w14:textId="77777777" w:rsidR="00385CAF" w:rsidRPr="00506206" w:rsidRDefault="00385CAF" w:rsidP="003A76BC">
            <w:pPr>
              <w:spacing w:line="360" w:lineRule="auto"/>
              <w:jc w:val="center"/>
              <w:rPr>
                <w:rFonts w:ascii="Arial" w:hAnsi="Arial" w:cs="Arial"/>
                <w:sz w:val="20"/>
                <w:szCs w:val="20"/>
              </w:rPr>
            </w:pPr>
            <w:proofErr w:type="gramStart"/>
            <w:r w:rsidRPr="00506206">
              <w:rPr>
                <w:rFonts w:ascii="Arial" w:eastAsia="Times New Roman" w:hAnsi="Arial" w:cs="Arial"/>
                <w:sz w:val="20"/>
                <w:szCs w:val="20"/>
              </w:rPr>
              <w:t>I(</w:t>
            </w:r>
            <w:proofErr w:type="gramEnd"/>
            <w:r w:rsidRPr="00506206">
              <w:rPr>
                <w:rFonts w:ascii="Arial" w:eastAsia="Times New Roman" w:hAnsi="Arial" w:cs="Arial"/>
                <w:sz w:val="20"/>
                <w:szCs w:val="20"/>
              </w:rPr>
              <w:t>0) Stationary</w:t>
            </w:r>
          </w:p>
        </w:tc>
      </w:tr>
      <w:tr w:rsidR="00385CAF" w:rsidRPr="00506206" w14:paraId="081DCAAE" w14:textId="77777777" w:rsidTr="003A76BC">
        <w:tc>
          <w:tcPr>
            <w:tcW w:w="2229" w:type="dxa"/>
          </w:tcPr>
          <w:p w14:paraId="486558D8" w14:textId="77777777" w:rsidR="00385CAF" w:rsidRPr="00506206" w:rsidRDefault="00385CAF" w:rsidP="003A76BC">
            <w:pPr>
              <w:spacing w:line="360" w:lineRule="auto"/>
              <w:rPr>
                <w:rFonts w:ascii="Arial" w:hAnsi="Arial" w:cs="Arial"/>
                <w:b/>
                <w:bCs/>
                <w:sz w:val="20"/>
                <w:szCs w:val="20"/>
              </w:rPr>
            </w:pPr>
            <w:r w:rsidRPr="00506206">
              <w:rPr>
                <w:rFonts w:ascii="Arial" w:hAnsi="Arial" w:cs="Arial"/>
                <w:b/>
                <w:bCs/>
                <w:sz w:val="20"/>
                <w:szCs w:val="20"/>
              </w:rPr>
              <w:t>D(LR)</w:t>
            </w:r>
          </w:p>
        </w:tc>
        <w:tc>
          <w:tcPr>
            <w:tcW w:w="2337" w:type="dxa"/>
          </w:tcPr>
          <w:p w14:paraId="730E2C7C"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-6.923</w:t>
            </w:r>
          </w:p>
        </w:tc>
        <w:tc>
          <w:tcPr>
            <w:tcW w:w="2338" w:type="dxa"/>
          </w:tcPr>
          <w:p w14:paraId="01CD7EF9" w14:textId="77777777" w:rsidR="00385CAF" w:rsidRPr="00506206" w:rsidRDefault="00385CAF" w:rsidP="003A76BC">
            <w:pPr>
              <w:spacing w:line="360" w:lineRule="auto"/>
              <w:jc w:val="center"/>
              <w:rPr>
                <w:rFonts w:ascii="Arial" w:hAnsi="Arial" w:cs="Arial"/>
                <w:sz w:val="20"/>
                <w:szCs w:val="20"/>
              </w:rPr>
            </w:pPr>
            <w:r w:rsidRPr="00506206">
              <w:rPr>
                <w:rFonts w:ascii="Arial" w:hAnsi="Arial" w:cs="Arial"/>
                <w:sz w:val="20"/>
                <w:szCs w:val="20"/>
              </w:rPr>
              <w:t>0.000***</w:t>
            </w:r>
          </w:p>
        </w:tc>
        <w:tc>
          <w:tcPr>
            <w:tcW w:w="2338" w:type="dxa"/>
          </w:tcPr>
          <w:p w14:paraId="438CB58D" w14:textId="77777777" w:rsidR="00385CAF" w:rsidRPr="00506206" w:rsidRDefault="00385CAF" w:rsidP="003A76BC">
            <w:pPr>
              <w:spacing w:line="360" w:lineRule="auto"/>
              <w:jc w:val="center"/>
              <w:rPr>
                <w:rFonts w:ascii="Arial" w:hAnsi="Arial" w:cs="Arial"/>
                <w:sz w:val="20"/>
                <w:szCs w:val="20"/>
              </w:rPr>
            </w:pPr>
            <w:proofErr w:type="gramStart"/>
            <w:r w:rsidRPr="00506206">
              <w:rPr>
                <w:rFonts w:ascii="Arial" w:eastAsia="Times New Roman" w:hAnsi="Arial" w:cs="Arial"/>
                <w:sz w:val="20"/>
                <w:szCs w:val="20"/>
              </w:rPr>
              <w:t>I(</w:t>
            </w:r>
            <w:proofErr w:type="gramEnd"/>
            <w:r w:rsidRPr="00506206">
              <w:rPr>
                <w:rFonts w:ascii="Arial" w:eastAsia="Times New Roman" w:hAnsi="Arial" w:cs="Arial"/>
                <w:sz w:val="20"/>
                <w:szCs w:val="20"/>
              </w:rPr>
              <w:t>1) Stationary</w:t>
            </w:r>
          </w:p>
        </w:tc>
      </w:tr>
    </w:tbl>
    <w:p w14:paraId="79F52144" w14:textId="77777777" w:rsidR="00385CAF" w:rsidRPr="00506206" w:rsidRDefault="00385CAF" w:rsidP="00385CAF">
      <w:pPr>
        <w:spacing w:line="360" w:lineRule="auto"/>
        <w:rPr>
          <w:rFonts w:ascii="Arial" w:hAnsi="Arial" w:cs="Arial"/>
          <w:b/>
          <w:bCs/>
        </w:rPr>
      </w:pPr>
      <w:r w:rsidRPr="00506206">
        <w:rPr>
          <w:rFonts w:ascii="Arial" w:hAnsi="Arial" w:cs="Arial"/>
          <w:b/>
          <w:bCs/>
        </w:rPr>
        <w:t xml:space="preserve">  Source: Author’s computation using EViews 13 </w:t>
      </w:r>
    </w:p>
    <w:p w14:paraId="4C0A266A" w14:textId="77777777" w:rsidR="00385CAF" w:rsidRPr="00506206" w:rsidRDefault="00385CAF" w:rsidP="00385CAF">
      <w:pPr>
        <w:spacing w:line="360" w:lineRule="auto"/>
        <w:rPr>
          <w:rFonts w:ascii="Arial" w:hAnsi="Arial" w:cs="Arial"/>
          <w:b/>
          <w:bCs/>
        </w:rPr>
      </w:pPr>
      <w:r w:rsidRPr="00506206">
        <w:rPr>
          <w:rFonts w:ascii="Arial" w:hAnsi="Arial" w:cs="Arial"/>
          <w:b/>
          <w:bCs/>
        </w:rPr>
        <w:t xml:space="preserve">  Note: *** and ** denote significance at the 1% and 5% levels, respectively.</w:t>
      </w:r>
    </w:p>
    <w:p w14:paraId="3C707BF6" w14:textId="77777777" w:rsidR="00385CAF" w:rsidRPr="00506206" w:rsidRDefault="00385CAF" w:rsidP="00385CAF">
      <w:pPr>
        <w:jc w:val="both"/>
        <w:rPr>
          <w:rFonts w:ascii="Arial" w:hAnsi="Arial" w:cs="Arial"/>
        </w:rPr>
      </w:pPr>
      <w:r w:rsidRPr="00506206">
        <w:rPr>
          <w:rFonts w:ascii="Arial" w:hAnsi="Arial" w:cs="Arial"/>
        </w:rPr>
        <w:t>The ADF test results indicate that INF, FD, M2, and RGDPG are stationary at levels, thus integrated of order zero [</w:t>
      </w:r>
      <w:proofErr w:type="gramStart"/>
      <w:r w:rsidRPr="00506206">
        <w:rPr>
          <w:rFonts w:ascii="Arial" w:hAnsi="Arial" w:cs="Arial"/>
        </w:rPr>
        <w:t>I(</w:t>
      </w:r>
      <w:proofErr w:type="gramEnd"/>
      <w:r w:rsidRPr="00506206">
        <w:rPr>
          <w:rFonts w:ascii="Arial" w:hAnsi="Arial" w:cs="Arial"/>
        </w:rPr>
        <w:t>0)]. Conversely, PD, LEXR, LR, and the interaction term (FD*PD) become stationary only after the first difference, indicating they are integrated of order one [</w:t>
      </w:r>
      <w:proofErr w:type="gramStart"/>
      <w:r w:rsidRPr="00506206">
        <w:rPr>
          <w:rFonts w:ascii="Arial" w:hAnsi="Arial" w:cs="Arial"/>
        </w:rPr>
        <w:t>I(</w:t>
      </w:r>
      <w:proofErr w:type="gramEnd"/>
      <w:r w:rsidRPr="00506206">
        <w:rPr>
          <w:rFonts w:ascii="Arial" w:hAnsi="Arial" w:cs="Arial"/>
        </w:rPr>
        <w:t xml:space="preserve">1)]. The Phillips-Perron test largely corroborates these findings, albeit with minor variations in the stochastic properties of the fiscal variables; specifically, the PP test suggests that FD is </w:t>
      </w:r>
      <w:proofErr w:type="gramStart"/>
      <w:r w:rsidRPr="00506206">
        <w:rPr>
          <w:rFonts w:ascii="Arial" w:hAnsi="Arial" w:cs="Arial"/>
        </w:rPr>
        <w:t>I(</w:t>
      </w:r>
      <w:proofErr w:type="gramEnd"/>
      <w:r w:rsidRPr="00506206">
        <w:rPr>
          <w:rFonts w:ascii="Arial" w:hAnsi="Arial" w:cs="Arial"/>
        </w:rPr>
        <w:t xml:space="preserve">1) and the interaction term (FD*PD) is I(0). Crucially, both tests confirm that all variables are either </w:t>
      </w:r>
      <w:proofErr w:type="gramStart"/>
      <w:r w:rsidRPr="00506206">
        <w:rPr>
          <w:rFonts w:ascii="Arial" w:hAnsi="Arial" w:cs="Arial"/>
        </w:rPr>
        <w:t>I(</w:t>
      </w:r>
      <w:proofErr w:type="gramEnd"/>
      <w:r w:rsidRPr="00506206">
        <w:rPr>
          <w:rFonts w:ascii="Arial" w:hAnsi="Arial" w:cs="Arial"/>
        </w:rPr>
        <w:t>0) or I(1), and no variable is stationary at the second difference [I(2)]. This mixed order of integration provides the statistical justification for adopting the ARDL Bounds testing approach to evaluate the long-run and short-run dynamics of the model.</w:t>
      </w:r>
    </w:p>
    <w:p w14:paraId="425062D6" w14:textId="77777777" w:rsidR="00385CAF" w:rsidRPr="00506206" w:rsidRDefault="00385CAF" w:rsidP="00385CAF">
      <w:pPr>
        <w:spacing w:line="360" w:lineRule="auto"/>
        <w:rPr>
          <w:rFonts w:ascii="Arial" w:hAnsi="Arial" w:cs="Arial"/>
          <w:b/>
          <w:bCs/>
        </w:rPr>
      </w:pPr>
      <w:r w:rsidRPr="00506206">
        <w:rPr>
          <w:rFonts w:ascii="Arial" w:hAnsi="Arial" w:cs="Arial"/>
          <w:b/>
          <w:bCs/>
        </w:rPr>
        <w:t>4.4 ARDL Unrestricted Model Results</w:t>
      </w:r>
    </w:p>
    <w:p w14:paraId="20EC76BF" w14:textId="77777777" w:rsidR="00385CAF" w:rsidRPr="00506206" w:rsidRDefault="00385CAF" w:rsidP="00385CAF">
      <w:pPr>
        <w:jc w:val="both"/>
        <w:rPr>
          <w:rFonts w:ascii="Arial" w:hAnsi="Arial" w:cs="Arial"/>
        </w:rPr>
      </w:pPr>
      <w:r w:rsidRPr="00506206">
        <w:rPr>
          <w:rFonts w:ascii="Arial" w:hAnsi="Arial" w:cs="Arial"/>
        </w:rPr>
        <w:t>The ARDL model is estimated using the AIC (Akaike Information Criterion), which seeks to identify the optimal lag structure. The optimal lag structure of the variables associated with inflation is ARDL (1 1 2 1 2 2 2 2) which captures the differential impacts of these explanatory variables on inflation across different time paths. The estimated output (see table 4) is highly significant with an R</w:t>
      </w:r>
      <w:r w:rsidRPr="00506206">
        <w:rPr>
          <w:rFonts w:ascii="Arial" w:hAnsi="Arial" w:cs="Arial"/>
          <w:vertAlign w:val="superscript"/>
        </w:rPr>
        <w:t>2</w:t>
      </w:r>
      <w:r w:rsidRPr="00506206">
        <w:rPr>
          <w:rFonts w:ascii="Arial" w:hAnsi="Arial" w:cs="Arial"/>
        </w:rPr>
        <w:t xml:space="preserve"> of 0.982 and an adjusted R</w:t>
      </w:r>
      <w:r w:rsidRPr="00506206">
        <w:rPr>
          <w:rFonts w:ascii="Arial" w:hAnsi="Arial" w:cs="Arial"/>
          <w:vertAlign w:val="superscript"/>
        </w:rPr>
        <w:t>2</w:t>
      </w:r>
      <w:r w:rsidRPr="00506206">
        <w:rPr>
          <w:rFonts w:ascii="Arial" w:hAnsi="Arial" w:cs="Arial"/>
        </w:rPr>
        <w:t xml:space="preserve"> of 0.958 suggesting that the model captures 96% of variation in the inflation rate. The F-test (41.83, p = 0.000) shows that the regressors are jointly significant and the </w:t>
      </w:r>
      <w:proofErr w:type="spellStart"/>
      <w:proofErr w:type="gramStart"/>
      <w:r w:rsidRPr="00506206">
        <w:rPr>
          <w:rFonts w:ascii="Arial" w:hAnsi="Arial" w:cs="Arial"/>
        </w:rPr>
        <w:t>Durbin,Watson</w:t>
      </w:r>
      <w:proofErr w:type="spellEnd"/>
      <w:proofErr w:type="gramEnd"/>
      <w:r w:rsidRPr="00506206">
        <w:rPr>
          <w:rFonts w:ascii="Arial" w:hAnsi="Arial" w:cs="Arial"/>
        </w:rPr>
        <w:t xml:space="preserve"> statistic (1.93) shows that there is no obvious first order serial correlation problem.</w:t>
      </w:r>
    </w:p>
    <w:p w14:paraId="2A945069" w14:textId="77777777" w:rsidR="00385CAF" w:rsidRDefault="00385CAF" w:rsidP="00385CAF">
      <w:pPr>
        <w:spacing w:line="360" w:lineRule="auto"/>
        <w:rPr>
          <w:rFonts w:ascii="Arial" w:hAnsi="Arial" w:cs="Arial"/>
          <w:b/>
          <w:bCs/>
        </w:rPr>
      </w:pPr>
    </w:p>
    <w:p w14:paraId="16DD8983" w14:textId="77777777" w:rsidR="00385CAF" w:rsidRPr="00506206" w:rsidRDefault="00385CAF" w:rsidP="00385CAF">
      <w:pPr>
        <w:spacing w:line="360" w:lineRule="auto"/>
        <w:rPr>
          <w:rFonts w:ascii="Arial" w:hAnsi="Arial" w:cs="Arial"/>
          <w:b/>
          <w:bCs/>
        </w:rPr>
      </w:pPr>
      <w:r w:rsidRPr="00506206">
        <w:rPr>
          <w:rFonts w:ascii="Arial" w:hAnsi="Arial" w:cs="Arial"/>
          <w:b/>
          <w:bCs/>
        </w:rPr>
        <w:t>Table 4: ARDL Estimation Output (Unrestricted Model)</w:t>
      </w:r>
    </w:p>
    <w:tbl>
      <w:tblPr>
        <w:tblStyle w:val="TableGrid"/>
        <w:tblW w:w="0" w:type="auto"/>
        <w:tblLook w:val="04A0" w:firstRow="1" w:lastRow="0" w:firstColumn="1" w:lastColumn="0" w:noHBand="0" w:noVBand="1"/>
      </w:tblPr>
      <w:tblGrid>
        <w:gridCol w:w="7508"/>
      </w:tblGrid>
      <w:tr w:rsidR="00385CAF" w:rsidRPr="00506206" w14:paraId="7FE5BD47" w14:textId="77777777" w:rsidTr="003A76BC">
        <w:tc>
          <w:tcPr>
            <w:tcW w:w="7508" w:type="dxa"/>
          </w:tcPr>
          <w:p w14:paraId="4BF1375D" w14:textId="77777777" w:rsidR="00385CAF" w:rsidRPr="00506206" w:rsidRDefault="00385CAF" w:rsidP="003A76BC">
            <w:pPr>
              <w:spacing w:line="360" w:lineRule="auto"/>
              <w:rPr>
                <w:rFonts w:ascii="Arial" w:hAnsi="Arial" w:cs="Arial"/>
                <w:b/>
                <w:bCs/>
                <w:sz w:val="20"/>
                <w:szCs w:val="20"/>
              </w:rPr>
            </w:pPr>
            <w:r w:rsidRPr="00506206">
              <w:rPr>
                <w:rFonts w:ascii="Arial" w:hAnsi="Arial" w:cs="Arial"/>
                <w:b/>
                <w:bCs/>
                <w:sz w:val="20"/>
                <w:szCs w:val="20"/>
              </w:rPr>
              <w:t>Variable</w:t>
            </w:r>
            <w:r w:rsidRPr="00506206">
              <w:rPr>
                <w:rFonts w:ascii="Arial" w:hAnsi="Arial" w:cs="Arial"/>
                <w:b/>
                <w:bCs/>
                <w:sz w:val="20"/>
                <w:szCs w:val="20"/>
              </w:rPr>
              <w:tab/>
            </w:r>
            <w:r w:rsidRPr="00506206">
              <w:rPr>
                <w:rFonts w:ascii="Arial" w:hAnsi="Arial" w:cs="Arial"/>
                <w:b/>
                <w:bCs/>
                <w:sz w:val="20"/>
                <w:szCs w:val="20"/>
              </w:rPr>
              <w:tab/>
              <w:t>Coefficient</w:t>
            </w:r>
            <w:r w:rsidRPr="00506206">
              <w:rPr>
                <w:rFonts w:ascii="Arial" w:hAnsi="Arial" w:cs="Arial"/>
                <w:b/>
                <w:bCs/>
                <w:sz w:val="20"/>
                <w:szCs w:val="20"/>
              </w:rPr>
              <w:tab/>
              <w:t>Std. Error</w:t>
            </w:r>
            <w:r w:rsidRPr="00506206">
              <w:rPr>
                <w:rFonts w:ascii="Arial" w:hAnsi="Arial" w:cs="Arial"/>
                <w:b/>
                <w:bCs/>
                <w:sz w:val="20"/>
                <w:szCs w:val="20"/>
              </w:rPr>
              <w:tab/>
              <w:t>t-Statistic</w:t>
            </w:r>
            <w:r w:rsidRPr="00506206">
              <w:rPr>
                <w:rFonts w:ascii="Arial" w:hAnsi="Arial" w:cs="Arial"/>
                <w:b/>
                <w:bCs/>
                <w:sz w:val="20"/>
                <w:szCs w:val="20"/>
              </w:rPr>
              <w:tab/>
              <w:t>Prob.</w:t>
            </w:r>
          </w:p>
        </w:tc>
      </w:tr>
      <w:tr w:rsidR="00385CAF" w:rsidRPr="00506206" w14:paraId="7FD18536" w14:textId="77777777" w:rsidTr="003A76BC">
        <w:tc>
          <w:tcPr>
            <w:tcW w:w="7508" w:type="dxa"/>
          </w:tcPr>
          <w:p w14:paraId="2B9B4C79" w14:textId="77777777" w:rsidR="00385CAF" w:rsidRPr="00506206" w:rsidRDefault="00385CAF" w:rsidP="003A76BC">
            <w:pPr>
              <w:spacing w:line="360" w:lineRule="auto"/>
              <w:jc w:val="both"/>
              <w:rPr>
                <w:rFonts w:ascii="Arial" w:hAnsi="Arial" w:cs="Arial"/>
                <w:sz w:val="20"/>
                <w:szCs w:val="20"/>
              </w:rPr>
            </w:pPr>
            <w:proofErr w:type="gramStart"/>
            <w:r w:rsidRPr="00506206">
              <w:rPr>
                <w:rFonts w:ascii="Arial" w:hAnsi="Arial" w:cs="Arial"/>
                <w:sz w:val="20"/>
                <w:szCs w:val="20"/>
              </w:rPr>
              <w:t>INF(</w:t>
            </w:r>
            <w:proofErr w:type="gramEnd"/>
            <w:r w:rsidRPr="00506206">
              <w:rPr>
                <w:rFonts w:ascii="Arial" w:hAnsi="Arial" w:cs="Arial"/>
                <w:sz w:val="20"/>
                <w:szCs w:val="20"/>
              </w:rPr>
              <w:t>-1)</w:t>
            </w:r>
            <w:r w:rsidRPr="00506206">
              <w:rPr>
                <w:rFonts w:ascii="Arial" w:hAnsi="Arial" w:cs="Arial"/>
                <w:sz w:val="20"/>
                <w:szCs w:val="20"/>
              </w:rPr>
              <w:tab/>
            </w:r>
            <w:r w:rsidRPr="00506206">
              <w:rPr>
                <w:rFonts w:ascii="Arial" w:hAnsi="Arial" w:cs="Arial"/>
                <w:sz w:val="20"/>
                <w:szCs w:val="20"/>
              </w:rPr>
              <w:tab/>
              <w:t xml:space="preserve">                0.59</w:t>
            </w:r>
            <w:r>
              <w:rPr>
                <w:rFonts w:ascii="Arial" w:hAnsi="Arial" w:cs="Arial"/>
                <w:sz w:val="20"/>
                <w:szCs w:val="20"/>
              </w:rPr>
              <w:t xml:space="preserve">6 </w:t>
            </w:r>
            <w:r w:rsidRPr="00506206">
              <w:rPr>
                <w:rFonts w:ascii="Arial" w:hAnsi="Arial" w:cs="Arial"/>
                <w:sz w:val="20"/>
                <w:szCs w:val="20"/>
              </w:rPr>
              <w:tab/>
              <w:t>0.07</w:t>
            </w:r>
            <w:r>
              <w:rPr>
                <w:rFonts w:ascii="Arial" w:hAnsi="Arial" w:cs="Arial"/>
                <w:sz w:val="20"/>
                <w:szCs w:val="20"/>
              </w:rPr>
              <w:t>4</w:t>
            </w:r>
            <w:r w:rsidRPr="00506206">
              <w:rPr>
                <w:rFonts w:ascii="Arial" w:hAnsi="Arial" w:cs="Arial"/>
                <w:sz w:val="20"/>
                <w:szCs w:val="20"/>
              </w:rPr>
              <w:t xml:space="preserve">    </w:t>
            </w:r>
            <w:r w:rsidRPr="00506206">
              <w:rPr>
                <w:rFonts w:ascii="Arial" w:hAnsi="Arial" w:cs="Arial"/>
                <w:sz w:val="20"/>
                <w:szCs w:val="20"/>
              </w:rPr>
              <w:tab/>
              <w:t xml:space="preserve"> 8.101   </w:t>
            </w:r>
            <w:r w:rsidRPr="00506206">
              <w:rPr>
                <w:rFonts w:ascii="Arial" w:hAnsi="Arial" w:cs="Arial"/>
                <w:sz w:val="20"/>
                <w:szCs w:val="20"/>
              </w:rPr>
              <w:tab/>
              <w:t>0.000</w:t>
            </w:r>
          </w:p>
        </w:tc>
      </w:tr>
      <w:tr w:rsidR="00385CAF" w:rsidRPr="00506206" w14:paraId="5773C34F" w14:textId="77777777" w:rsidTr="003A76BC">
        <w:tc>
          <w:tcPr>
            <w:tcW w:w="7508" w:type="dxa"/>
          </w:tcPr>
          <w:p w14:paraId="23F05EDB" w14:textId="77777777" w:rsidR="00385CAF" w:rsidRPr="00506206" w:rsidRDefault="00385CAF" w:rsidP="003A76BC">
            <w:pPr>
              <w:spacing w:line="360" w:lineRule="auto"/>
              <w:jc w:val="both"/>
              <w:rPr>
                <w:rFonts w:ascii="Arial" w:hAnsi="Arial" w:cs="Arial"/>
                <w:sz w:val="20"/>
                <w:szCs w:val="20"/>
              </w:rPr>
            </w:pPr>
            <w:r w:rsidRPr="00506206">
              <w:rPr>
                <w:rFonts w:ascii="Arial" w:hAnsi="Arial" w:cs="Arial"/>
                <w:sz w:val="20"/>
                <w:szCs w:val="20"/>
              </w:rPr>
              <w:t>FD</w:t>
            </w:r>
            <w:r w:rsidRPr="00506206">
              <w:rPr>
                <w:rFonts w:ascii="Arial" w:hAnsi="Arial" w:cs="Arial"/>
                <w:sz w:val="20"/>
                <w:szCs w:val="20"/>
              </w:rPr>
              <w:tab/>
            </w:r>
            <w:r w:rsidRPr="00506206">
              <w:rPr>
                <w:rFonts w:ascii="Arial" w:hAnsi="Arial" w:cs="Arial"/>
                <w:sz w:val="20"/>
                <w:szCs w:val="20"/>
              </w:rPr>
              <w:tab/>
            </w:r>
            <w:proofErr w:type="gramStart"/>
            <w:r w:rsidRPr="00506206">
              <w:rPr>
                <w:rFonts w:ascii="Arial" w:hAnsi="Arial" w:cs="Arial"/>
                <w:sz w:val="20"/>
                <w:szCs w:val="20"/>
              </w:rPr>
              <w:tab/>
              <w:t xml:space="preserve">  -</w:t>
            </w:r>
            <w:proofErr w:type="gramEnd"/>
            <w:r w:rsidRPr="00506206">
              <w:rPr>
                <w:rFonts w:ascii="Arial" w:hAnsi="Arial" w:cs="Arial"/>
                <w:sz w:val="20"/>
                <w:szCs w:val="20"/>
              </w:rPr>
              <w:t>0.07</w:t>
            </w:r>
            <w:r>
              <w:rPr>
                <w:rFonts w:ascii="Arial" w:hAnsi="Arial" w:cs="Arial"/>
                <w:sz w:val="20"/>
                <w:szCs w:val="20"/>
              </w:rPr>
              <w:t>3</w:t>
            </w:r>
            <w:r w:rsidRPr="00506206">
              <w:rPr>
                <w:rFonts w:ascii="Arial" w:hAnsi="Arial" w:cs="Arial"/>
                <w:sz w:val="20"/>
                <w:szCs w:val="20"/>
              </w:rPr>
              <w:t xml:space="preserve"> </w:t>
            </w:r>
            <w:r w:rsidRPr="00506206">
              <w:rPr>
                <w:rFonts w:ascii="Arial" w:hAnsi="Arial" w:cs="Arial"/>
                <w:sz w:val="20"/>
                <w:szCs w:val="20"/>
              </w:rPr>
              <w:tab/>
              <w:t>0.43</w:t>
            </w:r>
            <w:r>
              <w:rPr>
                <w:rFonts w:ascii="Arial" w:hAnsi="Arial" w:cs="Arial"/>
                <w:sz w:val="20"/>
                <w:szCs w:val="20"/>
              </w:rPr>
              <w:t>3</w:t>
            </w:r>
            <w:r w:rsidRPr="00506206">
              <w:rPr>
                <w:rFonts w:ascii="Arial" w:hAnsi="Arial" w:cs="Arial"/>
                <w:sz w:val="20"/>
                <w:szCs w:val="20"/>
              </w:rPr>
              <w:t xml:space="preserve">    </w:t>
            </w:r>
            <w:r w:rsidRPr="00506206">
              <w:rPr>
                <w:rFonts w:ascii="Arial" w:hAnsi="Arial" w:cs="Arial"/>
                <w:sz w:val="20"/>
                <w:szCs w:val="20"/>
              </w:rPr>
              <w:tab/>
              <w:t xml:space="preserve">-0.168   </w:t>
            </w:r>
            <w:r w:rsidRPr="00506206">
              <w:rPr>
                <w:rFonts w:ascii="Arial" w:hAnsi="Arial" w:cs="Arial"/>
                <w:sz w:val="20"/>
                <w:szCs w:val="20"/>
              </w:rPr>
              <w:tab/>
              <w:t>0.868</w:t>
            </w:r>
          </w:p>
        </w:tc>
      </w:tr>
      <w:tr w:rsidR="00385CAF" w:rsidRPr="00506206" w14:paraId="3EC08084" w14:textId="77777777" w:rsidTr="003A76BC">
        <w:tc>
          <w:tcPr>
            <w:tcW w:w="7508" w:type="dxa"/>
          </w:tcPr>
          <w:p w14:paraId="0F18A00B" w14:textId="77777777" w:rsidR="00385CAF" w:rsidRPr="00506206" w:rsidRDefault="00385CAF" w:rsidP="003A76BC">
            <w:pPr>
              <w:spacing w:line="360" w:lineRule="auto"/>
              <w:jc w:val="both"/>
              <w:rPr>
                <w:rFonts w:ascii="Arial" w:hAnsi="Arial" w:cs="Arial"/>
                <w:sz w:val="20"/>
                <w:szCs w:val="20"/>
              </w:rPr>
            </w:pPr>
            <w:proofErr w:type="gramStart"/>
            <w:r w:rsidRPr="00506206">
              <w:rPr>
                <w:rFonts w:ascii="Arial" w:hAnsi="Arial" w:cs="Arial"/>
                <w:sz w:val="20"/>
                <w:szCs w:val="20"/>
              </w:rPr>
              <w:t>FD(</w:t>
            </w:r>
            <w:proofErr w:type="gramEnd"/>
            <w:r w:rsidRPr="00506206">
              <w:rPr>
                <w:rFonts w:ascii="Arial" w:hAnsi="Arial" w:cs="Arial"/>
                <w:sz w:val="20"/>
                <w:szCs w:val="20"/>
              </w:rPr>
              <w:t>-1)</w:t>
            </w:r>
            <w:r w:rsidRPr="00506206">
              <w:rPr>
                <w:rFonts w:ascii="Arial" w:hAnsi="Arial" w:cs="Arial"/>
                <w:sz w:val="20"/>
                <w:szCs w:val="20"/>
              </w:rPr>
              <w:tab/>
            </w:r>
            <w:r w:rsidRPr="00506206">
              <w:rPr>
                <w:rFonts w:ascii="Arial" w:hAnsi="Arial" w:cs="Arial"/>
                <w:sz w:val="20"/>
                <w:szCs w:val="20"/>
              </w:rPr>
              <w:tab/>
            </w:r>
            <w:r w:rsidRPr="00506206">
              <w:rPr>
                <w:rFonts w:ascii="Arial" w:hAnsi="Arial" w:cs="Arial"/>
                <w:sz w:val="20"/>
                <w:szCs w:val="20"/>
              </w:rPr>
              <w:tab/>
              <w:t xml:space="preserve">  -2.85</w:t>
            </w:r>
            <w:r>
              <w:rPr>
                <w:rFonts w:ascii="Arial" w:hAnsi="Arial" w:cs="Arial"/>
                <w:sz w:val="20"/>
                <w:szCs w:val="20"/>
              </w:rPr>
              <w:t>1</w:t>
            </w:r>
            <w:r w:rsidRPr="00506206">
              <w:rPr>
                <w:rFonts w:ascii="Arial" w:hAnsi="Arial" w:cs="Arial"/>
                <w:sz w:val="20"/>
                <w:szCs w:val="20"/>
              </w:rPr>
              <w:t xml:space="preserve"> </w:t>
            </w:r>
            <w:r w:rsidRPr="00506206">
              <w:rPr>
                <w:rFonts w:ascii="Arial" w:hAnsi="Arial" w:cs="Arial"/>
                <w:sz w:val="20"/>
                <w:szCs w:val="20"/>
              </w:rPr>
              <w:tab/>
              <w:t>0.43</w:t>
            </w:r>
            <w:r>
              <w:rPr>
                <w:rFonts w:ascii="Arial" w:hAnsi="Arial" w:cs="Arial"/>
                <w:sz w:val="20"/>
                <w:szCs w:val="20"/>
              </w:rPr>
              <w:t>4</w:t>
            </w:r>
            <w:r w:rsidRPr="00506206">
              <w:rPr>
                <w:rFonts w:ascii="Arial" w:hAnsi="Arial" w:cs="Arial"/>
                <w:sz w:val="20"/>
                <w:szCs w:val="20"/>
              </w:rPr>
              <w:t xml:space="preserve">    </w:t>
            </w:r>
            <w:r w:rsidRPr="00506206">
              <w:rPr>
                <w:rFonts w:ascii="Arial" w:hAnsi="Arial" w:cs="Arial"/>
                <w:sz w:val="20"/>
                <w:szCs w:val="20"/>
              </w:rPr>
              <w:tab/>
              <w:t>-6.57</w:t>
            </w:r>
            <w:r>
              <w:rPr>
                <w:rFonts w:ascii="Arial" w:hAnsi="Arial" w:cs="Arial"/>
                <w:sz w:val="20"/>
                <w:szCs w:val="20"/>
              </w:rPr>
              <w:t>3</w:t>
            </w:r>
            <w:r w:rsidRPr="00506206">
              <w:rPr>
                <w:rFonts w:ascii="Arial" w:hAnsi="Arial" w:cs="Arial"/>
                <w:sz w:val="20"/>
                <w:szCs w:val="20"/>
              </w:rPr>
              <w:t xml:space="preserve">   </w:t>
            </w:r>
            <w:r w:rsidRPr="00506206">
              <w:rPr>
                <w:rFonts w:ascii="Arial" w:hAnsi="Arial" w:cs="Arial"/>
                <w:sz w:val="20"/>
                <w:szCs w:val="20"/>
              </w:rPr>
              <w:tab/>
              <w:t>0.000</w:t>
            </w:r>
          </w:p>
        </w:tc>
      </w:tr>
      <w:tr w:rsidR="00385CAF" w:rsidRPr="00506206" w14:paraId="30C4239A" w14:textId="77777777" w:rsidTr="003A76BC">
        <w:tc>
          <w:tcPr>
            <w:tcW w:w="7508" w:type="dxa"/>
          </w:tcPr>
          <w:p w14:paraId="7A0F1C78" w14:textId="77777777" w:rsidR="00385CAF" w:rsidRPr="00506206" w:rsidRDefault="00385CAF" w:rsidP="003A76BC">
            <w:pPr>
              <w:spacing w:line="360" w:lineRule="auto"/>
              <w:jc w:val="both"/>
              <w:rPr>
                <w:rFonts w:ascii="Arial" w:hAnsi="Arial" w:cs="Arial"/>
                <w:sz w:val="20"/>
                <w:szCs w:val="20"/>
              </w:rPr>
            </w:pPr>
            <w:r w:rsidRPr="00506206">
              <w:rPr>
                <w:rFonts w:ascii="Arial" w:hAnsi="Arial" w:cs="Arial"/>
                <w:sz w:val="20"/>
                <w:szCs w:val="20"/>
              </w:rPr>
              <w:t>PD</w:t>
            </w:r>
            <w:r w:rsidRPr="00506206">
              <w:rPr>
                <w:rFonts w:ascii="Arial" w:hAnsi="Arial" w:cs="Arial"/>
                <w:sz w:val="20"/>
                <w:szCs w:val="20"/>
              </w:rPr>
              <w:tab/>
            </w:r>
            <w:r w:rsidRPr="00506206">
              <w:rPr>
                <w:rFonts w:ascii="Arial" w:hAnsi="Arial" w:cs="Arial"/>
                <w:sz w:val="20"/>
                <w:szCs w:val="20"/>
              </w:rPr>
              <w:tab/>
            </w:r>
            <w:proofErr w:type="gramStart"/>
            <w:r w:rsidRPr="00506206">
              <w:rPr>
                <w:rFonts w:ascii="Arial" w:hAnsi="Arial" w:cs="Arial"/>
                <w:sz w:val="20"/>
                <w:szCs w:val="20"/>
              </w:rPr>
              <w:tab/>
              <w:t xml:space="preserve">  -</w:t>
            </w:r>
            <w:proofErr w:type="gramEnd"/>
            <w:r w:rsidRPr="00506206">
              <w:rPr>
                <w:rFonts w:ascii="Arial" w:hAnsi="Arial" w:cs="Arial"/>
                <w:sz w:val="20"/>
                <w:szCs w:val="20"/>
              </w:rPr>
              <w:t xml:space="preserve">1.631 </w:t>
            </w:r>
            <w:r w:rsidRPr="00506206">
              <w:rPr>
                <w:rFonts w:ascii="Arial" w:hAnsi="Arial" w:cs="Arial"/>
                <w:sz w:val="20"/>
                <w:szCs w:val="20"/>
              </w:rPr>
              <w:tab/>
              <w:t xml:space="preserve">0.282    </w:t>
            </w:r>
            <w:r w:rsidRPr="00506206">
              <w:rPr>
                <w:rFonts w:ascii="Arial" w:hAnsi="Arial" w:cs="Arial"/>
                <w:sz w:val="20"/>
                <w:szCs w:val="20"/>
              </w:rPr>
              <w:tab/>
              <w:t>-5.77</w:t>
            </w:r>
            <w:r>
              <w:rPr>
                <w:rFonts w:ascii="Arial" w:hAnsi="Arial" w:cs="Arial"/>
                <w:sz w:val="20"/>
                <w:szCs w:val="20"/>
              </w:rPr>
              <w:t>7</w:t>
            </w:r>
            <w:r w:rsidRPr="00506206">
              <w:rPr>
                <w:rFonts w:ascii="Arial" w:hAnsi="Arial" w:cs="Arial"/>
                <w:sz w:val="20"/>
                <w:szCs w:val="20"/>
              </w:rPr>
              <w:t xml:space="preserve">   </w:t>
            </w:r>
            <w:r w:rsidRPr="00506206">
              <w:rPr>
                <w:rFonts w:ascii="Arial" w:hAnsi="Arial" w:cs="Arial"/>
                <w:sz w:val="20"/>
                <w:szCs w:val="20"/>
              </w:rPr>
              <w:tab/>
              <w:t>0.000</w:t>
            </w:r>
          </w:p>
        </w:tc>
      </w:tr>
      <w:tr w:rsidR="00385CAF" w:rsidRPr="00506206" w14:paraId="7F091E09" w14:textId="77777777" w:rsidTr="003A76BC">
        <w:tc>
          <w:tcPr>
            <w:tcW w:w="7508" w:type="dxa"/>
          </w:tcPr>
          <w:p w14:paraId="6F969619" w14:textId="77777777" w:rsidR="00385CAF" w:rsidRPr="00506206" w:rsidRDefault="00385CAF" w:rsidP="003A76BC">
            <w:pPr>
              <w:spacing w:line="360" w:lineRule="auto"/>
              <w:jc w:val="both"/>
              <w:rPr>
                <w:rFonts w:ascii="Arial" w:hAnsi="Arial" w:cs="Arial"/>
                <w:sz w:val="20"/>
                <w:szCs w:val="20"/>
              </w:rPr>
            </w:pPr>
            <w:proofErr w:type="gramStart"/>
            <w:r w:rsidRPr="00506206">
              <w:rPr>
                <w:rFonts w:ascii="Arial" w:hAnsi="Arial" w:cs="Arial"/>
                <w:sz w:val="20"/>
                <w:szCs w:val="20"/>
              </w:rPr>
              <w:t>PD(</w:t>
            </w:r>
            <w:proofErr w:type="gramEnd"/>
            <w:r w:rsidRPr="00506206">
              <w:rPr>
                <w:rFonts w:ascii="Arial" w:hAnsi="Arial" w:cs="Arial"/>
                <w:sz w:val="20"/>
                <w:szCs w:val="20"/>
              </w:rPr>
              <w:t>-1)</w:t>
            </w:r>
            <w:r w:rsidRPr="00506206">
              <w:rPr>
                <w:rFonts w:ascii="Arial" w:hAnsi="Arial" w:cs="Arial"/>
                <w:sz w:val="20"/>
                <w:szCs w:val="20"/>
              </w:rPr>
              <w:tab/>
            </w:r>
            <w:r w:rsidRPr="00506206">
              <w:rPr>
                <w:rFonts w:ascii="Arial" w:hAnsi="Arial" w:cs="Arial"/>
                <w:sz w:val="20"/>
                <w:szCs w:val="20"/>
              </w:rPr>
              <w:tab/>
            </w:r>
            <w:r w:rsidRPr="00506206">
              <w:rPr>
                <w:rFonts w:ascii="Arial" w:hAnsi="Arial" w:cs="Arial"/>
                <w:sz w:val="20"/>
                <w:szCs w:val="20"/>
              </w:rPr>
              <w:tab/>
              <w:t xml:space="preserve">   2.06</w:t>
            </w:r>
            <w:r>
              <w:rPr>
                <w:rFonts w:ascii="Arial" w:hAnsi="Arial" w:cs="Arial"/>
                <w:sz w:val="20"/>
                <w:szCs w:val="20"/>
              </w:rPr>
              <w:t>8</w:t>
            </w:r>
            <w:r w:rsidRPr="00506206">
              <w:rPr>
                <w:rFonts w:ascii="Arial" w:hAnsi="Arial" w:cs="Arial"/>
                <w:sz w:val="20"/>
                <w:szCs w:val="20"/>
              </w:rPr>
              <w:t xml:space="preserve">   </w:t>
            </w:r>
            <w:r w:rsidRPr="00506206">
              <w:rPr>
                <w:rFonts w:ascii="Arial" w:hAnsi="Arial" w:cs="Arial"/>
                <w:sz w:val="20"/>
                <w:szCs w:val="20"/>
              </w:rPr>
              <w:tab/>
              <w:t>0.34</w:t>
            </w:r>
            <w:r>
              <w:rPr>
                <w:rFonts w:ascii="Arial" w:hAnsi="Arial" w:cs="Arial"/>
                <w:sz w:val="20"/>
                <w:szCs w:val="20"/>
              </w:rPr>
              <w:t>9</w:t>
            </w:r>
            <w:r w:rsidRPr="00506206">
              <w:rPr>
                <w:rFonts w:ascii="Arial" w:hAnsi="Arial" w:cs="Arial"/>
                <w:sz w:val="20"/>
                <w:szCs w:val="20"/>
              </w:rPr>
              <w:t xml:space="preserve">    </w:t>
            </w:r>
            <w:r w:rsidRPr="00506206">
              <w:rPr>
                <w:rFonts w:ascii="Arial" w:hAnsi="Arial" w:cs="Arial"/>
                <w:sz w:val="20"/>
                <w:szCs w:val="20"/>
              </w:rPr>
              <w:tab/>
              <w:t xml:space="preserve"> 5.928   </w:t>
            </w:r>
            <w:r w:rsidRPr="00506206">
              <w:rPr>
                <w:rFonts w:ascii="Arial" w:hAnsi="Arial" w:cs="Arial"/>
                <w:sz w:val="20"/>
                <w:szCs w:val="20"/>
              </w:rPr>
              <w:tab/>
              <w:t>0.000</w:t>
            </w:r>
          </w:p>
        </w:tc>
      </w:tr>
      <w:tr w:rsidR="00385CAF" w:rsidRPr="00506206" w14:paraId="6C1ED399" w14:textId="77777777" w:rsidTr="003A76BC">
        <w:tc>
          <w:tcPr>
            <w:tcW w:w="7508" w:type="dxa"/>
          </w:tcPr>
          <w:p w14:paraId="1BD24146" w14:textId="77777777" w:rsidR="00385CAF" w:rsidRPr="00506206" w:rsidRDefault="00385CAF" w:rsidP="003A76BC">
            <w:pPr>
              <w:spacing w:line="360" w:lineRule="auto"/>
              <w:jc w:val="both"/>
              <w:rPr>
                <w:rFonts w:ascii="Arial" w:hAnsi="Arial" w:cs="Arial"/>
                <w:sz w:val="20"/>
                <w:szCs w:val="20"/>
              </w:rPr>
            </w:pPr>
            <w:proofErr w:type="gramStart"/>
            <w:r w:rsidRPr="00506206">
              <w:rPr>
                <w:rFonts w:ascii="Arial" w:hAnsi="Arial" w:cs="Arial"/>
                <w:sz w:val="20"/>
                <w:szCs w:val="20"/>
              </w:rPr>
              <w:t>PD(</w:t>
            </w:r>
            <w:proofErr w:type="gramEnd"/>
            <w:r w:rsidRPr="00506206">
              <w:rPr>
                <w:rFonts w:ascii="Arial" w:hAnsi="Arial" w:cs="Arial"/>
                <w:sz w:val="20"/>
                <w:szCs w:val="20"/>
              </w:rPr>
              <w:t>-2)</w:t>
            </w:r>
            <w:r w:rsidRPr="00506206">
              <w:rPr>
                <w:rFonts w:ascii="Arial" w:hAnsi="Arial" w:cs="Arial"/>
                <w:sz w:val="20"/>
                <w:szCs w:val="20"/>
              </w:rPr>
              <w:tab/>
            </w:r>
            <w:r w:rsidRPr="00506206">
              <w:rPr>
                <w:rFonts w:ascii="Arial" w:hAnsi="Arial" w:cs="Arial"/>
                <w:sz w:val="20"/>
                <w:szCs w:val="20"/>
              </w:rPr>
              <w:tab/>
            </w:r>
            <w:r w:rsidRPr="00506206">
              <w:rPr>
                <w:rFonts w:ascii="Arial" w:hAnsi="Arial" w:cs="Arial"/>
                <w:sz w:val="20"/>
                <w:szCs w:val="20"/>
              </w:rPr>
              <w:tab/>
              <w:t xml:space="preserve">  -0.746  </w:t>
            </w:r>
            <w:r w:rsidRPr="00506206">
              <w:rPr>
                <w:rFonts w:ascii="Arial" w:hAnsi="Arial" w:cs="Arial"/>
                <w:sz w:val="20"/>
                <w:szCs w:val="20"/>
              </w:rPr>
              <w:tab/>
              <w:t>0.19</w:t>
            </w:r>
            <w:r>
              <w:rPr>
                <w:rFonts w:ascii="Arial" w:hAnsi="Arial" w:cs="Arial"/>
                <w:sz w:val="20"/>
                <w:szCs w:val="20"/>
              </w:rPr>
              <w:t>4</w:t>
            </w:r>
            <w:r w:rsidRPr="00506206">
              <w:rPr>
                <w:rFonts w:ascii="Arial" w:hAnsi="Arial" w:cs="Arial"/>
                <w:sz w:val="20"/>
                <w:szCs w:val="20"/>
              </w:rPr>
              <w:t xml:space="preserve">    </w:t>
            </w:r>
            <w:r w:rsidRPr="00506206">
              <w:rPr>
                <w:rFonts w:ascii="Arial" w:hAnsi="Arial" w:cs="Arial"/>
                <w:sz w:val="20"/>
                <w:szCs w:val="20"/>
              </w:rPr>
              <w:tab/>
              <w:t>-3.85</w:t>
            </w:r>
            <w:r>
              <w:rPr>
                <w:rFonts w:ascii="Arial" w:hAnsi="Arial" w:cs="Arial"/>
                <w:sz w:val="20"/>
                <w:szCs w:val="20"/>
              </w:rPr>
              <w:t>5</w:t>
            </w:r>
            <w:r w:rsidRPr="00506206">
              <w:rPr>
                <w:rFonts w:ascii="Arial" w:hAnsi="Arial" w:cs="Arial"/>
                <w:sz w:val="20"/>
                <w:szCs w:val="20"/>
              </w:rPr>
              <w:t xml:space="preserve">   </w:t>
            </w:r>
            <w:r w:rsidRPr="00506206">
              <w:rPr>
                <w:rFonts w:ascii="Arial" w:hAnsi="Arial" w:cs="Arial"/>
                <w:sz w:val="20"/>
                <w:szCs w:val="20"/>
              </w:rPr>
              <w:tab/>
              <w:t>0.001</w:t>
            </w:r>
          </w:p>
        </w:tc>
      </w:tr>
      <w:tr w:rsidR="00385CAF" w:rsidRPr="00506206" w14:paraId="5D07EFDE" w14:textId="77777777" w:rsidTr="003A76BC">
        <w:tc>
          <w:tcPr>
            <w:tcW w:w="7508" w:type="dxa"/>
          </w:tcPr>
          <w:p w14:paraId="75A8851F" w14:textId="77777777" w:rsidR="00385CAF" w:rsidRPr="00506206" w:rsidRDefault="00385CAF" w:rsidP="003A76BC">
            <w:pPr>
              <w:spacing w:line="360" w:lineRule="auto"/>
              <w:jc w:val="both"/>
              <w:rPr>
                <w:rFonts w:ascii="Arial" w:hAnsi="Arial" w:cs="Arial"/>
                <w:sz w:val="20"/>
                <w:szCs w:val="20"/>
              </w:rPr>
            </w:pPr>
            <w:r w:rsidRPr="00506206">
              <w:rPr>
                <w:rFonts w:ascii="Arial" w:hAnsi="Arial" w:cs="Arial"/>
                <w:sz w:val="20"/>
                <w:szCs w:val="20"/>
              </w:rPr>
              <w:t>FD_PD</w:t>
            </w:r>
            <w:r w:rsidRPr="00506206">
              <w:rPr>
                <w:rFonts w:ascii="Arial" w:hAnsi="Arial" w:cs="Arial"/>
                <w:sz w:val="20"/>
                <w:szCs w:val="20"/>
              </w:rPr>
              <w:tab/>
            </w:r>
            <w:r w:rsidRPr="00506206">
              <w:rPr>
                <w:rFonts w:ascii="Arial" w:hAnsi="Arial" w:cs="Arial"/>
                <w:sz w:val="20"/>
                <w:szCs w:val="20"/>
              </w:rPr>
              <w:tab/>
              <w:t xml:space="preserve">               -0.</w:t>
            </w:r>
            <w:proofErr w:type="gramStart"/>
            <w:r w:rsidRPr="00506206">
              <w:rPr>
                <w:rFonts w:ascii="Arial" w:hAnsi="Arial" w:cs="Arial"/>
                <w:sz w:val="20"/>
                <w:szCs w:val="20"/>
              </w:rPr>
              <w:t xml:space="preserve">100  </w:t>
            </w:r>
            <w:r w:rsidRPr="00506206">
              <w:rPr>
                <w:rFonts w:ascii="Arial" w:hAnsi="Arial" w:cs="Arial"/>
                <w:sz w:val="20"/>
                <w:szCs w:val="20"/>
              </w:rPr>
              <w:tab/>
            </w:r>
            <w:proofErr w:type="gramEnd"/>
            <w:r w:rsidRPr="00506206">
              <w:rPr>
                <w:rFonts w:ascii="Arial" w:hAnsi="Arial" w:cs="Arial"/>
                <w:sz w:val="20"/>
                <w:szCs w:val="20"/>
              </w:rPr>
              <w:t xml:space="preserve">0.026    </w:t>
            </w:r>
            <w:r w:rsidRPr="00506206">
              <w:rPr>
                <w:rFonts w:ascii="Arial" w:hAnsi="Arial" w:cs="Arial"/>
                <w:sz w:val="20"/>
                <w:szCs w:val="20"/>
              </w:rPr>
              <w:tab/>
              <w:t xml:space="preserve">-3.816       </w:t>
            </w:r>
            <w:r>
              <w:rPr>
                <w:rFonts w:ascii="Arial" w:hAnsi="Arial" w:cs="Arial"/>
                <w:sz w:val="20"/>
                <w:szCs w:val="20"/>
              </w:rPr>
              <w:t xml:space="preserve"> </w:t>
            </w:r>
            <w:r w:rsidRPr="00506206">
              <w:rPr>
                <w:rFonts w:ascii="Arial" w:hAnsi="Arial" w:cs="Arial"/>
                <w:sz w:val="20"/>
                <w:szCs w:val="20"/>
              </w:rPr>
              <w:t xml:space="preserve">   </w:t>
            </w:r>
            <w:r>
              <w:rPr>
                <w:rFonts w:ascii="Arial" w:hAnsi="Arial" w:cs="Arial"/>
                <w:sz w:val="20"/>
                <w:szCs w:val="20"/>
              </w:rPr>
              <w:t xml:space="preserve">  </w:t>
            </w:r>
            <w:r w:rsidRPr="00506206">
              <w:rPr>
                <w:rFonts w:ascii="Arial" w:hAnsi="Arial" w:cs="Arial"/>
                <w:sz w:val="20"/>
                <w:szCs w:val="20"/>
              </w:rPr>
              <w:t xml:space="preserve">   0.001</w:t>
            </w:r>
          </w:p>
        </w:tc>
      </w:tr>
      <w:tr w:rsidR="00385CAF" w:rsidRPr="00506206" w14:paraId="0FA264CE" w14:textId="77777777" w:rsidTr="003A76BC">
        <w:tc>
          <w:tcPr>
            <w:tcW w:w="7508" w:type="dxa"/>
          </w:tcPr>
          <w:p w14:paraId="148A105C" w14:textId="77777777" w:rsidR="00385CAF" w:rsidRPr="00506206" w:rsidRDefault="00385CAF" w:rsidP="003A76BC">
            <w:pPr>
              <w:spacing w:line="360" w:lineRule="auto"/>
              <w:jc w:val="both"/>
              <w:rPr>
                <w:rFonts w:ascii="Arial" w:hAnsi="Arial" w:cs="Arial"/>
                <w:sz w:val="20"/>
                <w:szCs w:val="20"/>
              </w:rPr>
            </w:pPr>
            <w:r w:rsidRPr="00506206">
              <w:rPr>
                <w:rFonts w:ascii="Arial" w:hAnsi="Arial" w:cs="Arial"/>
                <w:sz w:val="20"/>
                <w:szCs w:val="20"/>
              </w:rPr>
              <w:t>FD_</w:t>
            </w:r>
            <w:proofErr w:type="gramStart"/>
            <w:r w:rsidRPr="00506206">
              <w:rPr>
                <w:rFonts w:ascii="Arial" w:hAnsi="Arial" w:cs="Arial"/>
                <w:sz w:val="20"/>
                <w:szCs w:val="20"/>
              </w:rPr>
              <w:t>PD(</w:t>
            </w:r>
            <w:proofErr w:type="gramEnd"/>
            <w:r w:rsidRPr="00506206">
              <w:rPr>
                <w:rFonts w:ascii="Arial" w:hAnsi="Arial" w:cs="Arial"/>
                <w:sz w:val="20"/>
                <w:szCs w:val="20"/>
              </w:rPr>
              <w:t>-1)</w:t>
            </w:r>
            <w:r w:rsidRPr="00506206">
              <w:rPr>
                <w:rFonts w:ascii="Arial" w:hAnsi="Arial" w:cs="Arial"/>
                <w:sz w:val="20"/>
                <w:szCs w:val="20"/>
              </w:rPr>
              <w:tab/>
            </w:r>
            <w:r w:rsidRPr="00506206">
              <w:rPr>
                <w:rFonts w:ascii="Arial" w:hAnsi="Arial" w:cs="Arial"/>
                <w:sz w:val="20"/>
                <w:szCs w:val="20"/>
              </w:rPr>
              <w:tab/>
              <w:t xml:space="preserve">   0.061   </w:t>
            </w:r>
            <w:r w:rsidRPr="00506206">
              <w:rPr>
                <w:rFonts w:ascii="Arial" w:hAnsi="Arial" w:cs="Arial"/>
                <w:sz w:val="20"/>
                <w:szCs w:val="20"/>
              </w:rPr>
              <w:tab/>
              <w:t>0.02</w:t>
            </w:r>
            <w:r>
              <w:rPr>
                <w:rFonts w:ascii="Arial" w:hAnsi="Arial" w:cs="Arial"/>
                <w:sz w:val="20"/>
                <w:szCs w:val="20"/>
              </w:rPr>
              <w:t xml:space="preserve">8  </w:t>
            </w:r>
            <w:r w:rsidRPr="00506206">
              <w:rPr>
                <w:rFonts w:ascii="Arial" w:hAnsi="Arial" w:cs="Arial"/>
                <w:sz w:val="20"/>
                <w:szCs w:val="20"/>
              </w:rPr>
              <w:t xml:space="preserve">   </w:t>
            </w:r>
            <w:r>
              <w:rPr>
                <w:rFonts w:ascii="Arial" w:hAnsi="Arial" w:cs="Arial"/>
                <w:sz w:val="20"/>
                <w:szCs w:val="20"/>
              </w:rPr>
              <w:t xml:space="preserve"> </w:t>
            </w:r>
            <w:r w:rsidRPr="00506206">
              <w:rPr>
                <w:rFonts w:ascii="Arial" w:hAnsi="Arial" w:cs="Arial"/>
                <w:sz w:val="20"/>
                <w:szCs w:val="20"/>
              </w:rPr>
              <w:t xml:space="preserve">         </w:t>
            </w:r>
            <w:r>
              <w:rPr>
                <w:rFonts w:ascii="Arial" w:hAnsi="Arial" w:cs="Arial"/>
                <w:sz w:val="20"/>
                <w:szCs w:val="20"/>
              </w:rPr>
              <w:t xml:space="preserve"> </w:t>
            </w:r>
            <w:r w:rsidRPr="00506206">
              <w:rPr>
                <w:rFonts w:ascii="Arial" w:hAnsi="Arial" w:cs="Arial"/>
                <w:sz w:val="20"/>
                <w:szCs w:val="20"/>
              </w:rPr>
              <w:t xml:space="preserve">  2.215            </w:t>
            </w:r>
            <w:r>
              <w:rPr>
                <w:rFonts w:ascii="Arial" w:hAnsi="Arial" w:cs="Arial"/>
                <w:sz w:val="20"/>
                <w:szCs w:val="20"/>
              </w:rPr>
              <w:t xml:space="preserve">  </w:t>
            </w:r>
            <w:r w:rsidRPr="00506206">
              <w:rPr>
                <w:rFonts w:ascii="Arial" w:hAnsi="Arial" w:cs="Arial"/>
                <w:sz w:val="20"/>
                <w:szCs w:val="20"/>
              </w:rPr>
              <w:t xml:space="preserve">  0.0</w:t>
            </w:r>
            <w:r>
              <w:rPr>
                <w:rFonts w:ascii="Arial" w:hAnsi="Arial" w:cs="Arial"/>
                <w:sz w:val="20"/>
                <w:szCs w:val="20"/>
              </w:rPr>
              <w:t>40</w:t>
            </w:r>
          </w:p>
        </w:tc>
      </w:tr>
      <w:tr w:rsidR="00385CAF" w:rsidRPr="00506206" w14:paraId="3660AE95" w14:textId="77777777" w:rsidTr="003A76BC">
        <w:tc>
          <w:tcPr>
            <w:tcW w:w="7508" w:type="dxa"/>
          </w:tcPr>
          <w:p w14:paraId="6401DBF8" w14:textId="77777777" w:rsidR="00385CAF" w:rsidRPr="00506206" w:rsidRDefault="00385CAF" w:rsidP="003A76BC">
            <w:pPr>
              <w:spacing w:line="360" w:lineRule="auto"/>
              <w:jc w:val="both"/>
              <w:rPr>
                <w:rFonts w:ascii="Arial" w:hAnsi="Arial" w:cs="Arial"/>
                <w:sz w:val="20"/>
                <w:szCs w:val="20"/>
              </w:rPr>
            </w:pPr>
            <w:r w:rsidRPr="00506206">
              <w:rPr>
                <w:rFonts w:ascii="Arial" w:hAnsi="Arial" w:cs="Arial"/>
                <w:sz w:val="20"/>
                <w:szCs w:val="20"/>
              </w:rPr>
              <w:t>LEXR</w:t>
            </w:r>
            <w:r w:rsidRPr="00506206">
              <w:rPr>
                <w:rFonts w:ascii="Arial" w:hAnsi="Arial" w:cs="Arial"/>
                <w:sz w:val="20"/>
                <w:szCs w:val="20"/>
              </w:rPr>
              <w:tab/>
            </w:r>
            <w:r w:rsidRPr="00506206">
              <w:rPr>
                <w:rFonts w:ascii="Arial" w:hAnsi="Arial" w:cs="Arial"/>
                <w:sz w:val="20"/>
                <w:szCs w:val="20"/>
              </w:rPr>
              <w:tab/>
            </w:r>
            <w:r w:rsidRPr="00506206">
              <w:rPr>
                <w:rFonts w:ascii="Arial" w:hAnsi="Arial" w:cs="Arial"/>
                <w:sz w:val="20"/>
                <w:szCs w:val="20"/>
              </w:rPr>
              <w:tab/>
              <w:t xml:space="preserve"> 26.585</w:t>
            </w:r>
            <w:r>
              <w:rPr>
                <w:rFonts w:ascii="Arial" w:hAnsi="Arial" w:cs="Arial"/>
                <w:sz w:val="20"/>
                <w:szCs w:val="20"/>
              </w:rPr>
              <w:t xml:space="preserve">   </w:t>
            </w:r>
            <w:r w:rsidRPr="00506206">
              <w:rPr>
                <w:rFonts w:ascii="Arial" w:hAnsi="Arial" w:cs="Arial"/>
                <w:sz w:val="20"/>
                <w:szCs w:val="20"/>
              </w:rPr>
              <w:t xml:space="preserve">           7.016</w:t>
            </w:r>
            <w:r>
              <w:rPr>
                <w:rFonts w:ascii="Arial" w:hAnsi="Arial" w:cs="Arial"/>
                <w:sz w:val="20"/>
                <w:szCs w:val="20"/>
              </w:rPr>
              <w:t xml:space="preserve"> </w:t>
            </w:r>
            <w:r w:rsidRPr="00506206">
              <w:rPr>
                <w:rFonts w:ascii="Arial" w:hAnsi="Arial" w:cs="Arial"/>
                <w:sz w:val="20"/>
                <w:szCs w:val="20"/>
              </w:rPr>
              <w:t xml:space="preserve">              </w:t>
            </w:r>
            <w:r>
              <w:rPr>
                <w:rFonts w:ascii="Arial" w:hAnsi="Arial" w:cs="Arial"/>
                <w:sz w:val="20"/>
                <w:szCs w:val="20"/>
              </w:rPr>
              <w:t xml:space="preserve"> </w:t>
            </w:r>
            <w:r w:rsidRPr="00506206">
              <w:rPr>
                <w:rFonts w:ascii="Arial" w:hAnsi="Arial" w:cs="Arial"/>
                <w:sz w:val="20"/>
                <w:szCs w:val="20"/>
              </w:rPr>
              <w:t xml:space="preserve">  3.789</w:t>
            </w:r>
            <w:r>
              <w:rPr>
                <w:rFonts w:ascii="Arial" w:hAnsi="Arial" w:cs="Arial"/>
                <w:sz w:val="20"/>
                <w:szCs w:val="20"/>
              </w:rPr>
              <w:t xml:space="preserve"> </w:t>
            </w:r>
            <w:r w:rsidRPr="00506206">
              <w:rPr>
                <w:rFonts w:ascii="Arial" w:hAnsi="Arial" w:cs="Arial"/>
                <w:sz w:val="20"/>
                <w:szCs w:val="20"/>
              </w:rPr>
              <w:t xml:space="preserve">   </w:t>
            </w:r>
            <w:r w:rsidRPr="00506206">
              <w:rPr>
                <w:rFonts w:ascii="Arial" w:hAnsi="Arial" w:cs="Arial"/>
                <w:sz w:val="20"/>
                <w:szCs w:val="20"/>
              </w:rPr>
              <w:tab/>
              <w:t>0.001</w:t>
            </w:r>
          </w:p>
        </w:tc>
      </w:tr>
      <w:tr w:rsidR="00385CAF" w:rsidRPr="00506206" w14:paraId="12F1FF2F" w14:textId="77777777" w:rsidTr="003A76BC">
        <w:tc>
          <w:tcPr>
            <w:tcW w:w="7508" w:type="dxa"/>
          </w:tcPr>
          <w:p w14:paraId="36165CC7" w14:textId="77777777" w:rsidR="00385CAF" w:rsidRPr="00506206" w:rsidRDefault="00385CAF" w:rsidP="003A76BC">
            <w:pPr>
              <w:spacing w:line="360" w:lineRule="auto"/>
              <w:jc w:val="both"/>
              <w:rPr>
                <w:rFonts w:ascii="Arial" w:hAnsi="Arial" w:cs="Arial"/>
                <w:sz w:val="20"/>
                <w:szCs w:val="20"/>
              </w:rPr>
            </w:pPr>
            <w:proofErr w:type="gramStart"/>
            <w:r w:rsidRPr="00506206">
              <w:rPr>
                <w:rFonts w:ascii="Arial" w:hAnsi="Arial" w:cs="Arial"/>
                <w:sz w:val="20"/>
                <w:szCs w:val="20"/>
              </w:rPr>
              <w:t>LEXR(</w:t>
            </w:r>
            <w:proofErr w:type="gramEnd"/>
            <w:r w:rsidRPr="00506206">
              <w:rPr>
                <w:rFonts w:ascii="Arial" w:hAnsi="Arial" w:cs="Arial"/>
                <w:sz w:val="20"/>
                <w:szCs w:val="20"/>
              </w:rPr>
              <w:t>-1)</w:t>
            </w:r>
            <w:r w:rsidRPr="00506206">
              <w:rPr>
                <w:rFonts w:ascii="Arial" w:hAnsi="Arial" w:cs="Arial"/>
                <w:sz w:val="20"/>
                <w:szCs w:val="20"/>
              </w:rPr>
              <w:tab/>
            </w:r>
            <w:r w:rsidRPr="00506206">
              <w:rPr>
                <w:rFonts w:ascii="Arial" w:hAnsi="Arial" w:cs="Arial"/>
                <w:sz w:val="20"/>
                <w:szCs w:val="20"/>
              </w:rPr>
              <w:tab/>
              <w:t>-33.762</w:t>
            </w:r>
            <w:r>
              <w:rPr>
                <w:rFonts w:ascii="Arial" w:hAnsi="Arial" w:cs="Arial"/>
                <w:sz w:val="20"/>
                <w:szCs w:val="20"/>
              </w:rPr>
              <w:t xml:space="preserve"> </w:t>
            </w:r>
            <w:r w:rsidRPr="00506206">
              <w:rPr>
                <w:rFonts w:ascii="Arial" w:hAnsi="Arial" w:cs="Arial"/>
                <w:sz w:val="20"/>
                <w:szCs w:val="20"/>
              </w:rPr>
              <w:t xml:space="preserve">           </w:t>
            </w:r>
            <w:r>
              <w:rPr>
                <w:rFonts w:ascii="Arial" w:hAnsi="Arial" w:cs="Arial"/>
                <w:sz w:val="20"/>
                <w:szCs w:val="20"/>
              </w:rPr>
              <w:t xml:space="preserve"> </w:t>
            </w:r>
            <w:r w:rsidRPr="00506206">
              <w:rPr>
                <w:rFonts w:ascii="Arial" w:hAnsi="Arial" w:cs="Arial"/>
                <w:sz w:val="20"/>
                <w:szCs w:val="20"/>
              </w:rPr>
              <w:t xml:space="preserve"> 7.203     </w:t>
            </w:r>
            <w:r w:rsidRPr="00506206">
              <w:rPr>
                <w:rFonts w:ascii="Arial" w:hAnsi="Arial" w:cs="Arial"/>
                <w:sz w:val="20"/>
                <w:szCs w:val="20"/>
              </w:rPr>
              <w:tab/>
              <w:t>-4.68</w:t>
            </w:r>
            <w:r>
              <w:rPr>
                <w:rFonts w:ascii="Arial" w:hAnsi="Arial" w:cs="Arial"/>
                <w:sz w:val="20"/>
                <w:szCs w:val="20"/>
              </w:rPr>
              <w:t>7</w:t>
            </w:r>
            <w:r w:rsidRPr="00506206">
              <w:rPr>
                <w:rFonts w:ascii="Arial" w:hAnsi="Arial" w:cs="Arial"/>
                <w:sz w:val="20"/>
                <w:szCs w:val="20"/>
              </w:rPr>
              <w:t xml:space="preserve">   </w:t>
            </w:r>
            <w:r>
              <w:rPr>
                <w:rFonts w:ascii="Arial" w:hAnsi="Arial" w:cs="Arial"/>
                <w:sz w:val="20"/>
                <w:szCs w:val="20"/>
              </w:rPr>
              <w:t xml:space="preserve">          </w:t>
            </w:r>
            <w:r w:rsidRPr="00506206">
              <w:rPr>
                <w:rFonts w:ascii="Arial" w:hAnsi="Arial" w:cs="Arial"/>
                <w:sz w:val="20"/>
                <w:szCs w:val="20"/>
              </w:rPr>
              <w:tab/>
              <w:t>0.000</w:t>
            </w:r>
          </w:p>
        </w:tc>
      </w:tr>
      <w:tr w:rsidR="00385CAF" w:rsidRPr="00506206" w14:paraId="2B80DBFB" w14:textId="77777777" w:rsidTr="003A76BC">
        <w:tc>
          <w:tcPr>
            <w:tcW w:w="7508" w:type="dxa"/>
          </w:tcPr>
          <w:p w14:paraId="68D76D16" w14:textId="77777777" w:rsidR="00385CAF" w:rsidRPr="00506206" w:rsidRDefault="00385CAF" w:rsidP="003A76BC">
            <w:pPr>
              <w:spacing w:line="360" w:lineRule="auto"/>
              <w:jc w:val="both"/>
              <w:rPr>
                <w:rFonts w:ascii="Arial" w:hAnsi="Arial" w:cs="Arial"/>
                <w:sz w:val="20"/>
                <w:szCs w:val="20"/>
              </w:rPr>
            </w:pPr>
            <w:proofErr w:type="gramStart"/>
            <w:r w:rsidRPr="00506206">
              <w:rPr>
                <w:rFonts w:ascii="Arial" w:hAnsi="Arial" w:cs="Arial"/>
                <w:sz w:val="20"/>
                <w:szCs w:val="20"/>
              </w:rPr>
              <w:t>LEXR(</w:t>
            </w:r>
            <w:proofErr w:type="gramEnd"/>
            <w:r w:rsidRPr="00506206">
              <w:rPr>
                <w:rFonts w:ascii="Arial" w:hAnsi="Arial" w:cs="Arial"/>
                <w:sz w:val="20"/>
                <w:szCs w:val="20"/>
              </w:rPr>
              <w:t>-2)</w:t>
            </w:r>
            <w:r w:rsidRPr="00506206">
              <w:rPr>
                <w:rFonts w:ascii="Arial" w:hAnsi="Arial" w:cs="Arial"/>
                <w:sz w:val="20"/>
                <w:szCs w:val="20"/>
              </w:rPr>
              <w:tab/>
            </w:r>
            <w:r w:rsidRPr="00506206">
              <w:rPr>
                <w:rFonts w:ascii="Arial" w:hAnsi="Arial" w:cs="Arial"/>
                <w:sz w:val="20"/>
                <w:szCs w:val="20"/>
              </w:rPr>
              <w:tab/>
              <w:t xml:space="preserve">   9.059   </w:t>
            </w:r>
            <w:r w:rsidRPr="00506206">
              <w:rPr>
                <w:rFonts w:ascii="Arial" w:hAnsi="Arial" w:cs="Arial"/>
                <w:sz w:val="20"/>
                <w:szCs w:val="20"/>
              </w:rPr>
              <w:tab/>
              <w:t>2.87</w:t>
            </w:r>
            <w:r>
              <w:rPr>
                <w:rFonts w:ascii="Arial" w:hAnsi="Arial" w:cs="Arial"/>
                <w:sz w:val="20"/>
                <w:szCs w:val="20"/>
              </w:rPr>
              <w:t>8</w:t>
            </w:r>
            <w:r w:rsidRPr="00506206">
              <w:rPr>
                <w:rFonts w:ascii="Arial" w:hAnsi="Arial" w:cs="Arial"/>
                <w:sz w:val="20"/>
                <w:szCs w:val="20"/>
              </w:rPr>
              <w:t xml:space="preserve">    </w:t>
            </w:r>
            <w:r w:rsidRPr="00506206">
              <w:rPr>
                <w:rFonts w:ascii="Arial" w:hAnsi="Arial" w:cs="Arial"/>
                <w:sz w:val="20"/>
                <w:szCs w:val="20"/>
              </w:rPr>
              <w:tab/>
              <w:t xml:space="preserve"> 3.148    </w:t>
            </w:r>
            <w:r w:rsidRPr="00506206">
              <w:rPr>
                <w:rFonts w:ascii="Arial" w:hAnsi="Arial" w:cs="Arial"/>
                <w:sz w:val="20"/>
                <w:szCs w:val="20"/>
              </w:rPr>
              <w:tab/>
              <w:t>0.006</w:t>
            </w:r>
          </w:p>
        </w:tc>
      </w:tr>
      <w:tr w:rsidR="00385CAF" w:rsidRPr="00506206" w14:paraId="25B78A95" w14:textId="77777777" w:rsidTr="003A76BC">
        <w:tc>
          <w:tcPr>
            <w:tcW w:w="7508" w:type="dxa"/>
          </w:tcPr>
          <w:p w14:paraId="0983F0BF" w14:textId="77777777" w:rsidR="00385CAF" w:rsidRPr="00506206" w:rsidRDefault="00385CAF" w:rsidP="003A76BC">
            <w:pPr>
              <w:spacing w:line="360" w:lineRule="auto"/>
              <w:jc w:val="both"/>
              <w:rPr>
                <w:rFonts w:ascii="Arial" w:hAnsi="Arial" w:cs="Arial"/>
                <w:sz w:val="20"/>
                <w:szCs w:val="20"/>
              </w:rPr>
            </w:pPr>
            <w:r w:rsidRPr="00506206">
              <w:rPr>
                <w:rFonts w:ascii="Arial" w:hAnsi="Arial" w:cs="Arial"/>
                <w:sz w:val="20"/>
                <w:szCs w:val="20"/>
              </w:rPr>
              <w:t>M2</w:t>
            </w:r>
            <w:r w:rsidRPr="00506206">
              <w:rPr>
                <w:rFonts w:ascii="Arial" w:hAnsi="Arial" w:cs="Arial"/>
                <w:sz w:val="20"/>
                <w:szCs w:val="20"/>
              </w:rPr>
              <w:tab/>
            </w:r>
            <w:r w:rsidRPr="00506206">
              <w:rPr>
                <w:rFonts w:ascii="Arial" w:hAnsi="Arial" w:cs="Arial"/>
                <w:sz w:val="20"/>
                <w:szCs w:val="20"/>
              </w:rPr>
              <w:tab/>
            </w:r>
            <w:r w:rsidRPr="00506206">
              <w:rPr>
                <w:rFonts w:ascii="Arial" w:hAnsi="Arial" w:cs="Arial"/>
                <w:sz w:val="20"/>
                <w:szCs w:val="20"/>
              </w:rPr>
              <w:tab/>
              <w:t xml:space="preserve">   0.228   </w:t>
            </w:r>
            <w:r w:rsidRPr="00506206">
              <w:rPr>
                <w:rFonts w:ascii="Arial" w:hAnsi="Arial" w:cs="Arial"/>
                <w:sz w:val="20"/>
                <w:szCs w:val="20"/>
              </w:rPr>
              <w:tab/>
              <w:t xml:space="preserve">0.047    </w:t>
            </w:r>
            <w:r w:rsidRPr="00506206">
              <w:rPr>
                <w:rFonts w:ascii="Arial" w:hAnsi="Arial" w:cs="Arial"/>
                <w:sz w:val="20"/>
                <w:szCs w:val="20"/>
              </w:rPr>
              <w:tab/>
              <w:t xml:space="preserve"> 4.824    </w:t>
            </w:r>
            <w:r w:rsidRPr="00506206">
              <w:rPr>
                <w:rFonts w:ascii="Arial" w:hAnsi="Arial" w:cs="Arial"/>
                <w:sz w:val="20"/>
                <w:szCs w:val="20"/>
              </w:rPr>
              <w:tab/>
              <w:t>0.000</w:t>
            </w:r>
          </w:p>
        </w:tc>
      </w:tr>
      <w:tr w:rsidR="00385CAF" w:rsidRPr="00506206" w14:paraId="40BF1022" w14:textId="77777777" w:rsidTr="003A76BC">
        <w:tc>
          <w:tcPr>
            <w:tcW w:w="7508" w:type="dxa"/>
          </w:tcPr>
          <w:p w14:paraId="0D4C3CA4" w14:textId="77777777" w:rsidR="00385CAF" w:rsidRPr="00506206" w:rsidRDefault="00385CAF" w:rsidP="003A76BC">
            <w:pPr>
              <w:spacing w:line="360" w:lineRule="auto"/>
              <w:jc w:val="both"/>
              <w:rPr>
                <w:rFonts w:ascii="Arial" w:hAnsi="Arial" w:cs="Arial"/>
                <w:sz w:val="20"/>
                <w:szCs w:val="20"/>
              </w:rPr>
            </w:pPr>
            <w:r w:rsidRPr="00506206">
              <w:rPr>
                <w:rFonts w:ascii="Arial" w:hAnsi="Arial" w:cs="Arial"/>
                <w:sz w:val="20"/>
                <w:szCs w:val="20"/>
              </w:rPr>
              <w:t>M2(-1)</w:t>
            </w:r>
            <w:r w:rsidRPr="00506206">
              <w:rPr>
                <w:rFonts w:ascii="Arial" w:hAnsi="Arial" w:cs="Arial"/>
                <w:sz w:val="20"/>
                <w:szCs w:val="20"/>
              </w:rPr>
              <w:tab/>
            </w:r>
            <w:r w:rsidRPr="00506206">
              <w:rPr>
                <w:rFonts w:ascii="Arial" w:hAnsi="Arial" w:cs="Arial"/>
                <w:sz w:val="20"/>
                <w:szCs w:val="20"/>
              </w:rPr>
              <w:tab/>
            </w:r>
            <w:r w:rsidRPr="00506206">
              <w:rPr>
                <w:rFonts w:ascii="Arial" w:hAnsi="Arial" w:cs="Arial"/>
                <w:sz w:val="20"/>
                <w:szCs w:val="20"/>
              </w:rPr>
              <w:tab/>
              <w:t xml:space="preserve">   0.08</w:t>
            </w:r>
            <w:r>
              <w:rPr>
                <w:rFonts w:ascii="Arial" w:hAnsi="Arial" w:cs="Arial"/>
                <w:sz w:val="20"/>
                <w:szCs w:val="20"/>
              </w:rPr>
              <w:t>8</w:t>
            </w:r>
            <w:r w:rsidRPr="00506206">
              <w:rPr>
                <w:rFonts w:ascii="Arial" w:hAnsi="Arial" w:cs="Arial"/>
                <w:sz w:val="20"/>
                <w:szCs w:val="20"/>
              </w:rPr>
              <w:t xml:space="preserve">   </w:t>
            </w:r>
            <w:r w:rsidRPr="00506206">
              <w:rPr>
                <w:rFonts w:ascii="Arial" w:hAnsi="Arial" w:cs="Arial"/>
                <w:sz w:val="20"/>
                <w:szCs w:val="20"/>
              </w:rPr>
              <w:tab/>
              <w:t>0.06</w:t>
            </w:r>
            <w:r>
              <w:rPr>
                <w:rFonts w:ascii="Arial" w:hAnsi="Arial" w:cs="Arial"/>
                <w:sz w:val="20"/>
                <w:szCs w:val="20"/>
              </w:rPr>
              <w:t xml:space="preserve">6 </w:t>
            </w:r>
            <w:r w:rsidRPr="00506206">
              <w:rPr>
                <w:rFonts w:ascii="Arial" w:hAnsi="Arial" w:cs="Arial"/>
                <w:sz w:val="20"/>
                <w:szCs w:val="20"/>
              </w:rPr>
              <w:t xml:space="preserve">               </w:t>
            </w:r>
            <w:r>
              <w:rPr>
                <w:rFonts w:ascii="Arial" w:hAnsi="Arial" w:cs="Arial"/>
                <w:sz w:val="20"/>
                <w:szCs w:val="20"/>
              </w:rPr>
              <w:t xml:space="preserve"> </w:t>
            </w:r>
            <w:r w:rsidRPr="00506206">
              <w:rPr>
                <w:rFonts w:ascii="Arial" w:hAnsi="Arial" w:cs="Arial"/>
                <w:sz w:val="20"/>
                <w:szCs w:val="20"/>
              </w:rPr>
              <w:t xml:space="preserve"> 1.33</w:t>
            </w:r>
            <w:r>
              <w:rPr>
                <w:rFonts w:ascii="Arial" w:hAnsi="Arial" w:cs="Arial"/>
                <w:sz w:val="20"/>
                <w:szCs w:val="20"/>
              </w:rPr>
              <w:t xml:space="preserve">2 </w:t>
            </w:r>
            <w:r w:rsidRPr="00506206">
              <w:rPr>
                <w:rFonts w:ascii="Arial" w:hAnsi="Arial" w:cs="Arial"/>
                <w:sz w:val="20"/>
                <w:szCs w:val="20"/>
              </w:rPr>
              <w:t xml:space="preserve">   </w:t>
            </w:r>
            <w:r w:rsidRPr="00506206">
              <w:rPr>
                <w:rFonts w:ascii="Arial" w:hAnsi="Arial" w:cs="Arial"/>
                <w:sz w:val="20"/>
                <w:szCs w:val="20"/>
              </w:rPr>
              <w:tab/>
              <w:t>0.</w:t>
            </w:r>
            <w:r>
              <w:rPr>
                <w:rFonts w:ascii="Arial" w:hAnsi="Arial" w:cs="Arial"/>
                <w:sz w:val="20"/>
                <w:szCs w:val="20"/>
              </w:rPr>
              <w:t>200</w:t>
            </w:r>
          </w:p>
        </w:tc>
      </w:tr>
      <w:tr w:rsidR="00385CAF" w:rsidRPr="00506206" w14:paraId="6DA3B721" w14:textId="77777777" w:rsidTr="003A76BC">
        <w:tc>
          <w:tcPr>
            <w:tcW w:w="7508" w:type="dxa"/>
          </w:tcPr>
          <w:p w14:paraId="7CDAB6CC" w14:textId="77777777" w:rsidR="00385CAF" w:rsidRPr="00506206" w:rsidRDefault="00385CAF" w:rsidP="003A76BC">
            <w:pPr>
              <w:spacing w:line="360" w:lineRule="auto"/>
              <w:jc w:val="both"/>
              <w:rPr>
                <w:rFonts w:ascii="Arial" w:hAnsi="Arial" w:cs="Arial"/>
                <w:sz w:val="20"/>
                <w:szCs w:val="20"/>
              </w:rPr>
            </w:pPr>
            <w:r w:rsidRPr="00506206">
              <w:rPr>
                <w:rFonts w:ascii="Arial" w:hAnsi="Arial" w:cs="Arial"/>
                <w:sz w:val="20"/>
                <w:szCs w:val="20"/>
              </w:rPr>
              <w:t>M2(-2)</w:t>
            </w:r>
            <w:r w:rsidRPr="00506206">
              <w:rPr>
                <w:rFonts w:ascii="Arial" w:hAnsi="Arial" w:cs="Arial"/>
                <w:sz w:val="20"/>
                <w:szCs w:val="20"/>
              </w:rPr>
              <w:tab/>
            </w:r>
            <w:r w:rsidRPr="00506206">
              <w:rPr>
                <w:rFonts w:ascii="Arial" w:hAnsi="Arial" w:cs="Arial"/>
                <w:sz w:val="20"/>
                <w:szCs w:val="20"/>
              </w:rPr>
              <w:tab/>
            </w:r>
            <w:r w:rsidRPr="00506206">
              <w:rPr>
                <w:rFonts w:ascii="Arial" w:hAnsi="Arial" w:cs="Arial"/>
                <w:sz w:val="20"/>
                <w:szCs w:val="20"/>
              </w:rPr>
              <w:tab/>
              <w:t xml:space="preserve">   0.05</w:t>
            </w:r>
            <w:r>
              <w:rPr>
                <w:rFonts w:ascii="Arial" w:hAnsi="Arial" w:cs="Arial"/>
                <w:sz w:val="20"/>
                <w:szCs w:val="20"/>
              </w:rPr>
              <w:t>9</w:t>
            </w:r>
            <w:r w:rsidRPr="00506206">
              <w:rPr>
                <w:rFonts w:ascii="Arial" w:hAnsi="Arial" w:cs="Arial"/>
                <w:sz w:val="20"/>
                <w:szCs w:val="20"/>
              </w:rPr>
              <w:t xml:space="preserve">   </w:t>
            </w:r>
            <w:r w:rsidRPr="00506206">
              <w:rPr>
                <w:rFonts w:ascii="Arial" w:hAnsi="Arial" w:cs="Arial"/>
                <w:sz w:val="20"/>
                <w:szCs w:val="20"/>
              </w:rPr>
              <w:tab/>
              <w:t xml:space="preserve">0.047    </w:t>
            </w:r>
            <w:r w:rsidRPr="00506206">
              <w:rPr>
                <w:rFonts w:ascii="Arial" w:hAnsi="Arial" w:cs="Arial"/>
                <w:sz w:val="20"/>
                <w:szCs w:val="20"/>
              </w:rPr>
              <w:tab/>
              <w:t xml:space="preserve"> 1.255     </w:t>
            </w:r>
            <w:r w:rsidRPr="00506206">
              <w:rPr>
                <w:rFonts w:ascii="Arial" w:hAnsi="Arial" w:cs="Arial"/>
                <w:sz w:val="20"/>
                <w:szCs w:val="20"/>
              </w:rPr>
              <w:tab/>
              <w:t>0.22</w:t>
            </w:r>
            <w:r>
              <w:rPr>
                <w:rFonts w:ascii="Arial" w:hAnsi="Arial" w:cs="Arial"/>
                <w:sz w:val="20"/>
                <w:szCs w:val="20"/>
              </w:rPr>
              <w:t>6</w:t>
            </w:r>
          </w:p>
        </w:tc>
      </w:tr>
      <w:tr w:rsidR="00385CAF" w:rsidRPr="00506206" w14:paraId="13426F8E" w14:textId="77777777" w:rsidTr="003A76BC">
        <w:tc>
          <w:tcPr>
            <w:tcW w:w="7508" w:type="dxa"/>
          </w:tcPr>
          <w:p w14:paraId="3CB5531E" w14:textId="77777777" w:rsidR="00385CAF" w:rsidRPr="00506206" w:rsidRDefault="00385CAF" w:rsidP="003A76BC">
            <w:pPr>
              <w:spacing w:line="360" w:lineRule="auto"/>
              <w:jc w:val="both"/>
              <w:rPr>
                <w:rFonts w:ascii="Arial" w:hAnsi="Arial" w:cs="Arial"/>
                <w:sz w:val="20"/>
                <w:szCs w:val="20"/>
              </w:rPr>
            </w:pPr>
            <w:r w:rsidRPr="00506206">
              <w:rPr>
                <w:rFonts w:ascii="Arial" w:hAnsi="Arial" w:cs="Arial"/>
                <w:sz w:val="20"/>
                <w:szCs w:val="20"/>
              </w:rPr>
              <w:t>RGDPG</w:t>
            </w:r>
            <w:r w:rsidRPr="00506206">
              <w:rPr>
                <w:rFonts w:ascii="Arial" w:hAnsi="Arial" w:cs="Arial"/>
                <w:sz w:val="20"/>
                <w:szCs w:val="20"/>
              </w:rPr>
              <w:tab/>
              <w:t xml:space="preserve">                -0.16</w:t>
            </w:r>
            <w:r>
              <w:rPr>
                <w:rFonts w:ascii="Arial" w:hAnsi="Arial" w:cs="Arial"/>
                <w:sz w:val="20"/>
                <w:szCs w:val="20"/>
              </w:rPr>
              <w:t>6</w:t>
            </w:r>
            <w:r w:rsidRPr="00506206">
              <w:rPr>
                <w:rFonts w:ascii="Arial" w:hAnsi="Arial" w:cs="Arial"/>
                <w:sz w:val="20"/>
                <w:szCs w:val="20"/>
              </w:rPr>
              <w:t xml:space="preserve"> </w:t>
            </w:r>
            <w:r w:rsidRPr="00506206">
              <w:rPr>
                <w:rFonts w:ascii="Arial" w:hAnsi="Arial" w:cs="Arial"/>
                <w:sz w:val="20"/>
                <w:szCs w:val="20"/>
              </w:rPr>
              <w:tab/>
              <w:t>0.39</w:t>
            </w:r>
            <w:r>
              <w:rPr>
                <w:rFonts w:ascii="Arial" w:hAnsi="Arial" w:cs="Arial"/>
                <w:sz w:val="20"/>
                <w:szCs w:val="20"/>
              </w:rPr>
              <w:t>7</w:t>
            </w:r>
            <w:r w:rsidRPr="00506206">
              <w:rPr>
                <w:rFonts w:ascii="Arial" w:hAnsi="Arial" w:cs="Arial"/>
                <w:sz w:val="20"/>
                <w:szCs w:val="20"/>
              </w:rPr>
              <w:t xml:space="preserve">     </w:t>
            </w:r>
            <w:r w:rsidRPr="00506206">
              <w:rPr>
                <w:rFonts w:ascii="Arial" w:hAnsi="Arial" w:cs="Arial"/>
                <w:sz w:val="20"/>
                <w:szCs w:val="20"/>
              </w:rPr>
              <w:tab/>
              <w:t>-0.41</w:t>
            </w:r>
            <w:r>
              <w:rPr>
                <w:rFonts w:ascii="Arial" w:hAnsi="Arial" w:cs="Arial"/>
                <w:sz w:val="20"/>
                <w:szCs w:val="20"/>
              </w:rPr>
              <w:t xml:space="preserve">8  </w:t>
            </w:r>
            <w:r w:rsidRPr="00506206">
              <w:rPr>
                <w:rFonts w:ascii="Arial" w:hAnsi="Arial" w:cs="Arial"/>
                <w:sz w:val="20"/>
                <w:szCs w:val="20"/>
              </w:rPr>
              <w:t xml:space="preserve">              0.681</w:t>
            </w:r>
          </w:p>
        </w:tc>
      </w:tr>
      <w:tr w:rsidR="00385CAF" w:rsidRPr="00506206" w14:paraId="00F308E4" w14:textId="77777777" w:rsidTr="003A76BC">
        <w:tc>
          <w:tcPr>
            <w:tcW w:w="7508" w:type="dxa"/>
          </w:tcPr>
          <w:p w14:paraId="76BE6343" w14:textId="77777777" w:rsidR="00385CAF" w:rsidRPr="00506206" w:rsidRDefault="00385CAF" w:rsidP="003A76BC">
            <w:pPr>
              <w:spacing w:line="360" w:lineRule="auto"/>
              <w:jc w:val="both"/>
              <w:rPr>
                <w:rFonts w:ascii="Arial" w:hAnsi="Arial" w:cs="Arial"/>
                <w:sz w:val="20"/>
                <w:szCs w:val="20"/>
              </w:rPr>
            </w:pPr>
            <w:proofErr w:type="gramStart"/>
            <w:r w:rsidRPr="00506206">
              <w:rPr>
                <w:rFonts w:ascii="Arial" w:hAnsi="Arial" w:cs="Arial"/>
                <w:sz w:val="20"/>
                <w:szCs w:val="20"/>
              </w:rPr>
              <w:t>RGDPG(</w:t>
            </w:r>
            <w:proofErr w:type="gramEnd"/>
            <w:r w:rsidRPr="00506206">
              <w:rPr>
                <w:rFonts w:ascii="Arial" w:hAnsi="Arial" w:cs="Arial"/>
                <w:sz w:val="20"/>
                <w:szCs w:val="20"/>
              </w:rPr>
              <w:t>-1)</w:t>
            </w:r>
            <w:r w:rsidRPr="00506206">
              <w:rPr>
                <w:rFonts w:ascii="Arial" w:hAnsi="Arial" w:cs="Arial"/>
                <w:sz w:val="20"/>
                <w:szCs w:val="20"/>
              </w:rPr>
              <w:tab/>
            </w:r>
            <w:r w:rsidRPr="00506206">
              <w:rPr>
                <w:rFonts w:ascii="Arial" w:hAnsi="Arial" w:cs="Arial"/>
                <w:sz w:val="20"/>
                <w:szCs w:val="20"/>
              </w:rPr>
              <w:tab/>
              <w:t xml:space="preserve">   0.634   </w:t>
            </w:r>
            <w:r w:rsidRPr="00506206">
              <w:rPr>
                <w:rFonts w:ascii="Arial" w:hAnsi="Arial" w:cs="Arial"/>
                <w:sz w:val="20"/>
                <w:szCs w:val="20"/>
              </w:rPr>
              <w:tab/>
              <w:t xml:space="preserve">0.159     </w:t>
            </w:r>
            <w:r w:rsidRPr="00506206">
              <w:rPr>
                <w:rFonts w:ascii="Arial" w:hAnsi="Arial" w:cs="Arial"/>
                <w:sz w:val="20"/>
                <w:szCs w:val="20"/>
              </w:rPr>
              <w:tab/>
              <w:t xml:space="preserve"> 3.984</w:t>
            </w:r>
            <w:r>
              <w:rPr>
                <w:rFonts w:ascii="Arial" w:hAnsi="Arial" w:cs="Arial"/>
                <w:sz w:val="20"/>
                <w:szCs w:val="20"/>
              </w:rPr>
              <w:t xml:space="preserve">  </w:t>
            </w:r>
            <w:r w:rsidRPr="00506206">
              <w:rPr>
                <w:rFonts w:ascii="Arial" w:hAnsi="Arial" w:cs="Arial"/>
                <w:sz w:val="20"/>
                <w:szCs w:val="20"/>
              </w:rPr>
              <w:t xml:space="preserve">              0.00</w:t>
            </w:r>
            <w:r>
              <w:rPr>
                <w:rFonts w:ascii="Arial" w:hAnsi="Arial" w:cs="Arial"/>
                <w:sz w:val="20"/>
                <w:szCs w:val="20"/>
              </w:rPr>
              <w:t>1</w:t>
            </w:r>
          </w:p>
        </w:tc>
      </w:tr>
      <w:tr w:rsidR="00385CAF" w:rsidRPr="00506206" w14:paraId="1170CB2C" w14:textId="77777777" w:rsidTr="003A76BC">
        <w:tc>
          <w:tcPr>
            <w:tcW w:w="7508" w:type="dxa"/>
          </w:tcPr>
          <w:p w14:paraId="06A8B693" w14:textId="77777777" w:rsidR="00385CAF" w:rsidRPr="00506206" w:rsidRDefault="00385CAF" w:rsidP="003A76BC">
            <w:pPr>
              <w:spacing w:line="360" w:lineRule="auto"/>
              <w:jc w:val="both"/>
              <w:rPr>
                <w:rFonts w:ascii="Arial" w:hAnsi="Arial" w:cs="Arial"/>
                <w:sz w:val="20"/>
                <w:szCs w:val="20"/>
              </w:rPr>
            </w:pPr>
            <w:proofErr w:type="gramStart"/>
            <w:r w:rsidRPr="00506206">
              <w:rPr>
                <w:rFonts w:ascii="Arial" w:hAnsi="Arial" w:cs="Arial"/>
                <w:sz w:val="20"/>
                <w:szCs w:val="20"/>
              </w:rPr>
              <w:t>RGDPG(</w:t>
            </w:r>
            <w:proofErr w:type="gramEnd"/>
            <w:r w:rsidRPr="00506206">
              <w:rPr>
                <w:rFonts w:ascii="Arial" w:hAnsi="Arial" w:cs="Arial"/>
                <w:sz w:val="20"/>
                <w:szCs w:val="20"/>
              </w:rPr>
              <w:t>-2)</w:t>
            </w:r>
            <w:r w:rsidRPr="00506206">
              <w:rPr>
                <w:rFonts w:ascii="Arial" w:hAnsi="Arial" w:cs="Arial"/>
                <w:sz w:val="20"/>
                <w:szCs w:val="20"/>
              </w:rPr>
              <w:tab/>
            </w:r>
            <w:r w:rsidRPr="00506206">
              <w:rPr>
                <w:rFonts w:ascii="Arial" w:hAnsi="Arial" w:cs="Arial"/>
                <w:sz w:val="20"/>
                <w:szCs w:val="20"/>
              </w:rPr>
              <w:tab/>
              <w:t xml:space="preserve">  -0.50</w:t>
            </w:r>
            <w:r>
              <w:rPr>
                <w:rFonts w:ascii="Arial" w:hAnsi="Arial" w:cs="Arial"/>
                <w:sz w:val="20"/>
                <w:szCs w:val="20"/>
              </w:rPr>
              <w:t>1</w:t>
            </w:r>
            <w:r w:rsidRPr="00506206">
              <w:rPr>
                <w:rFonts w:ascii="Arial" w:hAnsi="Arial" w:cs="Arial"/>
                <w:sz w:val="20"/>
                <w:szCs w:val="20"/>
              </w:rPr>
              <w:t xml:space="preserve">  </w:t>
            </w:r>
            <w:r w:rsidRPr="00506206">
              <w:rPr>
                <w:rFonts w:ascii="Arial" w:hAnsi="Arial" w:cs="Arial"/>
                <w:sz w:val="20"/>
                <w:szCs w:val="20"/>
              </w:rPr>
              <w:tab/>
              <w:t xml:space="preserve">0.232    </w:t>
            </w:r>
            <w:r w:rsidRPr="00506206">
              <w:rPr>
                <w:rFonts w:ascii="Arial" w:hAnsi="Arial" w:cs="Arial"/>
                <w:sz w:val="20"/>
                <w:szCs w:val="20"/>
              </w:rPr>
              <w:tab/>
              <w:t>-2.156</w:t>
            </w:r>
            <w:r>
              <w:rPr>
                <w:rFonts w:ascii="Arial" w:hAnsi="Arial" w:cs="Arial"/>
                <w:sz w:val="20"/>
                <w:szCs w:val="20"/>
              </w:rPr>
              <w:t xml:space="preserve">  </w:t>
            </w:r>
            <w:r w:rsidRPr="00506206">
              <w:rPr>
                <w:rFonts w:ascii="Arial" w:hAnsi="Arial" w:cs="Arial"/>
                <w:sz w:val="20"/>
                <w:szCs w:val="20"/>
              </w:rPr>
              <w:t xml:space="preserve">              0.04</w:t>
            </w:r>
            <w:r>
              <w:rPr>
                <w:rFonts w:ascii="Arial" w:hAnsi="Arial" w:cs="Arial"/>
                <w:sz w:val="20"/>
                <w:szCs w:val="20"/>
              </w:rPr>
              <w:t>5</w:t>
            </w:r>
          </w:p>
        </w:tc>
      </w:tr>
      <w:tr w:rsidR="00385CAF" w:rsidRPr="00506206" w14:paraId="39CF4EB4" w14:textId="77777777" w:rsidTr="003A76BC">
        <w:tc>
          <w:tcPr>
            <w:tcW w:w="7508" w:type="dxa"/>
          </w:tcPr>
          <w:p w14:paraId="2F2F0493" w14:textId="77777777" w:rsidR="00385CAF" w:rsidRPr="00506206" w:rsidRDefault="00385CAF" w:rsidP="003A76BC">
            <w:pPr>
              <w:spacing w:line="360" w:lineRule="auto"/>
              <w:jc w:val="both"/>
              <w:rPr>
                <w:rFonts w:ascii="Arial" w:hAnsi="Arial" w:cs="Arial"/>
                <w:sz w:val="20"/>
                <w:szCs w:val="20"/>
              </w:rPr>
            </w:pPr>
            <w:r w:rsidRPr="00506206">
              <w:rPr>
                <w:rFonts w:ascii="Arial" w:hAnsi="Arial" w:cs="Arial"/>
                <w:sz w:val="20"/>
                <w:szCs w:val="20"/>
              </w:rPr>
              <w:t>LR</w:t>
            </w:r>
            <w:r w:rsidRPr="00506206">
              <w:rPr>
                <w:rFonts w:ascii="Arial" w:hAnsi="Arial" w:cs="Arial"/>
                <w:sz w:val="20"/>
                <w:szCs w:val="20"/>
              </w:rPr>
              <w:tab/>
            </w:r>
            <w:r w:rsidRPr="00506206">
              <w:rPr>
                <w:rFonts w:ascii="Arial" w:hAnsi="Arial" w:cs="Arial"/>
                <w:sz w:val="20"/>
                <w:szCs w:val="20"/>
              </w:rPr>
              <w:tab/>
            </w:r>
            <w:r w:rsidRPr="00506206">
              <w:rPr>
                <w:rFonts w:ascii="Arial" w:hAnsi="Arial" w:cs="Arial"/>
                <w:sz w:val="20"/>
                <w:szCs w:val="20"/>
              </w:rPr>
              <w:tab/>
              <w:t xml:space="preserve">   0.118   </w:t>
            </w:r>
            <w:r w:rsidRPr="00506206">
              <w:rPr>
                <w:rFonts w:ascii="Arial" w:hAnsi="Arial" w:cs="Arial"/>
                <w:sz w:val="20"/>
                <w:szCs w:val="20"/>
              </w:rPr>
              <w:tab/>
              <w:t>0.62</w:t>
            </w:r>
            <w:r>
              <w:rPr>
                <w:rFonts w:ascii="Arial" w:hAnsi="Arial" w:cs="Arial"/>
                <w:sz w:val="20"/>
                <w:szCs w:val="20"/>
              </w:rPr>
              <w:t>9</w:t>
            </w:r>
            <w:r w:rsidRPr="00506206">
              <w:rPr>
                <w:rFonts w:ascii="Arial" w:hAnsi="Arial" w:cs="Arial"/>
                <w:sz w:val="20"/>
                <w:szCs w:val="20"/>
              </w:rPr>
              <w:t xml:space="preserve">         </w:t>
            </w:r>
            <w:r>
              <w:rPr>
                <w:rFonts w:ascii="Arial" w:hAnsi="Arial" w:cs="Arial"/>
                <w:sz w:val="20"/>
                <w:szCs w:val="20"/>
              </w:rPr>
              <w:t xml:space="preserve">  </w:t>
            </w:r>
            <w:r w:rsidRPr="00506206">
              <w:rPr>
                <w:rFonts w:ascii="Arial" w:hAnsi="Arial" w:cs="Arial"/>
                <w:sz w:val="20"/>
                <w:szCs w:val="20"/>
              </w:rPr>
              <w:t xml:space="preserve">       0.188</w:t>
            </w:r>
            <w:r>
              <w:rPr>
                <w:rFonts w:ascii="Arial" w:hAnsi="Arial" w:cs="Arial"/>
                <w:sz w:val="20"/>
                <w:szCs w:val="20"/>
              </w:rPr>
              <w:t xml:space="preserve">  </w:t>
            </w:r>
            <w:r w:rsidRPr="00506206">
              <w:rPr>
                <w:rFonts w:ascii="Arial" w:hAnsi="Arial" w:cs="Arial"/>
                <w:sz w:val="20"/>
                <w:szCs w:val="20"/>
              </w:rPr>
              <w:t xml:space="preserve">              0.853</w:t>
            </w:r>
          </w:p>
        </w:tc>
      </w:tr>
      <w:tr w:rsidR="00385CAF" w:rsidRPr="00506206" w14:paraId="05506191" w14:textId="77777777" w:rsidTr="003A76BC">
        <w:tc>
          <w:tcPr>
            <w:tcW w:w="7508" w:type="dxa"/>
          </w:tcPr>
          <w:p w14:paraId="610B307F" w14:textId="77777777" w:rsidR="00385CAF" w:rsidRPr="00506206" w:rsidRDefault="00385CAF" w:rsidP="003A76BC">
            <w:pPr>
              <w:spacing w:line="360" w:lineRule="auto"/>
              <w:jc w:val="both"/>
              <w:rPr>
                <w:rFonts w:ascii="Arial" w:hAnsi="Arial" w:cs="Arial"/>
                <w:sz w:val="20"/>
                <w:szCs w:val="20"/>
              </w:rPr>
            </w:pPr>
            <w:proofErr w:type="gramStart"/>
            <w:r w:rsidRPr="00506206">
              <w:rPr>
                <w:rFonts w:ascii="Arial" w:hAnsi="Arial" w:cs="Arial"/>
                <w:sz w:val="20"/>
                <w:szCs w:val="20"/>
              </w:rPr>
              <w:t>LR(</w:t>
            </w:r>
            <w:proofErr w:type="gramEnd"/>
            <w:r w:rsidRPr="00506206">
              <w:rPr>
                <w:rFonts w:ascii="Arial" w:hAnsi="Arial" w:cs="Arial"/>
                <w:sz w:val="20"/>
                <w:szCs w:val="20"/>
              </w:rPr>
              <w:t>-1)</w:t>
            </w:r>
            <w:r w:rsidRPr="00506206">
              <w:rPr>
                <w:rFonts w:ascii="Arial" w:hAnsi="Arial" w:cs="Arial"/>
                <w:sz w:val="20"/>
                <w:szCs w:val="20"/>
              </w:rPr>
              <w:tab/>
            </w:r>
            <w:r w:rsidRPr="00506206">
              <w:rPr>
                <w:rFonts w:ascii="Arial" w:hAnsi="Arial" w:cs="Arial"/>
                <w:sz w:val="20"/>
                <w:szCs w:val="20"/>
              </w:rPr>
              <w:tab/>
            </w:r>
            <w:r w:rsidRPr="00506206">
              <w:rPr>
                <w:rFonts w:ascii="Arial" w:hAnsi="Arial" w:cs="Arial"/>
                <w:sz w:val="20"/>
                <w:szCs w:val="20"/>
              </w:rPr>
              <w:tab/>
              <w:t xml:space="preserve">  -1.026  </w:t>
            </w:r>
            <w:r w:rsidRPr="00506206">
              <w:rPr>
                <w:rFonts w:ascii="Arial" w:hAnsi="Arial" w:cs="Arial"/>
                <w:sz w:val="20"/>
                <w:szCs w:val="20"/>
              </w:rPr>
              <w:tab/>
              <w:t xml:space="preserve">0.315     </w:t>
            </w:r>
            <w:r w:rsidRPr="00506206">
              <w:rPr>
                <w:rFonts w:ascii="Arial" w:hAnsi="Arial" w:cs="Arial"/>
                <w:sz w:val="20"/>
                <w:szCs w:val="20"/>
              </w:rPr>
              <w:tab/>
              <w:t xml:space="preserve">-3.255        </w:t>
            </w:r>
            <w:r>
              <w:rPr>
                <w:rFonts w:ascii="Arial" w:hAnsi="Arial" w:cs="Arial"/>
                <w:sz w:val="20"/>
                <w:szCs w:val="20"/>
              </w:rPr>
              <w:t xml:space="preserve">  </w:t>
            </w:r>
            <w:r w:rsidRPr="00506206">
              <w:rPr>
                <w:rFonts w:ascii="Arial" w:hAnsi="Arial" w:cs="Arial"/>
                <w:sz w:val="20"/>
                <w:szCs w:val="20"/>
              </w:rPr>
              <w:t xml:space="preserve">      0.004</w:t>
            </w:r>
          </w:p>
        </w:tc>
      </w:tr>
      <w:tr w:rsidR="00385CAF" w:rsidRPr="00506206" w14:paraId="7326856B" w14:textId="77777777" w:rsidTr="003A76BC">
        <w:tc>
          <w:tcPr>
            <w:tcW w:w="7508" w:type="dxa"/>
          </w:tcPr>
          <w:p w14:paraId="77BB9A97" w14:textId="77777777" w:rsidR="00385CAF" w:rsidRPr="00506206" w:rsidRDefault="00385CAF" w:rsidP="003A76BC">
            <w:pPr>
              <w:spacing w:line="360" w:lineRule="auto"/>
              <w:jc w:val="both"/>
              <w:rPr>
                <w:rFonts w:ascii="Arial" w:hAnsi="Arial" w:cs="Arial"/>
                <w:sz w:val="20"/>
                <w:szCs w:val="20"/>
              </w:rPr>
            </w:pPr>
            <w:proofErr w:type="gramStart"/>
            <w:r w:rsidRPr="00506206">
              <w:rPr>
                <w:rFonts w:ascii="Arial" w:hAnsi="Arial" w:cs="Arial"/>
                <w:sz w:val="20"/>
                <w:szCs w:val="20"/>
              </w:rPr>
              <w:t>LR(</w:t>
            </w:r>
            <w:proofErr w:type="gramEnd"/>
            <w:r w:rsidRPr="00506206">
              <w:rPr>
                <w:rFonts w:ascii="Arial" w:hAnsi="Arial" w:cs="Arial"/>
                <w:sz w:val="20"/>
                <w:szCs w:val="20"/>
              </w:rPr>
              <w:t>-2)</w:t>
            </w:r>
            <w:r w:rsidRPr="00506206">
              <w:rPr>
                <w:rFonts w:ascii="Arial" w:hAnsi="Arial" w:cs="Arial"/>
                <w:sz w:val="20"/>
                <w:szCs w:val="20"/>
              </w:rPr>
              <w:tab/>
            </w:r>
            <w:r w:rsidRPr="00506206">
              <w:rPr>
                <w:rFonts w:ascii="Arial" w:hAnsi="Arial" w:cs="Arial"/>
                <w:sz w:val="20"/>
                <w:szCs w:val="20"/>
              </w:rPr>
              <w:tab/>
            </w:r>
            <w:r w:rsidRPr="00506206">
              <w:rPr>
                <w:rFonts w:ascii="Arial" w:hAnsi="Arial" w:cs="Arial"/>
                <w:sz w:val="20"/>
                <w:szCs w:val="20"/>
              </w:rPr>
              <w:tab/>
              <w:t xml:space="preserve">   2.628   </w:t>
            </w:r>
            <w:r w:rsidRPr="00506206">
              <w:rPr>
                <w:rFonts w:ascii="Arial" w:hAnsi="Arial" w:cs="Arial"/>
                <w:sz w:val="20"/>
                <w:szCs w:val="20"/>
              </w:rPr>
              <w:tab/>
              <w:t xml:space="preserve">0.376     </w:t>
            </w:r>
            <w:r w:rsidRPr="00506206">
              <w:rPr>
                <w:rFonts w:ascii="Arial" w:hAnsi="Arial" w:cs="Arial"/>
                <w:sz w:val="20"/>
                <w:szCs w:val="20"/>
              </w:rPr>
              <w:tab/>
              <w:t xml:space="preserve"> 6.986</w:t>
            </w:r>
            <w:r>
              <w:rPr>
                <w:rFonts w:ascii="Arial" w:hAnsi="Arial" w:cs="Arial"/>
                <w:sz w:val="20"/>
                <w:szCs w:val="20"/>
              </w:rPr>
              <w:t xml:space="preserve">  </w:t>
            </w:r>
            <w:r w:rsidRPr="00506206">
              <w:rPr>
                <w:rFonts w:ascii="Arial" w:hAnsi="Arial" w:cs="Arial"/>
                <w:sz w:val="20"/>
                <w:szCs w:val="20"/>
              </w:rPr>
              <w:t xml:space="preserve">              0.000</w:t>
            </w:r>
          </w:p>
        </w:tc>
      </w:tr>
      <w:tr w:rsidR="00385CAF" w:rsidRPr="00506206" w14:paraId="56D4AE7F" w14:textId="77777777" w:rsidTr="003A76BC">
        <w:tc>
          <w:tcPr>
            <w:tcW w:w="7508" w:type="dxa"/>
          </w:tcPr>
          <w:p w14:paraId="27D94FBC" w14:textId="77777777" w:rsidR="00385CAF" w:rsidRPr="00506206" w:rsidRDefault="00385CAF" w:rsidP="003A76BC">
            <w:pPr>
              <w:spacing w:line="360" w:lineRule="auto"/>
              <w:jc w:val="both"/>
              <w:rPr>
                <w:rFonts w:ascii="Arial" w:hAnsi="Arial" w:cs="Arial"/>
                <w:sz w:val="20"/>
                <w:szCs w:val="20"/>
              </w:rPr>
            </w:pPr>
            <w:r w:rsidRPr="00506206">
              <w:rPr>
                <w:rFonts w:ascii="Arial" w:hAnsi="Arial" w:cs="Arial"/>
                <w:sz w:val="20"/>
                <w:szCs w:val="20"/>
              </w:rPr>
              <w:t>DUM86</w:t>
            </w:r>
            <w:r w:rsidRPr="00506206">
              <w:rPr>
                <w:rFonts w:ascii="Arial" w:hAnsi="Arial" w:cs="Arial"/>
                <w:sz w:val="20"/>
                <w:szCs w:val="20"/>
              </w:rPr>
              <w:tab/>
            </w:r>
            <w:r w:rsidRPr="00506206">
              <w:rPr>
                <w:rFonts w:ascii="Arial" w:hAnsi="Arial" w:cs="Arial"/>
                <w:sz w:val="20"/>
                <w:szCs w:val="20"/>
              </w:rPr>
              <w:tab/>
              <w:t xml:space="preserve">               -23.401</w:t>
            </w:r>
            <w:r w:rsidRPr="00506206">
              <w:rPr>
                <w:rFonts w:ascii="Arial" w:hAnsi="Arial" w:cs="Arial"/>
                <w:sz w:val="20"/>
                <w:szCs w:val="20"/>
              </w:rPr>
              <w:tab/>
              <w:t>6.346</w:t>
            </w:r>
            <w:r>
              <w:rPr>
                <w:rFonts w:ascii="Arial" w:hAnsi="Arial" w:cs="Arial"/>
                <w:sz w:val="20"/>
                <w:szCs w:val="20"/>
              </w:rPr>
              <w:t xml:space="preserve">  </w:t>
            </w:r>
            <w:r w:rsidRPr="00506206">
              <w:rPr>
                <w:rFonts w:ascii="Arial" w:hAnsi="Arial" w:cs="Arial"/>
                <w:sz w:val="20"/>
                <w:szCs w:val="20"/>
              </w:rPr>
              <w:t xml:space="preserve">               -3.68</w:t>
            </w:r>
            <w:r>
              <w:rPr>
                <w:rFonts w:ascii="Arial" w:hAnsi="Arial" w:cs="Arial"/>
                <w:sz w:val="20"/>
                <w:szCs w:val="20"/>
              </w:rPr>
              <w:t xml:space="preserve">8  </w:t>
            </w:r>
            <w:r w:rsidRPr="00506206">
              <w:rPr>
                <w:rFonts w:ascii="Arial" w:hAnsi="Arial" w:cs="Arial"/>
                <w:sz w:val="20"/>
                <w:szCs w:val="20"/>
              </w:rPr>
              <w:t xml:space="preserve">              0.00</w:t>
            </w:r>
            <w:r>
              <w:rPr>
                <w:rFonts w:ascii="Arial" w:hAnsi="Arial" w:cs="Arial"/>
                <w:sz w:val="20"/>
                <w:szCs w:val="20"/>
              </w:rPr>
              <w:t>2</w:t>
            </w:r>
          </w:p>
        </w:tc>
      </w:tr>
      <w:tr w:rsidR="00385CAF" w:rsidRPr="00506206" w14:paraId="349703E2" w14:textId="77777777" w:rsidTr="003A76BC">
        <w:tc>
          <w:tcPr>
            <w:tcW w:w="7508" w:type="dxa"/>
          </w:tcPr>
          <w:p w14:paraId="383717C0" w14:textId="77777777" w:rsidR="00385CAF" w:rsidRPr="00506206" w:rsidRDefault="00385CAF" w:rsidP="003A76BC">
            <w:pPr>
              <w:spacing w:line="360" w:lineRule="auto"/>
              <w:jc w:val="both"/>
              <w:rPr>
                <w:rFonts w:ascii="Arial" w:hAnsi="Arial" w:cs="Arial"/>
                <w:sz w:val="20"/>
                <w:szCs w:val="20"/>
              </w:rPr>
            </w:pPr>
            <w:r w:rsidRPr="00506206">
              <w:rPr>
                <w:rFonts w:ascii="Arial" w:hAnsi="Arial" w:cs="Arial"/>
                <w:sz w:val="20"/>
                <w:szCs w:val="20"/>
              </w:rPr>
              <w:t>DUM88</w:t>
            </w:r>
            <w:r w:rsidRPr="00506206">
              <w:rPr>
                <w:rFonts w:ascii="Arial" w:hAnsi="Arial" w:cs="Arial"/>
                <w:sz w:val="20"/>
                <w:szCs w:val="20"/>
              </w:rPr>
              <w:tab/>
              <w:t xml:space="preserve">               </w:t>
            </w:r>
            <w:r w:rsidRPr="00506206">
              <w:rPr>
                <w:rFonts w:ascii="Arial" w:hAnsi="Arial" w:cs="Arial"/>
                <w:sz w:val="20"/>
                <w:szCs w:val="20"/>
              </w:rPr>
              <w:tab/>
            </w:r>
            <w:r>
              <w:rPr>
                <w:rFonts w:ascii="Arial" w:hAnsi="Arial" w:cs="Arial"/>
                <w:sz w:val="20"/>
                <w:szCs w:val="20"/>
              </w:rPr>
              <w:t xml:space="preserve">  </w:t>
            </w:r>
            <w:r w:rsidRPr="00506206">
              <w:rPr>
                <w:rFonts w:ascii="Arial" w:hAnsi="Arial" w:cs="Arial"/>
                <w:sz w:val="20"/>
                <w:szCs w:val="20"/>
              </w:rPr>
              <w:t xml:space="preserve"> 47.62</w:t>
            </w:r>
            <w:r>
              <w:rPr>
                <w:rFonts w:ascii="Arial" w:hAnsi="Arial" w:cs="Arial"/>
                <w:sz w:val="20"/>
                <w:szCs w:val="20"/>
              </w:rPr>
              <w:t>3</w:t>
            </w:r>
            <w:r w:rsidRPr="00506206">
              <w:rPr>
                <w:rFonts w:ascii="Arial" w:hAnsi="Arial" w:cs="Arial"/>
                <w:sz w:val="20"/>
                <w:szCs w:val="20"/>
              </w:rPr>
              <w:t xml:space="preserve"> </w:t>
            </w:r>
            <w:r w:rsidRPr="00506206">
              <w:rPr>
                <w:rFonts w:ascii="Arial" w:hAnsi="Arial" w:cs="Arial"/>
                <w:sz w:val="20"/>
                <w:szCs w:val="20"/>
              </w:rPr>
              <w:tab/>
              <w:t xml:space="preserve">2.016    </w:t>
            </w:r>
            <w:r w:rsidRPr="00506206">
              <w:rPr>
                <w:rFonts w:ascii="Arial" w:hAnsi="Arial" w:cs="Arial"/>
                <w:sz w:val="20"/>
                <w:szCs w:val="20"/>
              </w:rPr>
              <w:tab/>
              <w:t>23.627</w:t>
            </w:r>
            <w:r>
              <w:rPr>
                <w:rFonts w:ascii="Arial" w:hAnsi="Arial" w:cs="Arial"/>
                <w:sz w:val="20"/>
                <w:szCs w:val="20"/>
              </w:rPr>
              <w:t xml:space="preserve">  </w:t>
            </w:r>
            <w:r w:rsidRPr="00506206">
              <w:rPr>
                <w:rFonts w:ascii="Arial" w:hAnsi="Arial" w:cs="Arial"/>
                <w:sz w:val="20"/>
                <w:szCs w:val="20"/>
              </w:rPr>
              <w:t xml:space="preserve">             0.000</w:t>
            </w:r>
          </w:p>
        </w:tc>
      </w:tr>
      <w:tr w:rsidR="00385CAF" w:rsidRPr="00506206" w14:paraId="6B2512DF" w14:textId="77777777" w:rsidTr="003A76BC">
        <w:tc>
          <w:tcPr>
            <w:tcW w:w="7508" w:type="dxa"/>
          </w:tcPr>
          <w:p w14:paraId="207CB47E" w14:textId="77777777" w:rsidR="00385CAF" w:rsidRPr="00506206" w:rsidRDefault="00385CAF" w:rsidP="003A76BC">
            <w:pPr>
              <w:spacing w:line="360" w:lineRule="auto"/>
              <w:jc w:val="both"/>
              <w:rPr>
                <w:rFonts w:ascii="Arial" w:hAnsi="Arial" w:cs="Arial"/>
                <w:sz w:val="20"/>
                <w:szCs w:val="20"/>
              </w:rPr>
            </w:pPr>
            <w:r w:rsidRPr="00506206">
              <w:rPr>
                <w:rFonts w:ascii="Arial" w:hAnsi="Arial" w:cs="Arial"/>
                <w:sz w:val="20"/>
                <w:szCs w:val="20"/>
              </w:rPr>
              <w:t>DUM90</w:t>
            </w:r>
            <w:r w:rsidRPr="00506206">
              <w:rPr>
                <w:rFonts w:ascii="Arial" w:hAnsi="Arial" w:cs="Arial"/>
                <w:sz w:val="20"/>
                <w:szCs w:val="20"/>
              </w:rPr>
              <w:tab/>
            </w:r>
            <w:r w:rsidRPr="00506206">
              <w:rPr>
                <w:rFonts w:ascii="Arial" w:hAnsi="Arial" w:cs="Arial"/>
                <w:sz w:val="20"/>
                <w:szCs w:val="20"/>
              </w:rPr>
              <w:tab/>
              <w:t xml:space="preserve">                 9.41</w:t>
            </w:r>
            <w:r>
              <w:rPr>
                <w:rFonts w:ascii="Arial" w:hAnsi="Arial" w:cs="Arial"/>
                <w:sz w:val="20"/>
                <w:szCs w:val="20"/>
              </w:rPr>
              <w:t>2</w:t>
            </w:r>
            <w:r w:rsidRPr="00506206">
              <w:rPr>
                <w:rFonts w:ascii="Arial" w:hAnsi="Arial" w:cs="Arial"/>
                <w:sz w:val="20"/>
                <w:szCs w:val="20"/>
              </w:rPr>
              <w:t xml:space="preserve">   </w:t>
            </w:r>
            <w:r w:rsidRPr="00506206">
              <w:rPr>
                <w:rFonts w:ascii="Arial" w:hAnsi="Arial" w:cs="Arial"/>
                <w:sz w:val="20"/>
                <w:szCs w:val="20"/>
              </w:rPr>
              <w:tab/>
              <w:t xml:space="preserve">6.747    </w:t>
            </w:r>
            <w:r w:rsidRPr="00506206">
              <w:rPr>
                <w:rFonts w:ascii="Arial" w:hAnsi="Arial" w:cs="Arial"/>
                <w:sz w:val="20"/>
                <w:szCs w:val="20"/>
              </w:rPr>
              <w:tab/>
              <w:t xml:space="preserve"> 1.39</w:t>
            </w:r>
            <w:r>
              <w:rPr>
                <w:rFonts w:ascii="Arial" w:hAnsi="Arial" w:cs="Arial"/>
                <w:sz w:val="20"/>
                <w:szCs w:val="20"/>
              </w:rPr>
              <w:t xml:space="preserve">5  </w:t>
            </w:r>
            <w:r w:rsidRPr="00506206">
              <w:rPr>
                <w:rFonts w:ascii="Arial" w:hAnsi="Arial" w:cs="Arial"/>
                <w:sz w:val="20"/>
                <w:szCs w:val="20"/>
              </w:rPr>
              <w:t xml:space="preserve">              0.180</w:t>
            </w:r>
          </w:p>
        </w:tc>
      </w:tr>
      <w:tr w:rsidR="00385CAF" w:rsidRPr="00506206" w14:paraId="4AB1F6BB" w14:textId="77777777" w:rsidTr="003A76BC">
        <w:tc>
          <w:tcPr>
            <w:tcW w:w="7508" w:type="dxa"/>
          </w:tcPr>
          <w:p w14:paraId="0851F1B2" w14:textId="77777777" w:rsidR="00385CAF" w:rsidRPr="00506206" w:rsidRDefault="00385CAF" w:rsidP="003A76BC">
            <w:pPr>
              <w:spacing w:line="360" w:lineRule="auto"/>
              <w:jc w:val="both"/>
              <w:rPr>
                <w:rFonts w:ascii="Arial" w:hAnsi="Arial" w:cs="Arial"/>
                <w:sz w:val="20"/>
                <w:szCs w:val="20"/>
              </w:rPr>
            </w:pPr>
            <w:r w:rsidRPr="00506206">
              <w:rPr>
                <w:rFonts w:ascii="Arial" w:hAnsi="Arial" w:cs="Arial"/>
                <w:sz w:val="20"/>
                <w:szCs w:val="20"/>
              </w:rPr>
              <w:t>DUM92</w:t>
            </w:r>
            <w:r w:rsidRPr="00506206">
              <w:rPr>
                <w:rFonts w:ascii="Arial" w:hAnsi="Arial" w:cs="Arial"/>
                <w:sz w:val="20"/>
                <w:szCs w:val="20"/>
              </w:rPr>
              <w:tab/>
            </w:r>
            <w:r w:rsidRPr="00506206">
              <w:rPr>
                <w:rFonts w:ascii="Arial" w:hAnsi="Arial" w:cs="Arial"/>
                <w:sz w:val="20"/>
                <w:szCs w:val="20"/>
              </w:rPr>
              <w:tab/>
              <w:t xml:space="preserve">               14.8</w:t>
            </w:r>
            <w:r>
              <w:rPr>
                <w:rFonts w:ascii="Arial" w:hAnsi="Arial" w:cs="Arial"/>
                <w:sz w:val="20"/>
                <w:szCs w:val="20"/>
              </w:rPr>
              <w:t>80</w:t>
            </w:r>
            <w:r w:rsidRPr="00506206">
              <w:rPr>
                <w:rFonts w:ascii="Arial" w:hAnsi="Arial" w:cs="Arial"/>
                <w:sz w:val="20"/>
                <w:szCs w:val="20"/>
              </w:rPr>
              <w:t xml:space="preserve"> </w:t>
            </w:r>
            <w:r w:rsidRPr="00506206">
              <w:rPr>
                <w:rFonts w:ascii="Arial" w:hAnsi="Arial" w:cs="Arial"/>
                <w:sz w:val="20"/>
                <w:szCs w:val="20"/>
              </w:rPr>
              <w:tab/>
              <w:t>3.4</w:t>
            </w:r>
            <w:r>
              <w:rPr>
                <w:rFonts w:ascii="Arial" w:hAnsi="Arial" w:cs="Arial"/>
                <w:sz w:val="20"/>
                <w:szCs w:val="20"/>
              </w:rPr>
              <w:t>70</w:t>
            </w:r>
            <w:r w:rsidRPr="00506206">
              <w:rPr>
                <w:rFonts w:ascii="Arial" w:hAnsi="Arial" w:cs="Arial"/>
                <w:sz w:val="20"/>
                <w:szCs w:val="20"/>
              </w:rPr>
              <w:t xml:space="preserve">         </w:t>
            </w:r>
            <w:r>
              <w:rPr>
                <w:rFonts w:ascii="Arial" w:hAnsi="Arial" w:cs="Arial"/>
                <w:sz w:val="20"/>
                <w:szCs w:val="20"/>
              </w:rPr>
              <w:t xml:space="preserve">  </w:t>
            </w:r>
            <w:r w:rsidRPr="00506206">
              <w:rPr>
                <w:rFonts w:ascii="Arial" w:hAnsi="Arial" w:cs="Arial"/>
                <w:sz w:val="20"/>
                <w:szCs w:val="20"/>
              </w:rPr>
              <w:t xml:space="preserve">       4.28</w:t>
            </w:r>
            <w:r>
              <w:rPr>
                <w:rFonts w:ascii="Arial" w:hAnsi="Arial" w:cs="Arial"/>
                <w:sz w:val="20"/>
                <w:szCs w:val="20"/>
              </w:rPr>
              <w:t xml:space="preserve">9  </w:t>
            </w:r>
            <w:r w:rsidRPr="00506206">
              <w:rPr>
                <w:rFonts w:ascii="Arial" w:hAnsi="Arial" w:cs="Arial"/>
                <w:sz w:val="20"/>
                <w:szCs w:val="20"/>
              </w:rPr>
              <w:t xml:space="preserve">              0.000</w:t>
            </w:r>
          </w:p>
        </w:tc>
      </w:tr>
      <w:tr w:rsidR="00385CAF" w:rsidRPr="00506206" w14:paraId="1CAC4426" w14:textId="77777777" w:rsidTr="003A76BC">
        <w:tc>
          <w:tcPr>
            <w:tcW w:w="7508" w:type="dxa"/>
          </w:tcPr>
          <w:p w14:paraId="28533F33" w14:textId="77777777" w:rsidR="00385CAF" w:rsidRPr="00506206" w:rsidRDefault="00385CAF" w:rsidP="003A76BC">
            <w:pPr>
              <w:spacing w:line="360" w:lineRule="auto"/>
              <w:jc w:val="both"/>
              <w:rPr>
                <w:rFonts w:ascii="Arial" w:hAnsi="Arial" w:cs="Arial"/>
                <w:sz w:val="20"/>
                <w:szCs w:val="20"/>
              </w:rPr>
            </w:pPr>
            <w:r w:rsidRPr="00506206">
              <w:rPr>
                <w:rFonts w:ascii="Arial" w:hAnsi="Arial" w:cs="Arial"/>
                <w:sz w:val="20"/>
                <w:szCs w:val="20"/>
              </w:rPr>
              <w:t>C</w:t>
            </w:r>
            <w:r w:rsidRPr="00506206">
              <w:rPr>
                <w:rFonts w:ascii="Arial" w:hAnsi="Arial" w:cs="Arial"/>
                <w:sz w:val="20"/>
                <w:szCs w:val="20"/>
              </w:rPr>
              <w:tab/>
            </w:r>
            <w:r w:rsidRPr="00506206">
              <w:rPr>
                <w:rFonts w:ascii="Arial" w:hAnsi="Arial" w:cs="Arial"/>
                <w:sz w:val="20"/>
                <w:szCs w:val="20"/>
              </w:rPr>
              <w:tab/>
            </w:r>
            <w:r w:rsidRPr="00506206">
              <w:rPr>
                <w:rFonts w:ascii="Arial" w:hAnsi="Arial" w:cs="Arial"/>
                <w:sz w:val="20"/>
                <w:szCs w:val="20"/>
              </w:rPr>
              <w:tab/>
              <w:t>-42.87</w:t>
            </w:r>
            <w:r>
              <w:rPr>
                <w:rFonts w:ascii="Arial" w:hAnsi="Arial" w:cs="Arial"/>
                <w:sz w:val="20"/>
                <w:szCs w:val="20"/>
              </w:rPr>
              <w:t>1</w:t>
            </w:r>
            <w:r w:rsidRPr="00506206">
              <w:rPr>
                <w:rFonts w:ascii="Arial" w:hAnsi="Arial" w:cs="Arial"/>
                <w:sz w:val="20"/>
                <w:szCs w:val="20"/>
              </w:rPr>
              <w:t xml:space="preserve"> </w:t>
            </w:r>
            <w:r w:rsidRPr="00506206">
              <w:rPr>
                <w:rFonts w:ascii="Arial" w:hAnsi="Arial" w:cs="Arial"/>
                <w:sz w:val="20"/>
                <w:szCs w:val="20"/>
              </w:rPr>
              <w:tab/>
              <w:t xml:space="preserve">4.614    </w:t>
            </w:r>
            <w:r w:rsidRPr="00506206">
              <w:rPr>
                <w:rFonts w:ascii="Arial" w:hAnsi="Arial" w:cs="Arial"/>
                <w:sz w:val="20"/>
                <w:szCs w:val="20"/>
              </w:rPr>
              <w:tab/>
              <w:t>-9.29</w:t>
            </w:r>
            <w:r>
              <w:rPr>
                <w:rFonts w:ascii="Arial" w:hAnsi="Arial" w:cs="Arial"/>
                <w:sz w:val="20"/>
                <w:szCs w:val="20"/>
              </w:rPr>
              <w:t xml:space="preserve">1  </w:t>
            </w:r>
            <w:r w:rsidRPr="00506206">
              <w:rPr>
                <w:rFonts w:ascii="Arial" w:hAnsi="Arial" w:cs="Arial"/>
                <w:sz w:val="20"/>
                <w:szCs w:val="20"/>
              </w:rPr>
              <w:t xml:space="preserve">              0.000</w:t>
            </w:r>
          </w:p>
        </w:tc>
      </w:tr>
    </w:tbl>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385CAF" w:rsidRPr="00506206" w14:paraId="408D3384" w14:textId="77777777" w:rsidTr="003A76BC">
        <w:trPr>
          <w:trHeight w:val="225"/>
        </w:trPr>
        <w:tc>
          <w:tcPr>
            <w:tcW w:w="2017" w:type="dxa"/>
            <w:vAlign w:val="bottom"/>
          </w:tcPr>
          <w:p w14:paraId="17BF1743" w14:textId="77777777" w:rsidR="00385CAF" w:rsidRPr="00506206" w:rsidRDefault="00385CAF" w:rsidP="003A76BC">
            <w:pPr>
              <w:autoSpaceDE w:val="0"/>
              <w:autoSpaceDN w:val="0"/>
              <w:adjustRightInd w:val="0"/>
              <w:rPr>
                <w:rFonts w:ascii="Arial" w:hAnsi="Arial" w:cs="Arial"/>
                <w:color w:val="000000"/>
              </w:rPr>
            </w:pPr>
            <w:r w:rsidRPr="00506206">
              <w:rPr>
                <w:rFonts w:ascii="Arial" w:hAnsi="Arial" w:cs="Arial"/>
                <w:color w:val="000000"/>
              </w:rPr>
              <w:t>R-squared</w:t>
            </w:r>
          </w:p>
        </w:tc>
        <w:tc>
          <w:tcPr>
            <w:tcW w:w="1103" w:type="dxa"/>
            <w:vAlign w:val="bottom"/>
          </w:tcPr>
          <w:p w14:paraId="18EC1453" w14:textId="77777777" w:rsidR="00385CAF" w:rsidRPr="00506206" w:rsidRDefault="00385CAF" w:rsidP="003A76BC">
            <w:pPr>
              <w:autoSpaceDE w:val="0"/>
              <w:autoSpaceDN w:val="0"/>
              <w:adjustRightInd w:val="0"/>
              <w:ind w:right="10"/>
              <w:jc w:val="right"/>
              <w:rPr>
                <w:rFonts w:ascii="Arial" w:hAnsi="Arial" w:cs="Arial"/>
                <w:color w:val="000000"/>
              </w:rPr>
            </w:pPr>
            <w:r w:rsidRPr="00506206">
              <w:rPr>
                <w:rFonts w:ascii="Arial" w:hAnsi="Arial" w:cs="Arial"/>
                <w:color w:val="000000"/>
              </w:rPr>
              <w:t>0.982</w:t>
            </w:r>
          </w:p>
        </w:tc>
        <w:tc>
          <w:tcPr>
            <w:tcW w:w="2415" w:type="dxa"/>
            <w:gridSpan w:val="2"/>
            <w:vAlign w:val="bottom"/>
          </w:tcPr>
          <w:p w14:paraId="33D4635C" w14:textId="77777777" w:rsidR="00385CAF" w:rsidRPr="00506206" w:rsidRDefault="00385CAF" w:rsidP="003A76BC">
            <w:pPr>
              <w:autoSpaceDE w:val="0"/>
              <w:autoSpaceDN w:val="0"/>
              <w:adjustRightInd w:val="0"/>
              <w:ind w:right="10"/>
              <w:rPr>
                <w:rFonts w:ascii="Arial" w:hAnsi="Arial" w:cs="Arial"/>
                <w:color w:val="000000"/>
              </w:rPr>
            </w:pPr>
            <w:r w:rsidRPr="00506206">
              <w:rPr>
                <w:rFonts w:ascii="Arial" w:hAnsi="Arial" w:cs="Arial"/>
                <w:color w:val="000000"/>
              </w:rPr>
              <w:t>    Mean dependent var</w:t>
            </w:r>
          </w:p>
        </w:tc>
        <w:tc>
          <w:tcPr>
            <w:tcW w:w="997" w:type="dxa"/>
            <w:vAlign w:val="bottom"/>
          </w:tcPr>
          <w:p w14:paraId="75F48487" w14:textId="77777777" w:rsidR="00385CAF" w:rsidRPr="00506206" w:rsidRDefault="00385CAF" w:rsidP="003A76BC">
            <w:pPr>
              <w:autoSpaceDE w:val="0"/>
              <w:autoSpaceDN w:val="0"/>
              <w:adjustRightInd w:val="0"/>
              <w:ind w:right="10"/>
              <w:jc w:val="right"/>
              <w:rPr>
                <w:rFonts w:ascii="Arial" w:hAnsi="Arial" w:cs="Arial"/>
                <w:color w:val="000000"/>
              </w:rPr>
            </w:pPr>
            <w:r w:rsidRPr="00506206">
              <w:rPr>
                <w:rFonts w:ascii="Arial" w:hAnsi="Arial" w:cs="Arial"/>
                <w:color w:val="000000"/>
              </w:rPr>
              <w:t>19.36</w:t>
            </w:r>
            <w:r>
              <w:rPr>
                <w:rFonts w:ascii="Arial" w:hAnsi="Arial" w:cs="Arial"/>
                <w:color w:val="000000"/>
              </w:rPr>
              <w:t>9</w:t>
            </w:r>
          </w:p>
        </w:tc>
      </w:tr>
      <w:tr w:rsidR="00385CAF" w:rsidRPr="00506206" w14:paraId="0959DC00" w14:textId="77777777" w:rsidTr="003A76BC">
        <w:trPr>
          <w:trHeight w:val="225"/>
        </w:trPr>
        <w:tc>
          <w:tcPr>
            <w:tcW w:w="2017" w:type="dxa"/>
            <w:vAlign w:val="bottom"/>
          </w:tcPr>
          <w:p w14:paraId="03FE2E31" w14:textId="77777777" w:rsidR="00385CAF" w:rsidRPr="00506206" w:rsidRDefault="00385CAF" w:rsidP="003A76BC">
            <w:pPr>
              <w:autoSpaceDE w:val="0"/>
              <w:autoSpaceDN w:val="0"/>
              <w:adjustRightInd w:val="0"/>
              <w:rPr>
                <w:rFonts w:ascii="Arial" w:hAnsi="Arial" w:cs="Arial"/>
                <w:color w:val="000000"/>
              </w:rPr>
            </w:pPr>
            <w:r w:rsidRPr="00506206">
              <w:rPr>
                <w:rFonts w:ascii="Arial" w:hAnsi="Arial" w:cs="Arial"/>
                <w:color w:val="000000"/>
              </w:rPr>
              <w:t>Adjusted R-squared</w:t>
            </w:r>
          </w:p>
        </w:tc>
        <w:tc>
          <w:tcPr>
            <w:tcW w:w="1103" w:type="dxa"/>
            <w:vAlign w:val="bottom"/>
          </w:tcPr>
          <w:p w14:paraId="493EBC1B" w14:textId="77777777" w:rsidR="00385CAF" w:rsidRPr="00506206" w:rsidRDefault="00385CAF" w:rsidP="003A76BC">
            <w:pPr>
              <w:autoSpaceDE w:val="0"/>
              <w:autoSpaceDN w:val="0"/>
              <w:adjustRightInd w:val="0"/>
              <w:ind w:right="10"/>
              <w:jc w:val="right"/>
              <w:rPr>
                <w:rFonts w:ascii="Arial" w:hAnsi="Arial" w:cs="Arial"/>
                <w:color w:val="000000"/>
              </w:rPr>
            </w:pPr>
            <w:r w:rsidRPr="00506206">
              <w:rPr>
                <w:rFonts w:ascii="Arial" w:hAnsi="Arial" w:cs="Arial"/>
                <w:color w:val="000000"/>
              </w:rPr>
              <w:t>0.95</w:t>
            </w:r>
            <w:r>
              <w:rPr>
                <w:rFonts w:ascii="Arial" w:hAnsi="Arial" w:cs="Arial"/>
                <w:color w:val="000000"/>
              </w:rPr>
              <w:t>9</w:t>
            </w:r>
          </w:p>
        </w:tc>
        <w:tc>
          <w:tcPr>
            <w:tcW w:w="2415" w:type="dxa"/>
            <w:gridSpan w:val="2"/>
            <w:vAlign w:val="bottom"/>
          </w:tcPr>
          <w:p w14:paraId="06C33B64" w14:textId="77777777" w:rsidR="00385CAF" w:rsidRPr="00506206" w:rsidRDefault="00385CAF" w:rsidP="003A76BC">
            <w:pPr>
              <w:autoSpaceDE w:val="0"/>
              <w:autoSpaceDN w:val="0"/>
              <w:adjustRightInd w:val="0"/>
              <w:ind w:right="10"/>
              <w:rPr>
                <w:rFonts w:ascii="Arial" w:hAnsi="Arial" w:cs="Arial"/>
                <w:color w:val="000000"/>
              </w:rPr>
            </w:pPr>
            <w:r w:rsidRPr="00506206">
              <w:rPr>
                <w:rFonts w:ascii="Arial" w:hAnsi="Arial" w:cs="Arial"/>
                <w:color w:val="000000"/>
              </w:rPr>
              <w:t>    S.D. dependent var</w:t>
            </w:r>
          </w:p>
        </w:tc>
        <w:tc>
          <w:tcPr>
            <w:tcW w:w="997" w:type="dxa"/>
            <w:vAlign w:val="bottom"/>
          </w:tcPr>
          <w:p w14:paraId="0ACA2E2B" w14:textId="77777777" w:rsidR="00385CAF" w:rsidRPr="00506206" w:rsidRDefault="00385CAF" w:rsidP="003A76BC">
            <w:pPr>
              <w:autoSpaceDE w:val="0"/>
              <w:autoSpaceDN w:val="0"/>
              <w:adjustRightInd w:val="0"/>
              <w:ind w:right="10"/>
              <w:jc w:val="right"/>
              <w:rPr>
                <w:rFonts w:ascii="Arial" w:hAnsi="Arial" w:cs="Arial"/>
                <w:color w:val="000000"/>
              </w:rPr>
            </w:pPr>
            <w:r w:rsidRPr="00506206">
              <w:rPr>
                <w:rFonts w:ascii="Arial" w:hAnsi="Arial" w:cs="Arial"/>
                <w:color w:val="000000"/>
              </w:rPr>
              <w:t>16.422</w:t>
            </w:r>
          </w:p>
        </w:tc>
      </w:tr>
      <w:tr w:rsidR="00385CAF" w:rsidRPr="00506206" w14:paraId="2B3B4A07" w14:textId="77777777" w:rsidTr="003A76BC">
        <w:trPr>
          <w:trHeight w:val="225"/>
        </w:trPr>
        <w:tc>
          <w:tcPr>
            <w:tcW w:w="2017" w:type="dxa"/>
            <w:vAlign w:val="bottom"/>
          </w:tcPr>
          <w:p w14:paraId="57599E33" w14:textId="77777777" w:rsidR="00385CAF" w:rsidRPr="00506206" w:rsidRDefault="00385CAF" w:rsidP="003A76BC">
            <w:pPr>
              <w:autoSpaceDE w:val="0"/>
              <w:autoSpaceDN w:val="0"/>
              <w:adjustRightInd w:val="0"/>
              <w:rPr>
                <w:rFonts w:ascii="Arial" w:hAnsi="Arial" w:cs="Arial"/>
                <w:color w:val="000000"/>
              </w:rPr>
            </w:pPr>
            <w:r w:rsidRPr="00506206">
              <w:rPr>
                <w:rFonts w:ascii="Arial" w:hAnsi="Arial" w:cs="Arial"/>
                <w:color w:val="000000"/>
              </w:rPr>
              <w:t>S.E. of regression</w:t>
            </w:r>
          </w:p>
        </w:tc>
        <w:tc>
          <w:tcPr>
            <w:tcW w:w="1103" w:type="dxa"/>
            <w:vAlign w:val="bottom"/>
          </w:tcPr>
          <w:p w14:paraId="2416FF31" w14:textId="77777777" w:rsidR="00385CAF" w:rsidRPr="00506206" w:rsidRDefault="00385CAF" w:rsidP="003A76BC">
            <w:pPr>
              <w:autoSpaceDE w:val="0"/>
              <w:autoSpaceDN w:val="0"/>
              <w:adjustRightInd w:val="0"/>
              <w:ind w:right="10"/>
              <w:jc w:val="right"/>
              <w:rPr>
                <w:rFonts w:ascii="Arial" w:hAnsi="Arial" w:cs="Arial"/>
                <w:color w:val="000000"/>
              </w:rPr>
            </w:pPr>
            <w:r w:rsidRPr="00506206">
              <w:rPr>
                <w:rFonts w:ascii="Arial" w:hAnsi="Arial" w:cs="Arial"/>
                <w:color w:val="000000"/>
              </w:rPr>
              <w:t>3.329</w:t>
            </w:r>
          </w:p>
        </w:tc>
        <w:tc>
          <w:tcPr>
            <w:tcW w:w="2415" w:type="dxa"/>
            <w:gridSpan w:val="2"/>
            <w:vAlign w:val="bottom"/>
          </w:tcPr>
          <w:p w14:paraId="2148CD86" w14:textId="77777777" w:rsidR="00385CAF" w:rsidRPr="00506206" w:rsidRDefault="00385CAF" w:rsidP="003A76BC">
            <w:pPr>
              <w:autoSpaceDE w:val="0"/>
              <w:autoSpaceDN w:val="0"/>
              <w:adjustRightInd w:val="0"/>
              <w:ind w:right="10"/>
              <w:rPr>
                <w:rFonts w:ascii="Arial" w:hAnsi="Arial" w:cs="Arial"/>
                <w:color w:val="000000"/>
              </w:rPr>
            </w:pPr>
            <w:r w:rsidRPr="00506206">
              <w:rPr>
                <w:rFonts w:ascii="Arial" w:hAnsi="Arial" w:cs="Arial"/>
                <w:color w:val="000000"/>
              </w:rPr>
              <w:t>    Akaike info criterion</w:t>
            </w:r>
          </w:p>
        </w:tc>
        <w:tc>
          <w:tcPr>
            <w:tcW w:w="997" w:type="dxa"/>
            <w:vAlign w:val="bottom"/>
          </w:tcPr>
          <w:p w14:paraId="0101558A" w14:textId="77777777" w:rsidR="00385CAF" w:rsidRPr="00506206" w:rsidRDefault="00385CAF" w:rsidP="003A76BC">
            <w:pPr>
              <w:autoSpaceDE w:val="0"/>
              <w:autoSpaceDN w:val="0"/>
              <w:adjustRightInd w:val="0"/>
              <w:ind w:right="10"/>
              <w:jc w:val="right"/>
              <w:rPr>
                <w:rFonts w:ascii="Arial" w:hAnsi="Arial" w:cs="Arial"/>
                <w:color w:val="000000"/>
              </w:rPr>
            </w:pPr>
            <w:r w:rsidRPr="00506206">
              <w:rPr>
                <w:rFonts w:ascii="Arial" w:hAnsi="Arial" w:cs="Arial"/>
                <w:color w:val="000000"/>
              </w:rPr>
              <w:t>5.535</w:t>
            </w:r>
          </w:p>
        </w:tc>
      </w:tr>
      <w:tr w:rsidR="00385CAF" w:rsidRPr="00506206" w14:paraId="03FD762C" w14:textId="77777777" w:rsidTr="003A76BC">
        <w:trPr>
          <w:trHeight w:val="225"/>
        </w:trPr>
        <w:tc>
          <w:tcPr>
            <w:tcW w:w="2017" w:type="dxa"/>
            <w:vAlign w:val="bottom"/>
          </w:tcPr>
          <w:p w14:paraId="1C93BF8B" w14:textId="77777777" w:rsidR="00385CAF" w:rsidRPr="00506206" w:rsidRDefault="00385CAF" w:rsidP="003A76BC">
            <w:pPr>
              <w:autoSpaceDE w:val="0"/>
              <w:autoSpaceDN w:val="0"/>
              <w:adjustRightInd w:val="0"/>
              <w:rPr>
                <w:rFonts w:ascii="Arial" w:hAnsi="Arial" w:cs="Arial"/>
                <w:color w:val="000000"/>
              </w:rPr>
            </w:pPr>
            <w:r w:rsidRPr="00506206">
              <w:rPr>
                <w:rFonts w:ascii="Arial" w:hAnsi="Arial" w:cs="Arial"/>
                <w:color w:val="000000"/>
              </w:rPr>
              <w:t xml:space="preserve">Sum squared </w:t>
            </w:r>
            <w:proofErr w:type="spellStart"/>
            <w:r w:rsidRPr="00506206">
              <w:rPr>
                <w:rFonts w:ascii="Arial" w:hAnsi="Arial" w:cs="Arial"/>
                <w:color w:val="000000"/>
              </w:rPr>
              <w:t>resid</w:t>
            </w:r>
            <w:proofErr w:type="spellEnd"/>
          </w:p>
        </w:tc>
        <w:tc>
          <w:tcPr>
            <w:tcW w:w="1103" w:type="dxa"/>
            <w:vAlign w:val="bottom"/>
          </w:tcPr>
          <w:p w14:paraId="6B280408" w14:textId="77777777" w:rsidR="00385CAF" w:rsidRPr="00506206" w:rsidRDefault="00385CAF" w:rsidP="003A76BC">
            <w:pPr>
              <w:autoSpaceDE w:val="0"/>
              <w:autoSpaceDN w:val="0"/>
              <w:adjustRightInd w:val="0"/>
              <w:ind w:right="10"/>
              <w:jc w:val="right"/>
              <w:rPr>
                <w:rFonts w:ascii="Arial" w:hAnsi="Arial" w:cs="Arial"/>
                <w:color w:val="000000"/>
              </w:rPr>
            </w:pPr>
            <w:r w:rsidRPr="00506206">
              <w:rPr>
                <w:rFonts w:ascii="Arial" w:hAnsi="Arial" w:cs="Arial"/>
                <w:color w:val="000000"/>
              </w:rPr>
              <w:t>199.503</w:t>
            </w:r>
          </w:p>
        </w:tc>
        <w:tc>
          <w:tcPr>
            <w:tcW w:w="2415" w:type="dxa"/>
            <w:gridSpan w:val="2"/>
            <w:vAlign w:val="bottom"/>
          </w:tcPr>
          <w:p w14:paraId="792FA8DE" w14:textId="77777777" w:rsidR="00385CAF" w:rsidRPr="00506206" w:rsidRDefault="00385CAF" w:rsidP="003A76BC">
            <w:pPr>
              <w:autoSpaceDE w:val="0"/>
              <w:autoSpaceDN w:val="0"/>
              <w:adjustRightInd w:val="0"/>
              <w:ind w:right="10"/>
              <w:rPr>
                <w:rFonts w:ascii="Arial" w:hAnsi="Arial" w:cs="Arial"/>
                <w:color w:val="000000"/>
              </w:rPr>
            </w:pPr>
            <w:r w:rsidRPr="00506206">
              <w:rPr>
                <w:rFonts w:ascii="Arial" w:hAnsi="Arial" w:cs="Arial"/>
                <w:color w:val="000000"/>
              </w:rPr>
              <w:t>    Schwarz criterion</w:t>
            </w:r>
          </w:p>
        </w:tc>
        <w:tc>
          <w:tcPr>
            <w:tcW w:w="997" w:type="dxa"/>
            <w:vAlign w:val="bottom"/>
          </w:tcPr>
          <w:p w14:paraId="346E3BEB" w14:textId="77777777" w:rsidR="00385CAF" w:rsidRPr="00506206" w:rsidRDefault="00385CAF" w:rsidP="003A76BC">
            <w:pPr>
              <w:autoSpaceDE w:val="0"/>
              <w:autoSpaceDN w:val="0"/>
              <w:adjustRightInd w:val="0"/>
              <w:ind w:right="10"/>
              <w:jc w:val="right"/>
              <w:rPr>
                <w:rFonts w:ascii="Arial" w:hAnsi="Arial" w:cs="Arial"/>
                <w:color w:val="000000"/>
              </w:rPr>
            </w:pPr>
            <w:r w:rsidRPr="00506206">
              <w:rPr>
                <w:rFonts w:ascii="Arial" w:hAnsi="Arial" w:cs="Arial"/>
                <w:color w:val="000000"/>
              </w:rPr>
              <w:t>6.559</w:t>
            </w:r>
          </w:p>
        </w:tc>
      </w:tr>
      <w:tr w:rsidR="00385CAF" w:rsidRPr="00506206" w14:paraId="2E60499C" w14:textId="77777777" w:rsidTr="003A76BC">
        <w:trPr>
          <w:trHeight w:val="225"/>
        </w:trPr>
        <w:tc>
          <w:tcPr>
            <w:tcW w:w="2017" w:type="dxa"/>
            <w:vAlign w:val="bottom"/>
          </w:tcPr>
          <w:p w14:paraId="2DAB3A9F" w14:textId="77777777" w:rsidR="00385CAF" w:rsidRPr="00506206" w:rsidRDefault="00385CAF" w:rsidP="003A76BC">
            <w:pPr>
              <w:autoSpaceDE w:val="0"/>
              <w:autoSpaceDN w:val="0"/>
              <w:adjustRightInd w:val="0"/>
              <w:rPr>
                <w:rFonts w:ascii="Arial" w:hAnsi="Arial" w:cs="Arial"/>
                <w:color w:val="000000"/>
              </w:rPr>
            </w:pPr>
            <w:r w:rsidRPr="00506206">
              <w:rPr>
                <w:rFonts w:ascii="Arial" w:hAnsi="Arial" w:cs="Arial"/>
                <w:color w:val="000000"/>
              </w:rPr>
              <w:t>Log likelihood</w:t>
            </w:r>
          </w:p>
        </w:tc>
        <w:tc>
          <w:tcPr>
            <w:tcW w:w="1103" w:type="dxa"/>
            <w:vAlign w:val="bottom"/>
          </w:tcPr>
          <w:p w14:paraId="1CF4A7ED" w14:textId="77777777" w:rsidR="00385CAF" w:rsidRPr="00506206" w:rsidRDefault="00385CAF" w:rsidP="003A76BC">
            <w:pPr>
              <w:autoSpaceDE w:val="0"/>
              <w:autoSpaceDN w:val="0"/>
              <w:adjustRightInd w:val="0"/>
              <w:ind w:right="10"/>
              <w:jc w:val="right"/>
              <w:rPr>
                <w:rFonts w:ascii="Arial" w:hAnsi="Arial" w:cs="Arial"/>
                <w:color w:val="000000"/>
              </w:rPr>
            </w:pPr>
            <w:r w:rsidRPr="00506206">
              <w:rPr>
                <w:rFonts w:ascii="Arial" w:hAnsi="Arial" w:cs="Arial"/>
                <w:color w:val="000000"/>
              </w:rPr>
              <w:t>-94.009</w:t>
            </w:r>
          </w:p>
        </w:tc>
        <w:tc>
          <w:tcPr>
            <w:tcW w:w="2415" w:type="dxa"/>
            <w:gridSpan w:val="2"/>
            <w:vAlign w:val="bottom"/>
          </w:tcPr>
          <w:p w14:paraId="70DAF17B" w14:textId="77777777" w:rsidR="00385CAF" w:rsidRPr="00506206" w:rsidRDefault="00385CAF" w:rsidP="003A76BC">
            <w:pPr>
              <w:autoSpaceDE w:val="0"/>
              <w:autoSpaceDN w:val="0"/>
              <w:adjustRightInd w:val="0"/>
              <w:ind w:right="10"/>
              <w:rPr>
                <w:rFonts w:ascii="Arial" w:hAnsi="Arial" w:cs="Arial"/>
                <w:color w:val="000000"/>
              </w:rPr>
            </w:pPr>
            <w:r w:rsidRPr="00506206">
              <w:rPr>
                <w:rFonts w:ascii="Arial" w:hAnsi="Arial" w:cs="Arial"/>
                <w:color w:val="000000"/>
              </w:rPr>
              <w:t xml:space="preserve">    Hannan-Quinn </w:t>
            </w:r>
            <w:proofErr w:type="spellStart"/>
            <w:r w:rsidRPr="00506206">
              <w:rPr>
                <w:rFonts w:ascii="Arial" w:hAnsi="Arial" w:cs="Arial"/>
                <w:color w:val="000000"/>
              </w:rPr>
              <w:t>criter</w:t>
            </w:r>
            <w:proofErr w:type="spellEnd"/>
            <w:r w:rsidRPr="00506206">
              <w:rPr>
                <w:rFonts w:ascii="Arial" w:hAnsi="Arial" w:cs="Arial"/>
                <w:color w:val="000000"/>
              </w:rPr>
              <w:t>.</w:t>
            </w:r>
          </w:p>
        </w:tc>
        <w:tc>
          <w:tcPr>
            <w:tcW w:w="997" w:type="dxa"/>
            <w:vAlign w:val="bottom"/>
          </w:tcPr>
          <w:p w14:paraId="1A6EF957" w14:textId="77777777" w:rsidR="00385CAF" w:rsidRPr="00506206" w:rsidRDefault="00385CAF" w:rsidP="003A76BC">
            <w:pPr>
              <w:autoSpaceDE w:val="0"/>
              <w:autoSpaceDN w:val="0"/>
              <w:adjustRightInd w:val="0"/>
              <w:ind w:right="10"/>
              <w:jc w:val="right"/>
              <w:rPr>
                <w:rFonts w:ascii="Arial" w:hAnsi="Arial" w:cs="Arial"/>
                <w:color w:val="000000"/>
              </w:rPr>
            </w:pPr>
            <w:r w:rsidRPr="00506206">
              <w:rPr>
                <w:rFonts w:ascii="Arial" w:hAnsi="Arial" w:cs="Arial"/>
                <w:color w:val="000000"/>
              </w:rPr>
              <w:t>5.91</w:t>
            </w:r>
            <w:r>
              <w:rPr>
                <w:rFonts w:ascii="Arial" w:hAnsi="Arial" w:cs="Arial"/>
                <w:color w:val="000000"/>
              </w:rPr>
              <w:t>3</w:t>
            </w:r>
          </w:p>
        </w:tc>
      </w:tr>
      <w:tr w:rsidR="00385CAF" w:rsidRPr="00506206" w14:paraId="1DE5CF12" w14:textId="77777777" w:rsidTr="003A76BC">
        <w:trPr>
          <w:trHeight w:val="225"/>
        </w:trPr>
        <w:tc>
          <w:tcPr>
            <w:tcW w:w="2017" w:type="dxa"/>
            <w:vAlign w:val="bottom"/>
          </w:tcPr>
          <w:p w14:paraId="3EF4B8B1" w14:textId="77777777" w:rsidR="00385CAF" w:rsidRPr="00506206" w:rsidRDefault="00385CAF" w:rsidP="003A76BC">
            <w:pPr>
              <w:autoSpaceDE w:val="0"/>
              <w:autoSpaceDN w:val="0"/>
              <w:adjustRightInd w:val="0"/>
              <w:rPr>
                <w:rFonts w:ascii="Arial" w:hAnsi="Arial" w:cs="Arial"/>
                <w:color w:val="000000"/>
              </w:rPr>
            </w:pPr>
            <w:r w:rsidRPr="00506206">
              <w:rPr>
                <w:rFonts w:ascii="Arial" w:hAnsi="Arial" w:cs="Arial"/>
                <w:color w:val="000000"/>
              </w:rPr>
              <w:t>F-statistic</w:t>
            </w:r>
          </w:p>
        </w:tc>
        <w:tc>
          <w:tcPr>
            <w:tcW w:w="1103" w:type="dxa"/>
            <w:vAlign w:val="bottom"/>
          </w:tcPr>
          <w:p w14:paraId="4D5E4208" w14:textId="77777777" w:rsidR="00385CAF" w:rsidRPr="00506206" w:rsidRDefault="00385CAF" w:rsidP="003A76BC">
            <w:pPr>
              <w:autoSpaceDE w:val="0"/>
              <w:autoSpaceDN w:val="0"/>
              <w:adjustRightInd w:val="0"/>
              <w:ind w:right="10"/>
              <w:jc w:val="right"/>
              <w:rPr>
                <w:rFonts w:ascii="Arial" w:hAnsi="Arial" w:cs="Arial"/>
                <w:color w:val="000000"/>
              </w:rPr>
            </w:pPr>
            <w:r w:rsidRPr="00506206">
              <w:rPr>
                <w:rFonts w:ascii="Arial" w:hAnsi="Arial" w:cs="Arial"/>
                <w:color w:val="000000"/>
              </w:rPr>
              <w:t>41.83</w:t>
            </w:r>
            <w:r>
              <w:rPr>
                <w:rFonts w:ascii="Arial" w:hAnsi="Arial" w:cs="Arial"/>
                <w:color w:val="000000"/>
              </w:rPr>
              <w:t>3</w:t>
            </w:r>
          </w:p>
        </w:tc>
        <w:tc>
          <w:tcPr>
            <w:tcW w:w="2415" w:type="dxa"/>
            <w:gridSpan w:val="2"/>
            <w:tcBorders>
              <w:bottom w:val="single" w:sz="4" w:space="0" w:color="auto"/>
            </w:tcBorders>
            <w:vAlign w:val="bottom"/>
          </w:tcPr>
          <w:p w14:paraId="3417FDAE" w14:textId="77777777" w:rsidR="00385CAF" w:rsidRPr="00506206" w:rsidRDefault="00385CAF" w:rsidP="003A76BC">
            <w:pPr>
              <w:autoSpaceDE w:val="0"/>
              <w:autoSpaceDN w:val="0"/>
              <w:adjustRightInd w:val="0"/>
              <w:ind w:right="10"/>
              <w:rPr>
                <w:rFonts w:ascii="Arial" w:hAnsi="Arial" w:cs="Arial"/>
                <w:color w:val="000000"/>
              </w:rPr>
            </w:pPr>
            <w:r w:rsidRPr="00506206">
              <w:rPr>
                <w:rFonts w:ascii="Arial" w:hAnsi="Arial" w:cs="Arial"/>
                <w:color w:val="000000"/>
              </w:rPr>
              <w:t>    Durbin-Watson stat</w:t>
            </w:r>
          </w:p>
        </w:tc>
        <w:tc>
          <w:tcPr>
            <w:tcW w:w="997" w:type="dxa"/>
            <w:vAlign w:val="bottom"/>
          </w:tcPr>
          <w:p w14:paraId="176BCEB6" w14:textId="77777777" w:rsidR="00385CAF" w:rsidRPr="00506206" w:rsidRDefault="00385CAF" w:rsidP="003A76BC">
            <w:pPr>
              <w:autoSpaceDE w:val="0"/>
              <w:autoSpaceDN w:val="0"/>
              <w:adjustRightInd w:val="0"/>
              <w:ind w:right="10"/>
              <w:jc w:val="right"/>
              <w:rPr>
                <w:rFonts w:ascii="Arial" w:hAnsi="Arial" w:cs="Arial"/>
                <w:color w:val="000000"/>
              </w:rPr>
            </w:pPr>
            <w:r w:rsidRPr="00506206">
              <w:rPr>
                <w:rFonts w:ascii="Arial" w:hAnsi="Arial" w:cs="Arial"/>
                <w:color w:val="000000"/>
              </w:rPr>
              <w:t>1.936</w:t>
            </w:r>
          </w:p>
        </w:tc>
      </w:tr>
      <w:tr w:rsidR="00385CAF" w:rsidRPr="00506206" w14:paraId="6C568D01" w14:textId="77777777" w:rsidTr="003A76BC">
        <w:trPr>
          <w:trHeight w:val="225"/>
        </w:trPr>
        <w:tc>
          <w:tcPr>
            <w:tcW w:w="2017" w:type="dxa"/>
            <w:vAlign w:val="bottom"/>
          </w:tcPr>
          <w:p w14:paraId="1445ACCD" w14:textId="77777777" w:rsidR="00385CAF" w:rsidRPr="00506206" w:rsidRDefault="00385CAF" w:rsidP="003A76BC">
            <w:pPr>
              <w:autoSpaceDE w:val="0"/>
              <w:autoSpaceDN w:val="0"/>
              <w:adjustRightInd w:val="0"/>
              <w:rPr>
                <w:rFonts w:ascii="Arial" w:hAnsi="Arial" w:cs="Arial"/>
                <w:color w:val="000000"/>
              </w:rPr>
            </w:pPr>
            <w:r w:rsidRPr="00506206">
              <w:rPr>
                <w:rFonts w:ascii="Arial" w:hAnsi="Arial" w:cs="Arial"/>
                <w:color w:val="000000"/>
              </w:rPr>
              <w:t>Prob(F-statistic)</w:t>
            </w:r>
          </w:p>
        </w:tc>
        <w:tc>
          <w:tcPr>
            <w:tcW w:w="1103" w:type="dxa"/>
            <w:vAlign w:val="bottom"/>
          </w:tcPr>
          <w:p w14:paraId="5002DDFB" w14:textId="77777777" w:rsidR="00385CAF" w:rsidRPr="00506206" w:rsidRDefault="00385CAF" w:rsidP="003A76BC">
            <w:pPr>
              <w:autoSpaceDE w:val="0"/>
              <w:autoSpaceDN w:val="0"/>
              <w:adjustRightInd w:val="0"/>
              <w:ind w:right="10"/>
              <w:jc w:val="right"/>
              <w:rPr>
                <w:rFonts w:ascii="Arial" w:hAnsi="Arial" w:cs="Arial"/>
                <w:color w:val="000000"/>
              </w:rPr>
            </w:pPr>
            <w:r w:rsidRPr="00506206">
              <w:rPr>
                <w:rFonts w:ascii="Arial" w:hAnsi="Arial" w:cs="Arial"/>
                <w:color w:val="000000"/>
              </w:rPr>
              <w:t>0.000</w:t>
            </w:r>
          </w:p>
        </w:tc>
        <w:tc>
          <w:tcPr>
            <w:tcW w:w="1207" w:type="dxa"/>
            <w:tcBorders>
              <w:right w:val="nil"/>
            </w:tcBorders>
            <w:vAlign w:val="bottom"/>
          </w:tcPr>
          <w:p w14:paraId="190AD827" w14:textId="77777777" w:rsidR="00385CAF" w:rsidRPr="00506206" w:rsidRDefault="00385CAF" w:rsidP="003A76BC">
            <w:pPr>
              <w:autoSpaceDE w:val="0"/>
              <w:autoSpaceDN w:val="0"/>
              <w:adjustRightInd w:val="0"/>
              <w:ind w:right="10"/>
              <w:jc w:val="center"/>
              <w:rPr>
                <w:rFonts w:ascii="Arial" w:hAnsi="Arial" w:cs="Arial"/>
                <w:color w:val="000000"/>
              </w:rPr>
            </w:pPr>
          </w:p>
        </w:tc>
        <w:tc>
          <w:tcPr>
            <w:tcW w:w="1208" w:type="dxa"/>
            <w:tcBorders>
              <w:left w:val="nil"/>
            </w:tcBorders>
            <w:vAlign w:val="bottom"/>
          </w:tcPr>
          <w:p w14:paraId="50130E35" w14:textId="77777777" w:rsidR="00385CAF" w:rsidRPr="00506206" w:rsidRDefault="00385CAF" w:rsidP="003A76BC">
            <w:pPr>
              <w:autoSpaceDE w:val="0"/>
              <w:autoSpaceDN w:val="0"/>
              <w:adjustRightInd w:val="0"/>
              <w:ind w:right="10"/>
              <w:jc w:val="center"/>
              <w:rPr>
                <w:rFonts w:ascii="Arial" w:hAnsi="Arial" w:cs="Arial"/>
                <w:color w:val="000000"/>
              </w:rPr>
            </w:pPr>
          </w:p>
        </w:tc>
        <w:tc>
          <w:tcPr>
            <w:tcW w:w="997" w:type="dxa"/>
            <w:vAlign w:val="bottom"/>
          </w:tcPr>
          <w:p w14:paraId="0614F062" w14:textId="77777777" w:rsidR="00385CAF" w:rsidRPr="00506206" w:rsidRDefault="00385CAF" w:rsidP="003A76BC">
            <w:pPr>
              <w:autoSpaceDE w:val="0"/>
              <w:autoSpaceDN w:val="0"/>
              <w:adjustRightInd w:val="0"/>
              <w:ind w:right="10"/>
              <w:jc w:val="center"/>
              <w:rPr>
                <w:rFonts w:ascii="Arial" w:hAnsi="Arial" w:cs="Arial"/>
                <w:color w:val="000000"/>
              </w:rPr>
            </w:pPr>
          </w:p>
        </w:tc>
      </w:tr>
    </w:tbl>
    <w:p w14:paraId="4F6C626A" w14:textId="77777777" w:rsidR="00385CAF" w:rsidRPr="00506206" w:rsidRDefault="00385CAF" w:rsidP="00385CAF">
      <w:pPr>
        <w:spacing w:line="360" w:lineRule="auto"/>
        <w:rPr>
          <w:rFonts w:ascii="Arial" w:hAnsi="Arial" w:cs="Arial"/>
          <w:b/>
          <w:bCs/>
        </w:rPr>
      </w:pPr>
      <w:r w:rsidRPr="00506206">
        <w:rPr>
          <w:rFonts w:ascii="Arial" w:hAnsi="Arial" w:cs="Arial"/>
          <w:b/>
          <w:bCs/>
        </w:rPr>
        <w:t xml:space="preserve">Source: Author’s computation using EViews 13 </w:t>
      </w:r>
    </w:p>
    <w:p w14:paraId="0C084A83" w14:textId="77777777" w:rsidR="00385CAF" w:rsidRPr="00506206" w:rsidRDefault="00385CAF" w:rsidP="00385CAF">
      <w:pPr>
        <w:spacing w:line="360" w:lineRule="auto"/>
        <w:rPr>
          <w:rFonts w:ascii="Arial" w:hAnsi="Arial" w:cs="Arial"/>
          <w:b/>
          <w:bCs/>
        </w:rPr>
      </w:pPr>
      <w:r w:rsidRPr="00506206">
        <w:rPr>
          <w:rFonts w:ascii="Arial" w:hAnsi="Arial" w:cs="Arial"/>
          <w:b/>
          <w:bCs/>
        </w:rPr>
        <w:t>4.4.1 Interpretation of Regressors</w:t>
      </w:r>
    </w:p>
    <w:p w14:paraId="351F3A70" w14:textId="77777777" w:rsidR="00385CAF" w:rsidRPr="00506206" w:rsidRDefault="00385CAF" w:rsidP="00385CAF">
      <w:pPr>
        <w:jc w:val="both"/>
        <w:rPr>
          <w:rFonts w:ascii="Arial" w:hAnsi="Arial" w:cs="Arial"/>
        </w:rPr>
      </w:pPr>
      <w:r w:rsidRPr="00506206">
        <w:rPr>
          <w:rFonts w:ascii="Arial" w:hAnsi="Arial" w:cs="Arial"/>
        </w:rPr>
        <w:lastRenderedPageBreak/>
        <w:t xml:space="preserve">The findings indicate that inflation demonstrates considerable inertia, as shown by the first lag of inflation (INF-1), which is both positive and highly significant (coefficient = 0.595, p = 0.000). In terms of fiscal variables, the immediate effect of the fiscal deficit (FD) is not significant (p = 0.868); however, the first lag of the fiscal deficit (FD-1) negatively influences current inflation with strong significance (coefficient = -2.850, p = 0.000). Public debt (PD) shows significance across all designated lags; both the contemporaneous and second-period lags are negative, whereas the first lag (PD-1) presents a positive coefficient (coefficient = 2.067, p = 0.000). The interaction between fiscal deficits and public debt (FD*PD) is significantly negative in the contemporaneous period (coefficient = -0.100, p = 0.001) but shows a positive sign at the first lag (coefficient = 0.061, p = 0.039). </w:t>
      </w:r>
    </w:p>
    <w:p w14:paraId="0A11B308" w14:textId="77777777" w:rsidR="00385CAF" w:rsidRDefault="00385CAF" w:rsidP="00385CAF">
      <w:pPr>
        <w:jc w:val="both"/>
        <w:rPr>
          <w:rFonts w:ascii="Arial" w:hAnsi="Arial" w:cs="Arial"/>
        </w:rPr>
      </w:pPr>
      <w:r w:rsidRPr="00506206">
        <w:rPr>
          <w:rFonts w:ascii="Arial" w:hAnsi="Arial" w:cs="Arial"/>
        </w:rPr>
        <w:t>For the control variables, the exchange rate (LEXR) is highly significant at all lag levels. Broad money growth (M2) shows a significant contemporaneous impact (</w:t>
      </w:r>
      <w:proofErr w:type="spellStart"/>
      <w:r w:rsidRPr="00506206">
        <w:rPr>
          <w:rFonts w:ascii="Arial" w:hAnsi="Arial" w:cs="Arial"/>
        </w:rPr>
        <w:t>coeff</w:t>
      </w:r>
      <w:proofErr w:type="spellEnd"/>
      <w:r w:rsidRPr="00506206">
        <w:rPr>
          <w:rFonts w:ascii="Arial" w:hAnsi="Arial" w:cs="Arial"/>
        </w:rPr>
        <w:t xml:space="preserve"> = 0.228, p = 0.000), although its lags are statistically insignificant. Real GDP growth (RGDPG) shows significant effects at the first (positive) and second (negative) lags. The lending rate (LR) is significant at its first (negative) and second (positive) lags, while the contemporaneous effect is insignificant.</w:t>
      </w:r>
    </w:p>
    <w:p w14:paraId="640DF34D" w14:textId="77777777" w:rsidR="00385CAF" w:rsidRPr="00506206" w:rsidRDefault="00385CAF" w:rsidP="00385CAF">
      <w:pPr>
        <w:jc w:val="both"/>
        <w:rPr>
          <w:rFonts w:ascii="Arial" w:hAnsi="Arial" w:cs="Arial"/>
        </w:rPr>
      </w:pPr>
    </w:p>
    <w:p w14:paraId="063BB00F" w14:textId="77777777" w:rsidR="00385CAF" w:rsidRPr="00506206" w:rsidRDefault="00385CAF" w:rsidP="00385CAF">
      <w:pPr>
        <w:spacing w:line="360" w:lineRule="auto"/>
        <w:rPr>
          <w:rFonts w:ascii="Arial" w:hAnsi="Arial" w:cs="Arial"/>
          <w:b/>
          <w:bCs/>
        </w:rPr>
      </w:pPr>
      <w:r w:rsidRPr="00506206">
        <w:rPr>
          <w:rFonts w:ascii="Arial" w:hAnsi="Arial" w:cs="Arial"/>
          <w:b/>
          <w:bCs/>
        </w:rPr>
        <w:t>4.4.2 Structural Break Analysis (Dummy Variables)</w:t>
      </w:r>
    </w:p>
    <w:p w14:paraId="3ADDF62F" w14:textId="77777777" w:rsidR="00385CAF" w:rsidRPr="00506206" w:rsidRDefault="00385CAF" w:rsidP="00385CAF">
      <w:pPr>
        <w:jc w:val="both"/>
        <w:rPr>
          <w:rFonts w:ascii="Arial" w:hAnsi="Arial" w:cs="Arial"/>
        </w:rPr>
      </w:pPr>
      <w:r w:rsidRPr="00506206">
        <w:rPr>
          <w:rFonts w:ascii="Arial" w:hAnsi="Arial" w:cs="Arial"/>
        </w:rPr>
        <w:t xml:space="preserve">The dynamic model uses four structural dummy variables. DUM86, representing the 1986 Structural Adjustment Program, exhibited a substantial negative coefficient of -23.402 (p=0.000). This indicates that, all else being equal, inflation was reduced by 23.4 percentage points during this period. Associated with the oil price shock of 1988–1989, DUM88 showed a sizeable positive coefficient of 47.622 (p=0.000), suggesting that inflation climbed by 47.6 percentage points throughout this era. Regarding the Gulf War from 1990 to 1991, DUM90 showed an almost negligible positive effect of 9.412 (p=0.180), while DUM92, related to the political crisis from 1992 to 1993, exhibited a significant positive coefficient of 14.880 (p=0.000), thus having a substantial impact on inflation. </w:t>
      </w:r>
    </w:p>
    <w:p w14:paraId="703A2E88" w14:textId="77777777" w:rsidR="00385CAF" w:rsidRDefault="00385CAF" w:rsidP="00385CAF">
      <w:pPr>
        <w:spacing w:line="360" w:lineRule="auto"/>
        <w:rPr>
          <w:rFonts w:ascii="Arial" w:hAnsi="Arial" w:cs="Arial"/>
          <w:b/>
          <w:bCs/>
        </w:rPr>
      </w:pPr>
    </w:p>
    <w:p w14:paraId="4ABF567D" w14:textId="77777777" w:rsidR="00385CAF" w:rsidRPr="00506206" w:rsidRDefault="00385CAF" w:rsidP="00385CAF">
      <w:pPr>
        <w:spacing w:line="360" w:lineRule="auto"/>
        <w:rPr>
          <w:rFonts w:ascii="Arial" w:hAnsi="Arial" w:cs="Arial"/>
          <w:b/>
          <w:bCs/>
        </w:rPr>
      </w:pPr>
      <w:r w:rsidRPr="00506206">
        <w:rPr>
          <w:rFonts w:ascii="Arial" w:hAnsi="Arial" w:cs="Arial"/>
          <w:b/>
          <w:bCs/>
        </w:rPr>
        <w:t>4.5. ARDL Bounds Test for Cointegration</w:t>
      </w:r>
    </w:p>
    <w:p w14:paraId="2965E2C3" w14:textId="77777777" w:rsidR="00385CAF" w:rsidRPr="00506206" w:rsidRDefault="00385CAF" w:rsidP="00385CAF">
      <w:pPr>
        <w:spacing w:line="360" w:lineRule="auto"/>
        <w:rPr>
          <w:rFonts w:ascii="Arial" w:hAnsi="Arial" w:cs="Arial"/>
          <w:b/>
          <w:bCs/>
        </w:rPr>
      </w:pPr>
      <w:r w:rsidRPr="00506206">
        <w:rPr>
          <w:rFonts w:ascii="Arial" w:hAnsi="Arial" w:cs="Arial"/>
          <w:b/>
          <w:bCs/>
        </w:rPr>
        <w:t>Table 5: ARDL Bounds Test Results</w:t>
      </w:r>
    </w:p>
    <w:tbl>
      <w:tblPr>
        <w:tblW w:w="0" w:type="auto"/>
        <w:tblInd w:w="30" w:type="dxa"/>
        <w:tblLayout w:type="fixed"/>
        <w:tblCellMar>
          <w:left w:w="0" w:type="dxa"/>
          <w:right w:w="0" w:type="dxa"/>
        </w:tblCellMar>
        <w:tblLook w:val="0000" w:firstRow="0" w:lastRow="0" w:firstColumn="0" w:lastColumn="0" w:noHBand="0" w:noVBand="0"/>
      </w:tblPr>
      <w:tblGrid>
        <w:gridCol w:w="1282"/>
        <w:gridCol w:w="1103"/>
        <w:gridCol w:w="1102"/>
        <w:gridCol w:w="1103"/>
      </w:tblGrid>
      <w:tr w:rsidR="00385CAF" w:rsidRPr="008D2A8D" w14:paraId="4AD5E72B" w14:textId="77777777" w:rsidTr="003A76BC">
        <w:trPr>
          <w:trHeight w:hRule="exact" w:val="90"/>
        </w:trPr>
        <w:tc>
          <w:tcPr>
            <w:tcW w:w="1282" w:type="dxa"/>
            <w:tcBorders>
              <w:top w:val="nil"/>
              <w:left w:val="nil"/>
              <w:bottom w:val="double" w:sz="6" w:space="2" w:color="auto"/>
              <w:right w:val="nil"/>
            </w:tcBorders>
            <w:vAlign w:val="bottom"/>
          </w:tcPr>
          <w:p w14:paraId="44B92C28" w14:textId="77777777" w:rsidR="00385CAF" w:rsidRPr="008D2A8D" w:rsidRDefault="00385CAF" w:rsidP="003A76BC">
            <w:pPr>
              <w:autoSpaceDE w:val="0"/>
              <w:autoSpaceDN w:val="0"/>
              <w:adjustRightInd w:val="0"/>
              <w:spacing w:line="360" w:lineRule="auto"/>
              <w:rPr>
                <w:rFonts w:ascii="Times New Roman" w:hAnsi="Times New Roman"/>
                <w:sz w:val="24"/>
                <w:szCs w:val="24"/>
              </w:rPr>
            </w:pPr>
          </w:p>
        </w:tc>
        <w:tc>
          <w:tcPr>
            <w:tcW w:w="1103" w:type="dxa"/>
            <w:tcBorders>
              <w:top w:val="nil"/>
              <w:left w:val="nil"/>
              <w:bottom w:val="double" w:sz="6" w:space="2" w:color="auto"/>
              <w:right w:val="nil"/>
            </w:tcBorders>
            <w:vAlign w:val="bottom"/>
          </w:tcPr>
          <w:p w14:paraId="0EDFC1CB" w14:textId="77777777" w:rsidR="00385CAF" w:rsidRPr="008D2A8D" w:rsidRDefault="00385CAF" w:rsidP="003A76BC">
            <w:pPr>
              <w:autoSpaceDE w:val="0"/>
              <w:autoSpaceDN w:val="0"/>
              <w:adjustRightInd w:val="0"/>
              <w:spacing w:line="360" w:lineRule="auto"/>
              <w:rPr>
                <w:rFonts w:ascii="Times New Roman" w:hAnsi="Times New Roman"/>
                <w:sz w:val="24"/>
                <w:szCs w:val="24"/>
              </w:rPr>
            </w:pPr>
          </w:p>
        </w:tc>
        <w:tc>
          <w:tcPr>
            <w:tcW w:w="1102" w:type="dxa"/>
            <w:tcBorders>
              <w:top w:val="nil"/>
              <w:left w:val="nil"/>
              <w:bottom w:val="double" w:sz="6" w:space="2" w:color="auto"/>
              <w:right w:val="nil"/>
            </w:tcBorders>
            <w:vAlign w:val="bottom"/>
          </w:tcPr>
          <w:p w14:paraId="391A3242" w14:textId="77777777" w:rsidR="00385CAF" w:rsidRPr="008D2A8D" w:rsidRDefault="00385CAF" w:rsidP="003A76BC">
            <w:pPr>
              <w:autoSpaceDE w:val="0"/>
              <w:autoSpaceDN w:val="0"/>
              <w:adjustRightInd w:val="0"/>
              <w:spacing w:line="360" w:lineRule="auto"/>
              <w:rPr>
                <w:rFonts w:ascii="Times New Roman" w:hAnsi="Times New Roman"/>
                <w:sz w:val="24"/>
                <w:szCs w:val="24"/>
              </w:rPr>
            </w:pPr>
          </w:p>
        </w:tc>
        <w:tc>
          <w:tcPr>
            <w:tcW w:w="1103" w:type="dxa"/>
            <w:tcBorders>
              <w:top w:val="nil"/>
              <w:left w:val="nil"/>
              <w:bottom w:val="double" w:sz="6" w:space="2" w:color="auto"/>
              <w:right w:val="nil"/>
            </w:tcBorders>
            <w:vAlign w:val="bottom"/>
          </w:tcPr>
          <w:p w14:paraId="3D06D994" w14:textId="77777777" w:rsidR="00385CAF" w:rsidRPr="008D2A8D" w:rsidRDefault="00385CAF" w:rsidP="003A76BC">
            <w:pPr>
              <w:autoSpaceDE w:val="0"/>
              <w:autoSpaceDN w:val="0"/>
              <w:adjustRightInd w:val="0"/>
              <w:spacing w:line="360" w:lineRule="auto"/>
              <w:rPr>
                <w:rFonts w:ascii="Times New Roman" w:hAnsi="Times New Roman"/>
                <w:sz w:val="24"/>
                <w:szCs w:val="24"/>
              </w:rPr>
            </w:pPr>
          </w:p>
        </w:tc>
      </w:tr>
      <w:tr w:rsidR="00385CAF" w:rsidRPr="00506206" w14:paraId="6007DE4F" w14:textId="77777777" w:rsidTr="003A76BC">
        <w:trPr>
          <w:trHeight w:hRule="exact" w:val="135"/>
        </w:trPr>
        <w:tc>
          <w:tcPr>
            <w:tcW w:w="1282" w:type="dxa"/>
            <w:tcBorders>
              <w:top w:val="nil"/>
              <w:left w:val="nil"/>
              <w:bottom w:val="nil"/>
              <w:right w:val="nil"/>
            </w:tcBorders>
            <w:vAlign w:val="bottom"/>
          </w:tcPr>
          <w:p w14:paraId="0B1245C0" w14:textId="77777777" w:rsidR="00385CAF" w:rsidRPr="00506206" w:rsidRDefault="00385CAF" w:rsidP="003A76BC">
            <w:pPr>
              <w:autoSpaceDE w:val="0"/>
              <w:autoSpaceDN w:val="0"/>
              <w:adjustRightInd w:val="0"/>
              <w:spacing w:line="360" w:lineRule="auto"/>
              <w:rPr>
                <w:rFonts w:ascii="Arial" w:hAnsi="Arial" w:cs="Arial"/>
              </w:rPr>
            </w:pPr>
          </w:p>
        </w:tc>
        <w:tc>
          <w:tcPr>
            <w:tcW w:w="1103" w:type="dxa"/>
            <w:tcBorders>
              <w:top w:val="nil"/>
              <w:left w:val="nil"/>
              <w:bottom w:val="nil"/>
              <w:right w:val="nil"/>
            </w:tcBorders>
            <w:vAlign w:val="bottom"/>
          </w:tcPr>
          <w:p w14:paraId="570A8428" w14:textId="77777777" w:rsidR="00385CAF" w:rsidRPr="00506206" w:rsidRDefault="00385CAF" w:rsidP="003A76BC">
            <w:pPr>
              <w:autoSpaceDE w:val="0"/>
              <w:autoSpaceDN w:val="0"/>
              <w:adjustRightInd w:val="0"/>
              <w:spacing w:line="360" w:lineRule="auto"/>
              <w:rPr>
                <w:rFonts w:ascii="Arial" w:hAnsi="Arial" w:cs="Arial"/>
              </w:rPr>
            </w:pPr>
          </w:p>
        </w:tc>
        <w:tc>
          <w:tcPr>
            <w:tcW w:w="1102" w:type="dxa"/>
            <w:tcBorders>
              <w:top w:val="nil"/>
              <w:left w:val="nil"/>
              <w:bottom w:val="nil"/>
              <w:right w:val="nil"/>
            </w:tcBorders>
            <w:vAlign w:val="bottom"/>
          </w:tcPr>
          <w:p w14:paraId="497CCF38" w14:textId="77777777" w:rsidR="00385CAF" w:rsidRPr="00506206" w:rsidRDefault="00385CAF" w:rsidP="003A76BC">
            <w:pPr>
              <w:autoSpaceDE w:val="0"/>
              <w:autoSpaceDN w:val="0"/>
              <w:adjustRightInd w:val="0"/>
              <w:spacing w:line="360" w:lineRule="auto"/>
              <w:rPr>
                <w:rFonts w:ascii="Arial" w:hAnsi="Arial" w:cs="Arial"/>
              </w:rPr>
            </w:pPr>
          </w:p>
        </w:tc>
        <w:tc>
          <w:tcPr>
            <w:tcW w:w="1103" w:type="dxa"/>
            <w:tcBorders>
              <w:top w:val="nil"/>
              <w:left w:val="nil"/>
              <w:bottom w:val="nil"/>
              <w:right w:val="nil"/>
            </w:tcBorders>
            <w:vAlign w:val="bottom"/>
          </w:tcPr>
          <w:p w14:paraId="54266545" w14:textId="77777777" w:rsidR="00385CAF" w:rsidRPr="00506206" w:rsidRDefault="00385CAF" w:rsidP="003A76BC">
            <w:pPr>
              <w:autoSpaceDE w:val="0"/>
              <w:autoSpaceDN w:val="0"/>
              <w:adjustRightInd w:val="0"/>
              <w:spacing w:line="360" w:lineRule="auto"/>
              <w:rPr>
                <w:rFonts w:ascii="Arial" w:hAnsi="Arial" w:cs="Arial"/>
              </w:rPr>
            </w:pPr>
          </w:p>
        </w:tc>
      </w:tr>
      <w:tr w:rsidR="00385CAF" w:rsidRPr="00506206" w14:paraId="657FB364" w14:textId="77777777" w:rsidTr="003A76BC">
        <w:trPr>
          <w:trHeight w:val="225"/>
        </w:trPr>
        <w:tc>
          <w:tcPr>
            <w:tcW w:w="2385" w:type="dxa"/>
            <w:gridSpan w:val="2"/>
            <w:tcBorders>
              <w:top w:val="nil"/>
              <w:left w:val="nil"/>
              <w:bottom w:val="nil"/>
              <w:right w:val="nil"/>
            </w:tcBorders>
            <w:vAlign w:val="bottom"/>
          </w:tcPr>
          <w:p w14:paraId="28E8592A" w14:textId="77777777" w:rsidR="00385CAF" w:rsidRPr="00506206" w:rsidRDefault="00385CAF" w:rsidP="003A76BC">
            <w:pPr>
              <w:autoSpaceDE w:val="0"/>
              <w:autoSpaceDN w:val="0"/>
              <w:adjustRightInd w:val="0"/>
              <w:spacing w:line="360" w:lineRule="auto"/>
              <w:rPr>
                <w:rFonts w:ascii="Arial" w:hAnsi="Arial" w:cs="Arial"/>
              </w:rPr>
            </w:pPr>
            <w:r w:rsidRPr="00506206">
              <w:rPr>
                <w:rFonts w:ascii="Arial" w:hAnsi="Arial" w:cs="Arial"/>
              </w:rPr>
              <w:t>Test Statistic</w:t>
            </w:r>
          </w:p>
        </w:tc>
        <w:tc>
          <w:tcPr>
            <w:tcW w:w="1102" w:type="dxa"/>
            <w:tcBorders>
              <w:top w:val="nil"/>
              <w:left w:val="nil"/>
              <w:bottom w:val="nil"/>
              <w:right w:val="nil"/>
            </w:tcBorders>
            <w:vAlign w:val="bottom"/>
          </w:tcPr>
          <w:p w14:paraId="74B15946" w14:textId="77777777" w:rsidR="00385CAF" w:rsidRPr="00506206" w:rsidRDefault="00385CAF" w:rsidP="003A76BC">
            <w:pPr>
              <w:autoSpaceDE w:val="0"/>
              <w:autoSpaceDN w:val="0"/>
              <w:adjustRightInd w:val="0"/>
              <w:spacing w:line="360" w:lineRule="auto"/>
              <w:jc w:val="center"/>
              <w:rPr>
                <w:rFonts w:ascii="Arial" w:hAnsi="Arial" w:cs="Arial"/>
              </w:rPr>
            </w:pPr>
          </w:p>
        </w:tc>
        <w:tc>
          <w:tcPr>
            <w:tcW w:w="1103" w:type="dxa"/>
            <w:tcBorders>
              <w:top w:val="nil"/>
              <w:left w:val="nil"/>
              <w:bottom w:val="nil"/>
              <w:right w:val="nil"/>
            </w:tcBorders>
            <w:vAlign w:val="bottom"/>
          </w:tcPr>
          <w:p w14:paraId="52BADB66" w14:textId="77777777" w:rsidR="00385CAF" w:rsidRPr="00506206" w:rsidRDefault="00385CAF" w:rsidP="003A76BC">
            <w:pPr>
              <w:autoSpaceDE w:val="0"/>
              <w:autoSpaceDN w:val="0"/>
              <w:adjustRightInd w:val="0"/>
              <w:spacing w:line="360" w:lineRule="auto"/>
              <w:ind w:right="10"/>
              <w:jc w:val="right"/>
              <w:rPr>
                <w:rFonts w:ascii="Arial" w:hAnsi="Arial" w:cs="Arial"/>
              </w:rPr>
            </w:pPr>
            <w:r w:rsidRPr="00506206">
              <w:rPr>
                <w:rFonts w:ascii="Arial" w:hAnsi="Arial" w:cs="Arial"/>
              </w:rPr>
              <w:t>Value</w:t>
            </w:r>
          </w:p>
        </w:tc>
      </w:tr>
      <w:tr w:rsidR="00385CAF" w:rsidRPr="00506206" w14:paraId="40217607" w14:textId="77777777" w:rsidTr="003A76BC">
        <w:trPr>
          <w:trHeight w:hRule="exact" w:val="90"/>
        </w:trPr>
        <w:tc>
          <w:tcPr>
            <w:tcW w:w="1282" w:type="dxa"/>
            <w:tcBorders>
              <w:top w:val="nil"/>
              <w:left w:val="nil"/>
              <w:bottom w:val="double" w:sz="6" w:space="2" w:color="auto"/>
              <w:right w:val="nil"/>
            </w:tcBorders>
            <w:vAlign w:val="bottom"/>
          </w:tcPr>
          <w:p w14:paraId="6F11ED46" w14:textId="77777777" w:rsidR="00385CAF" w:rsidRPr="00506206" w:rsidRDefault="00385CAF" w:rsidP="003A76BC">
            <w:pPr>
              <w:autoSpaceDE w:val="0"/>
              <w:autoSpaceDN w:val="0"/>
              <w:adjustRightInd w:val="0"/>
              <w:spacing w:line="360" w:lineRule="auto"/>
              <w:rPr>
                <w:rFonts w:ascii="Arial" w:hAnsi="Arial" w:cs="Arial"/>
              </w:rPr>
            </w:pPr>
          </w:p>
        </w:tc>
        <w:tc>
          <w:tcPr>
            <w:tcW w:w="1103" w:type="dxa"/>
            <w:tcBorders>
              <w:top w:val="nil"/>
              <w:left w:val="nil"/>
              <w:bottom w:val="double" w:sz="6" w:space="2" w:color="auto"/>
              <w:right w:val="nil"/>
            </w:tcBorders>
            <w:vAlign w:val="bottom"/>
          </w:tcPr>
          <w:p w14:paraId="1DC8907E" w14:textId="77777777" w:rsidR="00385CAF" w:rsidRPr="00506206" w:rsidRDefault="00385CAF" w:rsidP="003A76BC">
            <w:pPr>
              <w:autoSpaceDE w:val="0"/>
              <w:autoSpaceDN w:val="0"/>
              <w:adjustRightInd w:val="0"/>
              <w:spacing w:line="360" w:lineRule="auto"/>
              <w:rPr>
                <w:rFonts w:ascii="Arial" w:hAnsi="Arial" w:cs="Arial"/>
              </w:rPr>
            </w:pPr>
          </w:p>
        </w:tc>
        <w:tc>
          <w:tcPr>
            <w:tcW w:w="1102" w:type="dxa"/>
            <w:tcBorders>
              <w:top w:val="nil"/>
              <w:left w:val="nil"/>
              <w:bottom w:val="double" w:sz="6" w:space="2" w:color="auto"/>
              <w:right w:val="nil"/>
            </w:tcBorders>
            <w:vAlign w:val="bottom"/>
          </w:tcPr>
          <w:p w14:paraId="325BE134" w14:textId="77777777" w:rsidR="00385CAF" w:rsidRPr="00506206" w:rsidRDefault="00385CAF" w:rsidP="003A76BC">
            <w:pPr>
              <w:autoSpaceDE w:val="0"/>
              <w:autoSpaceDN w:val="0"/>
              <w:adjustRightInd w:val="0"/>
              <w:spacing w:line="360" w:lineRule="auto"/>
              <w:rPr>
                <w:rFonts w:ascii="Arial" w:hAnsi="Arial" w:cs="Arial"/>
              </w:rPr>
            </w:pPr>
          </w:p>
        </w:tc>
        <w:tc>
          <w:tcPr>
            <w:tcW w:w="1103" w:type="dxa"/>
            <w:tcBorders>
              <w:top w:val="nil"/>
              <w:left w:val="nil"/>
              <w:bottom w:val="double" w:sz="6" w:space="2" w:color="auto"/>
              <w:right w:val="nil"/>
            </w:tcBorders>
            <w:vAlign w:val="bottom"/>
          </w:tcPr>
          <w:p w14:paraId="09DB60E9" w14:textId="77777777" w:rsidR="00385CAF" w:rsidRPr="00506206" w:rsidRDefault="00385CAF" w:rsidP="003A76BC">
            <w:pPr>
              <w:autoSpaceDE w:val="0"/>
              <w:autoSpaceDN w:val="0"/>
              <w:adjustRightInd w:val="0"/>
              <w:spacing w:line="360" w:lineRule="auto"/>
              <w:rPr>
                <w:rFonts w:ascii="Arial" w:hAnsi="Arial" w:cs="Arial"/>
              </w:rPr>
            </w:pPr>
          </w:p>
        </w:tc>
      </w:tr>
      <w:tr w:rsidR="00385CAF" w:rsidRPr="00506206" w14:paraId="61EA41CE" w14:textId="77777777" w:rsidTr="003A76BC">
        <w:trPr>
          <w:trHeight w:hRule="exact" w:val="135"/>
        </w:trPr>
        <w:tc>
          <w:tcPr>
            <w:tcW w:w="1282" w:type="dxa"/>
            <w:tcBorders>
              <w:top w:val="nil"/>
              <w:left w:val="nil"/>
              <w:bottom w:val="nil"/>
              <w:right w:val="nil"/>
            </w:tcBorders>
            <w:vAlign w:val="bottom"/>
          </w:tcPr>
          <w:p w14:paraId="5EB9CAE6" w14:textId="77777777" w:rsidR="00385CAF" w:rsidRPr="00506206" w:rsidRDefault="00385CAF" w:rsidP="003A76BC">
            <w:pPr>
              <w:autoSpaceDE w:val="0"/>
              <w:autoSpaceDN w:val="0"/>
              <w:adjustRightInd w:val="0"/>
              <w:spacing w:line="360" w:lineRule="auto"/>
              <w:rPr>
                <w:rFonts w:ascii="Arial" w:hAnsi="Arial" w:cs="Arial"/>
              </w:rPr>
            </w:pPr>
          </w:p>
        </w:tc>
        <w:tc>
          <w:tcPr>
            <w:tcW w:w="1103" w:type="dxa"/>
            <w:tcBorders>
              <w:top w:val="nil"/>
              <w:left w:val="nil"/>
              <w:bottom w:val="nil"/>
              <w:right w:val="nil"/>
            </w:tcBorders>
            <w:vAlign w:val="bottom"/>
          </w:tcPr>
          <w:p w14:paraId="18A9CA06" w14:textId="77777777" w:rsidR="00385CAF" w:rsidRPr="00506206" w:rsidRDefault="00385CAF" w:rsidP="003A76BC">
            <w:pPr>
              <w:autoSpaceDE w:val="0"/>
              <w:autoSpaceDN w:val="0"/>
              <w:adjustRightInd w:val="0"/>
              <w:spacing w:line="360" w:lineRule="auto"/>
              <w:rPr>
                <w:rFonts w:ascii="Arial" w:hAnsi="Arial" w:cs="Arial"/>
              </w:rPr>
            </w:pPr>
          </w:p>
        </w:tc>
        <w:tc>
          <w:tcPr>
            <w:tcW w:w="1102" w:type="dxa"/>
            <w:tcBorders>
              <w:top w:val="nil"/>
              <w:left w:val="nil"/>
              <w:bottom w:val="nil"/>
              <w:right w:val="nil"/>
            </w:tcBorders>
            <w:vAlign w:val="bottom"/>
          </w:tcPr>
          <w:p w14:paraId="44B8144F" w14:textId="77777777" w:rsidR="00385CAF" w:rsidRPr="00506206" w:rsidRDefault="00385CAF" w:rsidP="003A76BC">
            <w:pPr>
              <w:autoSpaceDE w:val="0"/>
              <w:autoSpaceDN w:val="0"/>
              <w:adjustRightInd w:val="0"/>
              <w:spacing w:line="360" w:lineRule="auto"/>
              <w:rPr>
                <w:rFonts w:ascii="Arial" w:hAnsi="Arial" w:cs="Arial"/>
              </w:rPr>
            </w:pPr>
          </w:p>
        </w:tc>
        <w:tc>
          <w:tcPr>
            <w:tcW w:w="1103" w:type="dxa"/>
            <w:tcBorders>
              <w:top w:val="nil"/>
              <w:left w:val="nil"/>
              <w:bottom w:val="nil"/>
              <w:right w:val="nil"/>
            </w:tcBorders>
            <w:vAlign w:val="bottom"/>
          </w:tcPr>
          <w:p w14:paraId="64EFE327" w14:textId="77777777" w:rsidR="00385CAF" w:rsidRPr="00506206" w:rsidRDefault="00385CAF" w:rsidP="003A76BC">
            <w:pPr>
              <w:autoSpaceDE w:val="0"/>
              <w:autoSpaceDN w:val="0"/>
              <w:adjustRightInd w:val="0"/>
              <w:spacing w:line="360" w:lineRule="auto"/>
              <w:rPr>
                <w:rFonts w:ascii="Arial" w:hAnsi="Arial" w:cs="Arial"/>
              </w:rPr>
            </w:pPr>
          </w:p>
        </w:tc>
      </w:tr>
      <w:tr w:rsidR="00385CAF" w:rsidRPr="00506206" w14:paraId="2A360E78" w14:textId="77777777" w:rsidTr="003A76BC">
        <w:trPr>
          <w:trHeight w:val="225"/>
        </w:trPr>
        <w:tc>
          <w:tcPr>
            <w:tcW w:w="2385" w:type="dxa"/>
            <w:gridSpan w:val="2"/>
            <w:tcBorders>
              <w:top w:val="nil"/>
              <w:left w:val="nil"/>
              <w:bottom w:val="nil"/>
              <w:right w:val="nil"/>
            </w:tcBorders>
            <w:vAlign w:val="bottom"/>
          </w:tcPr>
          <w:p w14:paraId="72EB7897" w14:textId="77777777" w:rsidR="00385CAF" w:rsidRPr="00506206" w:rsidRDefault="00385CAF" w:rsidP="003A76BC">
            <w:pPr>
              <w:autoSpaceDE w:val="0"/>
              <w:autoSpaceDN w:val="0"/>
              <w:adjustRightInd w:val="0"/>
              <w:spacing w:line="360" w:lineRule="auto"/>
              <w:rPr>
                <w:rFonts w:ascii="Arial" w:hAnsi="Arial" w:cs="Arial"/>
              </w:rPr>
            </w:pPr>
            <w:r w:rsidRPr="00506206">
              <w:rPr>
                <w:rFonts w:ascii="Arial" w:hAnsi="Arial" w:cs="Arial"/>
              </w:rPr>
              <w:t>F-statistic</w:t>
            </w:r>
          </w:p>
        </w:tc>
        <w:tc>
          <w:tcPr>
            <w:tcW w:w="1102" w:type="dxa"/>
            <w:tcBorders>
              <w:top w:val="nil"/>
              <w:left w:val="nil"/>
              <w:bottom w:val="nil"/>
              <w:right w:val="nil"/>
            </w:tcBorders>
            <w:vAlign w:val="bottom"/>
          </w:tcPr>
          <w:p w14:paraId="4E7E2341" w14:textId="77777777" w:rsidR="00385CAF" w:rsidRPr="00506206" w:rsidRDefault="00385CAF" w:rsidP="003A76BC">
            <w:pPr>
              <w:autoSpaceDE w:val="0"/>
              <w:autoSpaceDN w:val="0"/>
              <w:adjustRightInd w:val="0"/>
              <w:spacing w:line="360" w:lineRule="auto"/>
              <w:jc w:val="center"/>
              <w:rPr>
                <w:rFonts w:ascii="Arial" w:hAnsi="Arial" w:cs="Arial"/>
              </w:rPr>
            </w:pPr>
          </w:p>
        </w:tc>
        <w:tc>
          <w:tcPr>
            <w:tcW w:w="1103" w:type="dxa"/>
            <w:tcBorders>
              <w:top w:val="nil"/>
              <w:left w:val="nil"/>
              <w:bottom w:val="nil"/>
              <w:right w:val="nil"/>
            </w:tcBorders>
            <w:vAlign w:val="bottom"/>
          </w:tcPr>
          <w:p w14:paraId="581B4BC1" w14:textId="77777777" w:rsidR="00385CAF" w:rsidRPr="00506206" w:rsidRDefault="00385CAF" w:rsidP="003A76BC">
            <w:pPr>
              <w:autoSpaceDE w:val="0"/>
              <w:autoSpaceDN w:val="0"/>
              <w:adjustRightInd w:val="0"/>
              <w:spacing w:line="360" w:lineRule="auto"/>
              <w:ind w:right="10"/>
              <w:jc w:val="right"/>
              <w:rPr>
                <w:rFonts w:ascii="Arial" w:hAnsi="Arial" w:cs="Arial"/>
              </w:rPr>
            </w:pPr>
            <w:r w:rsidRPr="00506206">
              <w:rPr>
                <w:rFonts w:ascii="Arial" w:hAnsi="Arial" w:cs="Arial"/>
              </w:rPr>
              <w:t>21.829</w:t>
            </w:r>
          </w:p>
        </w:tc>
      </w:tr>
      <w:tr w:rsidR="00385CAF" w:rsidRPr="00506206" w14:paraId="5994EC03" w14:textId="77777777" w:rsidTr="003A76BC">
        <w:trPr>
          <w:trHeight w:hRule="exact" w:val="90"/>
        </w:trPr>
        <w:tc>
          <w:tcPr>
            <w:tcW w:w="1282" w:type="dxa"/>
            <w:tcBorders>
              <w:top w:val="nil"/>
              <w:left w:val="nil"/>
              <w:bottom w:val="double" w:sz="6" w:space="0" w:color="auto"/>
              <w:right w:val="nil"/>
            </w:tcBorders>
            <w:vAlign w:val="bottom"/>
          </w:tcPr>
          <w:p w14:paraId="76D5E5E3" w14:textId="77777777" w:rsidR="00385CAF" w:rsidRPr="00506206" w:rsidRDefault="00385CAF" w:rsidP="003A76BC">
            <w:pPr>
              <w:autoSpaceDE w:val="0"/>
              <w:autoSpaceDN w:val="0"/>
              <w:adjustRightInd w:val="0"/>
              <w:spacing w:line="360" w:lineRule="auto"/>
              <w:rPr>
                <w:rFonts w:ascii="Arial" w:hAnsi="Arial" w:cs="Arial"/>
              </w:rPr>
            </w:pPr>
          </w:p>
        </w:tc>
        <w:tc>
          <w:tcPr>
            <w:tcW w:w="1103" w:type="dxa"/>
            <w:tcBorders>
              <w:top w:val="nil"/>
              <w:left w:val="nil"/>
              <w:bottom w:val="double" w:sz="6" w:space="0" w:color="auto"/>
              <w:right w:val="nil"/>
            </w:tcBorders>
            <w:vAlign w:val="bottom"/>
          </w:tcPr>
          <w:p w14:paraId="06E11C92" w14:textId="77777777" w:rsidR="00385CAF" w:rsidRPr="00506206" w:rsidRDefault="00385CAF" w:rsidP="003A76BC">
            <w:pPr>
              <w:autoSpaceDE w:val="0"/>
              <w:autoSpaceDN w:val="0"/>
              <w:adjustRightInd w:val="0"/>
              <w:spacing w:line="360" w:lineRule="auto"/>
              <w:rPr>
                <w:rFonts w:ascii="Arial" w:hAnsi="Arial" w:cs="Arial"/>
              </w:rPr>
            </w:pPr>
          </w:p>
        </w:tc>
        <w:tc>
          <w:tcPr>
            <w:tcW w:w="1102" w:type="dxa"/>
            <w:tcBorders>
              <w:top w:val="nil"/>
              <w:left w:val="nil"/>
              <w:bottom w:val="double" w:sz="6" w:space="0" w:color="auto"/>
              <w:right w:val="nil"/>
            </w:tcBorders>
            <w:vAlign w:val="bottom"/>
          </w:tcPr>
          <w:p w14:paraId="0511BE1F" w14:textId="77777777" w:rsidR="00385CAF" w:rsidRPr="00506206" w:rsidRDefault="00385CAF" w:rsidP="003A76BC">
            <w:pPr>
              <w:autoSpaceDE w:val="0"/>
              <w:autoSpaceDN w:val="0"/>
              <w:adjustRightInd w:val="0"/>
              <w:spacing w:line="360" w:lineRule="auto"/>
              <w:rPr>
                <w:rFonts w:ascii="Arial" w:hAnsi="Arial" w:cs="Arial"/>
              </w:rPr>
            </w:pPr>
          </w:p>
        </w:tc>
        <w:tc>
          <w:tcPr>
            <w:tcW w:w="1103" w:type="dxa"/>
            <w:tcBorders>
              <w:top w:val="nil"/>
              <w:left w:val="nil"/>
              <w:bottom w:val="double" w:sz="6" w:space="0" w:color="auto"/>
              <w:right w:val="nil"/>
            </w:tcBorders>
            <w:vAlign w:val="bottom"/>
          </w:tcPr>
          <w:p w14:paraId="14B75DC4" w14:textId="77777777" w:rsidR="00385CAF" w:rsidRPr="00506206" w:rsidRDefault="00385CAF" w:rsidP="003A76BC">
            <w:pPr>
              <w:autoSpaceDE w:val="0"/>
              <w:autoSpaceDN w:val="0"/>
              <w:adjustRightInd w:val="0"/>
              <w:spacing w:line="360" w:lineRule="auto"/>
              <w:rPr>
                <w:rFonts w:ascii="Arial" w:hAnsi="Arial" w:cs="Arial"/>
              </w:rPr>
            </w:pPr>
          </w:p>
        </w:tc>
      </w:tr>
    </w:tbl>
    <w:p w14:paraId="412F17B1" w14:textId="77777777" w:rsidR="00385CAF" w:rsidRPr="00506206" w:rsidRDefault="00385CAF" w:rsidP="00385CAF">
      <w:pPr>
        <w:pStyle w:val="ListParagraph"/>
        <w:spacing w:after="0" w:line="360" w:lineRule="auto"/>
        <w:ind w:left="1080"/>
        <w:rPr>
          <w:rFonts w:ascii="Arial" w:hAnsi="Arial" w:cs="Arial"/>
          <w:sz w:val="20"/>
          <w:szCs w:val="20"/>
        </w:rPr>
      </w:pPr>
      <w:r w:rsidRPr="00506206">
        <w:rPr>
          <w:rFonts w:ascii="Arial" w:hAnsi="Arial" w:cs="Arial"/>
          <w:b/>
          <w:bCs/>
          <w:sz w:val="20"/>
          <w:szCs w:val="20"/>
          <w:u w:val="single"/>
        </w:rPr>
        <w:t>Bounds Critical Values</w:t>
      </w:r>
    </w:p>
    <w:tbl>
      <w:tblPr>
        <w:tblStyle w:val="TableGrid"/>
        <w:tblW w:w="0" w:type="auto"/>
        <w:tblLook w:val="04A0" w:firstRow="1" w:lastRow="0" w:firstColumn="1" w:lastColumn="0" w:noHBand="0" w:noVBand="1"/>
      </w:tblPr>
      <w:tblGrid>
        <w:gridCol w:w="4673"/>
      </w:tblGrid>
      <w:tr w:rsidR="00385CAF" w:rsidRPr="00506206" w14:paraId="691BC233" w14:textId="77777777" w:rsidTr="003A76BC">
        <w:tc>
          <w:tcPr>
            <w:tcW w:w="4673" w:type="dxa"/>
          </w:tcPr>
          <w:p w14:paraId="46ACAAA8" w14:textId="77777777" w:rsidR="00385CAF" w:rsidRPr="00506206" w:rsidRDefault="00385CAF" w:rsidP="003A76BC">
            <w:pPr>
              <w:spacing w:line="360" w:lineRule="auto"/>
              <w:rPr>
                <w:rFonts w:ascii="Arial" w:hAnsi="Arial" w:cs="Arial"/>
                <w:sz w:val="20"/>
                <w:szCs w:val="20"/>
              </w:rPr>
            </w:pPr>
            <w:proofErr w:type="spellStart"/>
            <w:r w:rsidRPr="00506206">
              <w:rPr>
                <w:rFonts w:ascii="Arial" w:hAnsi="Arial" w:cs="Arial"/>
                <w:sz w:val="20"/>
                <w:szCs w:val="20"/>
              </w:rPr>
              <w:t>Signif</w:t>
            </w:r>
            <w:proofErr w:type="spellEnd"/>
            <w:r w:rsidRPr="00506206">
              <w:rPr>
                <w:rFonts w:ascii="Arial" w:hAnsi="Arial" w:cs="Arial"/>
                <w:sz w:val="20"/>
                <w:szCs w:val="20"/>
              </w:rPr>
              <w:t>.</w:t>
            </w:r>
            <w:r w:rsidRPr="00506206">
              <w:rPr>
                <w:rFonts w:ascii="Arial" w:hAnsi="Arial" w:cs="Arial"/>
                <w:sz w:val="20"/>
                <w:szCs w:val="20"/>
              </w:rPr>
              <w:tab/>
            </w:r>
            <w:r w:rsidRPr="00506206">
              <w:rPr>
                <w:rFonts w:ascii="Arial" w:hAnsi="Arial" w:cs="Arial"/>
                <w:sz w:val="20"/>
                <w:szCs w:val="20"/>
              </w:rPr>
              <w:tab/>
            </w:r>
            <w:proofErr w:type="gramStart"/>
            <w:r w:rsidRPr="00506206">
              <w:rPr>
                <w:rFonts w:ascii="Arial" w:hAnsi="Arial" w:cs="Arial"/>
                <w:sz w:val="20"/>
                <w:szCs w:val="20"/>
              </w:rPr>
              <w:t>I(</w:t>
            </w:r>
            <w:proofErr w:type="gramEnd"/>
            <w:r w:rsidRPr="00506206">
              <w:rPr>
                <w:rFonts w:ascii="Arial" w:hAnsi="Arial" w:cs="Arial"/>
                <w:sz w:val="20"/>
                <w:szCs w:val="20"/>
              </w:rPr>
              <w:t>0) Bound</w:t>
            </w:r>
            <w:r w:rsidRPr="00506206">
              <w:rPr>
                <w:rFonts w:ascii="Arial" w:hAnsi="Arial" w:cs="Arial"/>
                <w:sz w:val="20"/>
                <w:szCs w:val="20"/>
              </w:rPr>
              <w:tab/>
              <w:t>I(1) Bound</w:t>
            </w:r>
          </w:p>
        </w:tc>
      </w:tr>
      <w:tr w:rsidR="00385CAF" w:rsidRPr="00506206" w14:paraId="42D816B2" w14:textId="77777777" w:rsidTr="003A76BC">
        <w:tc>
          <w:tcPr>
            <w:tcW w:w="4673" w:type="dxa"/>
          </w:tcPr>
          <w:p w14:paraId="68F61031"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10%</w:t>
            </w:r>
            <w:r w:rsidRPr="00506206">
              <w:rPr>
                <w:rFonts w:ascii="Arial" w:hAnsi="Arial" w:cs="Arial"/>
                <w:sz w:val="20"/>
                <w:szCs w:val="20"/>
              </w:rPr>
              <w:tab/>
            </w:r>
            <w:r w:rsidRPr="00506206">
              <w:rPr>
                <w:rFonts w:ascii="Arial" w:hAnsi="Arial" w:cs="Arial"/>
                <w:sz w:val="20"/>
                <w:szCs w:val="20"/>
              </w:rPr>
              <w:tab/>
              <w:t>2.131</w:t>
            </w:r>
            <w:r w:rsidRPr="00506206">
              <w:rPr>
                <w:rFonts w:ascii="Arial" w:hAnsi="Arial" w:cs="Arial"/>
                <w:sz w:val="20"/>
                <w:szCs w:val="20"/>
              </w:rPr>
              <w:tab/>
            </w:r>
            <w:r w:rsidRPr="00506206">
              <w:rPr>
                <w:rFonts w:ascii="Arial" w:hAnsi="Arial" w:cs="Arial"/>
                <w:sz w:val="20"/>
                <w:szCs w:val="20"/>
              </w:rPr>
              <w:tab/>
              <w:t>3.223</w:t>
            </w:r>
          </w:p>
        </w:tc>
      </w:tr>
      <w:tr w:rsidR="00385CAF" w:rsidRPr="00506206" w14:paraId="434A25EA" w14:textId="77777777" w:rsidTr="003A76BC">
        <w:tc>
          <w:tcPr>
            <w:tcW w:w="4673" w:type="dxa"/>
          </w:tcPr>
          <w:p w14:paraId="76EB7DE8"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5%</w:t>
            </w:r>
            <w:r w:rsidRPr="00506206">
              <w:rPr>
                <w:rFonts w:ascii="Arial" w:hAnsi="Arial" w:cs="Arial"/>
                <w:sz w:val="20"/>
                <w:szCs w:val="20"/>
              </w:rPr>
              <w:tab/>
            </w:r>
            <w:r w:rsidRPr="00506206">
              <w:rPr>
                <w:rFonts w:ascii="Arial" w:hAnsi="Arial" w:cs="Arial"/>
                <w:sz w:val="20"/>
                <w:szCs w:val="20"/>
              </w:rPr>
              <w:tab/>
              <w:t>2.504</w:t>
            </w:r>
            <w:r w:rsidRPr="00506206">
              <w:rPr>
                <w:rFonts w:ascii="Arial" w:hAnsi="Arial" w:cs="Arial"/>
                <w:sz w:val="20"/>
                <w:szCs w:val="20"/>
              </w:rPr>
              <w:tab/>
            </w:r>
            <w:r w:rsidRPr="00506206">
              <w:rPr>
                <w:rFonts w:ascii="Arial" w:hAnsi="Arial" w:cs="Arial"/>
                <w:sz w:val="20"/>
                <w:szCs w:val="20"/>
              </w:rPr>
              <w:tab/>
              <w:t>3.723</w:t>
            </w:r>
          </w:p>
        </w:tc>
      </w:tr>
      <w:tr w:rsidR="00385CAF" w:rsidRPr="00506206" w14:paraId="4868C804" w14:textId="77777777" w:rsidTr="003A76BC">
        <w:tc>
          <w:tcPr>
            <w:tcW w:w="4673" w:type="dxa"/>
          </w:tcPr>
          <w:p w14:paraId="0E9D6CEF"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1%</w:t>
            </w:r>
            <w:r w:rsidRPr="00506206">
              <w:rPr>
                <w:rFonts w:ascii="Arial" w:hAnsi="Arial" w:cs="Arial"/>
                <w:sz w:val="20"/>
                <w:szCs w:val="20"/>
              </w:rPr>
              <w:tab/>
            </w:r>
            <w:r w:rsidRPr="00506206">
              <w:rPr>
                <w:rFonts w:ascii="Arial" w:hAnsi="Arial" w:cs="Arial"/>
                <w:sz w:val="20"/>
                <w:szCs w:val="20"/>
              </w:rPr>
              <w:tab/>
              <w:t>3.383</w:t>
            </w:r>
            <w:r w:rsidRPr="00506206">
              <w:rPr>
                <w:rFonts w:ascii="Arial" w:hAnsi="Arial" w:cs="Arial"/>
                <w:sz w:val="20"/>
                <w:szCs w:val="20"/>
              </w:rPr>
              <w:tab/>
            </w:r>
            <w:r w:rsidRPr="00506206">
              <w:rPr>
                <w:rFonts w:ascii="Arial" w:hAnsi="Arial" w:cs="Arial"/>
                <w:sz w:val="20"/>
                <w:szCs w:val="20"/>
              </w:rPr>
              <w:tab/>
              <w:t>4.832</w:t>
            </w:r>
          </w:p>
        </w:tc>
      </w:tr>
    </w:tbl>
    <w:p w14:paraId="76CE2E52" w14:textId="77777777" w:rsidR="00385CAF" w:rsidRPr="00506206" w:rsidRDefault="00385CAF" w:rsidP="00385CAF">
      <w:pPr>
        <w:spacing w:line="360" w:lineRule="auto"/>
        <w:rPr>
          <w:rFonts w:ascii="Arial" w:hAnsi="Arial" w:cs="Arial"/>
          <w:b/>
          <w:bCs/>
        </w:rPr>
      </w:pPr>
      <w:r w:rsidRPr="00506206">
        <w:rPr>
          <w:rFonts w:ascii="Arial" w:hAnsi="Arial" w:cs="Arial"/>
          <w:b/>
          <w:bCs/>
        </w:rPr>
        <w:t xml:space="preserve">Source: Author’s computation using EViews 13 </w:t>
      </w:r>
    </w:p>
    <w:p w14:paraId="5ED3FD11" w14:textId="77777777" w:rsidR="00385CAF" w:rsidRPr="00506206" w:rsidRDefault="00385CAF" w:rsidP="00385CAF">
      <w:pPr>
        <w:jc w:val="both"/>
        <w:rPr>
          <w:rFonts w:ascii="Arial" w:hAnsi="Arial" w:cs="Arial"/>
        </w:rPr>
      </w:pPr>
      <w:r w:rsidRPr="00506206">
        <w:rPr>
          <w:rFonts w:ascii="Arial" w:hAnsi="Arial" w:cs="Arial"/>
        </w:rPr>
        <w:t>The existence of a long-run relationship was confirmed using the Bounds test for cointegration. The computed F-statistic for the existence of cointegration is 21.828, as summarized in Table 5. This exceeds the critical values I (1) of 4.832 at the 1% significance level and I (1) 3.723 at the 5% significance level. Therefore, the null hypothesis of no cointegration is rejected (cointegrating relationship is present).</w:t>
      </w:r>
    </w:p>
    <w:p w14:paraId="05A069FE" w14:textId="77777777" w:rsidR="00385CAF" w:rsidRPr="00506206" w:rsidRDefault="00385CAF" w:rsidP="00385CAF">
      <w:pPr>
        <w:spacing w:line="360" w:lineRule="auto"/>
        <w:rPr>
          <w:rFonts w:ascii="Arial" w:hAnsi="Arial" w:cs="Arial"/>
          <w:b/>
          <w:bCs/>
        </w:rPr>
      </w:pPr>
      <w:r w:rsidRPr="00506206">
        <w:rPr>
          <w:rFonts w:ascii="Arial" w:hAnsi="Arial" w:cs="Arial"/>
          <w:b/>
          <w:bCs/>
        </w:rPr>
        <w:t>4.6. Long-Run Estimation Results</w:t>
      </w:r>
    </w:p>
    <w:p w14:paraId="760EEF91" w14:textId="77777777" w:rsidR="00385CAF" w:rsidRPr="00506206" w:rsidRDefault="00385CAF" w:rsidP="00385CAF">
      <w:pPr>
        <w:jc w:val="both"/>
        <w:rPr>
          <w:rFonts w:ascii="Arial" w:hAnsi="Arial" w:cs="Arial"/>
        </w:rPr>
      </w:pPr>
      <w:r w:rsidRPr="00506206">
        <w:rPr>
          <w:rFonts w:ascii="Arial" w:hAnsi="Arial" w:cs="Arial"/>
        </w:rPr>
        <w:lastRenderedPageBreak/>
        <w:t xml:space="preserve">The long-run coefficients estimated from the ARDL model are presented in Table 6. Both the fiscal deficit (FD) and public debt (PD) have a significant, negative long-run effect on inflation, with coefficients of -7.232 (p=0.0105) and -0.766 (p=0.045), respectively. The interaction term (FD*PD) provides a negative but insignificant estimate of the long-run coefficient (-0.096, p=0.173). The control variables are all significantly positively correlated with inflation in the long run-in terms of exchange rate (LEXR, coefficient = 4.657, p=0.0003), money supply (M2, coefficient = 0.926, p=0.0003), and lending rate (LR, coefficient = 4.254, p=0.0003). The results show that real GDP growth (RGDPG) is an insignificant long-run determinant of inflation (p=0.913). </w:t>
      </w:r>
    </w:p>
    <w:p w14:paraId="360973A7" w14:textId="77777777" w:rsidR="00385CAF" w:rsidRPr="00506206" w:rsidRDefault="00385CAF" w:rsidP="00385CAF">
      <w:pPr>
        <w:spacing w:line="360" w:lineRule="auto"/>
        <w:rPr>
          <w:rFonts w:ascii="Arial" w:hAnsi="Arial" w:cs="Arial"/>
          <w:b/>
          <w:bCs/>
        </w:rPr>
      </w:pPr>
      <w:r w:rsidRPr="00506206">
        <w:rPr>
          <w:rFonts w:ascii="Arial" w:hAnsi="Arial" w:cs="Arial"/>
          <w:b/>
          <w:bCs/>
        </w:rPr>
        <w:t>Table 6: Long-Run Coefficients (Dependent Variable: INF)</w:t>
      </w:r>
    </w:p>
    <w:tbl>
      <w:tblPr>
        <w:tblStyle w:val="TableGrid"/>
        <w:tblW w:w="0" w:type="auto"/>
        <w:tblLook w:val="04A0" w:firstRow="1" w:lastRow="0" w:firstColumn="1" w:lastColumn="0" w:noHBand="0" w:noVBand="1"/>
      </w:tblPr>
      <w:tblGrid>
        <w:gridCol w:w="6799"/>
      </w:tblGrid>
      <w:tr w:rsidR="00385CAF" w:rsidRPr="00506206" w14:paraId="4CB129AC" w14:textId="77777777" w:rsidTr="003A76BC">
        <w:tc>
          <w:tcPr>
            <w:tcW w:w="6799" w:type="dxa"/>
          </w:tcPr>
          <w:p w14:paraId="23A6AFC0"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Variable</w:t>
            </w:r>
            <w:r w:rsidRPr="00506206">
              <w:rPr>
                <w:rFonts w:ascii="Arial" w:hAnsi="Arial" w:cs="Arial"/>
                <w:sz w:val="20"/>
                <w:szCs w:val="20"/>
              </w:rPr>
              <w:tab/>
              <w:t>Coefficient</w:t>
            </w:r>
            <w:r w:rsidRPr="00506206">
              <w:rPr>
                <w:rFonts w:ascii="Arial" w:hAnsi="Arial" w:cs="Arial"/>
                <w:sz w:val="20"/>
                <w:szCs w:val="20"/>
              </w:rPr>
              <w:tab/>
              <w:t>Std. Error</w:t>
            </w:r>
            <w:r w:rsidRPr="00506206">
              <w:rPr>
                <w:rFonts w:ascii="Arial" w:hAnsi="Arial" w:cs="Arial"/>
                <w:sz w:val="20"/>
                <w:szCs w:val="20"/>
              </w:rPr>
              <w:tab/>
              <w:t>t-Statistic</w:t>
            </w:r>
            <w:r w:rsidRPr="00506206">
              <w:rPr>
                <w:rFonts w:ascii="Arial" w:hAnsi="Arial" w:cs="Arial"/>
                <w:sz w:val="20"/>
                <w:szCs w:val="20"/>
              </w:rPr>
              <w:tab/>
              <w:t>Prob.</w:t>
            </w:r>
          </w:p>
        </w:tc>
      </w:tr>
      <w:tr w:rsidR="00385CAF" w:rsidRPr="00506206" w14:paraId="4E3C8771" w14:textId="77777777" w:rsidTr="003A76BC">
        <w:tc>
          <w:tcPr>
            <w:tcW w:w="6799" w:type="dxa"/>
          </w:tcPr>
          <w:p w14:paraId="43988BEB"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FD</w:t>
            </w:r>
            <w:r w:rsidRPr="00506206">
              <w:rPr>
                <w:rFonts w:ascii="Arial" w:hAnsi="Arial" w:cs="Arial"/>
                <w:sz w:val="20"/>
                <w:szCs w:val="20"/>
              </w:rPr>
              <w:tab/>
            </w:r>
            <w:r w:rsidRPr="00506206">
              <w:rPr>
                <w:rFonts w:ascii="Arial" w:hAnsi="Arial" w:cs="Arial"/>
                <w:sz w:val="20"/>
                <w:szCs w:val="20"/>
              </w:rPr>
              <w:tab/>
              <w:t>-7.23</w:t>
            </w:r>
            <w:r>
              <w:rPr>
                <w:rFonts w:ascii="Arial" w:hAnsi="Arial" w:cs="Arial"/>
                <w:sz w:val="20"/>
                <w:szCs w:val="20"/>
              </w:rPr>
              <w:t xml:space="preserve">3  </w:t>
            </w:r>
            <w:r w:rsidRPr="00506206">
              <w:rPr>
                <w:rFonts w:ascii="Arial" w:hAnsi="Arial" w:cs="Arial"/>
                <w:sz w:val="20"/>
                <w:szCs w:val="20"/>
              </w:rPr>
              <w:t xml:space="preserve"> </w:t>
            </w:r>
            <w:r w:rsidRPr="00506206">
              <w:rPr>
                <w:rFonts w:ascii="Arial" w:hAnsi="Arial" w:cs="Arial"/>
                <w:sz w:val="20"/>
                <w:szCs w:val="20"/>
              </w:rPr>
              <w:tab/>
              <w:t>2.675</w:t>
            </w:r>
            <w:r>
              <w:rPr>
                <w:rFonts w:ascii="Arial" w:hAnsi="Arial" w:cs="Arial"/>
                <w:sz w:val="20"/>
                <w:szCs w:val="20"/>
              </w:rPr>
              <w:t xml:space="preserve"> </w:t>
            </w:r>
            <w:r w:rsidRPr="00506206">
              <w:rPr>
                <w:rFonts w:ascii="Arial" w:hAnsi="Arial" w:cs="Arial"/>
                <w:sz w:val="20"/>
                <w:szCs w:val="20"/>
              </w:rPr>
              <w:t xml:space="preserve">   </w:t>
            </w:r>
            <w:r w:rsidRPr="00506206">
              <w:rPr>
                <w:rFonts w:ascii="Arial" w:hAnsi="Arial" w:cs="Arial"/>
                <w:sz w:val="20"/>
                <w:szCs w:val="20"/>
              </w:rPr>
              <w:tab/>
              <w:t>-2.70</w:t>
            </w:r>
            <w:r>
              <w:rPr>
                <w:rFonts w:ascii="Arial" w:hAnsi="Arial" w:cs="Arial"/>
                <w:sz w:val="20"/>
                <w:szCs w:val="20"/>
              </w:rPr>
              <w:t xml:space="preserve">4  </w:t>
            </w:r>
            <w:r w:rsidRPr="00506206">
              <w:rPr>
                <w:rFonts w:ascii="Arial" w:hAnsi="Arial" w:cs="Arial"/>
                <w:sz w:val="20"/>
                <w:szCs w:val="20"/>
              </w:rPr>
              <w:t xml:space="preserve"> </w:t>
            </w:r>
            <w:r w:rsidRPr="00506206">
              <w:rPr>
                <w:rFonts w:ascii="Arial" w:hAnsi="Arial" w:cs="Arial"/>
                <w:sz w:val="20"/>
                <w:szCs w:val="20"/>
              </w:rPr>
              <w:tab/>
              <w:t>0.01</w:t>
            </w:r>
            <w:r>
              <w:rPr>
                <w:rFonts w:ascii="Arial" w:hAnsi="Arial" w:cs="Arial"/>
                <w:sz w:val="20"/>
                <w:szCs w:val="20"/>
              </w:rPr>
              <w:t>1</w:t>
            </w:r>
          </w:p>
        </w:tc>
      </w:tr>
      <w:tr w:rsidR="00385CAF" w:rsidRPr="00506206" w14:paraId="39F54011" w14:textId="77777777" w:rsidTr="003A76BC">
        <w:tc>
          <w:tcPr>
            <w:tcW w:w="6799" w:type="dxa"/>
          </w:tcPr>
          <w:p w14:paraId="0324E86D"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PD</w:t>
            </w:r>
            <w:r w:rsidRPr="00506206">
              <w:rPr>
                <w:rFonts w:ascii="Arial" w:hAnsi="Arial" w:cs="Arial"/>
                <w:sz w:val="20"/>
                <w:szCs w:val="20"/>
              </w:rPr>
              <w:tab/>
            </w:r>
            <w:r w:rsidRPr="00506206">
              <w:rPr>
                <w:rFonts w:ascii="Arial" w:hAnsi="Arial" w:cs="Arial"/>
                <w:sz w:val="20"/>
                <w:szCs w:val="20"/>
              </w:rPr>
              <w:tab/>
              <w:t>-0.766</w:t>
            </w:r>
            <w:r>
              <w:rPr>
                <w:rFonts w:ascii="Arial" w:hAnsi="Arial" w:cs="Arial"/>
                <w:sz w:val="20"/>
                <w:szCs w:val="20"/>
              </w:rPr>
              <w:t xml:space="preserve">  </w:t>
            </w:r>
            <w:r w:rsidRPr="00506206">
              <w:rPr>
                <w:rFonts w:ascii="Arial" w:hAnsi="Arial" w:cs="Arial"/>
                <w:sz w:val="20"/>
                <w:szCs w:val="20"/>
              </w:rPr>
              <w:t xml:space="preserve"> </w:t>
            </w:r>
            <w:r w:rsidRPr="00506206">
              <w:rPr>
                <w:rFonts w:ascii="Arial" w:hAnsi="Arial" w:cs="Arial"/>
                <w:sz w:val="20"/>
                <w:szCs w:val="20"/>
              </w:rPr>
              <w:tab/>
              <w:t xml:space="preserve">0.369  </w:t>
            </w:r>
            <w:r>
              <w:rPr>
                <w:rFonts w:ascii="Arial" w:hAnsi="Arial" w:cs="Arial"/>
                <w:sz w:val="20"/>
                <w:szCs w:val="20"/>
              </w:rPr>
              <w:t xml:space="preserve"> </w:t>
            </w:r>
            <w:r w:rsidRPr="00506206">
              <w:rPr>
                <w:rFonts w:ascii="Arial" w:hAnsi="Arial" w:cs="Arial"/>
                <w:sz w:val="20"/>
                <w:szCs w:val="20"/>
              </w:rPr>
              <w:t xml:space="preserve"> </w:t>
            </w:r>
            <w:r w:rsidRPr="00506206">
              <w:rPr>
                <w:rFonts w:ascii="Arial" w:hAnsi="Arial" w:cs="Arial"/>
                <w:sz w:val="20"/>
                <w:szCs w:val="20"/>
              </w:rPr>
              <w:tab/>
              <w:t>-2.077</w:t>
            </w:r>
            <w:r>
              <w:rPr>
                <w:rFonts w:ascii="Arial" w:hAnsi="Arial" w:cs="Arial"/>
                <w:sz w:val="20"/>
                <w:szCs w:val="20"/>
              </w:rPr>
              <w:t xml:space="preserve">  </w:t>
            </w:r>
            <w:r w:rsidRPr="00506206">
              <w:rPr>
                <w:rFonts w:ascii="Arial" w:hAnsi="Arial" w:cs="Arial"/>
                <w:sz w:val="20"/>
                <w:szCs w:val="20"/>
              </w:rPr>
              <w:t xml:space="preserve"> </w:t>
            </w:r>
            <w:r w:rsidRPr="00506206">
              <w:rPr>
                <w:rFonts w:ascii="Arial" w:hAnsi="Arial" w:cs="Arial"/>
                <w:sz w:val="20"/>
                <w:szCs w:val="20"/>
              </w:rPr>
              <w:tab/>
              <w:t>0.045</w:t>
            </w:r>
          </w:p>
        </w:tc>
      </w:tr>
      <w:tr w:rsidR="00385CAF" w:rsidRPr="00506206" w14:paraId="08096D9E" w14:textId="77777777" w:rsidTr="003A76BC">
        <w:tc>
          <w:tcPr>
            <w:tcW w:w="6799" w:type="dxa"/>
          </w:tcPr>
          <w:p w14:paraId="10A794F0"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FD_PD</w:t>
            </w:r>
            <w:r>
              <w:rPr>
                <w:rFonts w:ascii="Arial" w:hAnsi="Arial" w:cs="Arial"/>
                <w:sz w:val="20"/>
                <w:szCs w:val="20"/>
              </w:rPr>
              <w:t xml:space="preserve">   </w:t>
            </w:r>
            <w:r w:rsidRPr="00506206">
              <w:rPr>
                <w:rFonts w:ascii="Arial" w:hAnsi="Arial" w:cs="Arial"/>
                <w:sz w:val="20"/>
                <w:szCs w:val="20"/>
              </w:rPr>
              <w:tab/>
              <w:t>-0.096</w:t>
            </w:r>
            <w:r>
              <w:rPr>
                <w:rFonts w:ascii="Arial" w:hAnsi="Arial" w:cs="Arial"/>
                <w:sz w:val="20"/>
                <w:szCs w:val="20"/>
              </w:rPr>
              <w:t xml:space="preserve">  </w:t>
            </w:r>
            <w:r w:rsidRPr="00506206">
              <w:rPr>
                <w:rFonts w:ascii="Arial" w:hAnsi="Arial" w:cs="Arial"/>
                <w:sz w:val="20"/>
                <w:szCs w:val="20"/>
              </w:rPr>
              <w:t xml:space="preserve"> </w:t>
            </w:r>
            <w:r w:rsidRPr="00506206">
              <w:rPr>
                <w:rFonts w:ascii="Arial" w:hAnsi="Arial" w:cs="Arial"/>
                <w:sz w:val="20"/>
                <w:szCs w:val="20"/>
              </w:rPr>
              <w:tab/>
              <w:t>0.069</w:t>
            </w:r>
            <w:r>
              <w:rPr>
                <w:rFonts w:ascii="Arial" w:hAnsi="Arial" w:cs="Arial"/>
                <w:sz w:val="20"/>
                <w:szCs w:val="20"/>
              </w:rPr>
              <w:t xml:space="preserve"> </w:t>
            </w:r>
            <w:r w:rsidRPr="00506206">
              <w:rPr>
                <w:rFonts w:ascii="Arial" w:hAnsi="Arial" w:cs="Arial"/>
                <w:sz w:val="20"/>
                <w:szCs w:val="20"/>
              </w:rPr>
              <w:t xml:space="preserve">   </w:t>
            </w:r>
            <w:r w:rsidRPr="00506206">
              <w:rPr>
                <w:rFonts w:ascii="Arial" w:hAnsi="Arial" w:cs="Arial"/>
                <w:sz w:val="20"/>
                <w:szCs w:val="20"/>
              </w:rPr>
              <w:tab/>
              <w:t>-1.3</w:t>
            </w:r>
            <w:r>
              <w:rPr>
                <w:rFonts w:ascii="Arial" w:hAnsi="Arial" w:cs="Arial"/>
                <w:sz w:val="20"/>
                <w:szCs w:val="20"/>
              </w:rPr>
              <w:t xml:space="preserve">90  </w:t>
            </w:r>
            <w:r w:rsidRPr="00506206">
              <w:rPr>
                <w:rFonts w:ascii="Arial" w:hAnsi="Arial" w:cs="Arial"/>
                <w:sz w:val="20"/>
                <w:szCs w:val="20"/>
              </w:rPr>
              <w:t xml:space="preserve"> </w:t>
            </w:r>
            <w:r w:rsidRPr="00506206">
              <w:rPr>
                <w:rFonts w:ascii="Arial" w:hAnsi="Arial" w:cs="Arial"/>
                <w:sz w:val="20"/>
                <w:szCs w:val="20"/>
              </w:rPr>
              <w:tab/>
              <w:t>0.173</w:t>
            </w:r>
          </w:p>
        </w:tc>
      </w:tr>
      <w:tr w:rsidR="00385CAF" w:rsidRPr="00506206" w14:paraId="76EC27E1" w14:textId="77777777" w:rsidTr="003A76BC">
        <w:tc>
          <w:tcPr>
            <w:tcW w:w="6799" w:type="dxa"/>
          </w:tcPr>
          <w:p w14:paraId="6CBF033D"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LEXR</w:t>
            </w:r>
            <w:r w:rsidRPr="00506206">
              <w:rPr>
                <w:rFonts w:ascii="Arial" w:hAnsi="Arial" w:cs="Arial"/>
                <w:sz w:val="20"/>
                <w:szCs w:val="20"/>
              </w:rPr>
              <w:tab/>
            </w:r>
            <w:r w:rsidRPr="00506206">
              <w:rPr>
                <w:rFonts w:ascii="Arial" w:hAnsi="Arial" w:cs="Arial"/>
                <w:sz w:val="20"/>
                <w:szCs w:val="20"/>
              </w:rPr>
              <w:tab/>
            </w:r>
            <w:r>
              <w:rPr>
                <w:rFonts w:ascii="Arial" w:hAnsi="Arial" w:cs="Arial"/>
                <w:sz w:val="20"/>
                <w:szCs w:val="20"/>
              </w:rPr>
              <w:t xml:space="preserve"> </w:t>
            </w:r>
            <w:r w:rsidRPr="00506206">
              <w:rPr>
                <w:rFonts w:ascii="Arial" w:hAnsi="Arial" w:cs="Arial"/>
                <w:sz w:val="20"/>
                <w:szCs w:val="20"/>
              </w:rPr>
              <w:t>4.65</w:t>
            </w:r>
            <w:r>
              <w:rPr>
                <w:rFonts w:ascii="Arial" w:hAnsi="Arial" w:cs="Arial"/>
                <w:sz w:val="20"/>
                <w:szCs w:val="20"/>
              </w:rPr>
              <w:t xml:space="preserve">8 </w:t>
            </w:r>
            <w:r w:rsidRPr="00506206">
              <w:rPr>
                <w:rFonts w:ascii="Arial" w:hAnsi="Arial" w:cs="Arial"/>
                <w:sz w:val="20"/>
                <w:szCs w:val="20"/>
              </w:rPr>
              <w:t xml:space="preserve">   </w:t>
            </w:r>
            <w:r w:rsidRPr="00506206">
              <w:rPr>
                <w:rFonts w:ascii="Arial" w:hAnsi="Arial" w:cs="Arial"/>
                <w:sz w:val="20"/>
                <w:szCs w:val="20"/>
              </w:rPr>
              <w:tab/>
              <w:t>1.15</w:t>
            </w:r>
            <w:r>
              <w:rPr>
                <w:rFonts w:ascii="Arial" w:hAnsi="Arial" w:cs="Arial"/>
                <w:sz w:val="20"/>
                <w:szCs w:val="20"/>
              </w:rPr>
              <w:t xml:space="preserve">6 </w:t>
            </w:r>
            <w:r w:rsidRPr="00506206">
              <w:rPr>
                <w:rFonts w:ascii="Arial" w:hAnsi="Arial" w:cs="Arial"/>
                <w:sz w:val="20"/>
                <w:szCs w:val="20"/>
              </w:rPr>
              <w:t xml:space="preserve">   </w:t>
            </w:r>
            <w:r w:rsidRPr="00506206">
              <w:rPr>
                <w:rFonts w:ascii="Arial" w:hAnsi="Arial" w:cs="Arial"/>
                <w:sz w:val="20"/>
                <w:szCs w:val="20"/>
              </w:rPr>
              <w:tab/>
              <w:t xml:space="preserve"> 4.030   </w:t>
            </w:r>
            <w:r w:rsidRPr="00506206">
              <w:rPr>
                <w:rFonts w:ascii="Arial" w:hAnsi="Arial" w:cs="Arial"/>
                <w:sz w:val="20"/>
                <w:szCs w:val="20"/>
              </w:rPr>
              <w:tab/>
              <w:t>0.000</w:t>
            </w:r>
          </w:p>
        </w:tc>
      </w:tr>
      <w:tr w:rsidR="00385CAF" w:rsidRPr="00506206" w14:paraId="39052644" w14:textId="77777777" w:rsidTr="003A76BC">
        <w:tc>
          <w:tcPr>
            <w:tcW w:w="6799" w:type="dxa"/>
          </w:tcPr>
          <w:p w14:paraId="5CC2D228"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M2</w:t>
            </w:r>
            <w:r w:rsidRPr="00506206">
              <w:rPr>
                <w:rFonts w:ascii="Arial" w:hAnsi="Arial" w:cs="Arial"/>
                <w:sz w:val="20"/>
                <w:szCs w:val="20"/>
              </w:rPr>
              <w:tab/>
            </w:r>
            <w:r w:rsidRPr="00506206">
              <w:rPr>
                <w:rFonts w:ascii="Arial" w:hAnsi="Arial" w:cs="Arial"/>
                <w:sz w:val="20"/>
                <w:szCs w:val="20"/>
              </w:rPr>
              <w:tab/>
            </w:r>
            <w:r>
              <w:rPr>
                <w:rFonts w:ascii="Arial" w:hAnsi="Arial" w:cs="Arial"/>
                <w:sz w:val="20"/>
                <w:szCs w:val="20"/>
              </w:rPr>
              <w:t xml:space="preserve"> </w:t>
            </w:r>
            <w:r w:rsidRPr="00506206">
              <w:rPr>
                <w:rFonts w:ascii="Arial" w:hAnsi="Arial" w:cs="Arial"/>
                <w:sz w:val="20"/>
                <w:szCs w:val="20"/>
              </w:rPr>
              <w:t xml:space="preserve">0.927 </w:t>
            </w:r>
            <w:r>
              <w:rPr>
                <w:rFonts w:ascii="Arial" w:hAnsi="Arial" w:cs="Arial"/>
                <w:sz w:val="20"/>
                <w:szCs w:val="20"/>
              </w:rPr>
              <w:t xml:space="preserve"> </w:t>
            </w:r>
            <w:r w:rsidRPr="00506206">
              <w:rPr>
                <w:rFonts w:ascii="Arial" w:hAnsi="Arial" w:cs="Arial"/>
                <w:sz w:val="20"/>
                <w:szCs w:val="20"/>
              </w:rPr>
              <w:t xml:space="preserve">  </w:t>
            </w:r>
            <w:r w:rsidRPr="00506206">
              <w:rPr>
                <w:rFonts w:ascii="Arial" w:hAnsi="Arial" w:cs="Arial"/>
                <w:sz w:val="20"/>
                <w:szCs w:val="20"/>
              </w:rPr>
              <w:tab/>
              <w:t>0.232</w:t>
            </w:r>
            <w:r>
              <w:rPr>
                <w:rFonts w:ascii="Arial" w:hAnsi="Arial" w:cs="Arial"/>
                <w:sz w:val="20"/>
                <w:szCs w:val="20"/>
              </w:rPr>
              <w:t xml:space="preserve"> </w:t>
            </w:r>
            <w:r w:rsidRPr="00506206">
              <w:rPr>
                <w:rFonts w:ascii="Arial" w:hAnsi="Arial" w:cs="Arial"/>
                <w:sz w:val="20"/>
                <w:szCs w:val="20"/>
              </w:rPr>
              <w:t xml:space="preserve">   </w:t>
            </w:r>
            <w:r w:rsidRPr="00506206">
              <w:rPr>
                <w:rFonts w:ascii="Arial" w:hAnsi="Arial" w:cs="Arial"/>
                <w:sz w:val="20"/>
                <w:szCs w:val="20"/>
              </w:rPr>
              <w:tab/>
              <w:t>3.991</w:t>
            </w:r>
            <w:r>
              <w:rPr>
                <w:rFonts w:ascii="Arial" w:hAnsi="Arial" w:cs="Arial"/>
                <w:sz w:val="20"/>
                <w:szCs w:val="20"/>
              </w:rPr>
              <w:t xml:space="preserve"> </w:t>
            </w:r>
            <w:r w:rsidRPr="00506206">
              <w:rPr>
                <w:rFonts w:ascii="Arial" w:hAnsi="Arial" w:cs="Arial"/>
                <w:sz w:val="20"/>
                <w:szCs w:val="20"/>
              </w:rPr>
              <w:t xml:space="preserve">   </w:t>
            </w:r>
            <w:r w:rsidRPr="00506206">
              <w:rPr>
                <w:rFonts w:ascii="Arial" w:hAnsi="Arial" w:cs="Arial"/>
                <w:sz w:val="20"/>
                <w:szCs w:val="20"/>
              </w:rPr>
              <w:tab/>
              <w:t>0.000</w:t>
            </w:r>
          </w:p>
        </w:tc>
      </w:tr>
      <w:tr w:rsidR="00385CAF" w:rsidRPr="00506206" w14:paraId="4B6B2EC7" w14:textId="77777777" w:rsidTr="003A76BC">
        <w:tc>
          <w:tcPr>
            <w:tcW w:w="6799" w:type="dxa"/>
          </w:tcPr>
          <w:p w14:paraId="1599E176"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RGDPG</w:t>
            </w:r>
            <w:r w:rsidRPr="00506206">
              <w:rPr>
                <w:rFonts w:ascii="Arial" w:hAnsi="Arial" w:cs="Arial"/>
                <w:sz w:val="20"/>
                <w:szCs w:val="20"/>
              </w:rPr>
              <w:tab/>
              <w:t>-0.0</w:t>
            </w:r>
            <w:r>
              <w:rPr>
                <w:rFonts w:ascii="Arial" w:hAnsi="Arial" w:cs="Arial"/>
                <w:sz w:val="20"/>
                <w:szCs w:val="20"/>
              </w:rPr>
              <w:t xml:space="preserve">80  </w:t>
            </w:r>
            <w:r w:rsidRPr="00506206">
              <w:rPr>
                <w:rFonts w:ascii="Arial" w:hAnsi="Arial" w:cs="Arial"/>
                <w:sz w:val="20"/>
                <w:szCs w:val="20"/>
              </w:rPr>
              <w:t xml:space="preserve"> </w:t>
            </w:r>
            <w:r w:rsidRPr="00506206">
              <w:rPr>
                <w:rFonts w:ascii="Arial" w:hAnsi="Arial" w:cs="Arial"/>
                <w:sz w:val="20"/>
                <w:szCs w:val="20"/>
              </w:rPr>
              <w:tab/>
              <w:t>0.723</w:t>
            </w:r>
            <w:r>
              <w:rPr>
                <w:rFonts w:ascii="Arial" w:hAnsi="Arial" w:cs="Arial"/>
                <w:sz w:val="20"/>
                <w:szCs w:val="20"/>
              </w:rPr>
              <w:t xml:space="preserve"> </w:t>
            </w:r>
            <w:r w:rsidRPr="00506206">
              <w:rPr>
                <w:rFonts w:ascii="Arial" w:hAnsi="Arial" w:cs="Arial"/>
                <w:sz w:val="20"/>
                <w:szCs w:val="20"/>
              </w:rPr>
              <w:t xml:space="preserve">   </w:t>
            </w:r>
            <w:r w:rsidRPr="00506206">
              <w:rPr>
                <w:rFonts w:ascii="Arial" w:hAnsi="Arial" w:cs="Arial"/>
                <w:sz w:val="20"/>
                <w:szCs w:val="20"/>
              </w:rPr>
              <w:tab/>
              <w:t>-0.1</w:t>
            </w:r>
            <w:r>
              <w:rPr>
                <w:rFonts w:ascii="Arial" w:hAnsi="Arial" w:cs="Arial"/>
                <w:sz w:val="20"/>
                <w:szCs w:val="20"/>
              </w:rPr>
              <w:t>1</w:t>
            </w:r>
            <w:r w:rsidRPr="00506206">
              <w:rPr>
                <w:rFonts w:ascii="Arial" w:hAnsi="Arial" w:cs="Arial"/>
                <w:sz w:val="20"/>
                <w:szCs w:val="20"/>
              </w:rPr>
              <w:t>0</w:t>
            </w:r>
            <w:r>
              <w:rPr>
                <w:rFonts w:ascii="Arial" w:hAnsi="Arial" w:cs="Arial"/>
                <w:sz w:val="20"/>
                <w:szCs w:val="20"/>
              </w:rPr>
              <w:t xml:space="preserve">  </w:t>
            </w:r>
            <w:r w:rsidRPr="00506206">
              <w:rPr>
                <w:rFonts w:ascii="Arial" w:hAnsi="Arial" w:cs="Arial"/>
                <w:sz w:val="20"/>
                <w:szCs w:val="20"/>
              </w:rPr>
              <w:t xml:space="preserve"> </w:t>
            </w:r>
            <w:r w:rsidRPr="00506206">
              <w:rPr>
                <w:rFonts w:ascii="Arial" w:hAnsi="Arial" w:cs="Arial"/>
                <w:sz w:val="20"/>
                <w:szCs w:val="20"/>
              </w:rPr>
              <w:tab/>
              <w:t>0.913</w:t>
            </w:r>
          </w:p>
        </w:tc>
      </w:tr>
      <w:tr w:rsidR="00385CAF" w:rsidRPr="00506206" w14:paraId="7A655671" w14:textId="77777777" w:rsidTr="003A76BC">
        <w:tc>
          <w:tcPr>
            <w:tcW w:w="6799" w:type="dxa"/>
          </w:tcPr>
          <w:p w14:paraId="69EE69FF"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LR</w:t>
            </w:r>
            <w:r w:rsidRPr="00506206">
              <w:rPr>
                <w:rFonts w:ascii="Arial" w:hAnsi="Arial" w:cs="Arial"/>
                <w:sz w:val="20"/>
                <w:szCs w:val="20"/>
              </w:rPr>
              <w:tab/>
            </w:r>
            <w:r w:rsidRPr="00506206">
              <w:rPr>
                <w:rFonts w:ascii="Arial" w:hAnsi="Arial" w:cs="Arial"/>
                <w:sz w:val="20"/>
                <w:szCs w:val="20"/>
              </w:rPr>
              <w:tab/>
              <w:t xml:space="preserve"> 4.254   </w:t>
            </w:r>
            <w:r w:rsidRPr="00506206">
              <w:rPr>
                <w:rFonts w:ascii="Arial" w:hAnsi="Arial" w:cs="Arial"/>
                <w:sz w:val="20"/>
                <w:szCs w:val="20"/>
              </w:rPr>
              <w:tab/>
              <w:t>1.04</w:t>
            </w:r>
            <w:r>
              <w:rPr>
                <w:rFonts w:ascii="Arial" w:hAnsi="Arial" w:cs="Arial"/>
                <w:sz w:val="20"/>
                <w:szCs w:val="20"/>
              </w:rPr>
              <w:t xml:space="preserve">5 </w:t>
            </w:r>
            <w:r w:rsidRPr="00506206">
              <w:rPr>
                <w:rFonts w:ascii="Arial" w:hAnsi="Arial" w:cs="Arial"/>
                <w:sz w:val="20"/>
                <w:szCs w:val="20"/>
              </w:rPr>
              <w:t xml:space="preserve">   </w:t>
            </w:r>
            <w:r w:rsidRPr="00506206">
              <w:rPr>
                <w:rFonts w:ascii="Arial" w:hAnsi="Arial" w:cs="Arial"/>
                <w:sz w:val="20"/>
                <w:szCs w:val="20"/>
              </w:rPr>
              <w:tab/>
              <w:t xml:space="preserve"> 4.07</w:t>
            </w:r>
            <w:r>
              <w:rPr>
                <w:rFonts w:ascii="Arial" w:hAnsi="Arial" w:cs="Arial"/>
                <w:sz w:val="20"/>
                <w:szCs w:val="20"/>
              </w:rPr>
              <w:t>2</w:t>
            </w:r>
            <w:r w:rsidRPr="00506206">
              <w:rPr>
                <w:rFonts w:ascii="Arial" w:hAnsi="Arial" w:cs="Arial"/>
                <w:sz w:val="20"/>
                <w:szCs w:val="20"/>
              </w:rPr>
              <w:t xml:space="preserve">   </w:t>
            </w:r>
            <w:r w:rsidRPr="00506206">
              <w:rPr>
                <w:rFonts w:ascii="Arial" w:hAnsi="Arial" w:cs="Arial"/>
                <w:sz w:val="20"/>
                <w:szCs w:val="20"/>
              </w:rPr>
              <w:tab/>
              <w:t>0.000</w:t>
            </w:r>
          </w:p>
        </w:tc>
      </w:tr>
      <w:tr w:rsidR="00385CAF" w:rsidRPr="00506206" w14:paraId="78D29BB4" w14:textId="77777777" w:rsidTr="003A76BC">
        <w:tc>
          <w:tcPr>
            <w:tcW w:w="6799" w:type="dxa"/>
          </w:tcPr>
          <w:p w14:paraId="1CB22217" w14:textId="77777777" w:rsidR="00385CAF" w:rsidRPr="00506206" w:rsidRDefault="00385CAF" w:rsidP="003A76BC">
            <w:pPr>
              <w:spacing w:line="360" w:lineRule="auto"/>
              <w:rPr>
                <w:rFonts w:ascii="Arial" w:hAnsi="Arial" w:cs="Arial"/>
                <w:sz w:val="20"/>
                <w:szCs w:val="20"/>
              </w:rPr>
            </w:pPr>
            <w:r w:rsidRPr="00506206">
              <w:rPr>
                <w:rFonts w:ascii="Arial" w:hAnsi="Arial" w:cs="Arial"/>
                <w:sz w:val="20"/>
                <w:szCs w:val="20"/>
              </w:rPr>
              <w:t>C</w:t>
            </w:r>
            <w:r w:rsidRPr="00506206">
              <w:rPr>
                <w:rFonts w:ascii="Arial" w:hAnsi="Arial" w:cs="Arial"/>
                <w:sz w:val="20"/>
                <w:szCs w:val="20"/>
              </w:rPr>
              <w:tab/>
            </w:r>
            <w:r>
              <w:rPr>
                <w:rFonts w:ascii="Arial" w:hAnsi="Arial" w:cs="Arial"/>
                <w:sz w:val="20"/>
                <w:szCs w:val="20"/>
              </w:rPr>
              <w:t xml:space="preserve">         </w:t>
            </w:r>
            <w:r w:rsidRPr="00506206">
              <w:rPr>
                <w:rFonts w:ascii="Arial" w:hAnsi="Arial" w:cs="Arial"/>
                <w:sz w:val="20"/>
                <w:szCs w:val="20"/>
              </w:rPr>
              <w:t>-106.058</w:t>
            </w:r>
            <w:r w:rsidRPr="00506206">
              <w:rPr>
                <w:rFonts w:ascii="Arial" w:hAnsi="Arial" w:cs="Arial"/>
                <w:sz w:val="20"/>
                <w:szCs w:val="20"/>
              </w:rPr>
              <w:tab/>
            </w:r>
            <w:r>
              <w:rPr>
                <w:rFonts w:ascii="Arial" w:hAnsi="Arial" w:cs="Arial"/>
                <w:sz w:val="20"/>
                <w:szCs w:val="20"/>
              </w:rPr>
              <w:t xml:space="preserve">             </w:t>
            </w:r>
            <w:proofErr w:type="gramStart"/>
            <w:r w:rsidRPr="00506206">
              <w:rPr>
                <w:rFonts w:ascii="Arial" w:hAnsi="Arial" w:cs="Arial"/>
                <w:sz w:val="20"/>
                <w:szCs w:val="20"/>
              </w:rPr>
              <w:t>22.3</w:t>
            </w:r>
            <w:r>
              <w:rPr>
                <w:rFonts w:ascii="Arial" w:hAnsi="Arial" w:cs="Arial"/>
                <w:sz w:val="20"/>
                <w:szCs w:val="20"/>
              </w:rPr>
              <w:t xml:space="preserve">40  </w:t>
            </w:r>
            <w:r w:rsidRPr="00506206">
              <w:rPr>
                <w:rFonts w:ascii="Arial" w:hAnsi="Arial" w:cs="Arial"/>
                <w:sz w:val="20"/>
                <w:szCs w:val="20"/>
              </w:rPr>
              <w:tab/>
            </w:r>
            <w:proofErr w:type="gramEnd"/>
            <w:r w:rsidRPr="00506206">
              <w:rPr>
                <w:rFonts w:ascii="Arial" w:hAnsi="Arial" w:cs="Arial"/>
                <w:sz w:val="20"/>
                <w:szCs w:val="20"/>
              </w:rPr>
              <w:t>-4.74</w:t>
            </w:r>
            <w:r>
              <w:rPr>
                <w:rFonts w:ascii="Arial" w:hAnsi="Arial" w:cs="Arial"/>
                <w:sz w:val="20"/>
                <w:szCs w:val="20"/>
              </w:rPr>
              <w:t xml:space="preserve">8 </w:t>
            </w:r>
            <w:r w:rsidRPr="00506206">
              <w:rPr>
                <w:rFonts w:ascii="Arial" w:hAnsi="Arial" w:cs="Arial"/>
                <w:sz w:val="20"/>
                <w:szCs w:val="20"/>
              </w:rPr>
              <w:t xml:space="preserve">  </w:t>
            </w:r>
            <w:r w:rsidRPr="00506206">
              <w:rPr>
                <w:rFonts w:ascii="Arial" w:hAnsi="Arial" w:cs="Arial"/>
                <w:sz w:val="20"/>
                <w:szCs w:val="20"/>
              </w:rPr>
              <w:tab/>
              <w:t>0.000</w:t>
            </w:r>
          </w:p>
        </w:tc>
      </w:tr>
    </w:tbl>
    <w:p w14:paraId="42AC2FF1" w14:textId="77777777" w:rsidR="00385CAF" w:rsidRPr="008C0639" w:rsidRDefault="00385CAF" w:rsidP="00385CAF">
      <w:pPr>
        <w:spacing w:line="360" w:lineRule="auto"/>
        <w:rPr>
          <w:rFonts w:ascii="Arial" w:hAnsi="Arial" w:cs="Arial"/>
          <w:b/>
          <w:bCs/>
        </w:rPr>
      </w:pPr>
      <w:r w:rsidRPr="008C0639">
        <w:rPr>
          <w:rFonts w:ascii="Arial" w:hAnsi="Arial" w:cs="Arial"/>
          <w:b/>
          <w:bCs/>
        </w:rPr>
        <w:t xml:space="preserve">Source: Author’s computation using EViews 13 </w:t>
      </w:r>
    </w:p>
    <w:p w14:paraId="62B80B96" w14:textId="77777777" w:rsidR="00385CAF" w:rsidRPr="003866C4" w:rsidRDefault="00385CAF" w:rsidP="00385CAF">
      <w:pPr>
        <w:spacing w:line="360" w:lineRule="auto"/>
        <w:rPr>
          <w:rFonts w:ascii="Arial" w:hAnsi="Arial" w:cs="Arial"/>
          <w:b/>
          <w:bCs/>
        </w:rPr>
      </w:pPr>
      <w:r w:rsidRPr="003866C4">
        <w:rPr>
          <w:rFonts w:ascii="Arial" w:hAnsi="Arial" w:cs="Arial"/>
          <w:b/>
          <w:bCs/>
        </w:rPr>
        <w:t>4.7. Short-Run Dynamics and Error Correction Model (ECM)</w:t>
      </w:r>
    </w:p>
    <w:p w14:paraId="49A16DEE" w14:textId="77777777" w:rsidR="00385CAF" w:rsidRPr="003866C4" w:rsidRDefault="00385CAF" w:rsidP="00385CAF">
      <w:pPr>
        <w:jc w:val="both"/>
        <w:rPr>
          <w:rFonts w:ascii="Arial" w:hAnsi="Arial" w:cs="Arial"/>
        </w:rPr>
      </w:pPr>
      <w:r w:rsidRPr="003866C4">
        <w:rPr>
          <w:rFonts w:ascii="Arial" w:hAnsi="Arial" w:cs="Arial"/>
        </w:rPr>
        <w:t xml:space="preserve">The short-run dynamics, alongside the critical error correction term, are detailed comprehensively in Table 5. The estimation of the COINTEQ coefficient yields -0.404, a value that achieves exceptionally high statistical significance (p &lt; 0.0001). This figure implies that 40.4 percent of any prior-period deviation from equilibrium is subsequently corrected within the current period. Regarding short-run effects, the contemporaneous impact of PD manifests as significantly negative, specifically </w:t>
      </w:r>
      <w:r>
        <w:rPr>
          <w:rFonts w:ascii="Arial" w:hAnsi="Arial" w:cs="Arial"/>
        </w:rPr>
        <w:t>(</w:t>
      </w:r>
      <w:r w:rsidRPr="003866C4">
        <w:rPr>
          <w:rFonts w:ascii="Arial" w:hAnsi="Arial" w:cs="Arial"/>
        </w:rPr>
        <w:t>-1.631</w:t>
      </w:r>
      <w:r>
        <w:rPr>
          <w:rFonts w:ascii="Arial" w:hAnsi="Arial" w:cs="Arial"/>
        </w:rPr>
        <w:t xml:space="preserve">; </w:t>
      </w:r>
      <w:r w:rsidRPr="003866C4">
        <w:rPr>
          <w:rFonts w:ascii="Arial" w:hAnsi="Arial" w:cs="Arial"/>
        </w:rPr>
        <w:t xml:space="preserve">p &lt; 0.0001). Curiously, the coefficient for its first lag, while equally significant (p &lt; 0.0001), suggests a positive influence of 0.746. Additionally, the interaction term, FD*PD, also exhibits a significant negative contemporaneous effect of </w:t>
      </w:r>
      <w:r>
        <w:rPr>
          <w:rFonts w:ascii="Arial" w:hAnsi="Arial" w:cs="Arial"/>
        </w:rPr>
        <w:t>(</w:t>
      </w:r>
      <w:r w:rsidRPr="003866C4">
        <w:rPr>
          <w:rFonts w:ascii="Arial" w:hAnsi="Arial" w:cs="Arial"/>
        </w:rPr>
        <w:t>-0.100</w:t>
      </w:r>
      <w:r>
        <w:rPr>
          <w:rFonts w:ascii="Arial" w:hAnsi="Arial" w:cs="Arial"/>
        </w:rPr>
        <w:t xml:space="preserve">; </w:t>
      </w:r>
      <w:r w:rsidRPr="003866C4">
        <w:rPr>
          <w:rFonts w:ascii="Arial" w:hAnsi="Arial" w:cs="Arial"/>
        </w:rPr>
        <w:t xml:space="preserve">p &lt; 0.0001). Regarding other independent variables, both LEXR (26.585) and M2 (0.228) are found to exert significant positive contemporaneous effects. The chosen set of dummy variables, intended to capture the discrete effects of structural shifts, indicates that DUM88 (47.622), DUM90 (9.411), and DUM92 (14.879) all contribute significant positive shocks to inflation, while DUM86 (-23.401) is associated with a distinct and statistically significant negative shock. </w:t>
      </w:r>
    </w:p>
    <w:p w14:paraId="510327A4" w14:textId="77777777" w:rsidR="00385CAF" w:rsidRDefault="00385CAF" w:rsidP="00385CAF">
      <w:pPr>
        <w:spacing w:line="360" w:lineRule="auto"/>
        <w:rPr>
          <w:rFonts w:ascii="Arial" w:hAnsi="Arial" w:cs="Arial"/>
          <w:b/>
          <w:bCs/>
        </w:rPr>
      </w:pPr>
    </w:p>
    <w:p w14:paraId="011492CD" w14:textId="77777777" w:rsidR="00385CAF" w:rsidRPr="003866C4" w:rsidRDefault="00385CAF" w:rsidP="00385CAF">
      <w:pPr>
        <w:spacing w:line="360" w:lineRule="auto"/>
        <w:rPr>
          <w:rFonts w:ascii="Arial" w:hAnsi="Arial" w:cs="Arial"/>
          <w:b/>
          <w:bCs/>
        </w:rPr>
      </w:pPr>
      <w:r w:rsidRPr="003866C4">
        <w:rPr>
          <w:rFonts w:ascii="Arial" w:hAnsi="Arial" w:cs="Arial"/>
          <w:b/>
          <w:bCs/>
        </w:rPr>
        <w:t>Table 7: Short-Run Estimates (Dependent Variable: D(INF))</w:t>
      </w:r>
    </w:p>
    <w:tbl>
      <w:tblPr>
        <w:tblStyle w:val="TableGrid"/>
        <w:tblW w:w="0" w:type="auto"/>
        <w:tblLook w:val="04A0" w:firstRow="1" w:lastRow="0" w:firstColumn="1" w:lastColumn="0" w:noHBand="0" w:noVBand="1"/>
      </w:tblPr>
      <w:tblGrid>
        <w:gridCol w:w="6799"/>
      </w:tblGrid>
      <w:tr w:rsidR="00385CAF" w:rsidRPr="003866C4" w14:paraId="63BB3216" w14:textId="77777777" w:rsidTr="003A76BC">
        <w:tc>
          <w:tcPr>
            <w:tcW w:w="6799" w:type="dxa"/>
          </w:tcPr>
          <w:p w14:paraId="0D507C3F" w14:textId="77777777" w:rsidR="00385CAF" w:rsidRPr="003866C4" w:rsidRDefault="00385CAF" w:rsidP="003A76BC">
            <w:pPr>
              <w:spacing w:line="360" w:lineRule="auto"/>
              <w:rPr>
                <w:rFonts w:ascii="Arial" w:hAnsi="Arial" w:cs="Arial"/>
                <w:sz w:val="20"/>
                <w:szCs w:val="20"/>
              </w:rPr>
            </w:pPr>
            <w:r w:rsidRPr="003866C4">
              <w:rPr>
                <w:rFonts w:ascii="Arial" w:hAnsi="Arial" w:cs="Arial"/>
                <w:sz w:val="20"/>
                <w:szCs w:val="20"/>
              </w:rPr>
              <w:t>Variable</w:t>
            </w:r>
            <w:r w:rsidRPr="003866C4">
              <w:rPr>
                <w:rFonts w:ascii="Arial" w:hAnsi="Arial" w:cs="Arial"/>
                <w:sz w:val="20"/>
                <w:szCs w:val="20"/>
              </w:rPr>
              <w:tab/>
              <w:t>Coefficient</w:t>
            </w:r>
            <w:r w:rsidRPr="003866C4">
              <w:rPr>
                <w:rFonts w:ascii="Arial" w:hAnsi="Arial" w:cs="Arial"/>
                <w:sz w:val="20"/>
                <w:szCs w:val="20"/>
              </w:rPr>
              <w:tab/>
              <w:t>Std. Error</w:t>
            </w:r>
            <w:r w:rsidRPr="003866C4">
              <w:rPr>
                <w:rFonts w:ascii="Arial" w:hAnsi="Arial" w:cs="Arial"/>
                <w:sz w:val="20"/>
                <w:szCs w:val="20"/>
              </w:rPr>
              <w:tab/>
              <w:t>t-Statistic</w:t>
            </w:r>
            <w:r w:rsidRPr="003866C4">
              <w:rPr>
                <w:rFonts w:ascii="Arial" w:hAnsi="Arial" w:cs="Arial"/>
                <w:sz w:val="20"/>
                <w:szCs w:val="20"/>
              </w:rPr>
              <w:tab/>
              <w:t>Prob.</w:t>
            </w:r>
          </w:p>
        </w:tc>
      </w:tr>
      <w:tr w:rsidR="00385CAF" w:rsidRPr="003866C4" w14:paraId="26F1EE91" w14:textId="77777777" w:rsidTr="003A76BC">
        <w:tc>
          <w:tcPr>
            <w:tcW w:w="6799" w:type="dxa"/>
          </w:tcPr>
          <w:p w14:paraId="1F7D59FC" w14:textId="77777777" w:rsidR="00385CAF" w:rsidRPr="003866C4" w:rsidRDefault="00385CAF" w:rsidP="003A76BC">
            <w:pPr>
              <w:spacing w:line="360" w:lineRule="auto"/>
              <w:rPr>
                <w:rFonts w:ascii="Arial" w:hAnsi="Arial" w:cs="Arial"/>
                <w:sz w:val="20"/>
                <w:szCs w:val="20"/>
              </w:rPr>
            </w:pPr>
            <w:r w:rsidRPr="003866C4">
              <w:rPr>
                <w:rFonts w:ascii="Arial" w:hAnsi="Arial" w:cs="Arial"/>
                <w:sz w:val="20"/>
                <w:szCs w:val="20"/>
              </w:rPr>
              <w:t>COINTEQ</w:t>
            </w:r>
            <w:r w:rsidRPr="003866C4">
              <w:rPr>
                <w:rFonts w:ascii="Arial" w:hAnsi="Arial" w:cs="Arial"/>
                <w:sz w:val="20"/>
                <w:szCs w:val="20"/>
              </w:rPr>
              <w:tab/>
              <w:t>-0.404</w:t>
            </w:r>
            <w:r>
              <w:rPr>
                <w:rFonts w:ascii="Arial" w:hAnsi="Arial" w:cs="Arial"/>
                <w:sz w:val="20"/>
                <w:szCs w:val="20"/>
              </w:rPr>
              <w:t xml:space="preserve">  </w:t>
            </w:r>
            <w:r w:rsidRPr="003866C4">
              <w:rPr>
                <w:rFonts w:ascii="Arial" w:hAnsi="Arial" w:cs="Arial"/>
                <w:sz w:val="20"/>
                <w:szCs w:val="20"/>
              </w:rPr>
              <w:t xml:space="preserve"> </w:t>
            </w:r>
            <w:r w:rsidRPr="003866C4">
              <w:rPr>
                <w:rFonts w:ascii="Arial" w:hAnsi="Arial" w:cs="Arial"/>
                <w:sz w:val="20"/>
                <w:szCs w:val="20"/>
              </w:rPr>
              <w:tab/>
              <w:t>0.024</w:t>
            </w:r>
            <w:r>
              <w:rPr>
                <w:rFonts w:ascii="Arial" w:hAnsi="Arial" w:cs="Arial"/>
                <w:sz w:val="20"/>
                <w:szCs w:val="20"/>
              </w:rPr>
              <w:t xml:space="preserve"> </w:t>
            </w:r>
            <w:r w:rsidRPr="003866C4">
              <w:rPr>
                <w:rFonts w:ascii="Arial" w:hAnsi="Arial" w:cs="Arial"/>
                <w:sz w:val="20"/>
                <w:szCs w:val="20"/>
              </w:rPr>
              <w:t xml:space="preserve">   </w:t>
            </w:r>
            <w:r w:rsidRPr="003866C4">
              <w:rPr>
                <w:rFonts w:ascii="Arial" w:hAnsi="Arial" w:cs="Arial"/>
                <w:sz w:val="20"/>
                <w:szCs w:val="20"/>
              </w:rPr>
              <w:tab/>
              <w:t>-16.84</w:t>
            </w:r>
            <w:r>
              <w:rPr>
                <w:rFonts w:ascii="Arial" w:hAnsi="Arial" w:cs="Arial"/>
                <w:sz w:val="20"/>
                <w:szCs w:val="20"/>
              </w:rPr>
              <w:t xml:space="preserve">6 </w:t>
            </w:r>
            <w:r w:rsidRPr="003866C4">
              <w:rPr>
                <w:rFonts w:ascii="Arial" w:hAnsi="Arial" w:cs="Arial"/>
                <w:sz w:val="20"/>
                <w:szCs w:val="20"/>
              </w:rPr>
              <w:tab/>
              <w:t>0.000</w:t>
            </w:r>
          </w:p>
        </w:tc>
      </w:tr>
      <w:tr w:rsidR="00385CAF" w:rsidRPr="003866C4" w14:paraId="5894DB2E" w14:textId="77777777" w:rsidTr="003A76BC">
        <w:tc>
          <w:tcPr>
            <w:tcW w:w="6799" w:type="dxa"/>
          </w:tcPr>
          <w:p w14:paraId="2A59F83C" w14:textId="77777777" w:rsidR="00385CAF" w:rsidRPr="003866C4" w:rsidRDefault="00385CAF" w:rsidP="003A76BC">
            <w:pPr>
              <w:spacing w:line="360" w:lineRule="auto"/>
              <w:rPr>
                <w:rFonts w:ascii="Arial" w:hAnsi="Arial" w:cs="Arial"/>
                <w:sz w:val="20"/>
                <w:szCs w:val="20"/>
              </w:rPr>
            </w:pPr>
            <w:r w:rsidRPr="003866C4">
              <w:rPr>
                <w:rFonts w:ascii="Arial" w:hAnsi="Arial" w:cs="Arial"/>
                <w:sz w:val="20"/>
                <w:szCs w:val="20"/>
              </w:rPr>
              <w:t>D(PD)</w:t>
            </w:r>
            <w:r w:rsidRPr="003866C4">
              <w:rPr>
                <w:rFonts w:ascii="Arial" w:hAnsi="Arial" w:cs="Arial"/>
                <w:sz w:val="20"/>
                <w:szCs w:val="20"/>
              </w:rPr>
              <w:tab/>
            </w:r>
            <w:r w:rsidRPr="003866C4">
              <w:rPr>
                <w:rFonts w:ascii="Arial" w:hAnsi="Arial" w:cs="Arial"/>
                <w:sz w:val="20"/>
                <w:szCs w:val="20"/>
              </w:rPr>
              <w:tab/>
              <w:t>-1.631</w:t>
            </w:r>
            <w:r>
              <w:rPr>
                <w:rFonts w:ascii="Arial" w:hAnsi="Arial" w:cs="Arial"/>
                <w:sz w:val="20"/>
                <w:szCs w:val="20"/>
              </w:rPr>
              <w:t xml:space="preserve">  </w:t>
            </w:r>
            <w:r w:rsidRPr="003866C4">
              <w:rPr>
                <w:rFonts w:ascii="Arial" w:hAnsi="Arial" w:cs="Arial"/>
                <w:sz w:val="20"/>
                <w:szCs w:val="20"/>
              </w:rPr>
              <w:t xml:space="preserve"> </w:t>
            </w:r>
            <w:r w:rsidRPr="003866C4">
              <w:rPr>
                <w:rFonts w:ascii="Arial" w:hAnsi="Arial" w:cs="Arial"/>
                <w:sz w:val="20"/>
                <w:szCs w:val="20"/>
              </w:rPr>
              <w:tab/>
              <w:t>0.155</w:t>
            </w:r>
            <w:r>
              <w:rPr>
                <w:rFonts w:ascii="Arial" w:hAnsi="Arial" w:cs="Arial"/>
                <w:sz w:val="20"/>
                <w:szCs w:val="20"/>
              </w:rPr>
              <w:t xml:space="preserve"> </w:t>
            </w:r>
            <w:r w:rsidRPr="003866C4">
              <w:rPr>
                <w:rFonts w:ascii="Arial" w:hAnsi="Arial" w:cs="Arial"/>
                <w:sz w:val="20"/>
                <w:szCs w:val="20"/>
              </w:rPr>
              <w:t xml:space="preserve">   </w:t>
            </w:r>
            <w:r w:rsidRPr="003866C4">
              <w:rPr>
                <w:rFonts w:ascii="Arial" w:hAnsi="Arial" w:cs="Arial"/>
                <w:sz w:val="20"/>
                <w:szCs w:val="20"/>
              </w:rPr>
              <w:tab/>
              <w:t>-10.503</w:t>
            </w:r>
            <w:r>
              <w:rPr>
                <w:rFonts w:ascii="Arial" w:hAnsi="Arial" w:cs="Arial"/>
                <w:sz w:val="20"/>
                <w:szCs w:val="20"/>
              </w:rPr>
              <w:t xml:space="preserve"> </w:t>
            </w:r>
            <w:r w:rsidRPr="003866C4">
              <w:rPr>
                <w:rFonts w:ascii="Arial" w:hAnsi="Arial" w:cs="Arial"/>
                <w:sz w:val="20"/>
                <w:szCs w:val="20"/>
              </w:rPr>
              <w:tab/>
              <w:t>0.000</w:t>
            </w:r>
          </w:p>
        </w:tc>
      </w:tr>
      <w:tr w:rsidR="00385CAF" w:rsidRPr="003866C4" w14:paraId="38361EB4" w14:textId="77777777" w:rsidTr="003A76BC">
        <w:tc>
          <w:tcPr>
            <w:tcW w:w="6799" w:type="dxa"/>
          </w:tcPr>
          <w:p w14:paraId="61A95531" w14:textId="77777777" w:rsidR="00385CAF" w:rsidRPr="003866C4" w:rsidRDefault="00385CAF" w:rsidP="003A76BC">
            <w:pPr>
              <w:spacing w:line="360" w:lineRule="auto"/>
              <w:rPr>
                <w:rFonts w:ascii="Arial" w:hAnsi="Arial" w:cs="Arial"/>
                <w:sz w:val="20"/>
                <w:szCs w:val="20"/>
              </w:rPr>
            </w:pPr>
            <w:r w:rsidRPr="003866C4">
              <w:rPr>
                <w:rFonts w:ascii="Arial" w:hAnsi="Arial" w:cs="Arial"/>
                <w:sz w:val="20"/>
                <w:szCs w:val="20"/>
              </w:rPr>
              <w:t>D(</w:t>
            </w:r>
            <w:proofErr w:type="gramStart"/>
            <w:r w:rsidRPr="003866C4">
              <w:rPr>
                <w:rFonts w:ascii="Arial" w:hAnsi="Arial" w:cs="Arial"/>
                <w:sz w:val="20"/>
                <w:szCs w:val="20"/>
              </w:rPr>
              <w:t>PD(</w:t>
            </w:r>
            <w:proofErr w:type="gramEnd"/>
            <w:r w:rsidRPr="003866C4">
              <w:rPr>
                <w:rFonts w:ascii="Arial" w:hAnsi="Arial" w:cs="Arial"/>
                <w:sz w:val="20"/>
                <w:szCs w:val="20"/>
              </w:rPr>
              <w:t>-1))</w:t>
            </w:r>
            <w:r w:rsidRPr="003866C4">
              <w:rPr>
                <w:rFonts w:ascii="Arial" w:hAnsi="Arial" w:cs="Arial"/>
                <w:sz w:val="20"/>
                <w:szCs w:val="20"/>
              </w:rPr>
              <w:tab/>
              <w:t xml:space="preserve"> 0.746   </w:t>
            </w:r>
            <w:r w:rsidRPr="003866C4">
              <w:rPr>
                <w:rFonts w:ascii="Arial" w:hAnsi="Arial" w:cs="Arial"/>
                <w:sz w:val="20"/>
                <w:szCs w:val="20"/>
              </w:rPr>
              <w:tab/>
              <w:t>0.13</w:t>
            </w:r>
            <w:r>
              <w:rPr>
                <w:rFonts w:ascii="Arial" w:hAnsi="Arial" w:cs="Arial"/>
                <w:sz w:val="20"/>
                <w:szCs w:val="20"/>
              </w:rPr>
              <w:t xml:space="preserve">1 </w:t>
            </w:r>
            <w:r w:rsidRPr="003866C4">
              <w:rPr>
                <w:rFonts w:ascii="Arial" w:hAnsi="Arial" w:cs="Arial"/>
                <w:sz w:val="20"/>
                <w:szCs w:val="20"/>
              </w:rPr>
              <w:t xml:space="preserve">  </w:t>
            </w:r>
            <w:r w:rsidRPr="003866C4">
              <w:rPr>
                <w:rFonts w:ascii="Arial" w:hAnsi="Arial" w:cs="Arial"/>
                <w:sz w:val="20"/>
                <w:szCs w:val="20"/>
              </w:rPr>
              <w:tab/>
              <w:t xml:space="preserve">   </w:t>
            </w:r>
            <w:r>
              <w:rPr>
                <w:rFonts w:ascii="Arial" w:hAnsi="Arial" w:cs="Arial"/>
                <w:sz w:val="20"/>
                <w:szCs w:val="20"/>
              </w:rPr>
              <w:t xml:space="preserve">            </w:t>
            </w:r>
            <w:r w:rsidRPr="003866C4">
              <w:rPr>
                <w:rFonts w:ascii="Arial" w:hAnsi="Arial" w:cs="Arial"/>
                <w:sz w:val="20"/>
                <w:szCs w:val="20"/>
              </w:rPr>
              <w:t xml:space="preserve"> 5.705   </w:t>
            </w:r>
            <w:r w:rsidRPr="003866C4">
              <w:rPr>
                <w:rFonts w:ascii="Arial" w:hAnsi="Arial" w:cs="Arial"/>
                <w:sz w:val="20"/>
                <w:szCs w:val="20"/>
              </w:rPr>
              <w:tab/>
              <w:t>0.000</w:t>
            </w:r>
          </w:p>
        </w:tc>
      </w:tr>
      <w:tr w:rsidR="00385CAF" w:rsidRPr="003866C4" w14:paraId="5AB0DC09" w14:textId="77777777" w:rsidTr="003A76BC">
        <w:tc>
          <w:tcPr>
            <w:tcW w:w="6799" w:type="dxa"/>
          </w:tcPr>
          <w:p w14:paraId="0F44BA6F" w14:textId="77777777" w:rsidR="00385CAF" w:rsidRPr="003866C4" w:rsidRDefault="00385CAF" w:rsidP="003A76BC">
            <w:pPr>
              <w:spacing w:line="360" w:lineRule="auto"/>
              <w:rPr>
                <w:rFonts w:ascii="Arial" w:hAnsi="Arial" w:cs="Arial"/>
                <w:sz w:val="20"/>
                <w:szCs w:val="20"/>
              </w:rPr>
            </w:pPr>
            <w:r w:rsidRPr="003866C4">
              <w:rPr>
                <w:rFonts w:ascii="Arial" w:hAnsi="Arial" w:cs="Arial"/>
                <w:sz w:val="20"/>
                <w:szCs w:val="20"/>
              </w:rPr>
              <w:t>D(FD_PD)</w:t>
            </w:r>
            <w:r w:rsidRPr="003866C4">
              <w:rPr>
                <w:rFonts w:ascii="Arial" w:hAnsi="Arial" w:cs="Arial"/>
                <w:sz w:val="20"/>
                <w:szCs w:val="20"/>
              </w:rPr>
              <w:tab/>
              <w:t>-0.100</w:t>
            </w:r>
            <w:r>
              <w:rPr>
                <w:rFonts w:ascii="Arial" w:hAnsi="Arial" w:cs="Arial"/>
                <w:sz w:val="20"/>
                <w:szCs w:val="20"/>
              </w:rPr>
              <w:t xml:space="preserve">  </w:t>
            </w:r>
            <w:r w:rsidRPr="003866C4">
              <w:rPr>
                <w:rFonts w:ascii="Arial" w:hAnsi="Arial" w:cs="Arial"/>
                <w:sz w:val="20"/>
                <w:szCs w:val="20"/>
              </w:rPr>
              <w:t xml:space="preserve"> </w:t>
            </w:r>
            <w:r w:rsidRPr="003866C4">
              <w:rPr>
                <w:rFonts w:ascii="Arial" w:hAnsi="Arial" w:cs="Arial"/>
                <w:sz w:val="20"/>
                <w:szCs w:val="20"/>
              </w:rPr>
              <w:tab/>
              <w:t>0.01</w:t>
            </w:r>
            <w:r>
              <w:rPr>
                <w:rFonts w:ascii="Arial" w:hAnsi="Arial" w:cs="Arial"/>
                <w:sz w:val="20"/>
                <w:szCs w:val="20"/>
              </w:rPr>
              <w:t xml:space="preserve">3 </w:t>
            </w:r>
            <w:r w:rsidRPr="003866C4">
              <w:rPr>
                <w:rFonts w:ascii="Arial" w:hAnsi="Arial" w:cs="Arial"/>
                <w:sz w:val="20"/>
                <w:szCs w:val="20"/>
              </w:rPr>
              <w:t xml:space="preserve">   </w:t>
            </w:r>
            <w:proofErr w:type="gramStart"/>
            <w:r w:rsidRPr="003866C4">
              <w:rPr>
                <w:rFonts w:ascii="Arial" w:hAnsi="Arial" w:cs="Arial"/>
                <w:sz w:val="20"/>
                <w:szCs w:val="20"/>
              </w:rPr>
              <w:tab/>
              <w:t xml:space="preserve">  -</w:t>
            </w:r>
            <w:proofErr w:type="gramEnd"/>
            <w:r w:rsidRPr="003866C4">
              <w:rPr>
                <w:rFonts w:ascii="Arial" w:hAnsi="Arial" w:cs="Arial"/>
                <w:sz w:val="20"/>
                <w:szCs w:val="20"/>
              </w:rPr>
              <w:t>7.79</w:t>
            </w:r>
            <w:r>
              <w:rPr>
                <w:rFonts w:ascii="Arial" w:hAnsi="Arial" w:cs="Arial"/>
                <w:sz w:val="20"/>
                <w:szCs w:val="20"/>
              </w:rPr>
              <w:t>7</w:t>
            </w:r>
            <w:r w:rsidRPr="003866C4">
              <w:rPr>
                <w:rFonts w:ascii="Arial" w:hAnsi="Arial" w:cs="Arial"/>
                <w:sz w:val="20"/>
                <w:szCs w:val="20"/>
              </w:rPr>
              <w:t xml:space="preserve"> </w:t>
            </w:r>
            <w:r w:rsidRPr="003866C4">
              <w:rPr>
                <w:rFonts w:ascii="Arial" w:hAnsi="Arial" w:cs="Arial"/>
                <w:sz w:val="20"/>
                <w:szCs w:val="20"/>
              </w:rPr>
              <w:tab/>
              <w:t>0.000</w:t>
            </w:r>
          </w:p>
        </w:tc>
      </w:tr>
      <w:tr w:rsidR="00385CAF" w:rsidRPr="003866C4" w14:paraId="77A0F4FE" w14:textId="77777777" w:rsidTr="003A76BC">
        <w:tc>
          <w:tcPr>
            <w:tcW w:w="6799" w:type="dxa"/>
          </w:tcPr>
          <w:p w14:paraId="4DF62973" w14:textId="77777777" w:rsidR="00385CAF" w:rsidRPr="003866C4" w:rsidRDefault="00385CAF" w:rsidP="003A76BC">
            <w:pPr>
              <w:spacing w:line="360" w:lineRule="auto"/>
              <w:rPr>
                <w:rFonts w:ascii="Arial" w:hAnsi="Arial" w:cs="Arial"/>
                <w:sz w:val="20"/>
                <w:szCs w:val="20"/>
              </w:rPr>
            </w:pPr>
            <w:r w:rsidRPr="003866C4">
              <w:rPr>
                <w:rFonts w:ascii="Arial" w:hAnsi="Arial" w:cs="Arial"/>
                <w:sz w:val="20"/>
                <w:szCs w:val="20"/>
              </w:rPr>
              <w:t>D(LEXR)</w:t>
            </w:r>
            <w:r w:rsidRPr="003866C4">
              <w:rPr>
                <w:rFonts w:ascii="Arial" w:hAnsi="Arial" w:cs="Arial"/>
                <w:sz w:val="20"/>
                <w:szCs w:val="20"/>
              </w:rPr>
              <w:tab/>
              <w:t>26.</w:t>
            </w:r>
            <w:proofErr w:type="gramStart"/>
            <w:r w:rsidRPr="003866C4">
              <w:rPr>
                <w:rFonts w:ascii="Arial" w:hAnsi="Arial" w:cs="Arial"/>
                <w:sz w:val="20"/>
                <w:szCs w:val="20"/>
              </w:rPr>
              <w:t>58</w:t>
            </w:r>
            <w:r>
              <w:rPr>
                <w:rFonts w:ascii="Arial" w:hAnsi="Arial" w:cs="Arial"/>
                <w:sz w:val="20"/>
                <w:szCs w:val="20"/>
              </w:rPr>
              <w:t xml:space="preserve">6  </w:t>
            </w:r>
            <w:r w:rsidRPr="003866C4">
              <w:rPr>
                <w:rFonts w:ascii="Arial" w:hAnsi="Arial" w:cs="Arial"/>
                <w:sz w:val="20"/>
                <w:szCs w:val="20"/>
              </w:rPr>
              <w:tab/>
            </w:r>
            <w:proofErr w:type="gramEnd"/>
            <w:r w:rsidRPr="003866C4">
              <w:rPr>
                <w:rFonts w:ascii="Arial" w:hAnsi="Arial" w:cs="Arial"/>
                <w:sz w:val="20"/>
                <w:szCs w:val="20"/>
              </w:rPr>
              <w:t>3.05</w:t>
            </w:r>
            <w:r>
              <w:rPr>
                <w:rFonts w:ascii="Arial" w:hAnsi="Arial" w:cs="Arial"/>
                <w:sz w:val="20"/>
                <w:szCs w:val="20"/>
              </w:rPr>
              <w:t xml:space="preserve">7 </w:t>
            </w:r>
            <w:r w:rsidRPr="003866C4">
              <w:rPr>
                <w:rFonts w:ascii="Arial" w:hAnsi="Arial" w:cs="Arial"/>
                <w:sz w:val="20"/>
                <w:szCs w:val="20"/>
              </w:rPr>
              <w:t xml:space="preserve">   </w:t>
            </w:r>
            <w:r w:rsidRPr="003866C4">
              <w:rPr>
                <w:rFonts w:ascii="Arial" w:hAnsi="Arial" w:cs="Arial"/>
                <w:sz w:val="20"/>
                <w:szCs w:val="20"/>
              </w:rPr>
              <w:tab/>
              <w:t xml:space="preserve">   8.69</w:t>
            </w:r>
            <w:r>
              <w:rPr>
                <w:rFonts w:ascii="Arial" w:hAnsi="Arial" w:cs="Arial"/>
                <w:sz w:val="20"/>
                <w:szCs w:val="20"/>
              </w:rPr>
              <w:t>9</w:t>
            </w:r>
            <w:r w:rsidRPr="003866C4">
              <w:rPr>
                <w:rFonts w:ascii="Arial" w:hAnsi="Arial" w:cs="Arial"/>
                <w:sz w:val="20"/>
                <w:szCs w:val="20"/>
              </w:rPr>
              <w:t xml:space="preserve">   </w:t>
            </w:r>
            <w:r w:rsidRPr="003866C4">
              <w:rPr>
                <w:rFonts w:ascii="Arial" w:hAnsi="Arial" w:cs="Arial"/>
                <w:sz w:val="20"/>
                <w:szCs w:val="20"/>
              </w:rPr>
              <w:tab/>
              <w:t>0.000</w:t>
            </w:r>
          </w:p>
        </w:tc>
      </w:tr>
      <w:tr w:rsidR="00385CAF" w:rsidRPr="003866C4" w14:paraId="5F80F334" w14:textId="77777777" w:rsidTr="003A76BC">
        <w:tc>
          <w:tcPr>
            <w:tcW w:w="6799" w:type="dxa"/>
          </w:tcPr>
          <w:p w14:paraId="74E3BAC4" w14:textId="77777777" w:rsidR="00385CAF" w:rsidRPr="003866C4" w:rsidRDefault="00385CAF" w:rsidP="003A76BC">
            <w:pPr>
              <w:spacing w:line="360" w:lineRule="auto"/>
              <w:rPr>
                <w:rFonts w:ascii="Arial" w:hAnsi="Arial" w:cs="Arial"/>
                <w:sz w:val="20"/>
                <w:szCs w:val="20"/>
              </w:rPr>
            </w:pPr>
            <w:r w:rsidRPr="003866C4">
              <w:rPr>
                <w:rFonts w:ascii="Arial" w:hAnsi="Arial" w:cs="Arial"/>
                <w:sz w:val="20"/>
                <w:szCs w:val="20"/>
              </w:rPr>
              <w:lastRenderedPageBreak/>
              <w:t>DUM86</w:t>
            </w:r>
            <w:r w:rsidRPr="003866C4">
              <w:rPr>
                <w:rFonts w:ascii="Arial" w:hAnsi="Arial" w:cs="Arial"/>
                <w:sz w:val="20"/>
                <w:szCs w:val="20"/>
              </w:rPr>
              <w:tab/>
            </w:r>
            <w:r>
              <w:rPr>
                <w:rFonts w:ascii="Arial" w:hAnsi="Arial" w:cs="Arial"/>
                <w:sz w:val="20"/>
                <w:szCs w:val="20"/>
              </w:rPr>
              <w:t xml:space="preserve">            </w:t>
            </w:r>
            <w:r w:rsidRPr="003866C4">
              <w:rPr>
                <w:rFonts w:ascii="Arial" w:hAnsi="Arial" w:cs="Arial"/>
                <w:sz w:val="20"/>
                <w:szCs w:val="20"/>
              </w:rPr>
              <w:t>-23.</w:t>
            </w:r>
            <w:proofErr w:type="gramStart"/>
            <w:r w:rsidRPr="003866C4">
              <w:rPr>
                <w:rFonts w:ascii="Arial" w:hAnsi="Arial" w:cs="Arial"/>
                <w:sz w:val="20"/>
                <w:szCs w:val="20"/>
              </w:rPr>
              <w:t>40</w:t>
            </w:r>
            <w:r>
              <w:rPr>
                <w:rFonts w:ascii="Arial" w:hAnsi="Arial" w:cs="Arial"/>
                <w:sz w:val="20"/>
                <w:szCs w:val="20"/>
              </w:rPr>
              <w:t xml:space="preserve">2  </w:t>
            </w:r>
            <w:r w:rsidRPr="003866C4">
              <w:rPr>
                <w:rFonts w:ascii="Arial" w:hAnsi="Arial" w:cs="Arial"/>
                <w:sz w:val="20"/>
                <w:szCs w:val="20"/>
              </w:rPr>
              <w:tab/>
            </w:r>
            <w:proofErr w:type="gramEnd"/>
            <w:r w:rsidRPr="003866C4">
              <w:rPr>
                <w:rFonts w:ascii="Arial" w:hAnsi="Arial" w:cs="Arial"/>
                <w:sz w:val="20"/>
                <w:szCs w:val="20"/>
              </w:rPr>
              <w:t>3.70</w:t>
            </w:r>
            <w:r>
              <w:rPr>
                <w:rFonts w:ascii="Arial" w:hAnsi="Arial" w:cs="Arial"/>
                <w:sz w:val="20"/>
                <w:szCs w:val="20"/>
              </w:rPr>
              <w:t xml:space="preserve">4 </w:t>
            </w:r>
            <w:r w:rsidRPr="003866C4">
              <w:rPr>
                <w:rFonts w:ascii="Arial" w:hAnsi="Arial" w:cs="Arial"/>
                <w:sz w:val="20"/>
                <w:szCs w:val="20"/>
              </w:rPr>
              <w:t xml:space="preserve">   </w:t>
            </w:r>
            <w:r w:rsidRPr="003866C4">
              <w:rPr>
                <w:rFonts w:ascii="Arial" w:hAnsi="Arial" w:cs="Arial"/>
                <w:sz w:val="20"/>
                <w:szCs w:val="20"/>
              </w:rPr>
              <w:tab/>
              <w:t xml:space="preserve">  -6.31</w:t>
            </w:r>
            <w:r>
              <w:rPr>
                <w:rFonts w:ascii="Arial" w:hAnsi="Arial" w:cs="Arial"/>
                <w:sz w:val="20"/>
                <w:szCs w:val="20"/>
              </w:rPr>
              <w:t>9</w:t>
            </w:r>
            <w:r w:rsidRPr="003866C4">
              <w:rPr>
                <w:rFonts w:ascii="Arial" w:hAnsi="Arial" w:cs="Arial"/>
                <w:sz w:val="20"/>
                <w:szCs w:val="20"/>
              </w:rPr>
              <w:t xml:space="preserve"> </w:t>
            </w:r>
            <w:r w:rsidRPr="003866C4">
              <w:rPr>
                <w:rFonts w:ascii="Arial" w:hAnsi="Arial" w:cs="Arial"/>
                <w:sz w:val="20"/>
                <w:szCs w:val="20"/>
              </w:rPr>
              <w:tab/>
              <w:t>0.000</w:t>
            </w:r>
          </w:p>
        </w:tc>
      </w:tr>
      <w:tr w:rsidR="00385CAF" w:rsidRPr="003866C4" w14:paraId="7F80ACC6" w14:textId="77777777" w:rsidTr="003A76BC">
        <w:tc>
          <w:tcPr>
            <w:tcW w:w="6799" w:type="dxa"/>
          </w:tcPr>
          <w:p w14:paraId="70FEF16C" w14:textId="77777777" w:rsidR="00385CAF" w:rsidRPr="003866C4" w:rsidRDefault="00385CAF" w:rsidP="003A76BC">
            <w:pPr>
              <w:spacing w:line="360" w:lineRule="auto"/>
              <w:rPr>
                <w:rFonts w:ascii="Arial" w:hAnsi="Arial" w:cs="Arial"/>
                <w:sz w:val="20"/>
                <w:szCs w:val="20"/>
              </w:rPr>
            </w:pPr>
            <w:r w:rsidRPr="003866C4">
              <w:rPr>
                <w:rFonts w:ascii="Arial" w:hAnsi="Arial" w:cs="Arial"/>
                <w:sz w:val="20"/>
                <w:szCs w:val="20"/>
              </w:rPr>
              <w:t>DUM88</w:t>
            </w:r>
            <w:r w:rsidRPr="003866C4">
              <w:rPr>
                <w:rFonts w:ascii="Arial" w:hAnsi="Arial" w:cs="Arial"/>
                <w:sz w:val="20"/>
                <w:szCs w:val="20"/>
              </w:rPr>
              <w:tab/>
            </w:r>
            <w:r>
              <w:rPr>
                <w:rFonts w:ascii="Arial" w:hAnsi="Arial" w:cs="Arial"/>
                <w:sz w:val="20"/>
                <w:szCs w:val="20"/>
              </w:rPr>
              <w:t xml:space="preserve">             </w:t>
            </w:r>
            <w:proofErr w:type="gramStart"/>
            <w:r w:rsidRPr="003866C4">
              <w:rPr>
                <w:rFonts w:ascii="Arial" w:hAnsi="Arial" w:cs="Arial"/>
                <w:sz w:val="20"/>
                <w:szCs w:val="20"/>
              </w:rPr>
              <w:t>47.62</w:t>
            </w:r>
            <w:r>
              <w:rPr>
                <w:rFonts w:ascii="Arial" w:hAnsi="Arial" w:cs="Arial"/>
                <w:sz w:val="20"/>
                <w:szCs w:val="20"/>
              </w:rPr>
              <w:t xml:space="preserve">3  </w:t>
            </w:r>
            <w:r w:rsidRPr="003866C4">
              <w:rPr>
                <w:rFonts w:ascii="Arial" w:hAnsi="Arial" w:cs="Arial"/>
                <w:sz w:val="20"/>
                <w:szCs w:val="20"/>
              </w:rPr>
              <w:tab/>
            </w:r>
            <w:proofErr w:type="gramEnd"/>
            <w:r w:rsidRPr="003866C4">
              <w:rPr>
                <w:rFonts w:ascii="Arial" w:hAnsi="Arial" w:cs="Arial"/>
                <w:sz w:val="20"/>
                <w:szCs w:val="20"/>
              </w:rPr>
              <w:t>3.51</w:t>
            </w:r>
            <w:r>
              <w:rPr>
                <w:rFonts w:ascii="Arial" w:hAnsi="Arial" w:cs="Arial"/>
                <w:sz w:val="20"/>
                <w:szCs w:val="20"/>
              </w:rPr>
              <w:t xml:space="preserve">9 </w:t>
            </w:r>
            <w:r w:rsidRPr="003866C4">
              <w:rPr>
                <w:rFonts w:ascii="Arial" w:hAnsi="Arial" w:cs="Arial"/>
                <w:sz w:val="20"/>
                <w:szCs w:val="20"/>
              </w:rPr>
              <w:t xml:space="preserve">   </w:t>
            </w:r>
            <w:r w:rsidRPr="003866C4">
              <w:rPr>
                <w:rFonts w:ascii="Arial" w:hAnsi="Arial" w:cs="Arial"/>
                <w:sz w:val="20"/>
                <w:szCs w:val="20"/>
              </w:rPr>
              <w:tab/>
              <w:t xml:space="preserve"> 13.53</w:t>
            </w:r>
            <w:r>
              <w:rPr>
                <w:rFonts w:ascii="Arial" w:hAnsi="Arial" w:cs="Arial"/>
                <w:sz w:val="20"/>
                <w:szCs w:val="20"/>
              </w:rPr>
              <w:t xml:space="preserve">5 </w:t>
            </w:r>
            <w:r w:rsidRPr="003866C4">
              <w:rPr>
                <w:rFonts w:ascii="Arial" w:hAnsi="Arial" w:cs="Arial"/>
                <w:sz w:val="20"/>
                <w:szCs w:val="20"/>
              </w:rPr>
              <w:tab/>
              <w:t>0.000</w:t>
            </w:r>
          </w:p>
        </w:tc>
      </w:tr>
      <w:tr w:rsidR="00385CAF" w:rsidRPr="003866C4" w14:paraId="3D207D7B" w14:textId="77777777" w:rsidTr="003A76BC">
        <w:tc>
          <w:tcPr>
            <w:tcW w:w="6799" w:type="dxa"/>
          </w:tcPr>
          <w:p w14:paraId="0671218B" w14:textId="77777777" w:rsidR="00385CAF" w:rsidRPr="003866C4" w:rsidRDefault="00385CAF" w:rsidP="003A76BC">
            <w:pPr>
              <w:spacing w:line="360" w:lineRule="auto"/>
              <w:rPr>
                <w:rFonts w:ascii="Arial" w:hAnsi="Arial" w:cs="Arial"/>
                <w:sz w:val="20"/>
                <w:szCs w:val="20"/>
              </w:rPr>
            </w:pPr>
            <w:r w:rsidRPr="003866C4">
              <w:rPr>
                <w:rFonts w:ascii="Arial" w:hAnsi="Arial" w:cs="Arial"/>
                <w:sz w:val="20"/>
                <w:szCs w:val="20"/>
              </w:rPr>
              <w:t>DUM90</w:t>
            </w:r>
            <w:r w:rsidRPr="003866C4">
              <w:rPr>
                <w:rFonts w:ascii="Arial" w:hAnsi="Arial" w:cs="Arial"/>
                <w:sz w:val="20"/>
                <w:szCs w:val="20"/>
              </w:rPr>
              <w:tab/>
            </w:r>
            <w:r>
              <w:rPr>
                <w:rFonts w:ascii="Arial" w:hAnsi="Arial" w:cs="Arial"/>
                <w:sz w:val="20"/>
                <w:szCs w:val="20"/>
              </w:rPr>
              <w:t xml:space="preserve">          </w:t>
            </w:r>
            <w:r w:rsidRPr="003866C4">
              <w:rPr>
                <w:rFonts w:ascii="Arial" w:hAnsi="Arial" w:cs="Arial"/>
                <w:sz w:val="20"/>
                <w:szCs w:val="20"/>
              </w:rPr>
              <w:t xml:space="preserve">  </w:t>
            </w:r>
            <w:r>
              <w:rPr>
                <w:rFonts w:ascii="Arial" w:hAnsi="Arial" w:cs="Arial"/>
                <w:sz w:val="20"/>
                <w:szCs w:val="20"/>
              </w:rPr>
              <w:t xml:space="preserve">   </w:t>
            </w:r>
            <w:r w:rsidRPr="003866C4">
              <w:rPr>
                <w:rFonts w:ascii="Arial" w:hAnsi="Arial" w:cs="Arial"/>
                <w:sz w:val="20"/>
                <w:szCs w:val="20"/>
              </w:rPr>
              <w:t>9.41</w:t>
            </w:r>
            <w:r>
              <w:rPr>
                <w:rFonts w:ascii="Arial" w:hAnsi="Arial" w:cs="Arial"/>
                <w:sz w:val="20"/>
                <w:szCs w:val="20"/>
              </w:rPr>
              <w:t xml:space="preserve">2  </w:t>
            </w:r>
            <w:r w:rsidRPr="003866C4">
              <w:rPr>
                <w:rFonts w:ascii="Arial" w:hAnsi="Arial" w:cs="Arial"/>
                <w:sz w:val="20"/>
                <w:szCs w:val="20"/>
              </w:rPr>
              <w:t xml:space="preserve">   </w:t>
            </w:r>
            <w:r w:rsidRPr="003866C4">
              <w:rPr>
                <w:rFonts w:ascii="Arial" w:hAnsi="Arial" w:cs="Arial"/>
                <w:sz w:val="20"/>
                <w:szCs w:val="20"/>
              </w:rPr>
              <w:tab/>
              <w:t>4.780</w:t>
            </w:r>
            <w:r>
              <w:rPr>
                <w:rFonts w:ascii="Arial" w:hAnsi="Arial" w:cs="Arial"/>
                <w:sz w:val="20"/>
                <w:szCs w:val="20"/>
              </w:rPr>
              <w:t xml:space="preserve"> </w:t>
            </w:r>
            <w:r w:rsidRPr="003866C4">
              <w:rPr>
                <w:rFonts w:ascii="Arial" w:hAnsi="Arial" w:cs="Arial"/>
                <w:sz w:val="20"/>
                <w:szCs w:val="20"/>
              </w:rPr>
              <w:t xml:space="preserve">   </w:t>
            </w:r>
            <w:r w:rsidRPr="003866C4">
              <w:rPr>
                <w:rFonts w:ascii="Arial" w:hAnsi="Arial" w:cs="Arial"/>
                <w:sz w:val="20"/>
                <w:szCs w:val="20"/>
              </w:rPr>
              <w:tab/>
              <w:t xml:space="preserve">   1.96</w:t>
            </w:r>
            <w:r>
              <w:rPr>
                <w:rFonts w:ascii="Arial" w:hAnsi="Arial" w:cs="Arial"/>
                <w:sz w:val="20"/>
                <w:szCs w:val="20"/>
              </w:rPr>
              <w:t>9</w:t>
            </w:r>
            <w:r w:rsidRPr="003866C4">
              <w:rPr>
                <w:rFonts w:ascii="Arial" w:hAnsi="Arial" w:cs="Arial"/>
                <w:sz w:val="20"/>
                <w:szCs w:val="20"/>
              </w:rPr>
              <w:t xml:space="preserve">   </w:t>
            </w:r>
            <w:r w:rsidRPr="003866C4">
              <w:rPr>
                <w:rFonts w:ascii="Arial" w:hAnsi="Arial" w:cs="Arial"/>
                <w:sz w:val="20"/>
                <w:szCs w:val="20"/>
              </w:rPr>
              <w:tab/>
              <w:t>0.0</w:t>
            </w:r>
            <w:r>
              <w:rPr>
                <w:rFonts w:ascii="Arial" w:hAnsi="Arial" w:cs="Arial"/>
                <w:sz w:val="20"/>
                <w:szCs w:val="20"/>
              </w:rPr>
              <w:t>60</w:t>
            </w:r>
          </w:p>
        </w:tc>
      </w:tr>
      <w:tr w:rsidR="00385CAF" w:rsidRPr="003866C4" w14:paraId="55CE6C4F" w14:textId="77777777" w:rsidTr="003A76BC">
        <w:tc>
          <w:tcPr>
            <w:tcW w:w="6799" w:type="dxa"/>
          </w:tcPr>
          <w:p w14:paraId="227AA310" w14:textId="77777777" w:rsidR="00385CAF" w:rsidRPr="003866C4" w:rsidRDefault="00385CAF" w:rsidP="003A76BC">
            <w:pPr>
              <w:spacing w:line="360" w:lineRule="auto"/>
              <w:rPr>
                <w:rFonts w:ascii="Arial" w:hAnsi="Arial" w:cs="Arial"/>
                <w:sz w:val="20"/>
                <w:szCs w:val="20"/>
              </w:rPr>
            </w:pPr>
            <w:r w:rsidRPr="003866C4">
              <w:rPr>
                <w:rFonts w:ascii="Arial" w:hAnsi="Arial" w:cs="Arial"/>
                <w:sz w:val="20"/>
                <w:szCs w:val="20"/>
              </w:rPr>
              <w:t>DUM92</w:t>
            </w:r>
            <w:r w:rsidRPr="003866C4">
              <w:rPr>
                <w:rFonts w:ascii="Arial" w:hAnsi="Arial" w:cs="Arial"/>
                <w:sz w:val="20"/>
                <w:szCs w:val="20"/>
              </w:rPr>
              <w:tab/>
            </w:r>
            <w:r>
              <w:rPr>
                <w:rFonts w:ascii="Arial" w:hAnsi="Arial" w:cs="Arial"/>
                <w:sz w:val="20"/>
                <w:szCs w:val="20"/>
              </w:rPr>
              <w:t xml:space="preserve">             </w:t>
            </w:r>
            <w:proofErr w:type="gramStart"/>
            <w:r w:rsidRPr="003866C4">
              <w:rPr>
                <w:rFonts w:ascii="Arial" w:hAnsi="Arial" w:cs="Arial"/>
                <w:sz w:val="20"/>
                <w:szCs w:val="20"/>
              </w:rPr>
              <w:t>14.8</w:t>
            </w:r>
            <w:r>
              <w:rPr>
                <w:rFonts w:ascii="Arial" w:hAnsi="Arial" w:cs="Arial"/>
                <w:sz w:val="20"/>
                <w:szCs w:val="20"/>
              </w:rPr>
              <w:t xml:space="preserve">80  </w:t>
            </w:r>
            <w:r w:rsidRPr="003866C4">
              <w:rPr>
                <w:rFonts w:ascii="Arial" w:hAnsi="Arial" w:cs="Arial"/>
                <w:sz w:val="20"/>
                <w:szCs w:val="20"/>
              </w:rPr>
              <w:tab/>
            </w:r>
            <w:proofErr w:type="gramEnd"/>
            <w:r w:rsidRPr="003866C4">
              <w:rPr>
                <w:rFonts w:ascii="Arial" w:hAnsi="Arial" w:cs="Arial"/>
                <w:sz w:val="20"/>
                <w:szCs w:val="20"/>
              </w:rPr>
              <w:t>3.429</w:t>
            </w:r>
            <w:r>
              <w:rPr>
                <w:rFonts w:ascii="Arial" w:hAnsi="Arial" w:cs="Arial"/>
                <w:sz w:val="20"/>
                <w:szCs w:val="20"/>
              </w:rPr>
              <w:t xml:space="preserve"> </w:t>
            </w:r>
            <w:r w:rsidRPr="003866C4">
              <w:rPr>
                <w:rFonts w:ascii="Arial" w:hAnsi="Arial" w:cs="Arial"/>
                <w:sz w:val="20"/>
                <w:szCs w:val="20"/>
              </w:rPr>
              <w:t xml:space="preserve">   </w:t>
            </w:r>
            <w:r w:rsidRPr="003866C4">
              <w:rPr>
                <w:rFonts w:ascii="Arial" w:hAnsi="Arial" w:cs="Arial"/>
                <w:sz w:val="20"/>
                <w:szCs w:val="20"/>
              </w:rPr>
              <w:tab/>
              <w:t xml:space="preserve">   4.339   </w:t>
            </w:r>
            <w:r w:rsidRPr="003866C4">
              <w:rPr>
                <w:rFonts w:ascii="Arial" w:hAnsi="Arial" w:cs="Arial"/>
                <w:sz w:val="20"/>
                <w:szCs w:val="20"/>
              </w:rPr>
              <w:tab/>
              <w:t>0.000</w:t>
            </w:r>
          </w:p>
        </w:tc>
      </w:tr>
    </w:tbl>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1239"/>
      </w:tblGrid>
      <w:tr w:rsidR="00385CAF" w:rsidRPr="003866C4" w14:paraId="1E8A737C" w14:textId="77777777" w:rsidTr="003A76BC">
        <w:trPr>
          <w:trHeight w:hRule="exact" w:val="135"/>
        </w:trPr>
        <w:tc>
          <w:tcPr>
            <w:tcW w:w="2017" w:type="dxa"/>
            <w:tcBorders>
              <w:top w:val="nil"/>
              <w:left w:val="nil"/>
              <w:bottom w:val="single" w:sz="4" w:space="0" w:color="auto"/>
              <w:right w:val="nil"/>
            </w:tcBorders>
            <w:vAlign w:val="bottom"/>
          </w:tcPr>
          <w:p w14:paraId="6B1E082F" w14:textId="77777777" w:rsidR="00385CAF" w:rsidRPr="003866C4" w:rsidRDefault="00385CAF" w:rsidP="003A76BC">
            <w:pPr>
              <w:autoSpaceDE w:val="0"/>
              <w:autoSpaceDN w:val="0"/>
              <w:adjustRightInd w:val="0"/>
              <w:jc w:val="center"/>
              <w:rPr>
                <w:rFonts w:ascii="Arial" w:hAnsi="Arial" w:cs="Arial"/>
              </w:rPr>
            </w:pPr>
          </w:p>
        </w:tc>
        <w:tc>
          <w:tcPr>
            <w:tcW w:w="1103" w:type="dxa"/>
            <w:tcBorders>
              <w:top w:val="nil"/>
              <w:left w:val="nil"/>
              <w:bottom w:val="single" w:sz="4" w:space="0" w:color="auto"/>
              <w:right w:val="nil"/>
            </w:tcBorders>
            <w:vAlign w:val="bottom"/>
          </w:tcPr>
          <w:p w14:paraId="7A2CEC15" w14:textId="77777777" w:rsidR="00385CAF" w:rsidRPr="003866C4" w:rsidRDefault="00385CAF" w:rsidP="003A76BC">
            <w:pPr>
              <w:autoSpaceDE w:val="0"/>
              <w:autoSpaceDN w:val="0"/>
              <w:adjustRightInd w:val="0"/>
              <w:jc w:val="center"/>
              <w:rPr>
                <w:rFonts w:ascii="Arial" w:hAnsi="Arial" w:cs="Arial"/>
              </w:rPr>
            </w:pPr>
          </w:p>
        </w:tc>
        <w:tc>
          <w:tcPr>
            <w:tcW w:w="1207" w:type="dxa"/>
            <w:tcBorders>
              <w:top w:val="nil"/>
              <w:left w:val="nil"/>
              <w:bottom w:val="single" w:sz="4" w:space="0" w:color="auto"/>
              <w:right w:val="nil"/>
            </w:tcBorders>
            <w:vAlign w:val="bottom"/>
          </w:tcPr>
          <w:p w14:paraId="2869C8F5" w14:textId="77777777" w:rsidR="00385CAF" w:rsidRPr="003866C4" w:rsidRDefault="00385CAF" w:rsidP="003A76BC">
            <w:pPr>
              <w:autoSpaceDE w:val="0"/>
              <w:autoSpaceDN w:val="0"/>
              <w:adjustRightInd w:val="0"/>
              <w:jc w:val="center"/>
              <w:rPr>
                <w:rFonts w:ascii="Arial" w:hAnsi="Arial" w:cs="Arial"/>
              </w:rPr>
            </w:pPr>
          </w:p>
        </w:tc>
        <w:tc>
          <w:tcPr>
            <w:tcW w:w="1208" w:type="dxa"/>
            <w:tcBorders>
              <w:top w:val="nil"/>
              <w:left w:val="nil"/>
              <w:bottom w:val="single" w:sz="4" w:space="0" w:color="auto"/>
              <w:right w:val="nil"/>
            </w:tcBorders>
            <w:vAlign w:val="bottom"/>
          </w:tcPr>
          <w:p w14:paraId="7D4F250F" w14:textId="77777777" w:rsidR="00385CAF" w:rsidRPr="003866C4" w:rsidRDefault="00385CAF" w:rsidP="003A76BC">
            <w:pPr>
              <w:autoSpaceDE w:val="0"/>
              <w:autoSpaceDN w:val="0"/>
              <w:adjustRightInd w:val="0"/>
              <w:jc w:val="center"/>
              <w:rPr>
                <w:rFonts w:ascii="Arial" w:hAnsi="Arial" w:cs="Arial"/>
              </w:rPr>
            </w:pPr>
          </w:p>
        </w:tc>
        <w:tc>
          <w:tcPr>
            <w:tcW w:w="1239" w:type="dxa"/>
            <w:tcBorders>
              <w:top w:val="nil"/>
              <w:left w:val="nil"/>
              <w:bottom w:val="single" w:sz="4" w:space="0" w:color="auto"/>
              <w:right w:val="nil"/>
            </w:tcBorders>
            <w:vAlign w:val="bottom"/>
          </w:tcPr>
          <w:p w14:paraId="604DAA48" w14:textId="77777777" w:rsidR="00385CAF" w:rsidRPr="003866C4" w:rsidRDefault="00385CAF" w:rsidP="003A76BC">
            <w:pPr>
              <w:autoSpaceDE w:val="0"/>
              <w:autoSpaceDN w:val="0"/>
              <w:adjustRightInd w:val="0"/>
              <w:jc w:val="center"/>
              <w:rPr>
                <w:rFonts w:ascii="Arial" w:hAnsi="Arial" w:cs="Arial"/>
              </w:rPr>
            </w:pPr>
          </w:p>
        </w:tc>
      </w:tr>
      <w:tr w:rsidR="00385CAF" w:rsidRPr="003866C4" w14:paraId="409CB13D" w14:textId="77777777" w:rsidTr="003A76BC">
        <w:trPr>
          <w:trHeight w:val="225"/>
        </w:trPr>
        <w:tc>
          <w:tcPr>
            <w:tcW w:w="2017" w:type="dxa"/>
            <w:tcBorders>
              <w:top w:val="single" w:sz="4" w:space="0" w:color="auto"/>
              <w:left w:val="single" w:sz="4" w:space="0" w:color="auto"/>
              <w:bottom w:val="single" w:sz="4" w:space="0" w:color="auto"/>
              <w:right w:val="single" w:sz="4" w:space="0" w:color="auto"/>
            </w:tcBorders>
            <w:vAlign w:val="bottom"/>
          </w:tcPr>
          <w:p w14:paraId="407D2208" w14:textId="77777777" w:rsidR="00385CAF" w:rsidRPr="003866C4" w:rsidRDefault="00385CAF" w:rsidP="003A76BC">
            <w:pPr>
              <w:autoSpaceDE w:val="0"/>
              <w:autoSpaceDN w:val="0"/>
              <w:adjustRightInd w:val="0"/>
              <w:rPr>
                <w:rFonts w:ascii="Arial" w:hAnsi="Arial" w:cs="Arial"/>
              </w:rPr>
            </w:pPr>
            <w:r w:rsidRPr="003866C4">
              <w:rPr>
                <w:rFonts w:ascii="Arial" w:hAnsi="Arial" w:cs="Arial"/>
              </w:rPr>
              <w:t>R-squared</w:t>
            </w:r>
          </w:p>
        </w:tc>
        <w:tc>
          <w:tcPr>
            <w:tcW w:w="1103" w:type="dxa"/>
            <w:tcBorders>
              <w:top w:val="single" w:sz="4" w:space="0" w:color="auto"/>
              <w:left w:val="single" w:sz="4" w:space="0" w:color="auto"/>
              <w:bottom w:val="single" w:sz="4" w:space="0" w:color="auto"/>
              <w:right w:val="single" w:sz="4" w:space="0" w:color="auto"/>
            </w:tcBorders>
            <w:vAlign w:val="bottom"/>
          </w:tcPr>
          <w:p w14:paraId="1B8F5969" w14:textId="77777777" w:rsidR="00385CAF" w:rsidRPr="003866C4" w:rsidRDefault="00385CAF" w:rsidP="003A76BC">
            <w:pPr>
              <w:autoSpaceDE w:val="0"/>
              <w:autoSpaceDN w:val="0"/>
              <w:adjustRightInd w:val="0"/>
              <w:ind w:right="10"/>
              <w:jc w:val="right"/>
              <w:rPr>
                <w:rFonts w:ascii="Arial" w:hAnsi="Arial" w:cs="Arial"/>
              </w:rPr>
            </w:pPr>
            <w:r w:rsidRPr="003866C4">
              <w:rPr>
                <w:rFonts w:ascii="Arial" w:hAnsi="Arial" w:cs="Arial"/>
              </w:rPr>
              <w:t>0.97</w:t>
            </w:r>
            <w:r>
              <w:rPr>
                <w:rFonts w:ascii="Arial" w:hAnsi="Arial" w:cs="Arial"/>
              </w:rPr>
              <w:t>7</w:t>
            </w:r>
          </w:p>
        </w:tc>
        <w:tc>
          <w:tcPr>
            <w:tcW w:w="2415" w:type="dxa"/>
            <w:gridSpan w:val="2"/>
            <w:tcBorders>
              <w:top w:val="single" w:sz="4" w:space="0" w:color="auto"/>
              <w:left w:val="single" w:sz="4" w:space="0" w:color="auto"/>
              <w:bottom w:val="single" w:sz="4" w:space="0" w:color="auto"/>
              <w:right w:val="single" w:sz="4" w:space="0" w:color="auto"/>
            </w:tcBorders>
            <w:vAlign w:val="bottom"/>
          </w:tcPr>
          <w:p w14:paraId="6565D614" w14:textId="77777777" w:rsidR="00385CAF" w:rsidRPr="003866C4" w:rsidRDefault="00385CAF" w:rsidP="003A76BC">
            <w:pPr>
              <w:autoSpaceDE w:val="0"/>
              <w:autoSpaceDN w:val="0"/>
              <w:adjustRightInd w:val="0"/>
              <w:ind w:right="10"/>
              <w:rPr>
                <w:rFonts w:ascii="Arial" w:hAnsi="Arial" w:cs="Arial"/>
              </w:rPr>
            </w:pPr>
            <w:r w:rsidRPr="003866C4">
              <w:rPr>
                <w:rFonts w:ascii="Arial" w:hAnsi="Arial" w:cs="Arial"/>
              </w:rPr>
              <w:t>    Mean dependent var</w:t>
            </w:r>
          </w:p>
        </w:tc>
        <w:tc>
          <w:tcPr>
            <w:tcW w:w="1239" w:type="dxa"/>
            <w:tcBorders>
              <w:top w:val="single" w:sz="4" w:space="0" w:color="auto"/>
              <w:left w:val="single" w:sz="4" w:space="0" w:color="auto"/>
              <w:bottom w:val="single" w:sz="4" w:space="0" w:color="auto"/>
              <w:right w:val="single" w:sz="4" w:space="0" w:color="auto"/>
            </w:tcBorders>
            <w:vAlign w:val="bottom"/>
          </w:tcPr>
          <w:p w14:paraId="0ED29B4E" w14:textId="77777777" w:rsidR="00385CAF" w:rsidRPr="003866C4" w:rsidRDefault="00385CAF" w:rsidP="003A76BC">
            <w:pPr>
              <w:autoSpaceDE w:val="0"/>
              <w:autoSpaceDN w:val="0"/>
              <w:adjustRightInd w:val="0"/>
              <w:ind w:right="10"/>
              <w:jc w:val="right"/>
              <w:rPr>
                <w:rFonts w:ascii="Arial" w:hAnsi="Arial" w:cs="Arial"/>
              </w:rPr>
            </w:pPr>
            <w:r w:rsidRPr="003866C4">
              <w:rPr>
                <w:rFonts w:ascii="Arial" w:hAnsi="Arial" w:cs="Arial"/>
              </w:rPr>
              <w:t>0.289</w:t>
            </w:r>
          </w:p>
        </w:tc>
      </w:tr>
      <w:tr w:rsidR="00385CAF" w:rsidRPr="003866C4" w14:paraId="2ABAC289" w14:textId="77777777" w:rsidTr="003A76BC">
        <w:trPr>
          <w:trHeight w:val="225"/>
        </w:trPr>
        <w:tc>
          <w:tcPr>
            <w:tcW w:w="2017" w:type="dxa"/>
            <w:tcBorders>
              <w:top w:val="single" w:sz="4" w:space="0" w:color="auto"/>
              <w:left w:val="single" w:sz="4" w:space="0" w:color="auto"/>
              <w:bottom w:val="single" w:sz="4" w:space="0" w:color="auto"/>
              <w:right w:val="single" w:sz="4" w:space="0" w:color="auto"/>
            </w:tcBorders>
            <w:vAlign w:val="bottom"/>
          </w:tcPr>
          <w:p w14:paraId="564849F3" w14:textId="77777777" w:rsidR="00385CAF" w:rsidRPr="003866C4" w:rsidRDefault="00385CAF" w:rsidP="003A76BC">
            <w:pPr>
              <w:autoSpaceDE w:val="0"/>
              <w:autoSpaceDN w:val="0"/>
              <w:adjustRightInd w:val="0"/>
              <w:rPr>
                <w:rFonts w:ascii="Arial" w:hAnsi="Arial" w:cs="Arial"/>
              </w:rPr>
            </w:pPr>
            <w:r w:rsidRPr="003866C4">
              <w:rPr>
                <w:rFonts w:ascii="Arial" w:hAnsi="Arial" w:cs="Arial"/>
              </w:rPr>
              <w:t>Adjusted R-squared</w:t>
            </w:r>
          </w:p>
        </w:tc>
        <w:tc>
          <w:tcPr>
            <w:tcW w:w="1103" w:type="dxa"/>
            <w:tcBorders>
              <w:top w:val="single" w:sz="4" w:space="0" w:color="auto"/>
              <w:left w:val="single" w:sz="4" w:space="0" w:color="auto"/>
              <w:bottom w:val="single" w:sz="4" w:space="0" w:color="auto"/>
              <w:right w:val="single" w:sz="4" w:space="0" w:color="auto"/>
            </w:tcBorders>
            <w:vAlign w:val="bottom"/>
          </w:tcPr>
          <w:p w14:paraId="2E49D27C" w14:textId="77777777" w:rsidR="00385CAF" w:rsidRPr="003866C4" w:rsidRDefault="00385CAF" w:rsidP="003A76BC">
            <w:pPr>
              <w:autoSpaceDE w:val="0"/>
              <w:autoSpaceDN w:val="0"/>
              <w:adjustRightInd w:val="0"/>
              <w:ind w:right="10"/>
              <w:jc w:val="right"/>
              <w:rPr>
                <w:rFonts w:ascii="Arial" w:hAnsi="Arial" w:cs="Arial"/>
              </w:rPr>
            </w:pPr>
            <w:r w:rsidRPr="003866C4">
              <w:rPr>
                <w:rFonts w:ascii="Arial" w:hAnsi="Arial" w:cs="Arial"/>
              </w:rPr>
              <w:t>0.96</w:t>
            </w:r>
            <w:r>
              <w:rPr>
                <w:rFonts w:ascii="Arial" w:hAnsi="Arial" w:cs="Arial"/>
              </w:rPr>
              <w:t>3</w:t>
            </w:r>
          </w:p>
        </w:tc>
        <w:tc>
          <w:tcPr>
            <w:tcW w:w="2415" w:type="dxa"/>
            <w:gridSpan w:val="2"/>
            <w:tcBorders>
              <w:top w:val="single" w:sz="4" w:space="0" w:color="auto"/>
              <w:left w:val="single" w:sz="4" w:space="0" w:color="auto"/>
              <w:bottom w:val="single" w:sz="4" w:space="0" w:color="auto"/>
              <w:right w:val="single" w:sz="4" w:space="0" w:color="auto"/>
            </w:tcBorders>
            <w:vAlign w:val="bottom"/>
          </w:tcPr>
          <w:p w14:paraId="611CA567" w14:textId="77777777" w:rsidR="00385CAF" w:rsidRPr="003866C4" w:rsidRDefault="00385CAF" w:rsidP="003A76BC">
            <w:pPr>
              <w:autoSpaceDE w:val="0"/>
              <w:autoSpaceDN w:val="0"/>
              <w:adjustRightInd w:val="0"/>
              <w:ind w:right="10"/>
              <w:rPr>
                <w:rFonts w:ascii="Arial" w:hAnsi="Arial" w:cs="Arial"/>
              </w:rPr>
            </w:pPr>
            <w:r w:rsidRPr="003866C4">
              <w:rPr>
                <w:rFonts w:ascii="Arial" w:hAnsi="Arial" w:cs="Arial"/>
              </w:rPr>
              <w:t>    S.D. dependent var</w:t>
            </w:r>
          </w:p>
        </w:tc>
        <w:tc>
          <w:tcPr>
            <w:tcW w:w="1239" w:type="dxa"/>
            <w:tcBorders>
              <w:top w:val="single" w:sz="4" w:space="0" w:color="auto"/>
              <w:left w:val="single" w:sz="4" w:space="0" w:color="auto"/>
              <w:bottom w:val="single" w:sz="4" w:space="0" w:color="auto"/>
              <w:right w:val="single" w:sz="4" w:space="0" w:color="auto"/>
            </w:tcBorders>
            <w:vAlign w:val="bottom"/>
          </w:tcPr>
          <w:p w14:paraId="23024FC3" w14:textId="77777777" w:rsidR="00385CAF" w:rsidRPr="003866C4" w:rsidRDefault="00385CAF" w:rsidP="003A76BC">
            <w:pPr>
              <w:autoSpaceDE w:val="0"/>
              <w:autoSpaceDN w:val="0"/>
              <w:adjustRightInd w:val="0"/>
              <w:ind w:right="10"/>
              <w:jc w:val="right"/>
              <w:rPr>
                <w:rFonts w:ascii="Arial" w:hAnsi="Arial" w:cs="Arial"/>
              </w:rPr>
            </w:pPr>
            <w:r w:rsidRPr="003866C4">
              <w:rPr>
                <w:rFonts w:ascii="Arial" w:hAnsi="Arial" w:cs="Arial"/>
              </w:rPr>
              <w:t>14.35</w:t>
            </w:r>
            <w:r>
              <w:rPr>
                <w:rFonts w:ascii="Arial" w:hAnsi="Arial" w:cs="Arial"/>
              </w:rPr>
              <w:t>2</w:t>
            </w:r>
          </w:p>
        </w:tc>
      </w:tr>
      <w:tr w:rsidR="00385CAF" w:rsidRPr="003866C4" w14:paraId="3EEDC505" w14:textId="77777777" w:rsidTr="003A76BC">
        <w:trPr>
          <w:trHeight w:val="225"/>
        </w:trPr>
        <w:tc>
          <w:tcPr>
            <w:tcW w:w="2017" w:type="dxa"/>
            <w:tcBorders>
              <w:top w:val="single" w:sz="4" w:space="0" w:color="auto"/>
              <w:left w:val="single" w:sz="4" w:space="0" w:color="auto"/>
              <w:bottom w:val="single" w:sz="4" w:space="0" w:color="auto"/>
              <w:right w:val="single" w:sz="4" w:space="0" w:color="auto"/>
            </w:tcBorders>
            <w:vAlign w:val="bottom"/>
          </w:tcPr>
          <w:p w14:paraId="59C5BB50" w14:textId="77777777" w:rsidR="00385CAF" w:rsidRPr="003866C4" w:rsidRDefault="00385CAF" w:rsidP="003A76BC">
            <w:pPr>
              <w:autoSpaceDE w:val="0"/>
              <w:autoSpaceDN w:val="0"/>
              <w:adjustRightInd w:val="0"/>
              <w:rPr>
                <w:rFonts w:ascii="Arial" w:hAnsi="Arial" w:cs="Arial"/>
              </w:rPr>
            </w:pPr>
            <w:r w:rsidRPr="003866C4">
              <w:rPr>
                <w:rFonts w:ascii="Arial" w:hAnsi="Arial" w:cs="Arial"/>
              </w:rPr>
              <w:t>S.E. of regression</w:t>
            </w:r>
          </w:p>
        </w:tc>
        <w:tc>
          <w:tcPr>
            <w:tcW w:w="1103" w:type="dxa"/>
            <w:tcBorders>
              <w:top w:val="single" w:sz="4" w:space="0" w:color="auto"/>
              <w:left w:val="single" w:sz="4" w:space="0" w:color="auto"/>
              <w:bottom w:val="single" w:sz="4" w:space="0" w:color="auto"/>
              <w:right w:val="single" w:sz="4" w:space="0" w:color="auto"/>
            </w:tcBorders>
            <w:vAlign w:val="bottom"/>
          </w:tcPr>
          <w:p w14:paraId="11AFD916" w14:textId="77777777" w:rsidR="00385CAF" w:rsidRPr="003866C4" w:rsidRDefault="00385CAF" w:rsidP="003A76BC">
            <w:pPr>
              <w:autoSpaceDE w:val="0"/>
              <w:autoSpaceDN w:val="0"/>
              <w:adjustRightInd w:val="0"/>
              <w:ind w:right="10"/>
              <w:jc w:val="right"/>
              <w:rPr>
                <w:rFonts w:ascii="Arial" w:hAnsi="Arial" w:cs="Arial"/>
              </w:rPr>
            </w:pPr>
            <w:r w:rsidRPr="003866C4">
              <w:rPr>
                <w:rFonts w:ascii="Arial" w:hAnsi="Arial" w:cs="Arial"/>
              </w:rPr>
              <w:t>2.770</w:t>
            </w:r>
          </w:p>
        </w:tc>
        <w:tc>
          <w:tcPr>
            <w:tcW w:w="2415" w:type="dxa"/>
            <w:gridSpan w:val="2"/>
            <w:tcBorders>
              <w:top w:val="single" w:sz="4" w:space="0" w:color="auto"/>
              <w:left w:val="single" w:sz="4" w:space="0" w:color="auto"/>
              <w:bottom w:val="single" w:sz="4" w:space="0" w:color="auto"/>
              <w:right w:val="single" w:sz="4" w:space="0" w:color="auto"/>
            </w:tcBorders>
            <w:vAlign w:val="bottom"/>
          </w:tcPr>
          <w:p w14:paraId="2227DF7C" w14:textId="77777777" w:rsidR="00385CAF" w:rsidRPr="003866C4" w:rsidRDefault="00385CAF" w:rsidP="003A76BC">
            <w:pPr>
              <w:autoSpaceDE w:val="0"/>
              <w:autoSpaceDN w:val="0"/>
              <w:adjustRightInd w:val="0"/>
              <w:ind w:right="10"/>
              <w:rPr>
                <w:rFonts w:ascii="Arial" w:hAnsi="Arial" w:cs="Arial"/>
              </w:rPr>
            </w:pPr>
            <w:r w:rsidRPr="003866C4">
              <w:rPr>
                <w:rFonts w:ascii="Arial" w:hAnsi="Arial" w:cs="Arial"/>
              </w:rPr>
              <w:t>    Akaike info criterion</w:t>
            </w:r>
          </w:p>
        </w:tc>
        <w:tc>
          <w:tcPr>
            <w:tcW w:w="1239" w:type="dxa"/>
            <w:tcBorders>
              <w:top w:val="single" w:sz="4" w:space="0" w:color="auto"/>
              <w:left w:val="single" w:sz="4" w:space="0" w:color="auto"/>
              <w:bottom w:val="single" w:sz="4" w:space="0" w:color="auto"/>
              <w:right w:val="single" w:sz="4" w:space="0" w:color="auto"/>
            </w:tcBorders>
            <w:vAlign w:val="bottom"/>
          </w:tcPr>
          <w:p w14:paraId="6EB55E41" w14:textId="77777777" w:rsidR="00385CAF" w:rsidRPr="003866C4" w:rsidRDefault="00385CAF" w:rsidP="003A76BC">
            <w:pPr>
              <w:autoSpaceDE w:val="0"/>
              <w:autoSpaceDN w:val="0"/>
              <w:adjustRightInd w:val="0"/>
              <w:ind w:right="10"/>
              <w:jc w:val="right"/>
              <w:rPr>
                <w:rFonts w:ascii="Arial" w:hAnsi="Arial" w:cs="Arial"/>
              </w:rPr>
            </w:pPr>
            <w:r w:rsidRPr="003866C4">
              <w:rPr>
                <w:rFonts w:ascii="Arial" w:hAnsi="Arial" w:cs="Arial"/>
              </w:rPr>
              <w:t>5.163</w:t>
            </w:r>
          </w:p>
        </w:tc>
      </w:tr>
      <w:tr w:rsidR="00385CAF" w:rsidRPr="003866C4" w14:paraId="7FC5EEF1" w14:textId="77777777" w:rsidTr="003A76BC">
        <w:trPr>
          <w:trHeight w:val="225"/>
        </w:trPr>
        <w:tc>
          <w:tcPr>
            <w:tcW w:w="2017" w:type="dxa"/>
            <w:tcBorders>
              <w:top w:val="single" w:sz="4" w:space="0" w:color="auto"/>
              <w:left w:val="single" w:sz="4" w:space="0" w:color="auto"/>
              <w:bottom w:val="single" w:sz="4" w:space="0" w:color="auto"/>
              <w:right w:val="single" w:sz="4" w:space="0" w:color="auto"/>
            </w:tcBorders>
            <w:vAlign w:val="bottom"/>
          </w:tcPr>
          <w:p w14:paraId="42AC2FC0" w14:textId="77777777" w:rsidR="00385CAF" w:rsidRPr="003866C4" w:rsidRDefault="00385CAF" w:rsidP="003A76BC">
            <w:pPr>
              <w:autoSpaceDE w:val="0"/>
              <w:autoSpaceDN w:val="0"/>
              <w:adjustRightInd w:val="0"/>
              <w:rPr>
                <w:rFonts w:ascii="Arial" w:hAnsi="Arial" w:cs="Arial"/>
              </w:rPr>
            </w:pPr>
            <w:r w:rsidRPr="003866C4">
              <w:rPr>
                <w:rFonts w:ascii="Arial" w:hAnsi="Arial" w:cs="Arial"/>
              </w:rPr>
              <w:t xml:space="preserve">Sum squared </w:t>
            </w:r>
            <w:proofErr w:type="spellStart"/>
            <w:r w:rsidRPr="003866C4">
              <w:rPr>
                <w:rFonts w:ascii="Arial" w:hAnsi="Arial" w:cs="Arial"/>
              </w:rPr>
              <w:t>resid</w:t>
            </w:r>
            <w:proofErr w:type="spellEnd"/>
          </w:p>
        </w:tc>
        <w:tc>
          <w:tcPr>
            <w:tcW w:w="1103" w:type="dxa"/>
            <w:tcBorders>
              <w:top w:val="single" w:sz="4" w:space="0" w:color="auto"/>
              <w:left w:val="single" w:sz="4" w:space="0" w:color="auto"/>
              <w:bottom w:val="single" w:sz="4" w:space="0" w:color="auto"/>
              <w:right w:val="single" w:sz="4" w:space="0" w:color="auto"/>
            </w:tcBorders>
            <w:vAlign w:val="bottom"/>
          </w:tcPr>
          <w:p w14:paraId="62B0B7E8" w14:textId="77777777" w:rsidR="00385CAF" w:rsidRPr="003866C4" w:rsidRDefault="00385CAF" w:rsidP="003A76BC">
            <w:pPr>
              <w:autoSpaceDE w:val="0"/>
              <w:autoSpaceDN w:val="0"/>
              <w:adjustRightInd w:val="0"/>
              <w:ind w:right="10"/>
              <w:jc w:val="right"/>
              <w:rPr>
                <w:rFonts w:ascii="Arial" w:hAnsi="Arial" w:cs="Arial"/>
              </w:rPr>
            </w:pPr>
            <w:r w:rsidRPr="003866C4">
              <w:rPr>
                <w:rFonts w:ascii="Arial" w:hAnsi="Arial" w:cs="Arial"/>
              </w:rPr>
              <w:t>199.503</w:t>
            </w:r>
          </w:p>
        </w:tc>
        <w:tc>
          <w:tcPr>
            <w:tcW w:w="2415" w:type="dxa"/>
            <w:gridSpan w:val="2"/>
            <w:tcBorders>
              <w:top w:val="single" w:sz="4" w:space="0" w:color="auto"/>
              <w:left w:val="single" w:sz="4" w:space="0" w:color="auto"/>
              <w:bottom w:val="single" w:sz="4" w:space="0" w:color="auto"/>
              <w:right w:val="single" w:sz="4" w:space="0" w:color="auto"/>
            </w:tcBorders>
            <w:vAlign w:val="bottom"/>
          </w:tcPr>
          <w:p w14:paraId="308C3359" w14:textId="77777777" w:rsidR="00385CAF" w:rsidRPr="003866C4" w:rsidRDefault="00385CAF" w:rsidP="003A76BC">
            <w:pPr>
              <w:autoSpaceDE w:val="0"/>
              <w:autoSpaceDN w:val="0"/>
              <w:adjustRightInd w:val="0"/>
              <w:ind w:right="10"/>
              <w:rPr>
                <w:rFonts w:ascii="Arial" w:hAnsi="Arial" w:cs="Arial"/>
              </w:rPr>
            </w:pPr>
            <w:r w:rsidRPr="003866C4">
              <w:rPr>
                <w:rFonts w:ascii="Arial" w:hAnsi="Arial" w:cs="Arial"/>
              </w:rPr>
              <w:t>    Schwarz criterion</w:t>
            </w:r>
          </w:p>
        </w:tc>
        <w:tc>
          <w:tcPr>
            <w:tcW w:w="1239" w:type="dxa"/>
            <w:tcBorders>
              <w:top w:val="single" w:sz="4" w:space="0" w:color="auto"/>
              <w:left w:val="single" w:sz="4" w:space="0" w:color="auto"/>
              <w:bottom w:val="single" w:sz="4" w:space="0" w:color="auto"/>
              <w:right w:val="single" w:sz="4" w:space="0" w:color="auto"/>
            </w:tcBorders>
            <w:vAlign w:val="bottom"/>
          </w:tcPr>
          <w:p w14:paraId="0D9A9EAC" w14:textId="77777777" w:rsidR="00385CAF" w:rsidRPr="003866C4" w:rsidRDefault="00385CAF" w:rsidP="003A76BC">
            <w:pPr>
              <w:autoSpaceDE w:val="0"/>
              <w:autoSpaceDN w:val="0"/>
              <w:adjustRightInd w:val="0"/>
              <w:ind w:right="10"/>
              <w:jc w:val="right"/>
              <w:rPr>
                <w:rFonts w:ascii="Arial" w:hAnsi="Arial" w:cs="Arial"/>
              </w:rPr>
            </w:pPr>
            <w:r w:rsidRPr="003866C4">
              <w:rPr>
                <w:rFonts w:ascii="Arial" w:hAnsi="Arial" w:cs="Arial"/>
              </w:rPr>
              <w:t>5.859</w:t>
            </w:r>
          </w:p>
        </w:tc>
      </w:tr>
      <w:tr w:rsidR="00385CAF" w:rsidRPr="003866C4" w14:paraId="3DB5D971" w14:textId="77777777" w:rsidTr="003A76BC">
        <w:trPr>
          <w:trHeight w:val="225"/>
        </w:trPr>
        <w:tc>
          <w:tcPr>
            <w:tcW w:w="2017" w:type="dxa"/>
            <w:tcBorders>
              <w:top w:val="single" w:sz="4" w:space="0" w:color="auto"/>
              <w:left w:val="single" w:sz="4" w:space="0" w:color="auto"/>
              <w:bottom w:val="single" w:sz="4" w:space="0" w:color="auto"/>
              <w:right w:val="single" w:sz="4" w:space="0" w:color="auto"/>
            </w:tcBorders>
            <w:vAlign w:val="bottom"/>
          </w:tcPr>
          <w:p w14:paraId="676C982C" w14:textId="77777777" w:rsidR="00385CAF" w:rsidRPr="003866C4" w:rsidRDefault="00385CAF" w:rsidP="003A76BC">
            <w:pPr>
              <w:autoSpaceDE w:val="0"/>
              <w:autoSpaceDN w:val="0"/>
              <w:adjustRightInd w:val="0"/>
              <w:rPr>
                <w:rFonts w:ascii="Arial" w:hAnsi="Arial" w:cs="Arial"/>
              </w:rPr>
            </w:pPr>
            <w:r w:rsidRPr="003866C4">
              <w:rPr>
                <w:rFonts w:ascii="Arial" w:hAnsi="Arial" w:cs="Arial"/>
              </w:rPr>
              <w:t>Log likelihood</w:t>
            </w:r>
          </w:p>
        </w:tc>
        <w:tc>
          <w:tcPr>
            <w:tcW w:w="1103" w:type="dxa"/>
            <w:tcBorders>
              <w:top w:val="single" w:sz="4" w:space="0" w:color="auto"/>
              <w:left w:val="single" w:sz="4" w:space="0" w:color="auto"/>
              <w:bottom w:val="single" w:sz="4" w:space="0" w:color="auto"/>
              <w:right w:val="single" w:sz="4" w:space="0" w:color="auto"/>
            </w:tcBorders>
            <w:vAlign w:val="bottom"/>
          </w:tcPr>
          <w:p w14:paraId="4C16BD4E" w14:textId="77777777" w:rsidR="00385CAF" w:rsidRPr="003866C4" w:rsidRDefault="00385CAF" w:rsidP="003A76BC">
            <w:pPr>
              <w:autoSpaceDE w:val="0"/>
              <w:autoSpaceDN w:val="0"/>
              <w:adjustRightInd w:val="0"/>
              <w:ind w:right="10"/>
              <w:jc w:val="right"/>
              <w:rPr>
                <w:rFonts w:ascii="Arial" w:hAnsi="Arial" w:cs="Arial"/>
              </w:rPr>
            </w:pPr>
            <w:r w:rsidRPr="003866C4">
              <w:rPr>
                <w:rFonts w:ascii="Arial" w:hAnsi="Arial" w:cs="Arial"/>
              </w:rPr>
              <w:t>-94.00</w:t>
            </w:r>
            <w:r>
              <w:rPr>
                <w:rFonts w:ascii="Arial" w:hAnsi="Arial" w:cs="Arial"/>
              </w:rPr>
              <w:t>9</w:t>
            </w:r>
          </w:p>
        </w:tc>
        <w:tc>
          <w:tcPr>
            <w:tcW w:w="2415" w:type="dxa"/>
            <w:gridSpan w:val="2"/>
            <w:tcBorders>
              <w:top w:val="single" w:sz="4" w:space="0" w:color="auto"/>
              <w:left w:val="single" w:sz="4" w:space="0" w:color="auto"/>
              <w:bottom w:val="single" w:sz="4" w:space="0" w:color="auto"/>
              <w:right w:val="single" w:sz="4" w:space="0" w:color="auto"/>
            </w:tcBorders>
            <w:vAlign w:val="bottom"/>
          </w:tcPr>
          <w:p w14:paraId="1F6933B4" w14:textId="77777777" w:rsidR="00385CAF" w:rsidRPr="003866C4" w:rsidRDefault="00385CAF" w:rsidP="003A76BC">
            <w:pPr>
              <w:autoSpaceDE w:val="0"/>
              <w:autoSpaceDN w:val="0"/>
              <w:adjustRightInd w:val="0"/>
              <w:ind w:right="10"/>
              <w:rPr>
                <w:rFonts w:ascii="Arial" w:hAnsi="Arial" w:cs="Arial"/>
              </w:rPr>
            </w:pPr>
            <w:r w:rsidRPr="003866C4">
              <w:rPr>
                <w:rFonts w:ascii="Arial" w:hAnsi="Arial" w:cs="Arial"/>
              </w:rPr>
              <w:t xml:space="preserve">    Hannan-Quinn </w:t>
            </w:r>
            <w:proofErr w:type="spellStart"/>
            <w:r w:rsidRPr="003866C4">
              <w:rPr>
                <w:rFonts w:ascii="Arial" w:hAnsi="Arial" w:cs="Arial"/>
              </w:rPr>
              <w:t>criter</w:t>
            </w:r>
            <w:proofErr w:type="spellEnd"/>
            <w:r w:rsidRPr="003866C4">
              <w:rPr>
                <w:rFonts w:ascii="Arial" w:hAnsi="Arial" w:cs="Arial"/>
              </w:rPr>
              <w:t>.</w:t>
            </w:r>
          </w:p>
        </w:tc>
        <w:tc>
          <w:tcPr>
            <w:tcW w:w="1239" w:type="dxa"/>
            <w:tcBorders>
              <w:top w:val="single" w:sz="4" w:space="0" w:color="auto"/>
              <w:left w:val="single" w:sz="4" w:space="0" w:color="auto"/>
              <w:bottom w:val="single" w:sz="4" w:space="0" w:color="auto"/>
              <w:right w:val="single" w:sz="4" w:space="0" w:color="auto"/>
            </w:tcBorders>
            <w:vAlign w:val="bottom"/>
          </w:tcPr>
          <w:p w14:paraId="21F1361E" w14:textId="77777777" w:rsidR="00385CAF" w:rsidRPr="003866C4" w:rsidRDefault="00385CAF" w:rsidP="003A76BC">
            <w:pPr>
              <w:autoSpaceDE w:val="0"/>
              <w:autoSpaceDN w:val="0"/>
              <w:adjustRightInd w:val="0"/>
              <w:ind w:right="10"/>
              <w:jc w:val="right"/>
              <w:rPr>
                <w:rFonts w:ascii="Arial" w:hAnsi="Arial" w:cs="Arial"/>
              </w:rPr>
            </w:pPr>
            <w:r w:rsidRPr="003866C4">
              <w:rPr>
                <w:rFonts w:ascii="Arial" w:hAnsi="Arial" w:cs="Arial"/>
              </w:rPr>
              <w:t>5.41</w:t>
            </w:r>
            <w:r>
              <w:rPr>
                <w:rFonts w:ascii="Arial" w:hAnsi="Arial" w:cs="Arial"/>
              </w:rPr>
              <w:t>0</w:t>
            </w:r>
          </w:p>
        </w:tc>
      </w:tr>
      <w:tr w:rsidR="00385CAF" w:rsidRPr="003866C4" w14:paraId="3D4CDD6E" w14:textId="77777777" w:rsidTr="003A76BC">
        <w:trPr>
          <w:trHeight w:val="225"/>
        </w:trPr>
        <w:tc>
          <w:tcPr>
            <w:tcW w:w="2017" w:type="dxa"/>
            <w:tcBorders>
              <w:top w:val="single" w:sz="4" w:space="0" w:color="auto"/>
              <w:left w:val="single" w:sz="4" w:space="0" w:color="auto"/>
              <w:bottom w:val="single" w:sz="4" w:space="0" w:color="auto"/>
              <w:right w:val="single" w:sz="4" w:space="0" w:color="auto"/>
            </w:tcBorders>
            <w:vAlign w:val="bottom"/>
          </w:tcPr>
          <w:p w14:paraId="046394E7" w14:textId="77777777" w:rsidR="00385CAF" w:rsidRPr="003866C4" w:rsidRDefault="00385CAF" w:rsidP="003A76BC">
            <w:pPr>
              <w:autoSpaceDE w:val="0"/>
              <w:autoSpaceDN w:val="0"/>
              <w:adjustRightInd w:val="0"/>
              <w:rPr>
                <w:rFonts w:ascii="Arial" w:hAnsi="Arial" w:cs="Arial"/>
              </w:rPr>
            </w:pPr>
            <w:r w:rsidRPr="003866C4">
              <w:rPr>
                <w:rFonts w:ascii="Arial" w:hAnsi="Arial" w:cs="Arial"/>
              </w:rPr>
              <w:t>F-statistic</w:t>
            </w:r>
          </w:p>
        </w:tc>
        <w:tc>
          <w:tcPr>
            <w:tcW w:w="1103" w:type="dxa"/>
            <w:tcBorders>
              <w:top w:val="single" w:sz="4" w:space="0" w:color="auto"/>
              <w:left w:val="single" w:sz="4" w:space="0" w:color="auto"/>
              <w:bottom w:val="single" w:sz="4" w:space="0" w:color="auto"/>
              <w:right w:val="single" w:sz="4" w:space="0" w:color="auto"/>
            </w:tcBorders>
            <w:vAlign w:val="bottom"/>
          </w:tcPr>
          <w:p w14:paraId="7B541504" w14:textId="77777777" w:rsidR="00385CAF" w:rsidRPr="003866C4" w:rsidRDefault="00385CAF" w:rsidP="003A76BC">
            <w:pPr>
              <w:autoSpaceDE w:val="0"/>
              <w:autoSpaceDN w:val="0"/>
              <w:adjustRightInd w:val="0"/>
              <w:ind w:right="10"/>
              <w:jc w:val="right"/>
              <w:rPr>
                <w:rFonts w:ascii="Arial" w:hAnsi="Arial" w:cs="Arial"/>
              </w:rPr>
            </w:pPr>
            <w:r w:rsidRPr="003866C4">
              <w:rPr>
                <w:rFonts w:ascii="Arial" w:hAnsi="Arial" w:cs="Arial"/>
              </w:rPr>
              <w:t>68.839</w:t>
            </w:r>
          </w:p>
        </w:tc>
        <w:tc>
          <w:tcPr>
            <w:tcW w:w="2415" w:type="dxa"/>
            <w:gridSpan w:val="2"/>
            <w:tcBorders>
              <w:top w:val="single" w:sz="4" w:space="0" w:color="auto"/>
              <w:left w:val="single" w:sz="4" w:space="0" w:color="auto"/>
              <w:bottom w:val="single" w:sz="4" w:space="0" w:color="auto"/>
              <w:right w:val="single" w:sz="4" w:space="0" w:color="auto"/>
            </w:tcBorders>
            <w:vAlign w:val="bottom"/>
          </w:tcPr>
          <w:p w14:paraId="63B73602" w14:textId="77777777" w:rsidR="00385CAF" w:rsidRPr="003866C4" w:rsidRDefault="00385CAF" w:rsidP="003A76BC">
            <w:pPr>
              <w:autoSpaceDE w:val="0"/>
              <w:autoSpaceDN w:val="0"/>
              <w:adjustRightInd w:val="0"/>
              <w:ind w:right="10"/>
              <w:rPr>
                <w:rFonts w:ascii="Arial" w:hAnsi="Arial" w:cs="Arial"/>
              </w:rPr>
            </w:pPr>
            <w:r w:rsidRPr="003866C4">
              <w:rPr>
                <w:rFonts w:ascii="Arial" w:hAnsi="Arial" w:cs="Arial"/>
              </w:rPr>
              <w:t>    Durbin-Watson stat</w:t>
            </w:r>
          </w:p>
        </w:tc>
        <w:tc>
          <w:tcPr>
            <w:tcW w:w="1239" w:type="dxa"/>
            <w:tcBorders>
              <w:top w:val="single" w:sz="4" w:space="0" w:color="auto"/>
              <w:left w:val="single" w:sz="4" w:space="0" w:color="auto"/>
              <w:bottom w:val="single" w:sz="4" w:space="0" w:color="auto"/>
              <w:right w:val="single" w:sz="4" w:space="0" w:color="auto"/>
            </w:tcBorders>
            <w:vAlign w:val="bottom"/>
          </w:tcPr>
          <w:p w14:paraId="069FD8CD" w14:textId="77777777" w:rsidR="00385CAF" w:rsidRPr="003866C4" w:rsidRDefault="00385CAF" w:rsidP="003A76BC">
            <w:pPr>
              <w:autoSpaceDE w:val="0"/>
              <w:autoSpaceDN w:val="0"/>
              <w:adjustRightInd w:val="0"/>
              <w:ind w:right="10"/>
              <w:jc w:val="right"/>
              <w:rPr>
                <w:rFonts w:ascii="Arial" w:hAnsi="Arial" w:cs="Arial"/>
              </w:rPr>
            </w:pPr>
            <w:r w:rsidRPr="003866C4">
              <w:rPr>
                <w:rFonts w:ascii="Arial" w:hAnsi="Arial" w:cs="Arial"/>
              </w:rPr>
              <w:t>1.93</w:t>
            </w:r>
            <w:r>
              <w:rPr>
                <w:rFonts w:ascii="Arial" w:hAnsi="Arial" w:cs="Arial"/>
              </w:rPr>
              <w:t>6</w:t>
            </w:r>
          </w:p>
        </w:tc>
      </w:tr>
      <w:tr w:rsidR="00385CAF" w:rsidRPr="003866C4" w14:paraId="5EBC6D89" w14:textId="77777777" w:rsidTr="003A76BC">
        <w:trPr>
          <w:trHeight w:val="225"/>
        </w:trPr>
        <w:tc>
          <w:tcPr>
            <w:tcW w:w="2017" w:type="dxa"/>
            <w:tcBorders>
              <w:top w:val="single" w:sz="4" w:space="0" w:color="auto"/>
              <w:left w:val="single" w:sz="4" w:space="0" w:color="auto"/>
              <w:bottom w:val="single" w:sz="4" w:space="0" w:color="auto"/>
              <w:right w:val="single" w:sz="4" w:space="0" w:color="auto"/>
            </w:tcBorders>
            <w:vAlign w:val="bottom"/>
          </w:tcPr>
          <w:p w14:paraId="48D79E33" w14:textId="77777777" w:rsidR="00385CAF" w:rsidRPr="003866C4" w:rsidRDefault="00385CAF" w:rsidP="003A76BC">
            <w:pPr>
              <w:autoSpaceDE w:val="0"/>
              <w:autoSpaceDN w:val="0"/>
              <w:adjustRightInd w:val="0"/>
              <w:rPr>
                <w:rFonts w:ascii="Arial" w:hAnsi="Arial" w:cs="Arial"/>
              </w:rPr>
            </w:pPr>
            <w:r w:rsidRPr="003866C4">
              <w:rPr>
                <w:rFonts w:ascii="Arial" w:hAnsi="Arial" w:cs="Arial"/>
              </w:rPr>
              <w:t>Prob(F-statistic)</w:t>
            </w:r>
          </w:p>
        </w:tc>
        <w:tc>
          <w:tcPr>
            <w:tcW w:w="1103" w:type="dxa"/>
            <w:tcBorders>
              <w:top w:val="single" w:sz="4" w:space="0" w:color="auto"/>
              <w:left w:val="single" w:sz="4" w:space="0" w:color="auto"/>
              <w:bottom w:val="single" w:sz="4" w:space="0" w:color="auto"/>
              <w:right w:val="single" w:sz="4" w:space="0" w:color="auto"/>
            </w:tcBorders>
            <w:vAlign w:val="bottom"/>
          </w:tcPr>
          <w:p w14:paraId="12DCF12F" w14:textId="77777777" w:rsidR="00385CAF" w:rsidRPr="003866C4" w:rsidRDefault="00385CAF" w:rsidP="003A76BC">
            <w:pPr>
              <w:autoSpaceDE w:val="0"/>
              <w:autoSpaceDN w:val="0"/>
              <w:adjustRightInd w:val="0"/>
              <w:ind w:right="10"/>
              <w:jc w:val="right"/>
              <w:rPr>
                <w:rFonts w:ascii="Arial" w:hAnsi="Arial" w:cs="Arial"/>
              </w:rPr>
            </w:pPr>
            <w:r w:rsidRPr="003866C4">
              <w:rPr>
                <w:rFonts w:ascii="Arial" w:hAnsi="Arial" w:cs="Arial"/>
              </w:rPr>
              <w:t>0.000</w:t>
            </w:r>
          </w:p>
        </w:tc>
        <w:tc>
          <w:tcPr>
            <w:tcW w:w="1207" w:type="dxa"/>
            <w:tcBorders>
              <w:top w:val="single" w:sz="4" w:space="0" w:color="auto"/>
              <w:left w:val="single" w:sz="4" w:space="0" w:color="auto"/>
              <w:bottom w:val="single" w:sz="4" w:space="0" w:color="auto"/>
              <w:right w:val="single" w:sz="4" w:space="0" w:color="auto"/>
            </w:tcBorders>
            <w:vAlign w:val="bottom"/>
          </w:tcPr>
          <w:p w14:paraId="411D45B5" w14:textId="77777777" w:rsidR="00385CAF" w:rsidRPr="003866C4" w:rsidRDefault="00385CAF" w:rsidP="003A76BC">
            <w:pPr>
              <w:autoSpaceDE w:val="0"/>
              <w:autoSpaceDN w:val="0"/>
              <w:adjustRightInd w:val="0"/>
              <w:ind w:right="10"/>
              <w:jc w:val="center"/>
              <w:rPr>
                <w:rFonts w:ascii="Arial" w:hAnsi="Arial" w:cs="Arial"/>
              </w:rPr>
            </w:pPr>
          </w:p>
        </w:tc>
        <w:tc>
          <w:tcPr>
            <w:tcW w:w="1208" w:type="dxa"/>
            <w:tcBorders>
              <w:top w:val="single" w:sz="4" w:space="0" w:color="auto"/>
              <w:left w:val="single" w:sz="4" w:space="0" w:color="auto"/>
              <w:bottom w:val="single" w:sz="4" w:space="0" w:color="auto"/>
              <w:right w:val="single" w:sz="4" w:space="0" w:color="auto"/>
            </w:tcBorders>
            <w:vAlign w:val="bottom"/>
          </w:tcPr>
          <w:p w14:paraId="1B07FBFC" w14:textId="77777777" w:rsidR="00385CAF" w:rsidRPr="003866C4" w:rsidRDefault="00385CAF" w:rsidP="003A76BC">
            <w:pPr>
              <w:autoSpaceDE w:val="0"/>
              <w:autoSpaceDN w:val="0"/>
              <w:adjustRightInd w:val="0"/>
              <w:ind w:right="10"/>
              <w:jc w:val="center"/>
              <w:rPr>
                <w:rFonts w:ascii="Arial" w:hAnsi="Arial" w:cs="Arial"/>
              </w:rPr>
            </w:pPr>
          </w:p>
        </w:tc>
        <w:tc>
          <w:tcPr>
            <w:tcW w:w="1239" w:type="dxa"/>
            <w:tcBorders>
              <w:top w:val="single" w:sz="4" w:space="0" w:color="auto"/>
              <w:left w:val="single" w:sz="4" w:space="0" w:color="auto"/>
              <w:bottom w:val="single" w:sz="4" w:space="0" w:color="auto"/>
              <w:right w:val="single" w:sz="4" w:space="0" w:color="auto"/>
            </w:tcBorders>
            <w:vAlign w:val="bottom"/>
          </w:tcPr>
          <w:p w14:paraId="1C5AB41D" w14:textId="77777777" w:rsidR="00385CAF" w:rsidRPr="003866C4" w:rsidRDefault="00385CAF" w:rsidP="003A76BC">
            <w:pPr>
              <w:autoSpaceDE w:val="0"/>
              <w:autoSpaceDN w:val="0"/>
              <w:adjustRightInd w:val="0"/>
              <w:ind w:right="10"/>
              <w:jc w:val="center"/>
              <w:rPr>
                <w:rFonts w:ascii="Arial" w:hAnsi="Arial" w:cs="Arial"/>
              </w:rPr>
            </w:pPr>
          </w:p>
        </w:tc>
      </w:tr>
    </w:tbl>
    <w:p w14:paraId="7DC31907" w14:textId="77777777" w:rsidR="00385CAF" w:rsidRPr="003866C4" w:rsidRDefault="00385CAF" w:rsidP="00385CAF">
      <w:pPr>
        <w:spacing w:line="360" w:lineRule="auto"/>
        <w:rPr>
          <w:rFonts w:ascii="Arial" w:hAnsi="Arial" w:cs="Arial"/>
          <w:b/>
          <w:bCs/>
        </w:rPr>
      </w:pPr>
      <w:r w:rsidRPr="003866C4">
        <w:rPr>
          <w:rFonts w:ascii="Arial" w:hAnsi="Arial" w:cs="Arial"/>
          <w:b/>
          <w:bCs/>
        </w:rPr>
        <w:t xml:space="preserve">Source: Author’s computation using EViews 13 </w:t>
      </w:r>
    </w:p>
    <w:p w14:paraId="40A40FD6" w14:textId="77777777" w:rsidR="00385CAF" w:rsidRDefault="00385CAF" w:rsidP="00385CAF">
      <w:pPr>
        <w:spacing w:line="360" w:lineRule="auto"/>
        <w:rPr>
          <w:rFonts w:ascii="Arial" w:hAnsi="Arial" w:cs="Arial"/>
          <w:b/>
          <w:bCs/>
        </w:rPr>
      </w:pPr>
      <w:r w:rsidRPr="003866C4">
        <w:rPr>
          <w:rFonts w:ascii="Arial" w:hAnsi="Arial" w:cs="Arial"/>
          <w:b/>
          <w:bCs/>
        </w:rPr>
        <w:t>4.8. Diagnostic and Stability Tests</w:t>
      </w:r>
    </w:p>
    <w:p w14:paraId="71006CF7" w14:textId="77777777" w:rsidR="00385CAF" w:rsidRPr="003866C4" w:rsidRDefault="00385CAF" w:rsidP="00385CAF">
      <w:pPr>
        <w:jc w:val="both"/>
        <w:rPr>
          <w:rFonts w:ascii="Arial" w:hAnsi="Arial" w:cs="Arial"/>
        </w:rPr>
      </w:pPr>
      <w:r w:rsidRPr="003866C4">
        <w:rPr>
          <w:rFonts w:ascii="Arial" w:hAnsi="Arial" w:cs="Arial"/>
        </w:rPr>
        <w:t>The test of how well our model explains the dependent variable suggests it is a very good fit, with an adjusted R-squared of 0.96</w:t>
      </w:r>
      <w:r>
        <w:rPr>
          <w:rFonts w:ascii="Arial" w:hAnsi="Arial" w:cs="Arial"/>
        </w:rPr>
        <w:t>3</w:t>
      </w:r>
      <w:r w:rsidRPr="003866C4">
        <w:rPr>
          <w:rFonts w:ascii="Arial" w:hAnsi="Arial" w:cs="Arial"/>
        </w:rPr>
        <w:t>. The F-statistic test of our model's explanatory power confirms this with a value of 68.8</w:t>
      </w:r>
      <w:r>
        <w:rPr>
          <w:rFonts w:ascii="Arial" w:hAnsi="Arial" w:cs="Arial"/>
        </w:rPr>
        <w:t>4</w:t>
      </w:r>
      <w:r w:rsidRPr="003866C4">
        <w:rPr>
          <w:rFonts w:ascii="Arial" w:hAnsi="Arial" w:cs="Arial"/>
        </w:rPr>
        <w:t xml:space="preserve"> (p = 0.000). While these initial metrics are robust, they necessitate a thorough post-estimation analysis to eliminate the possibility of misleading relationships. Table 6 presents this diagnostic evaluation. There is insufficient evidence to dismiss the normality of the residuals, as indicated by the </w:t>
      </w:r>
      <w:proofErr w:type="spellStart"/>
      <w:r w:rsidRPr="003866C4">
        <w:rPr>
          <w:rFonts w:ascii="Arial" w:hAnsi="Arial" w:cs="Arial"/>
        </w:rPr>
        <w:t>Jarque-Bera</w:t>
      </w:r>
      <w:proofErr w:type="spellEnd"/>
      <w:r w:rsidRPr="003866C4">
        <w:rPr>
          <w:rFonts w:ascii="Arial" w:hAnsi="Arial" w:cs="Arial"/>
        </w:rPr>
        <w:t xml:space="preserve"> probability of 0.79</w:t>
      </w:r>
      <w:r>
        <w:rPr>
          <w:rFonts w:ascii="Arial" w:hAnsi="Arial" w:cs="Arial"/>
        </w:rPr>
        <w:t>7</w:t>
      </w:r>
      <w:r w:rsidRPr="003866C4">
        <w:rPr>
          <w:rFonts w:ascii="Arial" w:hAnsi="Arial" w:cs="Arial"/>
        </w:rPr>
        <w:t>. The fundamental assumptions of classical linear regression seem to be upheld. In particular, the data do not display concerning instances of serial correlation or variations in variance. The Breusch-Godfrey LM test (p = 0.789) and Breusch-Pagan-Godfrey test (p = 0.497) provide evidence to justify this claim. The correct functional form has been preserved, as shown by the Ramsey RESET test (p = 0.10</w:t>
      </w:r>
      <w:r>
        <w:rPr>
          <w:rFonts w:ascii="Arial" w:hAnsi="Arial" w:cs="Arial"/>
        </w:rPr>
        <w:t>3</w:t>
      </w:r>
      <w:r w:rsidRPr="003866C4">
        <w:rPr>
          <w:rFonts w:ascii="Arial" w:hAnsi="Arial" w:cs="Arial"/>
        </w:rPr>
        <w:t xml:space="preserve">). To evaluate potential structural breaks, we constructed graphs showing the cumulative sums of recursive residuals. Figures 1 and 2 demonstrate that both CUSUM and CUSUMSQ paths remain safely within the 5 percent critical thresholds, thus confirming the stability of parameters throughout the study period. </w:t>
      </w:r>
    </w:p>
    <w:p w14:paraId="386132F9" w14:textId="77777777" w:rsidR="00385CAF" w:rsidRDefault="00385CAF" w:rsidP="00385CAF">
      <w:pPr>
        <w:spacing w:line="360" w:lineRule="auto"/>
        <w:rPr>
          <w:rFonts w:ascii="Arial" w:hAnsi="Arial" w:cs="Arial"/>
          <w:b/>
          <w:bCs/>
        </w:rPr>
      </w:pPr>
    </w:p>
    <w:p w14:paraId="03ED3C06" w14:textId="77777777" w:rsidR="00385CAF" w:rsidRPr="003866C4" w:rsidRDefault="00385CAF" w:rsidP="00385CAF">
      <w:pPr>
        <w:spacing w:line="360" w:lineRule="auto"/>
        <w:rPr>
          <w:rFonts w:ascii="Arial" w:hAnsi="Arial" w:cs="Arial"/>
          <w:b/>
          <w:bCs/>
        </w:rPr>
      </w:pPr>
      <w:r w:rsidRPr="003866C4">
        <w:rPr>
          <w:rFonts w:ascii="Arial" w:hAnsi="Arial" w:cs="Arial"/>
          <w:b/>
          <w:bCs/>
        </w:rPr>
        <w:t>Table 8: Diagnostic Summary</w:t>
      </w:r>
    </w:p>
    <w:tbl>
      <w:tblPr>
        <w:tblStyle w:val="TableGrid"/>
        <w:tblW w:w="0" w:type="auto"/>
        <w:tblLook w:val="04A0" w:firstRow="1" w:lastRow="0" w:firstColumn="1" w:lastColumn="0" w:noHBand="0" w:noVBand="1"/>
      </w:tblPr>
      <w:tblGrid>
        <w:gridCol w:w="6658"/>
      </w:tblGrid>
      <w:tr w:rsidR="00385CAF" w:rsidRPr="003866C4" w14:paraId="71FDD3F8" w14:textId="77777777" w:rsidTr="003A76BC">
        <w:tc>
          <w:tcPr>
            <w:tcW w:w="6658" w:type="dxa"/>
          </w:tcPr>
          <w:p w14:paraId="3F24632F" w14:textId="77777777" w:rsidR="00385CAF" w:rsidRPr="003866C4" w:rsidRDefault="00385CAF" w:rsidP="003A76BC">
            <w:pPr>
              <w:spacing w:line="360" w:lineRule="auto"/>
              <w:rPr>
                <w:rFonts w:ascii="Arial" w:hAnsi="Arial" w:cs="Arial"/>
                <w:b/>
                <w:bCs/>
                <w:sz w:val="20"/>
                <w:szCs w:val="20"/>
              </w:rPr>
            </w:pPr>
            <w:r w:rsidRPr="003866C4">
              <w:rPr>
                <w:rFonts w:ascii="Arial" w:hAnsi="Arial" w:cs="Arial"/>
                <w:b/>
                <w:bCs/>
                <w:sz w:val="20"/>
                <w:szCs w:val="20"/>
              </w:rPr>
              <w:t>Test</w:t>
            </w:r>
            <w:r w:rsidRPr="003866C4">
              <w:rPr>
                <w:rFonts w:ascii="Arial" w:hAnsi="Arial" w:cs="Arial"/>
                <w:b/>
                <w:bCs/>
                <w:sz w:val="20"/>
                <w:szCs w:val="20"/>
              </w:rPr>
              <w:tab/>
            </w:r>
            <w:r w:rsidRPr="003866C4">
              <w:rPr>
                <w:rFonts w:ascii="Arial" w:hAnsi="Arial" w:cs="Arial"/>
                <w:b/>
                <w:bCs/>
                <w:sz w:val="20"/>
                <w:szCs w:val="20"/>
              </w:rPr>
              <w:tab/>
            </w:r>
            <w:r w:rsidRPr="003866C4">
              <w:rPr>
                <w:rFonts w:ascii="Arial" w:hAnsi="Arial" w:cs="Arial"/>
                <w:b/>
                <w:bCs/>
                <w:sz w:val="20"/>
                <w:szCs w:val="20"/>
              </w:rPr>
              <w:tab/>
            </w:r>
            <w:r w:rsidRPr="003866C4">
              <w:rPr>
                <w:rFonts w:ascii="Arial" w:hAnsi="Arial" w:cs="Arial"/>
                <w:b/>
                <w:bCs/>
                <w:sz w:val="20"/>
                <w:szCs w:val="20"/>
              </w:rPr>
              <w:tab/>
              <w:t xml:space="preserve">            Statistic</w:t>
            </w:r>
            <w:r w:rsidRPr="003866C4">
              <w:rPr>
                <w:rFonts w:ascii="Arial" w:hAnsi="Arial" w:cs="Arial"/>
                <w:b/>
                <w:bCs/>
                <w:sz w:val="20"/>
                <w:szCs w:val="20"/>
              </w:rPr>
              <w:tab/>
            </w:r>
            <w:r w:rsidRPr="003866C4">
              <w:rPr>
                <w:rFonts w:ascii="Arial" w:hAnsi="Arial" w:cs="Arial"/>
                <w:b/>
                <w:bCs/>
                <w:sz w:val="20"/>
                <w:szCs w:val="20"/>
              </w:rPr>
              <w:tab/>
              <w:t>Prob.</w:t>
            </w:r>
          </w:p>
        </w:tc>
      </w:tr>
      <w:tr w:rsidR="00385CAF" w:rsidRPr="003866C4" w14:paraId="3DF02131" w14:textId="77777777" w:rsidTr="003A76BC">
        <w:tc>
          <w:tcPr>
            <w:tcW w:w="6658" w:type="dxa"/>
          </w:tcPr>
          <w:p w14:paraId="31B9BF64" w14:textId="77777777" w:rsidR="00385CAF" w:rsidRPr="003866C4" w:rsidRDefault="00385CAF" w:rsidP="003A76BC">
            <w:pPr>
              <w:spacing w:line="360" w:lineRule="auto"/>
              <w:rPr>
                <w:rFonts w:ascii="Arial" w:hAnsi="Arial" w:cs="Arial"/>
                <w:sz w:val="20"/>
                <w:szCs w:val="20"/>
              </w:rPr>
            </w:pPr>
            <w:proofErr w:type="spellStart"/>
            <w:r w:rsidRPr="003866C4">
              <w:rPr>
                <w:rFonts w:ascii="Arial" w:hAnsi="Arial" w:cs="Arial"/>
                <w:sz w:val="20"/>
                <w:szCs w:val="20"/>
              </w:rPr>
              <w:t>Jarque-Bera</w:t>
            </w:r>
            <w:proofErr w:type="spellEnd"/>
            <w:r w:rsidRPr="003866C4">
              <w:rPr>
                <w:rFonts w:ascii="Arial" w:hAnsi="Arial" w:cs="Arial"/>
                <w:sz w:val="20"/>
                <w:szCs w:val="20"/>
              </w:rPr>
              <w:t xml:space="preserve"> (Normality)</w:t>
            </w:r>
            <w:r w:rsidRPr="003866C4">
              <w:rPr>
                <w:rFonts w:ascii="Arial" w:hAnsi="Arial" w:cs="Arial"/>
                <w:sz w:val="20"/>
                <w:szCs w:val="20"/>
              </w:rPr>
              <w:tab/>
            </w:r>
            <w:r w:rsidRPr="003866C4">
              <w:rPr>
                <w:rFonts w:ascii="Arial" w:hAnsi="Arial" w:cs="Arial"/>
                <w:sz w:val="20"/>
                <w:szCs w:val="20"/>
              </w:rPr>
              <w:tab/>
            </w:r>
            <w:r>
              <w:rPr>
                <w:rFonts w:ascii="Arial" w:hAnsi="Arial" w:cs="Arial"/>
                <w:sz w:val="20"/>
                <w:szCs w:val="20"/>
              </w:rPr>
              <w:t xml:space="preserve">                 </w:t>
            </w:r>
            <w:r w:rsidRPr="003866C4">
              <w:rPr>
                <w:rFonts w:ascii="Arial" w:hAnsi="Arial" w:cs="Arial"/>
                <w:sz w:val="20"/>
                <w:szCs w:val="20"/>
              </w:rPr>
              <w:t xml:space="preserve">0.454                </w:t>
            </w:r>
            <w:r w:rsidRPr="003866C4">
              <w:rPr>
                <w:rFonts w:ascii="Arial" w:hAnsi="Arial" w:cs="Arial"/>
                <w:sz w:val="20"/>
                <w:szCs w:val="20"/>
              </w:rPr>
              <w:tab/>
              <w:t>0.79</w:t>
            </w:r>
            <w:r>
              <w:rPr>
                <w:rFonts w:ascii="Arial" w:hAnsi="Arial" w:cs="Arial"/>
                <w:sz w:val="20"/>
                <w:szCs w:val="20"/>
              </w:rPr>
              <w:t>7</w:t>
            </w:r>
          </w:p>
        </w:tc>
      </w:tr>
      <w:tr w:rsidR="00385CAF" w:rsidRPr="003866C4" w14:paraId="77B6D19F" w14:textId="77777777" w:rsidTr="003A76BC">
        <w:tc>
          <w:tcPr>
            <w:tcW w:w="6658" w:type="dxa"/>
          </w:tcPr>
          <w:p w14:paraId="403621AD" w14:textId="77777777" w:rsidR="00385CAF" w:rsidRPr="003866C4" w:rsidRDefault="00385CAF" w:rsidP="003A76BC">
            <w:pPr>
              <w:spacing w:line="360" w:lineRule="auto"/>
              <w:rPr>
                <w:rFonts w:ascii="Arial" w:hAnsi="Arial" w:cs="Arial"/>
                <w:sz w:val="20"/>
                <w:szCs w:val="20"/>
              </w:rPr>
            </w:pPr>
            <w:r w:rsidRPr="003866C4">
              <w:rPr>
                <w:rFonts w:ascii="Arial" w:hAnsi="Arial" w:cs="Arial"/>
                <w:sz w:val="20"/>
                <w:szCs w:val="20"/>
              </w:rPr>
              <w:t>Breusch-Godfrey (Serial Corr.)</w:t>
            </w:r>
            <w:r>
              <w:rPr>
                <w:rFonts w:ascii="Arial" w:hAnsi="Arial" w:cs="Arial"/>
                <w:sz w:val="20"/>
                <w:szCs w:val="20"/>
              </w:rPr>
              <w:t xml:space="preserve">    </w:t>
            </w:r>
            <w:r w:rsidRPr="003866C4">
              <w:rPr>
                <w:rFonts w:ascii="Arial" w:hAnsi="Arial" w:cs="Arial"/>
                <w:sz w:val="20"/>
                <w:szCs w:val="20"/>
              </w:rPr>
              <w:tab/>
              <w:t>F=0.240</w:t>
            </w:r>
            <w:r w:rsidRPr="003866C4">
              <w:rPr>
                <w:rFonts w:ascii="Arial" w:hAnsi="Arial" w:cs="Arial"/>
                <w:sz w:val="20"/>
                <w:szCs w:val="20"/>
              </w:rPr>
              <w:tab/>
            </w:r>
            <w:r w:rsidRPr="003866C4">
              <w:rPr>
                <w:rFonts w:ascii="Arial" w:hAnsi="Arial" w:cs="Arial"/>
                <w:sz w:val="20"/>
                <w:szCs w:val="20"/>
              </w:rPr>
              <w:tab/>
              <w:t>0.789</w:t>
            </w:r>
          </w:p>
        </w:tc>
      </w:tr>
      <w:tr w:rsidR="00385CAF" w:rsidRPr="003866C4" w14:paraId="524611B9" w14:textId="77777777" w:rsidTr="003A76BC">
        <w:tc>
          <w:tcPr>
            <w:tcW w:w="6658" w:type="dxa"/>
          </w:tcPr>
          <w:p w14:paraId="3B94B08E" w14:textId="77777777" w:rsidR="00385CAF" w:rsidRPr="003866C4" w:rsidRDefault="00385CAF" w:rsidP="003A76BC">
            <w:pPr>
              <w:spacing w:line="360" w:lineRule="auto"/>
              <w:rPr>
                <w:rFonts w:ascii="Arial" w:hAnsi="Arial" w:cs="Arial"/>
                <w:sz w:val="20"/>
                <w:szCs w:val="20"/>
              </w:rPr>
            </w:pPr>
            <w:r w:rsidRPr="003866C4">
              <w:rPr>
                <w:rFonts w:ascii="Arial" w:hAnsi="Arial" w:cs="Arial"/>
                <w:sz w:val="20"/>
                <w:szCs w:val="20"/>
              </w:rPr>
              <w:t>Breusch-Pagan-Godfrey (Hetero.)</w:t>
            </w:r>
            <w:r w:rsidRPr="003866C4">
              <w:rPr>
                <w:rFonts w:ascii="Arial" w:hAnsi="Arial" w:cs="Arial"/>
                <w:sz w:val="20"/>
                <w:szCs w:val="20"/>
              </w:rPr>
              <w:tab/>
              <w:t>F=1.01</w:t>
            </w:r>
            <w:r>
              <w:rPr>
                <w:rFonts w:ascii="Arial" w:hAnsi="Arial" w:cs="Arial"/>
                <w:sz w:val="20"/>
                <w:szCs w:val="20"/>
              </w:rPr>
              <w:t>3</w:t>
            </w:r>
            <w:r w:rsidRPr="003866C4">
              <w:rPr>
                <w:rFonts w:ascii="Arial" w:hAnsi="Arial" w:cs="Arial"/>
                <w:sz w:val="20"/>
                <w:szCs w:val="20"/>
              </w:rPr>
              <w:tab/>
            </w:r>
            <w:r w:rsidRPr="003866C4">
              <w:rPr>
                <w:rFonts w:ascii="Arial" w:hAnsi="Arial" w:cs="Arial"/>
                <w:sz w:val="20"/>
                <w:szCs w:val="20"/>
              </w:rPr>
              <w:tab/>
              <w:t>0.497</w:t>
            </w:r>
          </w:p>
        </w:tc>
      </w:tr>
      <w:tr w:rsidR="00385CAF" w:rsidRPr="003866C4" w14:paraId="04225C06" w14:textId="77777777" w:rsidTr="003A76BC">
        <w:tc>
          <w:tcPr>
            <w:tcW w:w="6658" w:type="dxa"/>
          </w:tcPr>
          <w:p w14:paraId="6522D3C0" w14:textId="77777777" w:rsidR="00385CAF" w:rsidRPr="003866C4" w:rsidRDefault="00385CAF" w:rsidP="003A76BC">
            <w:pPr>
              <w:spacing w:line="360" w:lineRule="auto"/>
              <w:rPr>
                <w:rFonts w:ascii="Arial" w:hAnsi="Arial" w:cs="Arial"/>
                <w:sz w:val="20"/>
                <w:szCs w:val="20"/>
              </w:rPr>
            </w:pPr>
            <w:r w:rsidRPr="003866C4">
              <w:rPr>
                <w:rFonts w:ascii="Arial" w:hAnsi="Arial" w:cs="Arial"/>
                <w:sz w:val="20"/>
                <w:szCs w:val="20"/>
              </w:rPr>
              <w:t>Ramsey RESET (Functional Form)</w:t>
            </w:r>
            <w:r w:rsidRPr="003866C4">
              <w:rPr>
                <w:rFonts w:ascii="Arial" w:hAnsi="Arial" w:cs="Arial"/>
                <w:sz w:val="20"/>
                <w:szCs w:val="20"/>
              </w:rPr>
              <w:tab/>
              <w:t>F=2.97</w:t>
            </w:r>
            <w:r>
              <w:rPr>
                <w:rFonts w:ascii="Arial" w:hAnsi="Arial" w:cs="Arial"/>
                <w:sz w:val="20"/>
                <w:szCs w:val="20"/>
              </w:rPr>
              <w:t>5</w:t>
            </w:r>
            <w:r w:rsidRPr="003866C4">
              <w:rPr>
                <w:rFonts w:ascii="Arial" w:hAnsi="Arial" w:cs="Arial"/>
                <w:sz w:val="20"/>
                <w:szCs w:val="20"/>
              </w:rPr>
              <w:tab/>
            </w:r>
            <w:r w:rsidRPr="003866C4">
              <w:rPr>
                <w:rFonts w:ascii="Arial" w:hAnsi="Arial" w:cs="Arial"/>
                <w:sz w:val="20"/>
                <w:szCs w:val="20"/>
              </w:rPr>
              <w:tab/>
              <w:t>0.10</w:t>
            </w:r>
            <w:r>
              <w:rPr>
                <w:rFonts w:ascii="Arial" w:hAnsi="Arial" w:cs="Arial"/>
                <w:sz w:val="20"/>
                <w:szCs w:val="20"/>
              </w:rPr>
              <w:t>3</w:t>
            </w:r>
          </w:p>
        </w:tc>
      </w:tr>
    </w:tbl>
    <w:p w14:paraId="3530FB8B" w14:textId="77777777" w:rsidR="00385CAF" w:rsidRDefault="00385CAF" w:rsidP="00385CAF">
      <w:pPr>
        <w:spacing w:line="360" w:lineRule="auto"/>
        <w:rPr>
          <w:rFonts w:ascii="Arial" w:hAnsi="Arial" w:cs="Arial"/>
          <w:b/>
          <w:bCs/>
        </w:rPr>
      </w:pPr>
      <w:r w:rsidRPr="003866C4">
        <w:rPr>
          <w:rFonts w:ascii="Arial" w:hAnsi="Arial" w:cs="Arial"/>
          <w:b/>
          <w:bCs/>
        </w:rPr>
        <w:t xml:space="preserve">Source: Author’s computation using EViews 13 </w:t>
      </w:r>
    </w:p>
    <w:p w14:paraId="332EC12A" w14:textId="77777777" w:rsidR="00385CAF" w:rsidRDefault="00385CAF" w:rsidP="00385CAF">
      <w:pPr>
        <w:spacing w:line="360" w:lineRule="auto"/>
        <w:rPr>
          <w:rFonts w:ascii="Arial" w:hAnsi="Arial" w:cs="Arial"/>
          <w:b/>
          <w:bCs/>
        </w:rPr>
      </w:pPr>
    </w:p>
    <w:p w14:paraId="048E8CF2" w14:textId="77777777" w:rsidR="00EC7D28" w:rsidRDefault="00EC7D28" w:rsidP="00385CAF">
      <w:pPr>
        <w:spacing w:line="360" w:lineRule="auto"/>
        <w:rPr>
          <w:rFonts w:ascii="Arial" w:hAnsi="Arial" w:cs="Arial"/>
          <w:b/>
          <w:bCs/>
        </w:rPr>
      </w:pPr>
    </w:p>
    <w:p w14:paraId="38BF528E" w14:textId="77777777" w:rsidR="00EC7D28" w:rsidRDefault="00EC7D28" w:rsidP="00385CAF">
      <w:pPr>
        <w:spacing w:line="360" w:lineRule="auto"/>
        <w:rPr>
          <w:rFonts w:ascii="Arial" w:hAnsi="Arial" w:cs="Arial"/>
          <w:b/>
          <w:bCs/>
        </w:rPr>
      </w:pPr>
    </w:p>
    <w:p w14:paraId="1E5C6DC1" w14:textId="77777777" w:rsidR="00EC7D28" w:rsidRDefault="00EC7D28" w:rsidP="00385CAF">
      <w:pPr>
        <w:spacing w:line="360" w:lineRule="auto"/>
        <w:rPr>
          <w:rFonts w:ascii="Arial" w:hAnsi="Arial" w:cs="Arial"/>
          <w:b/>
          <w:bCs/>
        </w:rPr>
      </w:pPr>
    </w:p>
    <w:p w14:paraId="23B52E8B" w14:textId="7C27CFD1" w:rsidR="00385CAF" w:rsidRPr="003866C4" w:rsidRDefault="00385CAF" w:rsidP="00385CAF">
      <w:pPr>
        <w:spacing w:line="360" w:lineRule="auto"/>
        <w:rPr>
          <w:rFonts w:ascii="Arial" w:hAnsi="Arial" w:cs="Arial"/>
          <w:b/>
          <w:bCs/>
        </w:rPr>
      </w:pPr>
      <w:r>
        <w:rPr>
          <w:rFonts w:ascii="Arial" w:hAnsi="Arial" w:cs="Arial"/>
          <w:b/>
          <w:bCs/>
        </w:rPr>
        <w:t>Stability Tests (CUSUM AND CUSUMSQ GRAPH PLOTS)</w:t>
      </w:r>
    </w:p>
    <w:p w14:paraId="78C74C81" w14:textId="77777777" w:rsidR="00385CAF" w:rsidRPr="008D2A8D" w:rsidRDefault="00385CAF" w:rsidP="00385CAF">
      <w:pPr>
        <w:spacing w:line="360" w:lineRule="auto"/>
        <w:rPr>
          <w:rFonts w:ascii="Times New Roman" w:hAnsi="Times New Roman"/>
          <w:b/>
          <w:bCs/>
          <w:sz w:val="24"/>
          <w:szCs w:val="24"/>
        </w:rPr>
      </w:pPr>
    </w:p>
    <w:p w14:paraId="10CEF20B" w14:textId="77777777" w:rsidR="00385CAF" w:rsidRPr="008D2A8D" w:rsidRDefault="00385CAF" w:rsidP="00385CAF">
      <w:pPr>
        <w:pStyle w:val="ListParagraph"/>
        <w:spacing w:after="0" w:line="360" w:lineRule="auto"/>
        <w:ind w:left="1080"/>
        <w:rPr>
          <w:rFonts w:ascii="Times New Roman" w:hAnsi="Times New Roman" w:cs="Times New Roman"/>
          <w:sz w:val="24"/>
          <w:szCs w:val="24"/>
        </w:rPr>
      </w:pPr>
      <w:r w:rsidRPr="008D2A8D">
        <w:rPr>
          <w:noProof/>
        </w:rPr>
        <w:lastRenderedPageBreak/>
        <w:drawing>
          <wp:inline distT="0" distB="0" distL="0" distR="0" wp14:anchorId="5000D183" wp14:editId="4F7F4E2B">
            <wp:extent cx="5276850" cy="3697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4599" cy="3703230"/>
                    </a:xfrm>
                    <a:prstGeom prst="rect">
                      <a:avLst/>
                    </a:prstGeom>
                    <a:noFill/>
                    <a:ln>
                      <a:noFill/>
                    </a:ln>
                  </pic:spPr>
                </pic:pic>
              </a:graphicData>
            </a:graphic>
          </wp:inline>
        </w:drawing>
      </w:r>
    </w:p>
    <w:p w14:paraId="6E28492A" w14:textId="77777777" w:rsidR="00385CAF" w:rsidRPr="00DE5437" w:rsidRDefault="00385CAF" w:rsidP="00385CAF">
      <w:pPr>
        <w:ind w:left="1077" w:firstLine="720"/>
        <w:rPr>
          <w:rFonts w:ascii="Arial" w:hAnsi="Arial" w:cs="Arial"/>
        </w:rPr>
      </w:pPr>
      <w:r w:rsidRPr="00DE5437">
        <w:rPr>
          <w:rFonts w:ascii="Arial" w:hAnsi="Arial" w:cs="Arial"/>
          <w:b/>
          <w:bCs/>
        </w:rPr>
        <w:t>Figure 1</w:t>
      </w:r>
      <w:r>
        <w:rPr>
          <w:rFonts w:ascii="Arial" w:hAnsi="Arial" w:cs="Arial"/>
          <w:b/>
          <w:bCs/>
        </w:rPr>
        <w:t>:</w:t>
      </w:r>
      <w:r>
        <w:rPr>
          <w:rFonts w:ascii="Arial" w:hAnsi="Arial" w:cs="Arial"/>
          <w:b/>
          <w:bCs/>
        </w:rPr>
        <w:tab/>
      </w:r>
      <w:r w:rsidRPr="00DE5437">
        <w:rPr>
          <w:rFonts w:ascii="Arial" w:hAnsi="Arial" w:cs="Arial"/>
        </w:rPr>
        <w:t>Plot of Cumulative Sum (CUSUM) of Recursive Residuals</w:t>
      </w:r>
    </w:p>
    <w:p w14:paraId="1A8BC0CD" w14:textId="77777777" w:rsidR="00385CAF" w:rsidRPr="00DE5437" w:rsidRDefault="00385CAF" w:rsidP="00EC7D28">
      <w:pPr>
        <w:ind w:left="2877" w:hanging="1080"/>
        <w:rPr>
          <w:rFonts w:ascii="Arial" w:hAnsi="Arial" w:cs="Arial"/>
        </w:rPr>
      </w:pPr>
      <w:r w:rsidRPr="00DE5437">
        <w:rPr>
          <w:rFonts w:ascii="Arial" w:hAnsi="Arial" w:cs="Arial"/>
          <w:b/>
          <w:bCs/>
        </w:rPr>
        <w:t>Note:</w:t>
      </w:r>
      <w:r w:rsidRPr="00DE5437">
        <w:rPr>
          <w:rFonts w:ascii="Arial" w:hAnsi="Arial" w:cs="Arial"/>
        </w:rPr>
        <w:t xml:space="preserve"> </w:t>
      </w:r>
      <w:r>
        <w:rPr>
          <w:rFonts w:ascii="Arial" w:hAnsi="Arial" w:cs="Arial"/>
        </w:rPr>
        <w:tab/>
      </w:r>
      <w:r w:rsidRPr="00DE5437">
        <w:rPr>
          <w:rFonts w:ascii="Arial" w:hAnsi="Arial" w:cs="Arial"/>
        </w:rPr>
        <w:t>The dashed lines represent critical bounds at the 5% significance level.</w:t>
      </w:r>
    </w:p>
    <w:p w14:paraId="7E704BB7" w14:textId="77777777" w:rsidR="00385CAF" w:rsidRPr="00DE5437" w:rsidRDefault="00385CAF" w:rsidP="00385CAF">
      <w:pPr>
        <w:ind w:left="1077" w:firstLine="720"/>
        <w:rPr>
          <w:rFonts w:ascii="Arial" w:hAnsi="Arial" w:cs="Arial"/>
        </w:rPr>
      </w:pPr>
      <w:r w:rsidRPr="00DE5437">
        <w:rPr>
          <w:rFonts w:ascii="Arial" w:hAnsi="Arial" w:cs="Arial"/>
          <w:b/>
          <w:bCs/>
        </w:rPr>
        <w:t>Source:</w:t>
      </w:r>
      <w:r w:rsidRPr="00DE5437">
        <w:rPr>
          <w:rFonts w:ascii="Arial" w:hAnsi="Arial" w:cs="Arial"/>
        </w:rPr>
        <w:t xml:space="preserve"> </w:t>
      </w:r>
      <w:r>
        <w:rPr>
          <w:rFonts w:ascii="Arial" w:hAnsi="Arial" w:cs="Arial"/>
        </w:rPr>
        <w:tab/>
      </w:r>
      <w:r w:rsidRPr="00DE5437">
        <w:rPr>
          <w:rFonts w:ascii="Arial" w:hAnsi="Arial" w:cs="Arial"/>
        </w:rPr>
        <w:t>Author’s computation using EViews 13.</w:t>
      </w:r>
    </w:p>
    <w:p w14:paraId="3515A41E" w14:textId="77777777" w:rsidR="00385CAF" w:rsidRDefault="00385CAF" w:rsidP="00385CAF">
      <w:pPr>
        <w:pStyle w:val="ListParagraph"/>
        <w:spacing w:after="0" w:line="360" w:lineRule="auto"/>
        <w:ind w:left="1080"/>
        <w:rPr>
          <w:rFonts w:ascii="Arial" w:hAnsi="Arial" w:cs="Arial"/>
          <w:b/>
          <w:bCs/>
          <w:sz w:val="20"/>
          <w:szCs w:val="20"/>
        </w:rPr>
      </w:pPr>
    </w:p>
    <w:p w14:paraId="1A45D776" w14:textId="77777777" w:rsidR="00385CAF" w:rsidRDefault="00385CAF" w:rsidP="00385CAF">
      <w:pPr>
        <w:pStyle w:val="ListParagraph"/>
        <w:spacing w:after="0" w:line="360" w:lineRule="auto"/>
        <w:ind w:left="1080"/>
        <w:rPr>
          <w:rFonts w:ascii="Arial" w:hAnsi="Arial" w:cs="Arial"/>
          <w:b/>
          <w:bCs/>
          <w:sz w:val="20"/>
          <w:szCs w:val="20"/>
        </w:rPr>
      </w:pPr>
    </w:p>
    <w:p w14:paraId="04678511" w14:textId="77777777" w:rsidR="00385CAF" w:rsidRDefault="00385CAF" w:rsidP="00385CAF">
      <w:pPr>
        <w:pStyle w:val="ListParagraph"/>
        <w:spacing w:after="0" w:line="360" w:lineRule="auto"/>
        <w:ind w:left="1080"/>
        <w:rPr>
          <w:rFonts w:ascii="Arial" w:hAnsi="Arial" w:cs="Arial"/>
          <w:b/>
          <w:bCs/>
          <w:sz w:val="20"/>
          <w:szCs w:val="20"/>
        </w:rPr>
      </w:pPr>
    </w:p>
    <w:p w14:paraId="12687D53" w14:textId="77777777" w:rsidR="00385CAF" w:rsidRDefault="00385CAF" w:rsidP="00385CAF">
      <w:pPr>
        <w:pStyle w:val="ListParagraph"/>
        <w:spacing w:after="0" w:line="360" w:lineRule="auto"/>
        <w:ind w:left="1080"/>
        <w:rPr>
          <w:rFonts w:ascii="Arial" w:hAnsi="Arial" w:cs="Arial"/>
          <w:b/>
          <w:bCs/>
          <w:sz w:val="20"/>
          <w:szCs w:val="20"/>
        </w:rPr>
      </w:pPr>
    </w:p>
    <w:p w14:paraId="4D9C89B5" w14:textId="77777777" w:rsidR="00385CAF" w:rsidRDefault="00385CAF" w:rsidP="00385CAF">
      <w:pPr>
        <w:pStyle w:val="ListParagraph"/>
        <w:spacing w:after="0" w:line="360" w:lineRule="auto"/>
        <w:ind w:left="1080"/>
        <w:rPr>
          <w:rFonts w:ascii="Arial" w:hAnsi="Arial" w:cs="Arial"/>
          <w:b/>
          <w:bCs/>
          <w:sz w:val="20"/>
          <w:szCs w:val="20"/>
        </w:rPr>
      </w:pPr>
    </w:p>
    <w:p w14:paraId="095BB335" w14:textId="77777777" w:rsidR="00385CAF" w:rsidRDefault="00385CAF" w:rsidP="00385CAF">
      <w:pPr>
        <w:pStyle w:val="ListParagraph"/>
        <w:spacing w:after="0" w:line="360" w:lineRule="auto"/>
        <w:ind w:left="1080"/>
        <w:rPr>
          <w:rFonts w:ascii="Arial" w:hAnsi="Arial" w:cs="Arial"/>
          <w:b/>
          <w:bCs/>
          <w:sz w:val="20"/>
          <w:szCs w:val="20"/>
        </w:rPr>
      </w:pPr>
    </w:p>
    <w:p w14:paraId="1DF6B28D" w14:textId="77777777" w:rsidR="00385CAF" w:rsidRDefault="00385CAF" w:rsidP="00385CAF">
      <w:pPr>
        <w:pStyle w:val="ListParagraph"/>
        <w:spacing w:after="0" w:line="360" w:lineRule="auto"/>
        <w:ind w:left="1080"/>
        <w:rPr>
          <w:rFonts w:ascii="Arial" w:hAnsi="Arial" w:cs="Arial"/>
          <w:b/>
          <w:bCs/>
          <w:sz w:val="20"/>
          <w:szCs w:val="20"/>
        </w:rPr>
      </w:pPr>
    </w:p>
    <w:p w14:paraId="1C2C8AD7" w14:textId="77777777" w:rsidR="00385CAF" w:rsidRDefault="00385CAF" w:rsidP="00385CAF">
      <w:pPr>
        <w:pStyle w:val="ListParagraph"/>
        <w:spacing w:after="0" w:line="360" w:lineRule="auto"/>
        <w:ind w:left="1080"/>
        <w:rPr>
          <w:rFonts w:ascii="Arial" w:hAnsi="Arial" w:cs="Arial"/>
          <w:b/>
          <w:bCs/>
          <w:sz w:val="20"/>
          <w:szCs w:val="20"/>
        </w:rPr>
      </w:pPr>
    </w:p>
    <w:p w14:paraId="73D715BF" w14:textId="77777777" w:rsidR="00385CAF" w:rsidRDefault="00385CAF" w:rsidP="00385CAF">
      <w:pPr>
        <w:pStyle w:val="ListParagraph"/>
        <w:spacing w:after="0" w:line="360" w:lineRule="auto"/>
        <w:ind w:left="1080"/>
        <w:rPr>
          <w:rFonts w:ascii="Arial" w:hAnsi="Arial" w:cs="Arial"/>
          <w:b/>
          <w:bCs/>
          <w:sz w:val="20"/>
          <w:szCs w:val="20"/>
        </w:rPr>
      </w:pPr>
    </w:p>
    <w:p w14:paraId="1D6A30B5" w14:textId="77777777" w:rsidR="00385CAF" w:rsidRDefault="00385CAF" w:rsidP="00385CAF">
      <w:pPr>
        <w:pStyle w:val="ListParagraph"/>
        <w:spacing w:after="0" w:line="360" w:lineRule="auto"/>
        <w:ind w:left="1080"/>
        <w:rPr>
          <w:rFonts w:ascii="Arial" w:hAnsi="Arial" w:cs="Arial"/>
          <w:b/>
          <w:bCs/>
          <w:sz w:val="20"/>
          <w:szCs w:val="20"/>
        </w:rPr>
      </w:pPr>
    </w:p>
    <w:p w14:paraId="0DDB4E06" w14:textId="77777777" w:rsidR="00385CAF" w:rsidRDefault="00385CAF" w:rsidP="00385CAF">
      <w:pPr>
        <w:pStyle w:val="ListParagraph"/>
        <w:spacing w:after="0" w:line="360" w:lineRule="auto"/>
        <w:ind w:left="1080"/>
        <w:rPr>
          <w:rFonts w:ascii="Arial" w:hAnsi="Arial" w:cs="Arial"/>
          <w:b/>
          <w:bCs/>
          <w:sz w:val="20"/>
          <w:szCs w:val="20"/>
        </w:rPr>
      </w:pPr>
    </w:p>
    <w:p w14:paraId="314CED7C" w14:textId="77777777" w:rsidR="00385CAF" w:rsidRDefault="00385CAF" w:rsidP="00385CAF">
      <w:pPr>
        <w:pStyle w:val="ListParagraph"/>
        <w:spacing w:after="0" w:line="360" w:lineRule="auto"/>
        <w:ind w:left="1080"/>
        <w:rPr>
          <w:rFonts w:ascii="Arial" w:hAnsi="Arial" w:cs="Arial"/>
          <w:b/>
          <w:bCs/>
          <w:sz w:val="20"/>
          <w:szCs w:val="20"/>
        </w:rPr>
      </w:pPr>
    </w:p>
    <w:p w14:paraId="6F3F7573" w14:textId="77777777" w:rsidR="00385CAF" w:rsidRDefault="00385CAF" w:rsidP="00385CAF">
      <w:pPr>
        <w:pStyle w:val="ListParagraph"/>
        <w:spacing w:after="0" w:line="360" w:lineRule="auto"/>
        <w:ind w:left="1080"/>
        <w:rPr>
          <w:rFonts w:ascii="Arial" w:hAnsi="Arial" w:cs="Arial"/>
          <w:b/>
          <w:bCs/>
          <w:sz w:val="20"/>
          <w:szCs w:val="20"/>
        </w:rPr>
      </w:pPr>
    </w:p>
    <w:p w14:paraId="7089C0F3" w14:textId="77777777" w:rsidR="00385CAF" w:rsidRPr="008D2A8D" w:rsidRDefault="00385CAF" w:rsidP="00385CAF">
      <w:pPr>
        <w:pStyle w:val="ListParagraph"/>
        <w:spacing w:after="0" w:line="360" w:lineRule="auto"/>
        <w:ind w:left="1080"/>
        <w:rPr>
          <w:rFonts w:ascii="Times New Roman" w:hAnsi="Times New Roman" w:cs="Times New Roman"/>
          <w:b/>
          <w:bCs/>
          <w:sz w:val="24"/>
          <w:szCs w:val="24"/>
        </w:rPr>
      </w:pPr>
      <w:r w:rsidRPr="008D2A8D">
        <w:rPr>
          <w:b/>
          <w:bCs/>
          <w:noProof/>
        </w:rPr>
        <w:lastRenderedPageBreak/>
        <w:drawing>
          <wp:inline distT="0" distB="0" distL="0" distR="0" wp14:anchorId="20540A33" wp14:editId="4F7D39D3">
            <wp:extent cx="5448300" cy="3537521"/>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53939" cy="3541183"/>
                    </a:xfrm>
                    <a:prstGeom prst="rect">
                      <a:avLst/>
                    </a:prstGeom>
                    <a:noFill/>
                    <a:ln>
                      <a:noFill/>
                    </a:ln>
                  </pic:spPr>
                </pic:pic>
              </a:graphicData>
            </a:graphic>
          </wp:inline>
        </w:drawing>
      </w:r>
    </w:p>
    <w:p w14:paraId="6FBC1400" w14:textId="7FA6A8F6" w:rsidR="00385CAF" w:rsidRPr="00DE5437" w:rsidRDefault="00385CAF" w:rsidP="00EC7D28">
      <w:pPr>
        <w:ind w:left="2877" w:hanging="1080"/>
        <w:rPr>
          <w:rFonts w:ascii="Arial" w:hAnsi="Arial" w:cs="Arial"/>
        </w:rPr>
      </w:pPr>
      <w:r w:rsidRPr="00DE5437">
        <w:rPr>
          <w:rFonts w:ascii="Arial" w:hAnsi="Arial" w:cs="Arial"/>
          <w:b/>
          <w:bCs/>
        </w:rPr>
        <w:t>Figure 2</w:t>
      </w:r>
      <w:r>
        <w:rPr>
          <w:rFonts w:ascii="Arial" w:hAnsi="Arial" w:cs="Arial"/>
          <w:b/>
          <w:bCs/>
        </w:rPr>
        <w:t>:</w:t>
      </w:r>
      <w:r w:rsidRPr="00DE5437">
        <w:rPr>
          <w:rFonts w:ascii="Arial" w:hAnsi="Arial" w:cs="Arial"/>
        </w:rPr>
        <w:t xml:space="preserve"> </w:t>
      </w:r>
      <w:r>
        <w:rPr>
          <w:rFonts w:ascii="Arial" w:hAnsi="Arial" w:cs="Arial"/>
        </w:rPr>
        <w:tab/>
      </w:r>
      <w:r w:rsidRPr="00DE5437">
        <w:rPr>
          <w:rFonts w:ascii="Arial" w:hAnsi="Arial" w:cs="Arial"/>
        </w:rPr>
        <w:t>Plot of Cumulative Sum of Squares (CUSUMSQ) of</w:t>
      </w:r>
      <w:r w:rsidR="00EC7D28">
        <w:rPr>
          <w:rFonts w:ascii="Arial" w:hAnsi="Arial" w:cs="Arial"/>
        </w:rPr>
        <w:t xml:space="preserve"> </w:t>
      </w:r>
      <w:r w:rsidRPr="00DE5437">
        <w:rPr>
          <w:rFonts w:ascii="Arial" w:hAnsi="Arial" w:cs="Arial"/>
        </w:rPr>
        <w:t>Recursive Residuals</w:t>
      </w:r>
    </w:p>
    <w:p w14:paraId="5A327F32" w14:textId="72BF674F" w:rsidR="00385CAF" w:rsidRPr="00EF0300" w:rsidRDefault="00385CAF" w:rsidP="00EC7D28">
      <w:pPr>
        <w:ind w:left="2877" w:hanging="1080"/>
        <w:rPr>
          <w:rFonts w:ascii="Arial" w:hAnsi="Arial" w:cs="Arial"/>
        </w:rPr>
      </w:pPr>
      <w:r w:rsidRPr="00DE5437">
        <w:rPr>
          <w:rFonts w:ascii="Arial" w:hAnsi="Arial" w:cs="Arial"/>
          <w:b/>
          <w:bCs/>
        </w:rPr>
        <w:t>Note:</w:t>
      </w:r>
      <w:r w:rsidRPr="00DE5437">
        <w:rPr>
          <w:rFonts w:ascii="Arial" w:hAnsi="Arial" w:cs="Arial"/>
        </w:rPr>
        <w:t xml:space="preserve"> </w:t>
      </w:r>
      <w:r>
        <w:rPr>
          <w:rFonts w:ascii="Arial" w:hAnsi="Arial" w:cs="Arial"/>
        </w:rPr>
        <w:tab/>
      </w:r>
      <w:r w:rsidRPr="00DE5437">
        <w:rPr>
          <w:rFonts w:ascii="Arial" w:hAnsi="Arial" w:cs="Arial"/>
        </w:rPr>
        <w:t xml:space="preserve">The straight dashed lines represent the critical bounds at the 5% </w:t>
      </w:r>
      <w:r>
        <w:rPr>
          <w:rFonts w:ascii="Arial" w:hAnsi="Arial" w:cs="Arial"/>
          <w:b/>
          <w:bCs/>
        </w:rPr>
        <w:tab/>
      </w:r>
      <w:r>
        <w:rPr>
          <w:rFonts w:ascii="Arial" w:hAnsi="Arial" w:cs="Arial"/>
        </w:rPr>
        <w:t>s</w:t>
      </w:r>
      <w:r w:rsidRPr="00EF0300">
        <w:rPr>
          <w:rFonts w:ascii="Arial" w:hAnsi="Arial" w:cs="Arial"/>
        </w:rPr>
        <w:t>ignificance</w:t>
      </w:r>
      <w:r>
        <w:rPr>
          <w:rFonts w:ascii="Arial" w:hAnsi="Arial" w:cs="Arial"/>
        </w:rPr>
        <w:t xml:space="preserve"> </w:t>
      </w:r>
      <w:r w:rsidRPr="00EF0300">
        <w:rPr>
          <w:rFonts w:ascii="Arial" w:hAnsi="Arial" w:cs="Arial"/>
        </w:rPr>
        <w:t>level, indicating the stability of the variance.</w:t>
      </w:r>
    </w:p>
    <w:p w14:paraId="5E4674EF" w14:textId="77777777" w:rsidR="00385CAF" w:rsidRPr="00DE5437" w:rsidRDefault="00385CAF" w:rsidP="00385CAF">
      <w:pPr>
        <w:ind w:left="1077" w:firstLine="720"/>
        <w:rPr>
          <w:rFonts w:ascii="Arial" w:hAnsi="Arial" w:cs="Arial"/>
        </w:rPr>
      </w:pPr>
      <w:r w:rsidRPr="00DE5437">
        <w:rPr>
          <w:rFonts w:ascii="Arial" w:hAnsi="Arial" w:cs="Arial"/>
          <w:b/>
          <w:bCs/>
        </w:rPr>
        <w:t>Source:</w:t>
      </w:r>
      <w:r>
        <w:rPr>
          <w:rFonts w:ascii="Arial" w:hAnsi="Arial" w:cs="Arial"/>
          <w:b/>
          <w:bCs/>
        </w:rPr>
        <w:tab/>
      </w:r>
      <w:r w:rsidRPr="00DE5437">
        <w:rPr>
          <w:rFonts w:ascii="Arial" w:hAnsi="Arial" w:cs="Arial"/>
        </w:rPr>
        <w:t>Author’s computation using EViews 13.</w:t>
      </w:r>
    </w:p>
    <w:p w14:paraId="529BBBCB" w14:textId="77777777" w:rsidR="00790ADA" w:rsidRPr="00FB3A86" w:rsidRDefault="00790ADA" w:rsidP="00441B6F">
      <w:pPr>
        <w:pStyle w:val="Body"/>
        <w:spacing w:after="0"/>
        <w:rPr>
          <w:rFonts w:ascii="Arial" w:hAnsi="Arial" w:cs="Arial"/>
        </w:rPr>
      </w:pPr>
    </w:p>
    <w:p w14:paraId="36A274F4" w14:textId="77777777" w:rsidR="00EC7D28" w:rsidRDefault="00EC7D28" w:rsidP="00441B6F">
      <w:pPr>
        <w:pStyle w:val="AcknHead"/>
        <w:spacing w:after="0"/>
        <w:jc w:val="both"/>
        <w:rPr>
          <w:rFonts w:ascii="Arial" w:hAnsi="Arial" w:cs="Arial"/>
        </w:rPr>
      </w:pPr>
    </w:p>
    <w:p w14:paraId="5989D81E" w14:textId="644ED835" w:rsidR="00EC7D28" w:rsidRDefault="00EC7D28" w:rsidP="00EC7D28">
      <w:pPr>
        <w:spacing w:line="360" w:lineRule="auto"/>
        <w:jc w:val="both"/>
        <w:rPr>
          <w:rFonts w:ascii="Arial" w:hAnsi="Arial" w:cs="Arial"/>
          <w:b/>
          <w:bCs/>
          <w:sz w:val="22"/>
          <w:szCs w:val="22"/>
        </w:rPr>
      </w:pPr>
      <w:r w:rsidRPr="00EC7D28">
        <w:rPr>
          <w:rFonts w:ascii="Arial" w:hAnsi="Arial" w:cs="Arial"/>
          <w:b/>
          <w:bCs/>
          <w:sz w:val="22"/>
          <w:szCs w:val="22"/>
        </w:rPr>
        <w:t>5. DISCUSSION</w:t>
      </w:r>
    </w:p>
    <w:p w14:paraId="16F3BC1D" w14:textId="77777777" w:rsidR="00EC7D28" w:rsidRPr="009810E9" w:rsidRDefault="00EC7D28" w:rsidP="00EC7D28">
      <w:pPr>
        <w:jc w:val="both"/>
        <w:rPr>
          <w:rFonts w:ascii="Arial" w:hAnsi="Arial" w:cs="Arial"/>
        </w:rPr>
      </w:pPr>
      <w:r w:rsidRPr="009810E9">
        <w:rPr>
          <w:rFonts w:ascii="Arial" w:hAnsi="Arial" w:cs="Arial"/>
        </w:rPr>
        <w:t xml:space="preserve">The Autoregressive Distributed Lag (ARDL) estimation results reveal a </w:t>
      </w:r>
      <w:r>
        <w:rPr>
          <w:rFonts w:ascii="Arial" w:hAnsi="Arial" w:cs="Arial"/>
        </w:rPr>
        <w:t>multifaceted</w:t>
      </w:r>
      <w:r w:rsidRPr="009810E9">
        <w:rPr>
          <w:rFonts w:ascii="Arial" w:hAnsi="Arial" w:cs="Arial"/>
        </w:rPr>
        <w:t xml:space="preserve"> inflationary process characterized by significant persistence, </w:t>
      </w:r>
      <w:r>
        <w:rPr>
          <w:rFonts w:ascii="Arial" w:hAnsi="Arial" w:cs="Arial"/>
        </w:rPr>
        <w:t>intricate</w:t>
      </w:r>
      <w:r w:rsidRPr="009810E9">
        <w:rPr>
          <w:rFonts w:ascii="Arial" w:hAnsi="Arial" w:cs="Arial"/>
        </w:rPr>
        <w:t xml:space="preserve"> fiscal-debt dynamics, and dominant monetary and exchange rate transmission channels. The highly significant positive coefficient for lagged inflation confirms the persistence of price levels (</w:t>
      </w:r>
      <w:proofErr w:type="spellStart"/>
      <w:r w:rsidRPr="009810E9">
        <w:rPr>
          <w:rFonts w:ascii="Arial" w:hAnsi="Arial" w:cs="Arial"/>
        </w:rPr>
        <w:t>Fasanya</w:t>
      </w:r>
      <w:proofErr w:type="spellEnd"/>
      <w:r w:rsidRPr="009810E9">
        <w:rPr>
          <w:rFonts w:ascii="Arial" w:hAnsi="Arial" w:cs="Arial"/>
        </w:rPr>
        <w:t xml:space="preserve"> et al., 2021). Contrary to traditional expectations and some domestic studies (</w:t>
      </w:r>
      <w:proofErr w:type="spellStart"/>
      <w:r w:rsidRPr="009810E9">
        <w:rPr>
          <w:rFonts w:ascii="Arial" w:hAnsi="Arial" w:cs="Arial"/>
        </w:rPr>
        <w:t>Fasanya</w:t>
      </w:r>
      <w:proofErr w:type="spellEnd"/>
      <w:r w:rsidRPr="009810E9">
        <w:rPr>
          <w:rFonts w:ascii="Arial" w:hAnsi="Arial" w:cs="Arial"/>
        </w:rPr>
        <w:t xml:space="preserve"> et al., 2021; Bello et al., 2023; Nwosu et al., 2024; Batool et al., 2022), the fiscal deficit (FD) exhibits a statistically significant negative long-term effect (-7.233, p = 0.011), with its current coefficient being insignificant. This outcome, which aligns with research controlling for monetary and exchange rate channels (Afolabi &amp; </w:t>
      </w:r>
      <w:proofErr w:type="spellStart"/>
      <w:r w:rsidRPr="009810E9">
        <w:rPr>
          <w:rFonts w:ascii="Arial" w:hAnsi="Arial" w:cs="Arial"/>
        </w:rPr>
        <w:t>Atolagbe</w:t>
      </w:r>
      <w:proofErr w:type="spellEnd"/>
      <w:r w:rsidRPr="009810E9">
        <w:rPr>
          <w:rFonts w:ascii="Arial" w:hAnsi="Arial" w:cs="Arial"/>
        </w:rPr>
        <w:t xml:space="preserve">, 2018), suggests that deficits financed through bond issuance or directed toward productive expenditures may exert neutral or even disinflationary pressures. </w:t>
      </w:r>
    </w:p>
    <w:p w14:paraId="1F845936" w14:textId="77777777" w:rsidR="00EC7D28" w:rsidRPr="0057545F" w:rsidRDefault="00EC7D28" w:rsidP="00EC7D28">
      <w:pPr>
        <w:jc w:val="both"/>
        <w:rPr>
          <w:rFonts w:ascii="Arial" w:hAnsi="Arial" w:cs="Arial"/>
        </w:rPr>
      </w:pPr>
      <w:r w:rsidRPr="0057545F">
        <w:rPr>
          <w:rFonts w:ascii="Arial" w:hAnsi="Arial" w:cs="Arial"/>
        </w:rPr>
        <w:t xml:space="preserve">Regarding public debt (PD), short-term dynamics show alternating signs (-1.631, p = 0.000; 2.068, p = 0.000; -0.746, p = 0.001), indicative of regime-dependent effects (Duarte Urquhart, 2021). Crucially, the long-term estimate for public debt is significantly negative (-0.766, p = 0.045), suggesting that higher debt levels are associated with disinflation when broader macroeconomic factors are considered. These findings </w:t>
      </w:r>
      <w:r>
        <w:rPr>
          <w:rFonts w:ascii="Arial" w:hAnsi="Arial" w:cs="Arial"/>
        </w:rPr>
        <w:t>call into question</w:t>
      </w:r>
      <w:r w:rsidRPr="0057545F">
        <w:rPr>
          <w:rFonts w:ascii="Arial" w:hAnsi="Arial" w:cs="Arial"/>
        </w:rPr>
        <w:t xml:space="preserve"> basic fiscal-dominance theories and cross-country paradigms (Batool et al., 2022; Shah et al., 2024), aligning instead with Nigerian literature suggesting public debt can be inflation-neutral or weakly deflationary (</w:t>
      </w:r>
      <w:proofErr w:type="spellStart"/>
      <w:r w:rsidRPr="0057545F">
        <w:rPr>
          <w:rFonts w:ascii="Arial" w:hAnsi="Arial" w:cs="Arial"/>
        </w:rPr>
        <w:t>Aimola</w:t>
      </w:r>
      <w:proofErr w:type="spellEnd"/>
      <w:r w:rsidRPr="0057545F">
        <w:rPr>
          <w:rFonts w:ascii="Arial" w:hAnsi="Arial" w:cs="Arial"/>
        </w:rPr>
        <w:t xml:space="preserve"> &amp; Odhiambo, 2021; </w:t>
      </w:r>
      <w:proofErr w:type="spellStart"/>
      <w:r w:rsidRPr="0057545F">
        <w:rPr>
          <w:rFonts w:ascii="Arial" w:hAnsi="Arial" w:cs="Arial"/>
        </w:rPr>
        <w:t>Shuaibu</w:t>
      </w:r>
      <w:proofErr w:type="spellEnd"/>
      <w:r w:rsidRPr="0057545F">
        <w:rPr>
          <w:rFonts w:ascii="Arial" w:hAnsi="Arial" w:cs="Arial"/>
        </w:rPr>
        <w:t xml:space="preserve"> et al., 2021), potentially through </w:t>
      </w:r>
      <w:r w:rsidRPr="0057545F">
        <w:rPr>
          <w:rFonts w:ascii="Arial" w:hAnsi="Arial" w:cs="Arial"/>
        </w:rPr>
        <w:lastRenderedPageBreak/>
        <w:t xml:space="preserve">bond-financed deficits and complementary monetary tightening (Afolabi &amp; </w:t>
      </w:r>
      <w:proofErr w:type="spellStart"/>
      <w:r w:rsidRPr="0057545F">
        <w:rPr>
          <w:rFonts w:ascii="Arial" w:hAnsi="Arial" w:cs="Arial"/>
        </w:rPr>
        <w:t>Atolagbe</w:t>
      </w:r>
      <w:proofErr w:type="spellEnd"/>
      <w:r w:rsidRPr="0057545F">
        <w:rPr>
          <w:rFonts w:ascii="Arial" w:hAnsi="Arial" w:cs="Arial"/>
        </w:rPr>
        <w:t xml:space="preserve">, 2018; </w:t>
      </w:r>
      <w:proofErr w:type="spellStart"/>
      <w:r w:rsidRPr="0057545F">
        <w:rPr>
          <w:rFonts w:ascii="Arial" w:hAnsi="Arial" w:cs="Arial"/>
        </w:rPr>
        <w:t>Orisadare</w:t>
      </w:r>
      <w:proofErr w:type="spellEnd"/>
      <w:r w:rsidRPr="0057545F">
        <w:rPr>
          <w:rFonts w:ascii="Arial" w:hAnsi="Arial" w:cs="Arial"/>
        </w:rPr>
        <w:t xml:space="preserve"> &amp; Adeyemi, 2024).</w:t>
      </w:r>
    </w:p>
    <w:p w14:paraId="335F3AB2" w14:textId="77777777" w:rsidR="00EC7D28" w:rsidRPr="0057545F" w:rsidRDefault="00EC7D28" w:rsidP="00EC7D28">
      <w:pPr>
        <w:jc w:val="both"/>
        <w:rPr>
          <w:rFonts w:ascii="Arial" w:hAnsi="Arial" w:cs="Arial"/>
        </w:rPr>
      </w:pPr>
      <w:r w:rsidRPr="0057545F">
        <w:rPr>
          <w:rFonts w:ascii="Arial" w:hAnsi="Arial" w:cs="Arial"/>
        </w:rPr>
        <w:t xml:space="preserve">Further </w:t>
      </w:r>
      <w:r>
        <w:rPr>
          <w:rFonts w:ascii="Arial" w:hAnsi="Arial" w:cs="Arial"/>
        </w:rPr>
        <w:t>contesting</w:t>
      </w:r>
      <w:r w:rsidRPr="008052EC">
        <w:rPr>
          <w:rFonts w:ascii="Arial" w:hAnsi="Arial" w:cs="Arial"/>
          <w:color w:val="FF0000"/>
        </w:rPr>
        <w:t xml:space="preserve"> </w:t>
      </w:r>
      <w:r w:rsidRPr="0057545F">
        <w:rPr>
          <w:rFonts w:ascii="Arial" w:hAnsi="Arial" w:cs="Arial"/>
        </w:rPr>
        <w:t>standard fiscal dominance assumptions, the interaction term between public debt and fiscal deficits (FD*PD) exhibits a demonstrably negative contemporaneous effect (-0.100, p = 0.001) and an insignificant long-run effect. This novel finding implies that deficits under high-debt constraints need not invariably cause inflation, supporting domestic evidence for non-inflationary fiscal consolidation via bond financing (</w:t>
      </w:r>
      <w:proofErr w:type="spellStart"/>
      <w:r w:rsidRPr="0057545F">
        <w:rPr>
          <w:rFonts w:ascii="Arial" w:hAnsi="Arial" w:cs="Arial"/>
        </w:rPr>
        <w:t>Aimola</w:t>
      </w:r>
      <w:proofErr w:type="spellEnd"/>
      <w:r w:rsidRPr="0057545F">
        <w:rPr>
          <w:rFonts w:ascii="Arial" w:hAnsi="Arial" w:cs="Arial"/>
        </w:rPr>
        <w:t xml:space="preserve"> &amp; Odhiambo, 2021). It explicitly contradicts cross-country models establishing inflationary debt thresholds (</w:t>
      </w:r>
      <w:proofErr w:type="spellStart"/>
      <w:r w:rsidRPr="0057545F">
        <w:rPr>
          <w:rFonts w:ascii="Arial" w:hAnsi="Arial" w:cs="Arial"/>
        </w:rPr>
        <w:t>Olaoye</w:t>
      </w:r>
      <w:proofErr w:type="spellEnd"/>
      <w:r w:rsidRPr="0057545F">
        <w:rPr>
          <w:rFonts w:ascii="Arial" w:hAnsi="Arial" w:cs="Arial"/>
        </w:rPr>
        <w:t xml:space="preserve"> et al., 2023; Kwon et al., 2009) and fiscal dominance frameworks (Batool et al., 2022), suggesting Nigeria did not operate under a classic fiscally dominant regime during the sampled period (</w:t>
      </w:r>
      <w:proofErr w:type="spellStart"/>
      <w:r w:rsidRPr="0057545F">
        <w:rPr>
          <w:rFonts w:ascii="Arial" w:hAnsi="Arial" w:cs="Arial"/>
        </w:rPr>
        <w:t>Aimola</w:t>
      </w:r>
      <w:proofErr w:type="spellEnd"/>
      <w:r w:rsidRPr="0057545F">
        <w:rPr>
          <w:rFonts w:ascii="Arial" w:hAnsi="Arial" w:cs="Arial"/>
        </w:rPr>
        <w:t xml:space="preserve"> &amp; Odhiambo, 2021).</w:t>
      </w:r>
    </w:p>
    <w:p w14:paraId="675B7C7A" w14:textId="77777777" w:rsidR="00EC7D28" w:rsidRPr="00F3509D" w:rsidRDefault="00EC7D28" w:rsidP="00EC7D28">
      <w:pPr>
        <w:jc w:val="both"/>
        <w:rPr>
          <w:rFonts w:ascii="Arial" w:hAnsi="Arial" w:cs="Arial"/>
          <w:color w:val="FF0000"/>
        </w:rPr>
      </w:pPr>
    </w:p>
    <w:p w14:paraId="3BC34EE7" w14:textId="77777777" w:rsidR="00EC7D28" w:rsidRPr="00BF4E38" w:rsidRDefault="00EC7D28" w:rsidP="00EC7D28">
      <w:pPr>
        <w:jc w:val="both"/>
        <w:rPr>
          <w:rFonts w:ascii="Arial" w:hAnsi="Arial" w:cs="Arial"/>
        </w:rPr>
      </w:pPr>
      <w:r w:rsidRPr="0057545F">
        <w:rPr>
          <w:rFonts w:ascii="Arial" w:hAnsi="Arial" w:cs="Arial"/>
        </w:rPr>
        <w:t>Macroeconomic control variables align strongly with theoretical predictions: the depreciation of the exchange rate (LEXR) serves as a pivotal factor, demonstrating a considerable positive long-term impact (4.658, p = 0.000), which validates the pass-through phenomenon in Nigeria (</w:t>
      </w:r>
      <w:proofErr w:type="spellStart"/>
      <w:r w:rsidRPr="0057545F">
        <w:rPr>
          <w:rFonts w:ascii="Arial" w:hAnsi="Arial" w:cs="Arial"/>
        </w:rPr>
        <w:t>Akinbobola</w:t>
      </w:r>
      <w:proofErr w:type="spellEnd"/>
      <w:r w:rsidRPr="0057545F">
        <w:rPr>
          <w:rFonts w:ascii="Arial" w:hAnsi="Arial" w:cs="Arial"/>
        </w:rPr>
        <w:t xml:space="preserve">, 2012). The broad money supply (M2) also indicates a significant positive long-term effect (0.927, p = 0.000), which substantiates the monetarist perspectives regarding liquidity-induced inflation (Jung, 2024; </w:t>
      </w:r>
      <w:proofErr w:type="spellStart"/>
      <w:r w:rsidRPr="0057545F">
        <w:rPr>
          <w:rFonts w:ascii="Arial" w:hAnsi="Arial" w:cs="Arial"/>
        </w:rPr>
        <w:t>Ezeabasili</w:t>
      </w:r>
      <w:proofErr w:type="spellEnd"/>
      <w:r w:rsidRPr="0057545F">
        <w:rPr>
          <w:rFonts w:ascii="Arial" w:hAnsi="Arial" w:cs="Arial"/>
        </w:rPr>
        <w:t xml:space="preserve"> et al., 2012; </w:t>
      </w:r>
      <w:proofErr w:type="spellStart"/>
      <w:r w:rsidRPr="0057545F">
        <w:rPr>
          <w:rFonts w:ascii="Arial" w:hAnsi="Arial" w:cs="Arial"/>
        </w:rPr>
        <w:t>Akinbobola</w:t>
      </w:r>
      <w:proofErr w:type="spellEnd"/>
      <w:r w:rsidRPr="0057545F">
        <w:rPr>
          <w:rFonts w:ascii="Arial" w:hAnsi="Arial" w:cs="Arial"/>
        </w:rPr>
        <w:t>, 2012). The lending rate (LR) exhibits a notable positive long-run impact (4.254, p = 0.000), reflecting the influence of cost-push factors on inflation. On the other hand, real GDP growth (RGDPG) is statistically insignificant in the long run, indicating that output gaps on the demand side do not serve as the main nominal anchor for inflation (</w:t>
      </w:r>
      <w:proofErr w:type="spellStart"/>
      <w:r w:rsidRPr="0057545F">
        <w:rPr>
          <w:rFonts w:ascii="Arial" w:hAnsi="Arial" w:cs="Arial"/>
        </w:rPr>
        <w:t>Fasanya</w:t>
      </w:r>
      <w:proofErr w:type="spellEnd"/>
      <w:r w:rsidRPr="0057545F">
        <w:rPr>
          <w:rFonts w:ascii="Arial" w:hAnsi="Arial" w:cs="Arial"/>
        </w:rPr>
        <w:t xml:space="preserve"> et al., 2021). </w:t>
      </w:r>
      <w:r w:rsidRPr="00BF4E38">
        <w:rPr>
          <w:rFonts w:ascii="Arial" w:hAnsi="Arial" w:cs="Arial"/>
        </w:rPr>
        <w:t>Structural dummy variables underscore the significant influence of institutional and external shocks. The Structural Adjustment Program, initiated in 1986 (DUM86), produced a notable deflationary effect, which led to a 23.4 percentage point decrease in inflation (p = 0.002) through measures aimed at fiscal consolidation. Conversely, the oil price shock, occurring in 1988–1989 (DUM88), and the political crisis of 1992–1993 (DUM92) triggered pronounced inflationary increases of 47.6 percentage points (p = 0.000) and 14.9 percentage points (p = 0.000), respectively. These distinct impacts affirm the importance of considering structural breaks within the relationship between fiscal policy and inflation (</w:t>
      </w:r>
      <w:proofErr w:type="spellStart"/>
      <w:r w:rsidRPr="00BF4E38">
        <w:rPr>
          <w:rFonts w:ascii="Arial" w:hAnsi="Arial" w:cs="Arial"/>
        </w:rPr>
        <w:t>Fasanya</w:t>
      </w:r>
      <w:proofErr w:type="spellEnd"/>
      <w:r w:rsidRPr="00BF4E38">
        <w:rPr>
          <w:rFonts w:ascii="Arial" w:hAnsi="Arial" w:cs="Arial"/>
        </w:rPr>
        <w:t xml:space="preserve"> et al., 2021). </w:t>
      </w:r>
    </w:p>
    <w:p w14:paraId="4EB6D40D" w14:textId="77777777" w:rsidR="00EC7D28" w:rsidRPr="00F3509D" w:rsidRDefault="00EC7D28" w:rsidP="00EC7D28">
      <w:pPr>
        <w:jc w:val="both"/>
        <w:rPr>
          <w:rFonts w:ascii="Arial" w:hAnsi="Arial" w:cs="Arial"/>
          <w:color w:val="FF0000"/>
        </w:rPr>
      </w:pPr>
    </w:p>
    <w:p w14:paraId="56F1D249" w14:textId="77777777" w:rsidR="00EC7D28" w:rsidRPr="00BF4E38" w:rsidRDefault="00EC7D28" w:rsidP="00EC7D28">
      <w:pPr>
        <w:jc w:val="both"/>
        <w:rPr>
          <w:rFonts w:ascii="Arial" w:hAnsi="Arial" w:cs="Arial"/>
        </w:rPr>
      </w:pPr>
      <w:r w:rsidRPr="00BF4E38">
        <w:rPr>
          <w:rFonts w:ascii="Arial" w:hAnsi="Arial" w:cs="Arial"/>
        </w:rPr>
        <w:t xml:space="preserve">In conclusion, while a stable long-run cointegrating relationship is confirmed, the results do not support a persistently "fiscally driven" inflation regime dictated by deficit monetization. Instead, they suggest market-based deficit financing and monetary independence can yield stabilizing price effects (Afolabi &amp; </w:t>
      </w:r>
      <w:proofErr w:type="spellStart"/>
      <w:r w:rsidRPr="00BF4E38">
        <w:rPr>
          <w:rFonts w:ascii="Arial" w:hAnsi="Arial" w:cs="Arial"/>
        </w:rPr>
        <w:t>Atolagbe</w:t>
      </w:r>
      <w:proofErr w:type="spellEnd"/>
      <w:r w:rsidRPr="00BF4E38">
        <w:rPr>
          <w:rFonts w:ascii="Arial" w:hAnsi="Arial" w:cs="Arial"/>
        </w:rPr>
        <w:t xml:space="preserve">, 2018; </w:t>
      </w:r>
      <w:proofErr w:type="spellStart"/>
      <w:r w:rsidRPr="00BF4E38">
        <w:rPr>
          <w:rFonts w:ascii="Arial" w:hAnsi="Arial" w:cs="Arial"/>
        </w:rPr>
        <w:t>Orisadare</w:t>
      </w:r>
      <w:proofErr w:type="spellEnd"/>
      <w:r w:rsidRPr="00BF4E38">
        <w:rPr>
          <w:rFonts w:ascii="Arial" w:hAnsi="Arial" w:cs="Arial"/>
        </w:rPr>
        <w:t xml:space="preserve"> &amp; Adeyemi, 2024). The negative and significant error correction term </w:t>
      </w:r>
      <w:r>
        <w:rPr>
          <w:rFonts w:ascii="Arial" w:hAnsi="Arial" w:cs="Arial"/>
        </w:rPr>
        <w:t xml:space="preserve">of 40.4% </w:t>
      </w:r>
      <w:r w:rsidRPr="00BF4E38">
        <w:rPr>
          <w:rFonts w:ascii="Arial" w:hAnsi="Arial" w:cs="Arial"/>
        </w:rPr>
        <w:t>indicates a moderate annual adjustment speed towards long-run equilibrium (</w:t>
      </w:r>
      <w:proofErr w:type="spellStart"/>
      <w:r w:rsidRPr="00BF4E38">
        <w:rPr>
          <w:rFonts w:ascii="Arial" w:hAnsi="Arial" w:cs="Arial"/>
        </w:rPr>
        <w:t>Fasanya</w:t>
      </w:r>
      <w:proofErr w:type="spellEnd"/>
      <w:r w:rsidRPr="00BF4E38">
        <w:rPr>
          <w:rFonts w:ascii="Arial" w:hAnsi="Arial" w:cs="Arial"/>
        </w:rPr>
        <w:t xml:space="preserve"> et al., 2021; </w:t>
      </w:r>
      <w:proofErr w:type="spellStart"/>
      <w:r w:rsidRPr="00BF4E38">
        <w:rPr>
          <w:rFonts w:ascii="Arial" w:hAnsi="Arial" w:cs="Arial"/>
        </w:rPr>
        <w:t>Aimola</w:t>
      </w:r>
      <w:proofErr w:type="spellEnd"/>
      <w:r w:rsidRPr="00BF4E38">
        <w:rPr>
          <w:rFonts w:ascii="Arial" w:hAnsi="Arial" w:cs="Arial"/>
        </w:rPr>
        <w:t xml:space="preserve"> &amp; Odhiambo, 2021). Overall, the study concludes that fiscal deficits exert a disinflationary long-run impact, public debt is associated with lower long-term inflation, and elevated debt does not significantly amplify the inflationary impact of fiscal deficits in Nigeria.</w:t>
      </w:r>
    </w:p>
    <w:p w14:paraId="3FC95407" w14:textId="77777777" w:rsidR="00EC7D28" w:rsidRPr="00EC7D28" w:rsidRDefault="00EC7D28" w:rsidP="00EC7D28">
      <w:pPr>
        <w:spacing w:line="360" w:lineRule="auto"/>
        <w:rPr>
          <w:rFonts w:ascii="Arial" w:hAnsi="Arial" w:cs="Arial"/>
          <w:sz w:val="22"/>
          <w:szCs w:val="22"/>
        </w:rPr>
      </w:pPr>
    </w:p>
    <w:p w14:paraId="5FA3E58B" w14:textId="7224531D" w:rsidR="00EC7D28" w:rsidRPr="00EC7D28" w:rsidRDefault="00EC7D28" w:rsidP="00EC7D28">
      <w:pPr>
        <w:spacing w:line="360" w:lineRule="auto"/>
        <w:rPr>
          <w:rFonts w:ascii="Arial" w:hAnsi="Arial" w:cs="Arial"/>
          <w:b/>
          <w:bCs/>
          <w:sz w:val="22"/>
          <w:szCs w:val="22"/>
        </w:rPr>
      </w:pPr>
      <w:r w:rsidRPr="00EC7D28">
        <w:rPr>
          <w:rFonts w:ascii="Arial" w:hAnsi="Arial" w:cs="Arial"/>
          <w:b/>
          <w:bCs/>
          <w:sz w:val="22"/>
          <w:szCs w:val="22"/>
        </w:rPr>
        <w:t>6. CONCLUSION</w:t>
      </w:r>
    </w:p>
    <w:p w14:paraId="6B8E17DC" w14:textId="77777777" w:rsidR="00FE011B" w:rsidRPr="00442E9D" w:rsidRDefault="00FE011B" w:rsidP="00FE011B">
      <w:pPr>
        <w:spacing w:before="100" w:beforeAutospacing="1" w:after="100" w:afterAutospacing="1"/>
        <w:rPr>
          <w:rFonts w:ascii="Times New Roman" w:hAnsi="Times New Roman"/>
          <w:sz w:val="24"/>
          <w:szCs w:val="24"/>
          <w:lang w:val="en-IN" w:eastAsia="en-IN"/>
        </w:rPr>
      </w:pPr>
      <w:r w:rsidRPr="00442E9D">
        <w:rPr>
          <w:rFonts w:ascii="Times New Roman" w:hAnsi="Times New Roman"/>
          <w:sz w:val="24"/>
          <w:szCs w:val="24"/>
          <w:lang w:val="en-IN" w:eastAsia="en-IN"/>
        </w:rPr>
        <w:t xml:space="preserve">This study investigated how fiscal deficit, public debt, and their interaction influenced inflation in Nigeria from 1980 to 2024. The findings show that inflation exhibited persistence and that a long-run relationship existed among the variables. Fiscal deficit and public debt were found to have significant negative long-run relationships with inflation, while the interaction between fiscal deficit and public debt was negative but not statistically significant in the long run. In the short run, the interaction term showed a significant negative effect, suggesting that the inflationary </w:t>
      </w:r>
      <w:r w:rsidRPr="00442E9D">
        <w:rPr>
          <w:rFonts w:ascii="Times New Roman" w:hAnsi="Times New Roman"/>
          <w:sz w:val="24"/>
          <w:szCs w:val="24"/>
          <w:lang w:val="en-IN" w:eastAsia="en-IN"/>
        </w:rPr>
        <w:lastRenderedPageBreak/>
        <w:t>effect of fiscal imbalance may depend on the level and structure of public debt. The results also show that exchange rate depreciation, broad money growth, and lending rate were important positive determinants of inflation. Real GDP growth did not show a significant long-run effect. Overall, the findings indicate that inflation in Nigeria cannot be explained by fiscal deficit and public debt alone. Monetary conditions, exchange rate movements, and the cost of credit appear to play stronger roles in shaping inflation dynamics. The study therefore concludes that price stability requires coordinated fiscal and monetary policy, improved debt management, and stronger measures to limit exchange rate and liquidity-related inflationary pressures.</w:t>
      </w:r>
    </w:p>
    <w:p w14:paraId="4536500D" w14:textId="77777777" w:rsidR="00FE011B" w:rsidRPr="00442E9D" w:rsidRDefault="00FE011B" w:rsidP="00FE011B">
      <w:pPr>
        <w:spacing w:before="100" w:beforeAutospacing="1" w:after="100" w:afterAutospacing="1"/>
        <w:outlineLvl w:val="2"/>
        <w:rPr>
          <w:rFonts w:ascii="Times New Roman" w:hAnsi="Times New Roman"/>
          <w:b/>
          <w:bCs/>
          <w:sz w:val="27"/>
          <w:szCs w:val="27"/>
          <w:lang w:val="en-IN" w:eastAsia="en-IN"/>
        </w:rPr>
      </w:pPr>
      <w:r w:rsidRPr="00442E9D">
        <w:rPr>
          <w:rFonts w:ascii="Times New Roman" w:hAnsi="Times New Roman"/>
          <w:b/>
          <w:bCs/>
          <w:sz w:val="27"/>
          <w:szCs w:val="27"/>
          <w:lang w:val="en-IN" w:eastAsia="en-IN"/>
        </w:rPr>
        <w:t>Limitation</w:t>
      </w:r>
    </w:p>
    <w:p w14:paraId="4FA9E9C0" w14:textId="77777777" w:rsidR="00FE011B" w:rsidRPr="00442E9D" w:rsidRDefault="00FE011B" w:rsidP="00FE011B">
      <w:pPr>
        <w:spacing w:before="100" w:beforeAutospacing="1" w:after="100" w:afterAutospacing="1"/>
        <w:rPr>
          <w:rFonts w:ascii="Times New Roman" w:hAnsi="Times New Roman"/>
          <w:sz w:val="24"/>
          <w:szCs w:val="24"/>
          <w:lang w:val="en-IN" w:eastAsia="en-IN"/>
        </w:rPr>
      </w:pPr>
      <w:r w:rsidRPr="00442E9D">
        <w:rPr>
          <w:rFonts w:ascii="Times New Roman" w:hAnsi="Times New Roman"/>
          <w:sz w:val="24"/>
          <w:szCs w:val="24"/>
          <w:lang w:val="en-IN" w:eastAsia="en-IN"/>
        </w:rPr>
        <w:t>This study has some limitations. First, the analysis used aggregate annual data, which may not capture short-term fluctuations in inflation, fiscal operations, debt composition, and monetary conditions. Second, public debt and fiscal deficit were examined in aggregate form, without separating domestic debt from external debt or recurrent expenditure from capital expenditure. These distinctions may influence inflation differently. Third, although structural break dummies were included, the model may not fully capture nonlinear or threshold effects in the relationship between debt, deficit, and inflation. Fourth, the study relied on an ARDL framework, which is suitable for mixed integration orders but may be sensitive to lag selection and model specification, es</w:t>
      </w:r>
      <w:bookmarkStart w:id="2" w:name="_GoBack"/>
      <w:bookmarkEnd w:id="2"/>
      <w:r w:rsidRPr="00442E9D">
        <w:rPr>
          <w:rFonts w:ascii="Times New Roman" w:hAnsi="Times New Roman"/>
          <w:sz w:val="24"/>
          <w:szCs w:val="24"/>
          <w:lang w:val="en-IN" w:eastAsia="en-IN"/>
        </w:rPr>
        <w:t>pecially with a relatively small sample. Future studies may use disaggregated data, higher-frequency observations, nonlinear models, and additional institutional variables to provide a broader understanding of Nigeria’s inflation dynamics.</w:t>
      </w:r>
    </w:p>
    <w:p w14:paraId="44793B39" w14:textId="77777777" w:rsidR="00FE011B" w:rsidRDefault="00FE011B" w:rsidP="00FE011B"/>
    <w:p w14:paraId="6F2F1632" w14:textId="77777777" w:rsidR="00FE011B" w:rsidRDefault="00FE011B" w:rsidP="00FE011B">
      <w:pPr>
        <w:shd w:val="clear" w:color="auto" w:fill="FFFFFF"/>
        <w:rPr>
          <w:rFonts w:ascii="Arial" w:hAnsi="Arial" w:cs="Arial"/>
          <w:color w:val="222222"/>
          <w:sz w:val="24"/>
          <w:szCs w:val="24"/>
          <w:lang w:val="en-IN" w:eastAsia="en-IN"/>
        </w:rPr>
      </w:pPr>
      <w:bookmarkStart w:id="3" w:name="_Hlk232854992"/>
    </w:p>
    <w:p w14:paraId="7C735DDE" w14:textId="77777777" w:rsidR="00FE011B" w:rsidRPr="000839CE" w:rsidRDefault="00FE011B" w:rsidP="00FE011B">
      <w:pPr>
        <w:rPr>
          <w:rFonts w:ascii="Times New Roman" w:hAnsi="Times New Roman"/>
          <w:b/>
        </w:rPr>
      </w:pPr>
      <w:bookmarkStart w:id="4" w:name="_Hlk232755622"/>
      <w:r w:rsidRPr="000839CE">
        <w:rPr>
          <w:rFonts w:ascii="Times New Roman" w:hAnsi="Times New Roman"/>
          <w:b/>
        </w:rPr>
        <w:t>Declaration of AI Use</w:t>
      </w:r>
    </w:p>
    <w:p w14:paraId="70E50874" w14:textId="77777777" w:rsidR="00FE011B" w:rsidRPr="000839CE" w:rsidRDefault="00FE011B" w:rsidP="00FE011B">
      <w:pPr>
        <w:rPr>
          <w:rFonts w:ascii="Times New Roman" w:hAnsi="Times New Roman"/>
        </w:rPr>
      </w:pPr>
    </w:p>
    <w:p w14:paraId="1D823F42" w14:textId="77777777" w:rsidR="00FE011B" w:rsidRPr="000839CE" w:rsidRDefault="00FE011B" w:rsidP="00FE011B">
      <w:pPr>
        <w:jc w:val="both"/>
        <w:rPr>
          <w:rFonts w:ascii="Times New Roman" w:hAnsi="Times New Roman"/>
        </w:rPr>
      </w:pPr>
      <w:r w:rsidRPr="00C56790">
        <w:rPr>
          <w:rFonts w:ascii="Times New Roman" w:hAnsi="Times New Roman"/>
        </w:rPr>
        <w:t xml:space="preserve">This manuscript was prepared through the combined contributions of all author(s), including contributions to the study design, data, content development, results, interpretation, and related scholarly work. The author(s) acknowledge the use of Grammarly and </w:t>
      </w:r>
      <w:proofErr w:type="spellStart"/>
      <w:r w:rsidRPr="00C56790">
        <w:rPr>
          <w:rFonts w:ascii="Times New Roman" w:hAnsi="Times New Roman"/>
        </w:rPr>
        <w:t>ChatGPT</w:t>
      </w:r>
      <w:proofErr w:type="spellEnd"/>
      <w:r w:rsidRPr="00C56790">
        <w:rPr>
          <w:rFonts w:ascii="Times New Roman" w:hAnsi="Times New Roman"/>
        </w:rPr>
        <w:t xml:space="preserve"> to assist with grammar checking, language refinement, reference formatting. These AI-assisted tools were not used as authors and did not replace the intellectual contributions or scholarly judgment of the author(s). All AI-assisted outputs, including content, references, and interpretations, were carefully reviewed, revised, verified, and approved by the author(s). The author(s) accept full responsibility for the accuracy, integrity, and final content of the manuscript.</w:t>
      </w:r>
    </w:p>
    <w:bookmarkEnd w:id="3"/>
    <w:bookmarkEnd w:id="4"/>
    <w:p w14:paraId="70CE8EB2" w14:textId="620EF161" w:rsidR="00EC7D28" w:rsidRDefault="00EC7D28" w:rsidP="00441B6F">
      <w:pPr>
        <w:pStyle w:val="AcknHead"/>
        <w:spacing w:after="0"/>
        <w:jc w:val="both"/>
        <w:rPr>
          <w:rFonts w:ascii="Arial" w:hAnsi="Arial" w:cs="Arial"/>
          <w:b w:val="0"/>
          <w:bCs/>
        </w:rPr>
      </w:pPr>
    </w:p>
    <w:p w14:paraId="24C83EAA" w14:textId="77777777" w:rsidR="00315186" w:rsidRPr="00315186" w:rsidRDefault="00315186" w:rsidP="00441B6F"/>
    <w:p w14:paraId="3118BC87" w14:textId="77777777" w:rsidR="00315186" w:rsidRPr="00315186" w:rsidRDefault="00315186" w:rsidP="00441B6F"/>
    <w:p w14:paraId="08206F16" w14:textId="77777777" w:rsidR="00236ADE" w:rsidRPr="00236ADE" w:rsidRDefault="00236ADE" w:rsidP="00441B6F">
      <w:pPr>
        <w:pStyle w:val="ReferHead"/>
        <w:spacing w:after="0"/>
        <w:jc w:val="both"/>
        <w:rPr>
          <w:rFonts w:ascii="Arial" w:hAnsi="Arial" w:cs="Arial"/>
          <w:b w:val="0"/>
          <w:bCs/>
          <w:caps w:val="0"/>
          <w:sz w:val="20"/>
        </w:rPr>
      </w:pPr>
    </w:p>
    <w:p w14:paraId="70D1CD69" w14:textId="77777777" w:rsidR="00860000" w:rsidRDefault="00860000" w:rsidP="00441B6F">
      <w:pPr>
        <w:pStyle w:val="ReferHead"/>
        <w:spacing w:after="0"/>
        <w:jc w:val="both"/>
        <w:rPr>
          <w:rFonts w:ascii="Arial" w:hAnsi="Arial" w:cs="Arial"/>
        </w:rPr>
      </w:pPr>
    </w:p>
    <w:p w14:paraId="3BC2174D" w14:textId="0FE01DA4" w:rsidR="00B01FCD" w:rsidRDefault="00B01FCD" w:rsidP="00441B6F">
      <w:pPr>
        <w:pStyle w:val="ReferHead"/>
        <w:spacing w:after="0"/>
        <w:jc w:val="both"/>
        <w:rPr>
          <w:rFonts w:ascii="Arial" w:hAnsi="Arial" w:cs="Arial"/>
        </w:rPr>
      </w:pPr>
      <w:r w:rsidRPr="00FB3A86">
        <w:rPr>
          <w:rFonts w:ascii="Arial" w:hAnsi="Arial" w:cs="Arial"/>
        </w:rPr>
        <w:t>References</w:t>
      </w:r>
    </w:p>
    <w:p w14:paraId="16325AF9" w14:textId="19F5A687" w:rsidR="00326021" w:rsidRPr="00FB3A86" w:rsidRDefault="00326021" w:rsidP="00441B6F">
      <w:pPr>
        <w:pStyle w:val="Appendix"/>
        <w:spacing w:after="0"/>
        <w:jc w:val="both"/>
        <w:rPr>
          <w:rFonts w:ascii="Arial" w:hAnsi="Arial" w:cs="Arial"/>
          <w:b w:val="0"/>
        </w:rPr>
        <w:sectPr w:rsidR="00326021" w:rsidRPr="00FB3A86" w:rsidSect="009E2C16">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231C0412" w14:textId="77777777" w:rsidR="00326021" w:rsidRDefault="00326021" w:rsidP="00326021">
      <w:pPr>
        <w:ind w:hanging="720"/>
        <w:jc w:val="both"/>
        <w:rPr>
          <w:rFonts w:ascii="Arial" w:hAnsi="Arial" w:cs="Arial"/>
        </w:rPr>
      </w:pPr>
      <w:bookmarkStart w:id="5" w:name="_Hlk232973623"/>
    </w:p>
    <w:p w14:paraId="0B84A6CF" w14:textId="66173368" w:rsidR="00326021" w:rsidRPr="003866C4" w:rsidRDefault="00326021" w:rsidP="00326021">
      <w:pPr>
        <w:ind w:hanging="720"/>
        <w:jc w:val="both"/>
        <w:rPr>
          <w:rFonts w:ascii="Arial" w:hAnsi="Arial" w:cs="Arial"/>
        </w:rPr>
      </w:pPr>
      <w:r w:rsidRPr="003866C4">
        <w:rPr>
          <w:rFonts w:ascii="Arial" w:hAnsi="Arial" w:cs="Arial"/>
        </w:rPr>
        <w:t xml:space="preserve">Abubakar, M., </w:t>
      </w:r>
      <w:proofErr w:type="spellStart"/>
      <w:r w:rsidRPr="003866C4">
        <w:rPr>
          <w:rFonts w:ascii="Arial" w:hAnsi="Arial" w:cs="Arial"/>
        </w:rPr>
        <w:t>Aliero</w:t>
      </w:r>
      <w:proofErr w:type="spellEnd"/>
      <w:r w:rsidRPr="003866C4">
        <w:rPr>
          <w:rFonts w:ascii="Arial" w:hAnsi="Arial" w:cs="Arial"/>
        </w:rPr>
        <w:t>, H., &amp; Umaru, A. (2014). An empirical analysis on the relationship between fiscal deficit and inflation in Nigeria. Economics and Applied Informatics, 20(2), 5–13.</w:t>
      </w:r>
    </w:p>
    <w:p w14:paraId="06C8F2CC" w14:textId="77777777" w:rsidR="00326021" w:rsidRDefault="00326021" w:rsidP="00326021">
      <w:pPr>
        <w:ind w:hanging="720"/>
        <w:jc w:val="both"/>
        <w:rPr>
          <w:rFonts w:ascii="Arial" w:hAnsi="Arial" w:cs="Arial"/>
        </w:rPr>
      </w:pPr>
    </w:p>
    <w:p w14:paraId="7B000E8A" w14:textId="01391AE2" w:rsidR="00326021" w:rsidRPr="003866C4" w:rsidRDefault="00326021" w:rsidP="00326021">
      <w:pPr>
        <w:ind w:hanging="720"/>
        <w:jc w:val="both"/>
        <w:rPr>
          <w:rFonts w:ascii="Arial" w:hAnsi="Arial" w:cs="Arial"/>
        </w:rPr>
      </w:pPr>
      <w:r w:rsidRPr="003866C4">
        <w:rPr>
          <w:rFonts w:ascii="Arial" w:hAnsi="Arial" w:cs="Arial"/>
        </w:rPr>
        <w:t xml:space="preserve">Afolabi, J. O., &amp; </w:t>
      </w:r>
      <w:proofErr w:type="spellStart"/>
      <w:r w:rsidRPr="003866C4">
        <w:rPr>
          <w:rFonts w:ascii="Arial" w:hAnsi="Arial" w:cs="Arial"/>
        </w:rPr>
        <w:t>Atolagbe</w:t>
      </w:r>
      <w:proofErr w:type="spellEnd"/>
      <w:r w:rsidRPr="003866C4">
        <w:rPr>
          <w:rFonts w:ascii="Arial" w:hAnsi="Arial" w:cs="Arial"/>
        </w:rPr>
        <w:t xml:space="preserve">, O. (2018). Empirical analysis of fiscal dominance and the conduct of monetary policy in Nigeria (MPRA Paper No. 88786). Munich Personal </w:t>
      </w:r>
      <w:proofErr w:type="spellStart"/>
      <w:r w:rsidRPr="003866C4">
        <w:rPr>
          <w:rFonts w:ascii="Arial" w:hAnsi="Arial" w:cs="Arial"/>
        </w:rPr>
        <w:t>RePEc</w:t>
      </w:r>
      <w:proofErr w:type="spellEnd"/>
      <w:r w:rsidRPr="003866C4">
        <w:rPr>
          <w:rFonts w:ascii="Arial" w:hAnsi="Arial" w:cs="Arial"/>
        </w:rPr>
        <w:t xml:space="preserve"> Archive. </w:t>
      </w:r>
      <w:hyperlink r:id="rId18" w:history="1">
        <w:r w:rsidRPr="003866C4">
          <w:rPr>
            <w:rStyle w:val="Hyperlink"/>
            <w:rFonts w:ascii="Arial" w:hAnsi="Arial" w:cs="Arial"/>
          </w:rPr>
          <w:t>https://mpra.ub.uni-muenchen.de/88786/</w:t>
        </w:r>
      </w:hyperlink>
    </w:p>
    <w:p w14:paraId="4C3ABEF1" w14:textId="77777777" w:rsidR="00326021" w:rsidRPr="00743BAE" w:rsidRDefault="00326021" w:rsidP="00326021">
      <w:pPr>
        <w:ind w:hanging="720"/>
        <w:jc w:val="both"/>
        <w:rPr>
          <w:rFonts w:ascii="Times New Roman" w:hAnsi="Times New Roman"/>
          <w:sz w:val="24"/>
          <w:szCs w:val="24"/>
        </w:rPr>
      </w:pPr>
    </w:p>
    <w:p w14:paraId="04BBF24E" w14:textId="77777777" w:rsidR="00326021" w:rsidRPr="003866C4" w:rsidRDefault="00326021" w:rsidP="00326021">
      <w:pPr>
        <w:ind w:hanging="720"/>
        <w:jc w:val="both"/>
        <w:rPr>
          <w:rFonts w:ascii="Arial" w:hAnsi="Arial" w:cs="Arial"/>
        </w:rPr>
      </w:pPr>
      <w:r w:rsidRPr="003866C4">
        <w:rPr>
          <w:rFonts w:ascii="Arial" w:hAnsi="Arial" w:cs="Arial"/>
        </w:rPr>
        <w:t xml:space="preserve">Afonso, A., &amp; </w:t>
      </w:r>
      <w:proofErr w:type="spellStart"/>
      <w:r w:rsidRPr="003866C4">
        <w:rPr>
          <w:rFonts w:ascii="Arial" w:hAnsi="Arial" w:cs="Arial"/>
        </w:rPr>
        <w:t>Ibraimo</w:t>
      </w:r>
      <w:proofErr w:type="spellEnd"/>
      <w:r w:rsidRPr="003866C4">
        <w:rPr>
          <w:rFonts w:ascii="Arial" w:hAnsi="Arial" w:cs="Arial"/>
        </w:rPr>
        <w:t>, Y. (2018). The macroeconomic effects of public debt: An empirical analysis of Mozambique (REM Working Paper No. 029-2018). REM – Research in Economics and Mathematics.</w:t>
      </w:r>
    </w:p>
    <w:p w14:paraId="394B4A24" w14:textId="77777777" w:rsidR="00326021" w:rsidRPr="003866C4" w:rsidRDefault="00326021" w:rsidP="00326021">
      <w:pPr>
        <w:ind w:hanging="720"/>
        <w:jc w:val="both"/>
        <w:rPr>
          <w:rFonts w:ascii="Arial" w:hAnsi="Arial" w:cs="Arial"/>
        </w:rPr>
      </w:pPr>
    </w:p>
    <w:p w14:paraId="18681C93" w14:textId="77777777" w:rsidR="00326021" w:rsidRPr="003866C4" w:rsidRDefault="00326021" w:rsidP="00326021">
      <w:pPr>
        <w:ind w:hanging="720"/>
        <w:jc w:val="both"/>
        <w:rPr>
          <w:rFonts w:ascii="Arial" w:hAnsi="Arial" w:cs="Arial"/>
        </w:rPr>
      </w:pPr>
      <w:r w:rsidRPr="003866C4">
        <w:rPr>
          <w:rFonts w:ascii="Arial" w:hAnsi="Arial" w:cs="Arial"/>
        </w:rPr>
        <w:t>Ahmad, M. J., Sheikh, M. R., &amp; Tariq, K. (2012). Domestic debt and inflationary effects: An evidence from Pakistan. International Journal of Humanities and Social Science, 2(18), 256–263.</w:t>
      </w:r>
    </w:p>
    <w:p w14:paraId="6D1CF08B" w14:textId="77777777" w:rsidR="00326021" w:rsidRPr="003866C4" w:rsidRDefault="00326021" w:rsidP="00326021">
      <w:pPr>
        <w:ind w:hanging="720"/>
        <w:jc w:val="both"/>
        <w:rPr>
          <w:rFonts w:ascii="Arial" w:hAnsi="Arial" w:cs="Arial"/>
        </w:rPr>
      </w:pPr>
    </w:p>
    <w:p w14:paraId="0A44E6BB" w14:textId="77777777" w:rsidR="00326021" w:rsidRPr="003866C4" w:rsidRDefault="00326021" w:rsidP="00326021">
      <w:pPr>
        <w:ind w:hanging="720"/>
        <w:jc w:val="both"/>
        <w:rPr>
          <w:rFonts w:ascii="Arial" w:hAnsi="Arial" w:cs="Arial"/>
        </w:rPr>
      </w:pPr>
      <w:proofErr w:type="spellStart"/>
      <w:r w:rsidRPr="003866C4">
        <w:rPr>
          <w:rFonts w:ascii="Arial" w:hAnsi="Arial" w:cs="Arial"/>
        </w:rPr>
        <w:t>Aimola</w:t>
      </w:r>
      <w:proofErr w:type="spellEnd"/>
      <w:r w:rsidRPr="003866C4">
        <w:rPr>
          <w:rFonts w:ascii="Arial" w:hAnsi="Arial" w:cs="Arial"/>
        </w:rPr>
        <w:t xml:space="preserve">, A., &amp; Odhiambo, N. (2021). Public debt and inflation: Empirical evidence from Ghana. Development Studies Research, 8(1), 62–75. </w:t>
      </w:r>
      <w:hyperlink r:id="rId19" w:history="1">
        <w:r w:rsidRPr="003866C4">
          <w:rPr>
            <w:rStyle w:val="Hyperlink"/>
            <w:rFonts w:ascii="Arial" w:hAnsi="Arial" w:cs="Arial"/>
          </w:rPr>
          <w:t>https://doi.org/10.1080/21665095.2021.1915498</w:t>
        </w:r>
      </w:hyperlink>
    </w:p>
    <w:p w14:paraId="10544C82" w14:textId="77777777" w:rsidR="00326021" w:rsidRPr="003866C4" w:rsidRDefault="00326021" w:rsidP="00326021">
      <w:pPr>
        <w:ind w:hanging="720"/>
        <w:jc w:val="both"/>
        <w:rPr>
          <w:rFonts w:ascii="Arial" w:hAnsi="Arial" w:cs="Arial"/>
          <w:sz w:val="24"/>
          <w:szCs w:val="24"/>
        </w:rPr>
      </w:pPr>
    </w:p>
    <w:p w14:paraId="0D07D007" w14:textId="77777777" w:rsidR="00326021" w:rsidRPr="003866C4" w:rsidRDefault="00326021" w:rsidP="00326021">
      <w:pPr>
        <w:ind w:hanging="720"/>
        <w:jc w:val="both"/>
        <w:rPr>
          <w:rFonts w:ascii="Arial" w:hAnsi="Arial" w:cs="Arial"/>
        </w:rPr>
      </w:pPr>
      <w:proofErr w:type="spellStart"/>
      <w:r w:rsidRPr="003866C4">
        <w:rPr>
          <w:rFonts w:ascii="Arial" w:hAnsi="Arial" w:cs="Arial"/>
        </w:rPr>
        <w:t>Aimola</w:t>
      </w:r>
      <w:proofErr w:type="spellEnd"/>
      <w:r w:rsidRPr="003866C4">
        <w:rPr>
          <w:rFonts w:ascii="Arial" w:hAnsi="Arial" w:cs="Arial"/>
        </w:rPr>
        <w:t>, A., &amp; Odhiambo, N. (2021). Public debt and inflation nexus in Nigeria: An ARDL bounds test approach. Cogent Economics &amp; Finance, 9(1), Article 1911439.</w:t>
      </w:r>
    </w:p>
    <w:p w14:paraId="7FC443E0" w14:textId="77777777" w:rsidR="00326021" w:rsidRPr="003866C4" w:rsidRDefault="00BC0561" w:rsidP="00326021">
      <w:pPr>
        <w:jc w:val="both"/>
        <w:rPr>
          <w:rFonts w:ascii="Arial" w:hAnsi="Arial" w:cs="Arial"/>
        </w:rPr>
      </w:pPr>
      <w:hyperlink r:id="rId20" w:history="1">
        <w:r w:rsidR="00326021" w:rsidRPr="003866C4">
          <w:rPr>
            <w:rStyle w:val="Hyperlink"/>
            <w:rFonts w:ascii="Arial" w:hAnsi="Arial" w:cs="Arial"/>
          </w:rPr>
          <w:t>https://doi.org/10.1080/23322039.2021.1911439</w:t>
        </w:r>
      </w:hyperlink>
    </w:p>
    <w:p w14:paraId="6C4B1093" w14:textId="77777777" w:rsidR="00326021" w:rsidRDefault="00326021" w:rsidP="00326021">
      <w:pPr>
        <w:ind w:hanging="720"/>
        <w:jc w:val="both"/>
        <w:rPr>
          <w:rFonts w:ascii="Arial" w:hAnsi="Arial" w:cs="Arial"/>
        </w:rPr>
      </w:pPr>
    </w:p>
    <w:p w14:paraId="1A370F84" w14:textId="792DC77D" w:rsidR="00326021" w:rsidRPr="003866C4" w:rsidRDefault="00326021" w:rsidP="00326021">
      <w:pPr>
        <w:ind w:hanging="720"/>
        <w:jc w:val="both"/>
        <w:rPr>
          <w:rFonts w:ascii="Arial" w:hAnsi="Arial" w:cs="Arial"/>
        </w:rPr>
      </w:pPr>
      <w:proofErr w:type="spellStart"/>
      <w:r w:rsidRPr="003866C4">
        <w:rPr>
          <w:rFonts w:ascii="Arial" w:hAnsi="Arial" w:cs="Arial"/>
        </w:rPr>
        <w:t>Akinbobola</w:t>
      </w:r>
      <w:proofErr w:type="spellEnd"/>
      <w:r w:rsidRPr="003866C4">
        <w:rPr>
          <w:rFonts w:ascii="Arial" w:hAnsi="Arial" w:cs="Arial"/>
        </w:rPr>
        <w:t>, T. (2012). The dynamics of money supply, exchange rate and inflation in Nigeria. Journal of Applied Finance and Banking, 2(4), 117–141.</w:t>
      </w:r>
    </w:p>
    <w:p w14:paraId="4D5AF2D9" w14:textId="77777777" w:rsidR="00326021" w:rsidRPr="003866C4" w:rsidRDefault="00326021" w:rsidP="00326021">
      <w:pPr>
        <w:ind w:hanging="720"/>
        <w:jc w:val="both"/>
        <w:rPr>
          <w:rFonts w:ascii="Arial" w:hAnsi="Arial" w:cs="Arial"/>
        </w:rPr>
      </w:pPr>
    </w:p>
    <w:p w14:paraId="35235C01" w14:textId="77777777" w:rsidR="00326021" w:rsidRPr="003866C4" w:rsidRDefault="00326021" w:rsidP="00326021">
      <w:pPr>
        <w:ind w:hanging="720"/>
        <w:jc w:val="both"/>
        <w:rPr>
          <w:rFonts w:ascii="Arial" w:hAnsi="Arial" w:cs="Arial"/>
        </w:rPr>
      </w:pPr>
      <w:proofErr w:type="spellStart"/>
      <w:r w:rsidRPr="003866C4">
        <w:rPr>
          <w:rFonts w:ascii="Arial" w:hAnsi="Arial" w:cs="Arial"/>
        </w:rPr>
        <w:t>Amaefula</w:t>
      </w:r>
      <w:proofErr w:type="spellEnd"/>
      <w:r w:rsidRPr="003866C4">
        <w:rPr>
          <w:rFonts w:ascii="Arial" w:hAnsi="Arial" w:cs="Arial"/>
        </w:rPr>
        <w:t xml:space="preserve">, C. G., &amp; </w:t>
      </w:r>
      <w:proofErr w:type="spellStart"/>
      <w:r w:rsidRPr="003866C4">
        <w:rPr>
          <w:rFonts w:ascii="Arial" w:hAnsi="Arial" w:cs="Arial"/>
        </w:rPr>
        <w:t>Egba</w:t>
      </w:r>
      <w:proofErr w:type="spellEnd"/>
      <w:r w:rsidRPr="003866C4">
        <w:rPr>
          <w:rFonts w:ascii="Arial" w:hAnsi="Arial" w:cs="Arial"/>
        </w:rPr>
        <w:t>, O. L. (2024). Do money supply, interest rates, external debt and exchange rates explain inflation in Nigeria? An econometric approach. World Journal of Advanced Research and Reviews, 22(2), 713–723.</w:t>
      </w:r>
    </w:p>
    <w:p w14:paraId="288D5ECB" w14:textId="77777777" w:rsidR="00326021" w:rsidRPr="003866C4" w:rsidRDefault="00326021" w:rsidP="00326021">
      <w:pPr>
        <w:ind w:hanging="720"/>
        <w:jc w:val="both"/>
        <w:rPr>
          <w:rFonts w:ascii="Arial" w:hAnsi="Arial" w:cs="Arial"/>
          <w:sz w:val="24"/>
          <w:szCs w:val="24"/>
        </w:rPr>
      </w:pPr>
    </w:p>
    <w:p w14:paraId="527A4FB6" w14:textId="77777777" w:rsidR="00326021" w:rsidRPr="003866C4" w:rsidRDefault="00326021" w:rsidP="00326021">
      <w:pPr>
        <w:ind w:hanging="720"/>
        <w:jc w:val="both"/>
        <w:rPr>
          <w:rFonts w:ascii="Arial" w:hAnsi="Arial" w:cs="Arial"/>
        </w:rPr>
      </w:pPr>
      <w:proofErr w:type="spellStart"/>
      <w:r w:rsidRPr="003866C4">
        <w:rPr>
          <w:rFonts w:ascii="Arial" w:hAnsi="Arial" w:cs="Arial"/>
        </w:rPr>
        <w:t>Amassoma</w:t>
      </w:r>
      <w:proofErr w:type="spellEnd"/>
      <w:r w:rsidRPr="003866C4">
        <w:rPr>
          <w:rFonts w:ascii="Arial" w:hAnsi="Arial" w:cs="Arial"/>
        </w:rPr>
        <w:t>, D., &amp; Emma-</w:t>
      </w:r>
      <w:proofErr w:type="spellStart"/>
      <w:r w:rsidRPr="003866C4">
        <w:rPr>
          <w:rFonts w:ascii="Arial" w:hAnsi="Arial" w:cs="Arial"/>
        </w:rPr>
        <w:t>Ebere</w:t>
      </w:r>
      <w:proofErr w:type="spellEnd"/>
      <w:r w:rsidRPr="003866C4">
        <w:rPr>
          <w:rFonts w:ascii="Arial" w:hAnsi="Arial" w:cs="Arial"/>
        </w:rPr>
        <w:t>, O. (2018). The influence of money supply on inflation in Nigeria. Journal of Economics and Management, 31(1). https://doi.org/10.22367/jem.2018.31.01</w:t>
      </w:r>
    </w:p>
    <w:p w14:paraId="3950DB46" w14:textId="77777777" w:rsidR="00326021" w:rsidRPr="003866C4" w:rsidRDefault="00326021" w:rsidP="00326021">
      <w:pPr>
        <w:ind w:hanging="720"/>
        <w:jc w:val="both"/>
        <w:rPr>
          <w:rFonts w:ascii="Arial" w:hAnsi="Arial" w:cs="Arial"/>
        </w:rPr>
      </w:pPr>
    </w:p>
    <w:p w14:paraId="6DF8E451" w14:textId="77777777" w:rsidR="00326021" w:rsidRPr="003866C4" w:rsidRDefault="00326021" w:rsidP="00326021">
      <w:pPr>
        <w:ind w:hanging="720"/>
        <w:jc w:val="both"/>
        <w:rPr>
          <w:rFonts w:ascii="Arial" w:hAnsi="Arial" w:cs="Arial"/>
        </w:rPr>
      </w:pPr>
      <w:proofErr w:type="spellStart"/>
      <w:r w:rsidRPr="003866C4">
        <w:rPr>
          <w:rFonts w:ascii="Arial" w:hAnsi="Arial" w:cs="Arial"/>
        </w:rPr>
        <w:t>Anisiobi</w:t>
      </w:r>
      <w:proofErr w:type="spellEnd"/>
      <w:r w:rsidRPr="003866C4">
        <w:rPr>
          <w:rFonts w:ascii="Arial" w:hAnsi="Arial" w:cs="Arial"/>
        </w:rPr>
        <w:t xml:space="preserve">, C. A., Okeke, C. T., &amp; </w:t>
      </w:r>
      <w:proofErr w:type="spellStart"/>
      <w:r w:rsidRPr="003866C4">
        <w:rPr>
          <w:rFonts w:ascii="Arial" w:hAnsi="Arial" w:cs="Arial"/>
        </w:rPr>
        <w:t>Okaforocha</w:t>
      </w:r>
      <w:proofErr w:type="spellEnd"/>
      <w:r w:rsidRPr="003866C4">
        <w:rPr>
          <w:rFonts w:ascii="Arial" w:hAnsi="Arial" w:cs="Arial"/>
        </w:rPr>
        <w:t>, C. M. (2023). Public debt sustainability in Nigeria. International Journal of Research and Innovation in Social Science, 7(1), 123–132.</w:t>
      </w:r>
    </w:p>
    <w:p w14:paraId="005BFA1B" w14:textId="77777777" w:rsidR="00326021" w:rsidRPr="003866C4" w:rsidRDefault="00326021" w:rsidP="00326021">
      <w:pPr>
        <w:ind w:hanging="720"/>
        <w:jc w:val="both"/>
        <w:rPr>
          <w:rFonts w:ascii="Arial" w:hAnsi="Arial" w:cs="Arial"/>
        </w:rPr>
      </w:pPr>
    </w:p>
    <w:p w14:paraId="639688E4" w14:textId="77777777" w:rsidR="00326021" w:rsidRPr="003866C4" w:rsidRDefault="00326021" w:rsidP="00326021">
      <w:pPr>
        <w:ind w:hanging="720"/>
        <w:jc w:val="both"/>
        <w:rPr>
          <w:rFonts w:ascii="Arial" w:hAnsi="Arial" w:cs="Arial"/>
        </w:rPr>
      </w:pPr>
      <w:proofErr w:type="spellStart"/>
      <w:r w:rsidRPr="003866C4">
        <w:rPr>
          <w:rFonts w:ascii="Arial" w:hAnsi="Arial" w:cs="Arial"/>
        </w:rPr>
        <w:t>Ashra</w:t>
      </w:r>
      <w:proofErr w:type="spellEnd"/>
      <w:r w:rsidRPr="003866C4">
        <w:rPr>
          <w:rFonts w:ascii="Arial" w:hAnsi="Arial" w:cs="Arial"/>
        </w:rPr>
        <w:t>, S., Chattopadhyay, S., &amp; Chaudhuri, K. (2004). Deficit, money and price: The Indian experience. Journal of Policy Modeling, 26(3), 289–303.</w:t>
      </w:r>
    </w:p>
    <w:p w14:paraId="210E7DAE" w14:textId="77777777" w:rsidR="00326021" w:rsidRPr="003866C4" w:rsidRDefault="00326021" w:rsidP="00326021">
      <w:pPr>
        <w:ind w:hanging="720"/>
        <w:jc w:val="both"/>
        <w:rPr>
          <w:rFonts w:ascii="Arial" w:hAnsi="Arial" w:cs="Arial"/>
        </w:rPr>
      </w:pPr>
    </w:p>
    <w:p w14:paraId="43F83ED3" w14:textId="77777777" w:rsidR="00326021" w:rsidRPr="003866C4" w:rsidRDefault="00326021" w:rsidP="00326021">
      <w:pPr>
        <w:ind w:hanging="720"/>
        <w:jc w:val="both"/>
        <w:rPr>
          <w:rFonts w:ascii="Arial" w:hAnsi="Arial" w:cs="Arial"/>
        </w:rPr>
      </w:pPr>
      <w:proofErr w:type="spellStart"/>
      <w:r w:rsidRPr="003866C4">
        <w:rPr>
          <w:rFonts w:ascii="Arial" w:hAnsi="Arial" w:cs="Arial"/>
        </w:rPr>
        <w:t>Auclert</w:t>
      </w:r>
      <w:proofErr w:type="spellEnd"/>
      <w:r w:rsidRPr="003866C4">
        <w:rPr>
          <w:rFonts w:ascii="Arial" w:hAnsi="Arial" w:cs="Arial"/>
        </w:rPr>
        <w:t>, A., Rognlie, M., &amp; Straub, L. (2018). The intertemporal Keynesian cross. Journal of Political Economy, 126(5), 1887–1937.</w:t>
      </w:r>
    </w:p>
    <w:p w14:paraId="258EEA7D" w14:textId="77777777" w:rsidR="00326021" w:rsidRPr="003866C4" w:rsidRDefault="00326021" w:rsidP="00326021">
      <w:pPr>
        <w:ind w:hanging="720"/>
        <w:jc w:val="both"/>
        <w:rPr>
          <w:rFonts w:ascii="Arial" w:hAnsi="Arial" w:cs="Arial"/>
        </w:rPr>
      </w:pPr>
    </w:p>
    <w:p w14:paraId="76C67BF9" w14:textId="77777777" w:rsidR="00326021" w:rsidRPr="003866C4" w:rsidRDefault="00326021" w:rsidP="00326021">
      <w:pPr>
        <w:ind w:hanging="720"/>
        <w:jc w:val="both"/>
        <w:rPr>
          <w:rFonts w:ascii="Arial" w:hAnsi="Arial" w:cs="Arial"/>
        </w:rPr>
      </w:pPr>
      <w:r w:rsidRPr="003866C4">
        <w:rPr>
          <w:rFonts w:ascii="Arial" w:hAnsi="Arial" w:cs="Arial"/>
        </w:rPr>
        <w:t xml:space="preserve">Augustine, O. I., </w:t>
      </w:r>
      <w:proofErr w:type="spellStart"/>
      <w:r w:rsidRPr="003866C4">
        <w:rPr>
          <w:rFonts w:ascii="Arial" w:hAnsi="Arial" w:cs="Arial"/>
        </w:rPr>
        <w:t>Nwogwugwu</w:t>
      </w:r>
      <w:proofErr w:type="spellEnd"/>
      <w:r w:rsidRPr="003866C4">
        <w:rPr>
          <w:rFonts w:ascii="Arial" w:hAnsi="Arial" w:cs="Arial"/>
        </w:rPr>
        <w:t>, C. C. U., &amp; Joan, N. (2020). Inflation dynamics in Nigeria. Journal of Economics, Management and Trade, 26(3), 1–15.</w:t>
      </w:r>
    </w:p>
    <w:p w14:paraId="378EF2FF" w14:textId="77777777" w:rsidR="00326021" w:rsidRPr="003866C4" w:rsidRDefault="00326021" w:rsidP="00326021">
      <w:pPr>
        <w:ind w:hanging="720"/>
        <w:jc w:val="both"/>
        <w:rPr>
          <w:rFonts w:ascii="Arial" w:hAnsi="Arial" w:cs="Arial"/>
        </w:rPr>
      </w:pPr>
    </w:p>
    <w:p w14:paraId="020CFE14" w14:textId="77777777" w:rsidR="00326021" w:rsidRPr="003866C4" w:rsidRDefault="00326021" w:rsidP="00326021">
      <w:pPr>
        <w:ind w:hanging="720"/>
        <w:jc w:val="both"/>
        <w:rPr>
          <w:rFonts w:ascii="Arial" w:hAnsi="Arial" w:cs="Arial"/>
        </w:rPr>
      </w:pPr>
      <w:proofErr w:type="spellStart"/>
      <w:r w:rsidRPr="003866C4">
        <w:rPr>
          <w:rFonts w:ascii="Arial" w:hAnsi="Arial" w:cs="Arial"/>
        </w:rPr>
        <w:t>Baldini</w:t>
      </w:r>
      <w:proofErr w:type="spellEnd"/>
      <w:r w:rsidRPr="003866C4">
        <w:rPr>
          <w:rFonts w:ascii="Arial" w:hAnsi="Arial" w:cs="Arial"/>
        </w:rPr>
        <w:t>, A., &amp; Ribeiro, M. (2008). Fiscal and monetary anchors for price stability: Evidence from Sub-Saharan Africa (IMF Working Paper No. 08/121). International Monetary Fund.</w:t>
      </w:r>
    </w:p>
    <w:p w14:paraId="477BE5C9" w14:textId="77777777" w:rsidR="00326021" w:rsidRPr="003866C4" w:rsidRDefault="00326021" w:rsidP="00326021">
      <w:pPr>
        <w:ind w:hanging="720"/>
        <w:jc w:val="both"/>
        <w:rPr>
          <w:rFonts w:ascii="Arial" w:hAnsi="Arial" w:cs="Arial"/>
          <w:sz w:val="24"/>
          <w:szCs w:val="24"/>
        </w:rPr>
      </w:pPr>
    </w:p>
    <w:p w14:paraId="772B236A" w14:textId="77777777" w:rsidR="00326021" w:rsidRPr="003866C4" w:rsidRDefault="00326021" w:rsidP="00326021">
      <w:pPr>
        <w:ind w:hanging="720"/>
        <w:jc w:val="both"/>
        <w:rPr>
          <w:rFonts w:ascii="Arial" w:hAnsi="Arial" w:cs="Arial"/>
        </w:rPr>
      </w:pPr>
      <w:r w:rsidRPr="003866C4">
        <w:rPr>
          <w:rFonts w:ascii="Arial" w:hAnsi="Arial" w:cs="Arial"/>
        </w:rPr>
        <w:t xml:space="preserve">Batool, I., </w:t>
      </w:r>
      <w:proofErr w:type="spellStart"/>
      <w:r w:rsidRPr="003866C4">
        <w:rPr>
          <w:rFonts w:ascii="Arial" w:hAnsi="Arial" w:cs="Arial"/>
        </w:rPr>
        <w:t>Chandia</w:t>
      </w:r>
      <w:proofErr w:type="spellEnd"/>
      <w:r w:rsidRPr="003866C4">
        <w:rPr>
          <w:rFonts w:ascii="Arial" w:hAnsi="Arial" w:cs="Arial"/>
        </w:rPr>
        <w:t xml:space="preserve">, K. E., Sarwar, B., &amp; Iqbal, M. B. (2024). Fiscal dominance and the inflation dynamics in Pakistan: An empirical analysis. Millennial Asia, 15(1), 51–71. </w:t>
      </w:r>
      <w:hyperlink r:id="rId21" w:history="1">
        <w:r w:rsidRPr="003866C4">
          <w:rPr>
            <w:rStyle w:val="Hyperlink"/>
            <w:rFonts w:ascii="Arial" w:hAnsi="Arial" w:cs="Arial"/>
          </w:rPr>
          <w:t>https://doi.org/10.1177/09763996221103003</w:t>
        </w:r>
      </w:hyperlink>
    </w:p>
    <w:p w14:paraId="4CFA90B8" w14:textId="77777777" w:rsidR="00326021" w:rsidRPr="003866C4" w:rsidRDefault="00326021" w:rsidP="00326021">
      <w:pPr>
        <w:ind w:hanging="720"/>
        <w:jc w:val="both"/>
        <w:rPr>
          <w:rFonts w:ascii="Arial" w:hAnsi="Arial" w:cs="Arial"/>
        </w:rPr>
      </w:pPr>
    </w:p>
    <w:p w14:paraId="438EBC62" w14:textId="77777777" w:rsidR="00326021" w:rsidRPr="003866C4" w:rsidRDefault="00326021" w:rsidP="00326021">
      <w:pPr>
        <w:ind w:hanging="720"/>
        <w:jc w:val="both"/>
        <w:rPr>
          <w:rFonts w:ascii="Arial" w:hAnsi="Arial" w:cs="Arial"/>
        </w:rPr>
      </w:pPr>
      <w:proofErr w:type="spellStart"/>
      <w:r w:rsidRPr="003866C4">
        <w:rPr>
          <w:rFonts w:ascii="Arial" w:hAnsi="Arial" w:cs="Arial"/>
        </w:rPr>
        <w:t>Beirne</w:t>
      </w:r>
      <w:proofErr w:type="spellEnd"/>
      <w:r w:rsidRPr="003866C4">
        <w:rPr>
          <w:rFonts w:ascii="Arial" w:hAnsi="Arial" w:cs="Arial"/>
        </w:rPr>
        <w:t xml:space="preserve">, J., &amp; </w:t>
      </w:r>
      <w:proofErr w:type="spellStart"/>
      <w:r w:rsidRPr="003866C4">
        <w:rPr>
          <w:rFonts w:ascii="Arial" w:hAnsi="Arial" w:cs="Arial"/>
        </w:rPr>
        <w:t>Renzhi</w:t>
      </w:r>
      <w:proofErr w:type="spellEnd"/>
      <w:r w:rsidRPr="003866C4">
        <w:rPr>
          <w:rFonts w:ascii="Arial" w:hAnsi="Arial" w:cs="Arial"/>
        </w:rPr>
        <w:t xml:space="preserve">, N. (2024). Debt shocks and the dynamics of output and inflation in emerging economies (ADB Economics Working Paper Series, No. 739). Asian Development Bank (ADB). </w:t>
      </w:r>
      <w:hyperlink r:id="rId22" w:history="1">
        <w:r w:rsidRPr="003866C4">
          <w:rPr>
            <w:rStyle w:val="Hyperlink"/>
            <w:rFonts w:ascii="Arial" w:hAnsi="Arial" w:cs="Arial"/>
          </w:rPr>
          <w:t>https://doi.org/10.22617/WPS240396-2</w:t>
        </w:r>
      </w:hyperlink>
    </w:p>
    <w:p w14:paraId="55DDD7C3" w14:textId="77777777" w:rsidR="00326021" w:rsidRPr="003866C4" w:rsidRDefault="00326021" w:rsidP="00326021">
      <w:pPr>
        <w:ind w:hanging="720"/>
        <w:jc w:val="both"/>
        <w:rPr>
          <w:rFonts w:ascii="Arial" w:hAnsi="Arial" w:cs="Arial"/>
        </w:rPr>
      </w:pPr>
    </w:p>
    <w:p w14:paraId="3AAB3DB7" w14:textId="77777777" w:rsidR="00326021" w:rsidRPr="003866C4" w:rsidRDefault="00326021" w:rsidP="00326021">
      <w:pPr>
        <w:ind w:hanging="720"/>
        <w:jc w:val="both"/>
        <w:rPr>
          <w:rFonts w:ascii="Arial" w:hAnsi="Arial" w:cs="Arial"/>
        </w:rPr>
      </w:pPr>
      <w:r w:rsidRPr="003866C4">
        <w:rPr>
          <w:rFonts w:ascii="Arial" w:hAnsi="Arial" w:cs="Arial"/>
        </w:rPr>
        <w:t xml:space="preserve">Bello, A. K., </w:t>
      </w:r>
      <w:proofErr w:type="spellStart"/>
      <w:r w:rsidRPr="003866C4">
        <w:rPr>
          <w:rFonts w:ascii="Arial" w:hAnsi="Arial" w:cs="Arial"/>
        </w:rPr>
        <w:t>Ndako</w:t>
      </w:r>
      <w:proofErr w:type="spellEnd"/>
      <w:r w:rsidRPr="003866C4">
        <w:rPr>
          <w:rFonts w:ascii="Arial" w:hAnsi="Arial" w:cs="Arial"/>
        </w:rPr>
        <w:t xml:space="preserve">, J. A., Yusuf, F., &amp; </w:t>
      </w:r>
      <w:proofErr w:type="spellStart"/>
      <w:r w:rsidRPr="003866C4">
        <w:rPr>
          <w:rFonts w:ascii="Arial" w:hAnsi="Arial" w:cs="Arial"/>
        </w:rPr>
        <w:t>Ejura</w:t>
      </w:r>
      <w:proofErr w:type="spellEnd"/>
      <w:r w:rsidRPr="003866C4">
        <w:rPr>
          <w:rFonts w:ascii="Arial" w:hAnsi="Arial" w:cs="Arial"/>
        </w:rPr>
        <w:t>, A. A. (2023). Fiscal dominance and monetary policy efficacy in Nigeria. International Journal of Research and Innovation in Social Science, 7(1), 567–575.</w:t>
      </w:r>
    </w:p>
    <w:p w14:paraId="566B6235" w14:textId="77777777" w:rsidR="00326021" w:rsidRPr="003866C4" w:rsidRDefault="00326021" w:rsidP="00326021">
      <w:pPr>
        <w:ind w:hanging="720"/>
        <w:jc w:val="both"/>
        <w:rPr>
          <w:rFonts w:ascii="Arial" w:hAnsi="Arial" w:cs="Arial"/>
          <w:sz w:val="24"/>
          <w:szCs w:val="24"/>
        </w:rPr>
      </w:pPr>
    </w:p>
    <w:p w14:paraId="70A36517" w14:textId="77777777" w:rsidR="00326021" w:rsidRPr="003866C4" w:rsidRDefault="00326021" w:rsidP="00326021">
      <w:pPr>
        <w:ind w:hanging="720"/>
        <w:jc w:val="both"/>
        <w:rPr>
          <w:rFonts w:ascii="Arial" w:hAnsi="Arial" w:cs="Arial"/>
        </w:rPr>
      </w:pPr>
      <w:proofErr w:type="spellStart"/>
      <w:r w:rsidRPr="003866C4">
        <w:rPr>
          <w:rFonts w:ascii="Arial" w:hAnsi="Arial" w:cs="Arial"/>
        </w:rPr>
        <w:t>Bordo</w:t>
      </w:r>
      <w:proofErr w:type="spellEnd"/>
      <w:r w:rsidRPr="003866C4">
        <w:rPr>
          <w:rFonts w:ascii="Arial" w:hAnsi="Arial" w:cs="Arial"/>
        </w:rPr>
        <w:t xml:space="preserve">, M. D., &amp; Levy, M. D. (2020). Do enlarged fiscal deficits cause inflation: The historical record (NBER Working Paper No. 28195). National Bureau of Economic Research. </w:t>
      </w:r>
      <w:hyperlink r:id="rId23" w:history="1">
        <w:r w:rsidRPr="003866C4">
          <w:rPr>
            <w:rStyle w:val="Hyperlink"/>
            <w:rFonts w:ascii="Arial" w:hAnsi="Arial" w:cs="Arial"/>
          </w:rPr>
          <w:t>http://www.nber.org/papers/w28195</w:t>
        </w:r>
      </w:hyperlink>
    </w:p>
    <w:p w14:paraId="476A1B64" w14:textId="77777777" w:rsidR="00326021" w:rsidRPr="003866C4" w:rsidRDefault="00326021" w:rsidP="00326021">
      <w:pPr>
        <w:ind w:hanging="720"/>
        <w:jc w:val="both"/>
        <w:rPr>
          <w:rFonts w:ascii="Arial" w:hAnsi="Arial" w:cs="Arial"/>
        </w:rPr>
      </w:pPr>
    </w:p>
    <w:p w14:paraId="4CA9A4DE" w14:textId="77777777" w:rsidR="00326021" w:rsidRPr="003866C4" w:rsidRDefault="00326021" w:rsidP="00326021">
      <w:pPr>
        <w:ind w:hanging="720"/>
        <w:jc w:val="both"/>
        <w:rPr>
          <w:rFonts w:ascii="Arial" w:hAnsi="Arial" w:cs="Arial"/>
        </w:rPr>
      </w:pPr>
      <w:proofErr w:type="spellStart"/>
      <w:r w:rsidRPr="003866C4">
        <w:rPr>
          <w:rFonts w:ascii="Arial" w:hAnsi="Arial" w:cs="Arial"/>
        </w:rPr>
        <w:t>Brandao</w:t>
      </w:r>
      <w:proofErr w:type="spellEnd"/>
      <w:r w:rsidRPr="003866C4">
        <w:rPr>
          <w:rFonts w:ascii="Arial" w:hAnsi="Arial" w:cs="Arial"/>
        </w:rPr>
        <w:t xml:space="preserve">-Marques, L., Casiraghi, M., </w:t>
      </w:r>
      <w:proofErr w:type="spellStart"/>
      <w:r w:rsidRPr="003866C4">
        <w:rPr>
          <w:rFonts w:ascii="Arial" w:hAnsi="Arial" w:cs="Arial"/>
        </w:rPr>
        <w:t>Gelos</w:t>
      </w:r>
      <w:proofErr w:type="spellEnd"/>
      <w:r w:rsidRPr="003866C4">
        <w:rPr>
          <w:rFonts w:ascii="Arial" w:hAnsi="Arial" w:cs="Arial"/>
        </w:rPr>
        <w:t xml:space="preserve">, G., Harrison, O., &amp; </w:t>
      </w:r>
      <w:proofErr w:type="spellStart"/>
      <w:r w:rsidRPr="003866C4">
        <w:rPr>
          <w:rFonts w:ascii="Arial" w:hAnsi="Arial" w:cs="Arial"/>
        </w:rPr>
        <w:t>Kamber</w:t>
      </w:r>
      <w:proofErr w:type="spellEnd"/>
      <w:r w:rsidRPr="003866C4">
        <w:rPr>
          <w:rFonts w:ascii="Arial" w:hAnsi="Arial" w:cs="Arial"/>
        </w:rPr>
        <w:t xml:space="preserve">, G. (2024). Is high debt constraining monetary policy? Evidence from inflation expectations. Journal of International Money and Finance, 149, Article 103144. </w:t>
      </w:r>
      <w:hyperlink r:id="rId24" w:history="1">
        <w:r w:rsidRPr="003866C4">
          <w:rPr>
            <w:rStyle w:val="Hyperlink"/>
            <w:rFonts w:ascii="Arial" w:hAnsi="Arial" w:cs="Arial"/>
          </w:rPr>
          <w:t>https://doi.org/10.1016/j.jimonfin.2024.103144</w:t>
        </w:r>
      </w:hyperlink>
    </w:p>
    <w:p w14:paraId="2326B4D0" w14:textId="77777777" w:rsidR="00326021" w:rsidRPr="003866C4" w:rsidRDefault="00326021" w:rsidP="00326021">
      <w:pPr>
        <w:ind w:hanging="720"/>
        <w:jc w:val="both"/>
        <w:rPr>
          <w:rFonts w:ascii="Arial" w:hAnsi="Arial" w:cs="Arial"/>
        </w:rPr>
      </w:pPr>
    </w:p>
    <w:p w14:paraId="1EF35313" w14:textId="77777777" w:rsidR="00326021" w:rsidRPr="003866C4" w:rsidRDefault="00326021" w:rsidP="00326021">
      <w:pPr>
        <w:ind w:hanging="720"/>
        <w:jc w:val="both"/>
        <w:rPr>
          <w:rFonts w:ascii="Arial" w:hAnsi="Arial" w:cs="Arial"/>
        </w:rPr>
      </w:pPr>
      <w:proofErr w:type="spellStart"/>
      <w:r w:rsidRPr="003866C4">
        <w:rPr>
          <w:rFonts w:ascii="Arial" w:hAnsi="Arial" w:cs="Arial"/>
        </w:rPr>
        <w:t>Brandner</w:t>
      </w:r>
      <w:proofErr w:type="spellEnd"/>
      <w:r w:rsidRPr="003866C4">
        <w:rPr>
          <w:rFonts w:ascii="Arial" w:hAnsi="Arial" w:cs="Arial"/>
        </w:rPr>
        <w:t xml:space="preserve">, P., </w:t>
      </w:r>
      <w:proofErr w:type="spellStart"/>
      <w:r w:rsidRPr="003866C4">
        <w:rPr>
          <w:rFonts w:ascii="Arial" w:hAnsi="Arial" w:cs="Arial"/>
        </w:rPr>
        <w:t>Diebalek</w:t>
      </w:r>
      <w:proofErr w:type="spellEnd"/>
      <w:r w:rsidRPr="003866C4">
        <w:rPr>
          <w:rFonts w:ascii="Arial" w:hAnsi="Arial" w:cs="Arial"/>
        </w:rPr>
        <w:t xml:space="preserve">, L., &amp; </w:t>
      </w:r>
      <w:proofErr w:type="spellStart"/>
      <w:r w:rsidRPr="003866C4">
        <w:rPr>
          <w:rFonts w:ascii="Arial" w:hAnsi="Arial" w:cs="Arial"/>
        </w:rPr>
        <w:t>Schuberth</w:t>
      </w:r>
      <w:proofErr w:type="spellEnd"/>
      <w:r w:rsidRPr="003866C4">
        <w:rPr>
          <w:rFonts w:ascii="Arial" w:hAnsi="Arial" w:cs="Arial"/>
        </w:rPr>
        <w:t xml:space="preserve">, H. (1998). Structural budget deficits and sustainability of fiscal positions in the European Union (Working Paper No. 26). </w:t>
      </w:r>
      <w:proofErr w:type="spellStart"/>
      <w:r w:rsidRPr="003866C4">
        <w:rPr>
          <w:rFonts w:ascii="Arial" w:hAnsi="Arial" w:cs="Arial"/>
        </w:rPr>
        <w:t>Oesterreichische</w:t>
      </w:r>
      <w:proofErr w:type="spellEnd"/>
      <w:r w:rsidRPr="003866C4">
        <w:rPr>
          <w:rFonts w:ascii="Arial" w:hAnsi="Arial" w:cs="Arial"/>
        </w:rPr>
        <w:t xml:space="preserve"> </w:t>
      </w:r>
      <w:proofErr w:type="spellStart"/>
      <w:r w:rsidRPr="003866C4">
        <w:rPr>
          <w:rFonts w:ascii="Arial" w:hAnsi="Arial" w:cs="Arial"/>
        </w:rPr>
        <w:t>Nationalbank</w:t>
      </w:r>
      <w:proofErr w:type="spellEnd"/>
      <w:r w:rsidRPr="003866C4">
        <w:rPr>
          <w:rFonts w:ascii="Arial" w:hAnsi="Arial" w:cs="Arial"/>
        </w:rPr>
        <w:t xml:space="preserve"> (</w:t>
      </w:r>
      <w:proofErr w:type="spellStart"/>
      <w:r w:rsidRPr="003866C4">
        <w:rPr>
          <w:rFonts w:ascii="Arial" w:hAnsi="Arial" w:cs="Arial"/>
        </w:rPr>
        <w:t>OeNB</w:t>
      </w:r>
      <w:proofErr w:type="spellEnd"/>
      <w:r w:rsidRPr="003866C4">
        <w:rPr>
          <w:rFonts w:ascii="Arial" w:hAnsi="Arial" w:cs="Arial"/>
        </w:rPr>
        <w:t>).</w:t>
      </w:r>
    </w:p>
    <w:p w14:paraId="77C6CCA0" w14:textId="77777777" w:rsidR="00326021" w:rsidRPr="003866C4" w:rsidRDefault="00326021" w:rsidP="00326021">
      <w:pPr>
        <w:ind w:hanging="720"/>
        <w:jc w:val="both"/>
        <w:rPr>
          <w:rFonts w:ascii="Arial" w:hAnsi="Arial" w:cs="Arial"/>
        </w:rPr>
      </w:pPr>
    </w:p>
    <w:p w14:paraId="20A51654" w14:textId="77777777" w:rsidR="00326021" w:rsidRPr="003866C4" w:rsidRDefault="00326021" w:rsidP="00326021">
      <w:pPr>
        <w:ind w:hanging="720"/>
        <w:jc w:val="both"/>
        <w:rPr>
          <w:rFonts w:ascii="Arial" w:hAnsi="Arial" w:cs="Arial"/>
        </w:rPr>
      </w:pPr>
      <w:proofErr w:type="spellStart"/>
      <w:r w:rsidRPr="003866C4">
        <w:rPr>
          <w:rFonts w:ascii="Arial" w:hAnsi="Arial" w:cs="Arial"/>
        </w:rPr>
        <w:t>Chandia</w:t>
      </w:r>
      <w:proofErr w:type="spellEnd"/>
      <w:r w:rsidRPr="003866C4">
        <w:rPr>
          <w:rFonts w:ascii="Arial" w:hAnsi="Arial" w:cs="Arial"/>
        </w:rPr>
        <w:t>, I., Batool, I., Sarwar, B., &amp; Iqbal, M. B. (2022). Fiscal dominance and the inflation dynamics in Pakistan: An empirical analysis. Millennial Asia, 13(2), 441–465.</w:t>
      </w:r>
    </w:p>
    <w:p w14:paraId="78566642" w14:textId="77777777" w:rsidR="00326021" w:rsidRPr="003866C4" w:rsidRDefault="00326021" w:rsidP="00326021">
      <w:pPr>
        <w:ind w:hanging="720"/>
        <w:jc w:val="both"/>
        <w:rPr>
          <w:rFonts w:ascii="Arial" w:hAnsi="Arial" w:cs="Arial"/>
        </w:rPr>
      </w:pPr>
    </w:p>
    <w:p w14:paraId="259DF8B3" w14:textId="77777777" w:rsidR="00326021" w:rsidRPr="003866C4" w:rsidRDefault="00326021" w:rsidP="00326021">
      <w:pPr>
        <w:ind w:hanging="720"/>
        <w:jc w:val="both"/>
        <w:rPr>
          <w:rFonts w:ascii="Arial" w:hAnsi="Arial" w:cs="Arial"/>
        </w:rPr>
      </w:pPr>
      <w:r w:rsidRPr="003866C4">
        <w:rPr>
          <w:rFonts w:ascii="Arial" w:hAnsi="Arial" w:cs="Arial"/>
        </w:rPr>
        <w:t>Cochrane, J. H. (1998). Long-term debt and optimal policy in the fiscal theory of the price level (NBER Working Paper No. 6771). National Bureau of Economic Research.</w:t>
      </w:r>
    </w:p>
    <w:p w14:paraId="385AB548" w14:textId="77777777" w:rsidR="00326021" w:rsidRPr="003866C4" w:rsidRDefault="00326021" w:rsidP="00326021">
      <w:pPr>
        <w:ind w:hanging="720"/>
        <w:jc w:val="both"/>
        <w:rPr>
          <w:rFonts w:ascii="Arial" w:hAnsi="Arial" w:cs="Arial"/>
        </w:rPr>
      </w:pPr>
    </w:p>
    <w:p w14:paraId="0AE96539" w14:textId="77777777" w:rsidR="00326021" w:rsidRPr="003866C4" w:rsidRDefault="00326021" w:rsidP="00326021">
      <w:pPr>
        <w:ind w:hanging="720"/>
        <w:jc w:val="both"/>
        <w:rPr>
          <w:rFonts w:ascii="Arial" w:hAnsi="Arial" w:cs="Arial"/>
        </w:rPr>
      </w:pPr>
      <w:r w:rsidRPr="003866C4">
        <w:rPr>
          <w:rFonts w:ascii="Arial" w:hAnsi="Arial" w:cs="Arial"/>
        </w:rPr>
        <w:t>Cochrane, J. H. (2020). A fiscal theory of monetary policy with partially-repaid long-term debt (NBER Working Paper No. 26745). National Bureau of Economic Research.</w:t>
      </w:r>
    </w:p>
    <w:p w14:paraId="36DCFBEC" w14:textId="77777777" w:rsidR="00326021" w:rsidRPr="003866C4" w:rsidRDefault="00326021" w:rsidP="00326021">
      <w:pPr>
        <w:ind w:hanging="720"/>
        <w:jc w:val="both"/>
        <w:rPr>
          <w:rFonts w:ascii="Arial" w:hAnsi="Arial" w:cs="Arial"/>
        </w:rPr>
      </w:pPr>
    </w:p>
    <w:p w14:paraId="56B959C2" w14:textId="77777777" w:rsidR="00326021" w:rsidRPr="003866C4" w:rsidRDefault="00326021" w:rsidP="00326021">
      <w:pPr>
        <w:ind w:hanging="720"/>
        <w:jc w:val="both"/>
        <w:rPr>
          <w:rFonts w:ascii="Arial" w:hAnsi="Arial" w:cs="Arial"/>
        </w:rPr>
      </w:pPr>
      <w:r w:rsidRPr="003866C4">
        <w:rPr>
          <w:rFonts w:ascii="Arial" w:hAnsi="Arial" w:cs="Arial"/>
        </w:rPr>
        <w:t>Cochrane, J. H. (2021). The fiscal theory of the price level. Princeton University Press.</w:t>
      </w:r>
    </w:p>
    <w:p w14:paraId="1FB55D31" w14:textId="77777777" w:rsidR="00326021" w:rsidRPr="003866C4" w:rsidRDefault="00326021" w:rsidP="00326021">
      <w:pPr>
        <w:ind w:hanging="720"/>
        <w:jc w:val="both"/>
        <w:rPr>
          <w:rFonts w:ascii="Arial" w:hAnsi="Arial" w:cs="Arial"/>
        </w:rPr>
      </w:pPr>
    </w:p>
    <w:p w14:paraId="0BC4E1FE" w14:textId="77777777" w:rsidR="00326021" w:rsidRPr="003866C4" w:rsidRDefault="00326021" w:rsidP="00326021">
      <w:pPr>
        <w:ind w:hanging="720"/>
        <w:jc w:val="both"/>
        <w:rPr>
          <w:rFonts w:ascii="Arial" w:hAnsi="Arial" w:cs="Arial"/>
        </w:rPr>
      </w:pPr>
      <w:proofErr w:type="spellStart"/>
      <w:r w:rsidRPr="003866C4">
        <w:rPr>
          <w:rFonts w:ascii="Arial" w:hAnsi="Arial" w:cs="Arial"/>
        </w:rPr>
        <w:t>Danlami</w:t>
      </w:r>
      <w:proofErr w:type="spellEnd"/>
      <w:r w:rsidRPr="003866C4">
        <w:rPr>
          <w:rFonts w:ascii="Arial" w:hAnsi="Arial" w:cs="Arial"/>
        </w:rPr>
        <w:t xml:space="preserve">, I. A., </w:t>
      </w:r>
      <w:proofErr w:type="spellStart"/>
      <w:r w:rsidRPr="003866C4">
        <w:rPr>
          <w:rFonts w:ascii="Arial" w:hAnsi="Arial" w:cs="Arial"/>
        </w:rPr>
        <w:t>Hidthiir</w:t>
      </w:r>
      <w:proofErr w:type="spellEnd"/>
      <w:r w:rsidRPr="003866C4">
        <w:rPr>
          <w:rFonts w:ascii="Arial" w:hAnsi="Arial" w:cs="Arial"/>
        </w:rPr>
        <w:t>, M. H. B., &amp; Hassan, S. (2019). Dynamic analysis of the effect of fiscal deficit on inflation in Nigeria. Academic Journal of Economic Studies, 5, 159–165.</w:t>
      </w:r>
    </w:p>
    <w:p w14:paraId="1B1E81CD" w14:textId="77777777" w:rsidR="00326021" w:rsidRPr="003866C4" w:rsidRDefault="00326021" w:rsidP="00326021">
      <w:pPr>
        <w:ind w:hanging="720"/>
        <w:jc w:val="both"/>
        <w:rPr>
          <w:rFonts w:ascii="Arial" w:hAnsi="Arial" w:cs="Arial"/>
        </w:rPr>
      </w:pPr>
    </w:p>
    <w:p w14:paraId="7C66559C" w14:textId="77777777" w:rsidR="00326021" w:rsidRPr="003866C4" w:rsidRDefault="00326021" w:rsidP="00326021">
      <w:pPr>
        <w:ind w:hanging="720"/>
        <w:jc w:val="both"/>
        <w:rPr>
          <w:rFonts w:ascii="Arial" w:hAnsi="Arial" w:cs="Arial"/>
        </w:rPr>
      </w:pPr>
      <w:proofErr w:type="spellStart"/>
      <w:r w:rsidRPr="003866C4">
        <w:rPr>
          <w:rFonts w:ascii="Arial" w:hAnsi="Arial" w:cs="Arial"/>
        </w:rPr>
        <w:t>Denwi</w:t>
      </w:r>
      <w:proofErr w:type="spellEnd"/>
      <w:r w:rsidRPr="003866C4">
        <w:rPr>
          <w:rFonts w:ascii="Arial" w:hAnsi="Arial" w:cs="Arial"/>
        </w:rPr>
        <w:t xml:space="preserve">, J. O., </w:t>
      </w:r>
      <w:proofErr w:type="spellStart"/>
      <w:r w:rsidRPr="003866C4">
        <w:rPr>
          <w:rFonts w:ascii="Arial" w:hAnsi="Arial" w:cs="Arial"/>
        </w:rPr>
        <w:t>Medee</w:t>
      </w:r>
      <w:proofErr w:type="spellEnd"/>
      <w:r w:rsidRPr="003866C4">
        <w:rPr>
          <w:rFonts w:ascii="Arial" w:hAnsi="Arial" w:cs="Arial"/>
        </w:rPr>
        <w:t xml:space="preserve">, P. N., </w:t>
      </w:r>
      <w:proofErr w:type="spellStart"/>
      <w:r w:rsidRPr="003866C4">
        <w:rPr>
          <w:rFonts w:ascii="Arial" w:hAnsi="Arial" w:cs="Arial"/>
        </w:rPr>
        <w:t>Ikue</w:t>
      </w:r>
      <w:proofErr w:type="spellEnd"/>
      <w:r w:rsidRPr="003866C4">
        <w:rPr>
          <w:rFonts w:ascii="Arial" w:hAnsi="Arial" w:cs="Arial"/>
        </w:rPr>
        <w:t xml:space="preserve">, N. J., &amp; </w:t>
      </w:r>
      <w:proofErr w:type="spellStart"/>
      <w:r w:rsidRPr="003866C4">
        <w:rPr>
          <w:rFonts w:ascii="Arial" w:hAnsi="Arial" w:cs="Arial"/>
        </w:rPr>
        <w:t>Ikemenjima</w:t>
      </w:r>
      <w:proofErr w:type="spellEnd"/>
      <w:r w:rsidRPr="003866C4">
        <w:rPr>
          <w:rFonts w:ascii="Arial" w:hAnsi="Arial" w:cs="Arial"/>
        </w:rPr>
        <w:t xml:space="preserve">, I. O. (2023). Fiscal dominance and inflationary pressure: Empirical evidence from Nigeria. DBE Journal of Economics and Business Studies, 3(3). </w:t>
      </w:r>
      <w:hyperlink r:id="rId25" w:history="1">
        <w:r w:rsidRPr="003866C4">
          <w:rPr>
            <w:rStyle w:val="Hyperlink"/>
            <w:rFonts w:ascii="Arial" w:hAnsi="Arial" w:cs="Arial"/>
          </w:rPr>
          <w:t>https://doi.org/10.60089/dbebj.2023.3.3.13</w:t>
        </w:r>
      </w:hyperlink>
    </w:p>
    <w:p w14:paraId="7CEF2E17" w14:textId="77777777" w:rsidR="00326021" w:rsidRPr="003866C4" w:rsidRDefault="00326021" w:rsidP="00326021">
      <w:pPr>
        <w:ind w:hanging="720"/>
        <w:jc w:val="both"/>
        <w:rPr>
          <w:rFonts w:ascii="Arial" w:hAnsi="Arial" w:cs="Arial"/>
          <w:sz w:val="24"/>
          <w:szCs w:val="24"/>
        </w:rPr>
      </w:pPr>
    </w:p>
    <w:p w14:paraId="7EC82243" w14:textId="77777777" w:rsidR="00326021" w:rsidRPr="003866C4" w:rsidRDefault="00326021" w:rsidP="00326021">
      <w:pPr>
        <w:ind w:hanging="720"/>
        <w:jc w:val="both"/>
        <w:rPr>
          <w:rFonts w:ascii="Arial" w:hAnsi="Arial" w:cs="Arial"/>
        </w:rPr>
      </w:pPr>
      <w:r w:rsidRPr="003866C4">
        <w:rPr>
          <w:rFonts w:ascii="Arial" w:hAnsi="Arial" w:cs="Arial"/>
        </w:rPr>
        <w:t>Duarte Urquhart, M. (2021). Public debt, inflation, and the Fiscal Theory of Price Level in emerging markets: The case of Paraguay. Macroeconomics and Finance in Emerging Market Economies, 14(3), 253–273.</w:t>
      </w:r>
    </w:p>
    <w:p w14:paraId="5ED7528F" w14:textId="77777777" w:rsidR="00326021" w:rsidRPr="003866C4" w:rsidRDefault="00326021" w:rsidP="00326021">
      <w:pPr>
        <w:ind w:hanging="720"/>
        <w:jc w:val="both"/>
        <w:rPr>
          <w:rFonts w:ascii="Arial" w:hAnsi="Arial" w:cs="Arial"/>
        </w:rPr>
      </w:pPr>
    </w:p>
    <w:p w14:paraId="05871949" w14:textId="77777777" w:rsidR="00326021" w:rsidRPr="003866C4" w:rsidRDefault="00326021" w:rsidP="00326021">
      <w:pPr>
        <w:ind w:hanging="720"/>
        <w:jc w:val="both"/>
        <w:rPr>
          <w:rFonts w:ascii="Arial" w:hAnsi="Arial" w:cs="Arial"/>
        </w:rPr>
      </w:pPr>
      <w:r w:rsidRPr="003866C4">
        <w:rPr>
          <w:rFonts w:ascii="Arial" w:hAnsi="Arial" w:cs="Arial"/>
        </w:rPr>
        <w:t>Dubey, R. A. (2023). Deficits, crowding out and inflation in monetarily sovereign nations. International Journal of Science and Research, 12(10), 1573–1581.</w:t>
      </w:r>
    </w:p>
    <w:p w14:paraId="2AE1B720" w14:textId="77777777" w:rsidR="00326021" w:rsidRPr="003866C4" w:rsidRDefault="00326021" w:rsidP="00326021">
      <w:pPr>
        <w:ind w:hanging="720"/>
        <w:jc w:val="both"/>
        <w:rPr>
          <w:rFonts w:ascii="Arial" w:hAnsi="Arial" w:cs="Arial"/>
        </w:rPr>
      </w:pPr>
    </w:p>
    <w:p w14:paraId="303B038B" w14:textId="77777777" w:rsidR="00326021" w:rsidRPr="003866C4" w:rsidRDefault="00326021" w:rsidP="00326021">
      <w:pPr>
        <w:ind w:hanging="720"/>
        <w:jc w:val="both"/>
        <w:rPr>
          <w:rFonts w:ascii="Arial" w:hAnsi="Arial" w:cs="Arial"/>
        </w:rPr>
      </w:pPr>
      <w:proofErr w:type="spellStart"/>
      <w:r w:rsidRPr="003866C4">
        <w:rPr>
          <w:rFonts w:ascii="Arial" w:hAnsi="Arial" w:cs="Arial"/>
        </w:rPr>
        <w:t>Dumitrescu</w:t>
      </w:r>
      <w:proofErr w:type="spellEnd"/>
      <w:r w:rsidRPr="003866C4">
        <w:rPr>
          <w:rFonts w:ascii="Arial" w:hAnsi="Arial" w:cs="Arial"/>
        </w:rPr>
        <w:t xml:space="preserve">, B. A., </w:t>
      </w:r>
      <w:proofErr w:type="spellStart"/>
      <w:r w:rsidRPr="003866C4">
        <w:rPr>
          <w:rFonts w:ascii="Arial" w:hAnsi="Arial" w:cs="Arial"/>
        </w:rPr>
        <w:t>Kagitci</w:t>
      </w:r>
      <w:proofErr w:type="spellEnd"/>
      <w:r w:rsidRPr="003866C4">
        <w:rPr>
          <w:rFonts w:ascii="Arial" w:hAnsi="Arial" w:cs="Arial"/>
        </w:rPr>
        <w:t xml:space="preserve">, M., &amp; </w:t>
      </w:r>
      <w:proofErr w:type="spellStart"/>
      <w:r w:rsidRPr="003866C4">
        <w:rPr>
          <w:rFonts w:ascii="Arial" w:hAnsi="Arial" w:cs="Arial"/>
        </w:rPr>
        <w:t>Cepoi</w:t>
      </w:r>
      <w:proofErr w:type="spellEnd"/>
      <w:r w:rsidRPr="003866C4">
        <w:rPr>
          <w:rFonts w:ascii="Arial" w:hAnsi="Arial" w:cs="Arial"/>
        </w:rPr>
        <w:t xml:space="preserve">, C. O. (2022). Nonlinear effects of public debt on inflation. Does the size of the shadow economy matter? Finance Research Letters, 46(Part A), Article 102353. </w:t>
      </w:r>
      <w:hyperlink r:id="rId26" w:history="1">
        <w:r w:rsidRPr="003866C4">
          <w:rPr>
            <w:rStyle w:val="Hyperlink"/>
            <w:rFonts w:ascii="Arial" w:hAnsi="Arial" w:cs="Arial"/>
          </w:rPr>
          <w:t>https://doi.org/10.1016/j.frl.2021.102353</w:t>
        </w:r>
      </w:hyperlink>
    </w:p>
    <w:p w14:paraId="6303B8D2" w14:textId="77777777" w:rsidR="00326021" w:rsidRPr="003866C4" w:rsidRDefault="00326021" w:rsidP="00326021">
      <w:pPr>
        <w:ind w:hanging="720"/>
        <w:jc w:val="both"/>
        <w:rPr>
          <w:rFonts w:ascii="Arial" w:hAnsi="Arial" w:cs="Arial"/>
        </w:rPr>
      </w:pPr>
    </w:p>
    <w:p w14:paraId="20D63B84" w14:textId="77777777" w:rsidR="00326021" w:rsidRPr="003866C4" w:rsidRDefault="00326021" w:rsidP="00326021">
      <w:pPr>
        <w:ind w:hanging="720"/>
        <w:jc w:val="both"/>
        <w:rPr>
          <w:rFonts w:ascii="Arial" w:hAnsi="Arial" w:cs="Arial"/>
        </w:rPr>
      </w:pPr>
      <w:proofErr w:type="spellStart"/>
      <w:r w:rsidRPr="003866C4">
        <w:rPr>
          <w:rFonts w:ascii="Arial" w:hAnsi="Arial" w:cs="Arial"/>
        </w:rPr>
        <w:t>Ekong</w:t>
      </w:r>
      <w:proofErr w:type="spellEnd"/>
      <w:r w:rsidRPr="003866C4">
        <w:rPr>
          <w:rFonts w:ascii="Arial" w:hAnsi="Arial" w:cs="Arial"/>
        </w:rPr>
        <w:t xml:space="preserve">, C. N., &amp; Effiong, U. (2020). Monetary policy and inflation targeting in Nigeria: The need for monetary-fiscal coordination. American Journal of Theoretical and Applied Business, 6(3), 83–91. </w:t>
      </w:r>
      <w:hyperlink r:id="rId27" w:history="1">
        <w:r w:rsidRPr="003866C4">
          <w:rPr>
            <w:rStyle w:val="Hyperlink"/>
            <w:rFonts w:ascii="Arial" w:hAnsi="Arial" w:cs="Arial"/>
          </w:rPr>
          <w:t>https://doi.org/10.11648/J.AJTAB.20200603.14</w:t>
        </w:r>
      </w:hyperlink>
    </w:p>
    <w:p w14:paraId="55B5E7A8" w14:textId="77777777" w:rsidR="00326021" w:rsidRPr="003866C4" w:rsidRDefault="00326021" w:rsidP="00326021">
      <w:pPr>
        <w:ind w:hanging="720"/>
        <w:jc w:val="both"/>
        <w:rPr>
          <w:rFonts w:ascii="Arial" w:hAnsi="Arial" w:cs="Arial"/>
        </w:rPr>
      </w:pPr>
    </w:p>
    <w:p w14:paraId="3E84F46B" w14:textId="77777777" w:rsidR="00326021" w:rsidRPr="003866C4" w:rsidRDefault="00326021" w:rsidP="00326021">
      <w:pPr>
        <w:ind w:hanging="720"/>
        <w:jc w:val="both"/>
        <w:rPr>
          <w:rFonts w:ascii="Arial" w:hAnsi="Arial" w:cs="Arial"/>
        </w:rPr>
      </w:pPr>
      <w:proofErr w:type="spellStart"/>
      <w:r w:rsidRPr="003866C4">
        <w:rPr>
          <w:rFonts w:ascii="Arial" w:hAnsi="Arial" w:cs="Arial"/>
        </w:rPr>
        <w:t>Ezeabasili</w:t>
      </w:r>
      <w:proofErr w:type="spellEnd"/>
      <w:r w:rsidRPr="003866C4">
        <w:rPr>
          <w:rFonts w:ascii="Arial" w:hAnsi="Arial" w:cs="Arial"/>
        </w:rPr>
        <w:t xml:space="preserve">, V. N., </w:t>
      </w:r>
      <w:proofErr w:type="spellStart"/>
      <w:r w:rsidRPr="003866C4">
        <w:rPr>
          <w:rFonts w:ascii="Arial" w:hAnsi="Arial" w:cs="Arial"/>
        </w:rPr>
        <w:t>Isu</w:t>
      </w:r>
      <w:proofErr w:type="spellEnd"/>
      <w:r w:rsidRPr="003866C4">
        <w:rPr>
          <w:rFonts w:ascii="Arial" w:hAnsi="Arial" w:cs="Arial"/>
        </w:rPr>
        <w:t xml:space="preserve">, H. O., &amp; </w:t>
      </w:r>
      <w:proofErr w:type="spellStart"/>
      <w:r w:rsidRPr="003866C4">
        <w:rPr>
          <w:rFonts w:ascii="Arial" w:hAnsi="Arial" w:cs="Arial"/>
        </w:rPr>
        <w:t>Mojekwu</w:t>
      </w:r>
      <w:proofErr w:type="spellEnd"/>
      <w:r w:rsidRPr="003866C4">
        <w:rPr>
          <w:rFonts w:ascii="Arial" w:hAnsi="Arial" w:cs="Arial"/>
        </w:rPr>
        <w:t>, J. N. (2012). The relationship between fiscal deficit and inflation in Nigeria. British Journal of Economics, Finance and Management Sciences, 5(2), 51–62.</w:t>
      </w:r>
    </w:p>
    <w:p w14:paraId="0DA1854A" w14:textId="77777777" w:rsidR="00326021" w:rsidRPr="003866C4" w:rsidRDefault="00326021" w:rsidP="00326021">
      <w:pPr>
        <w:ind w:hanging="720"/>
        <w:jc w:val="both"/>
        <w:rPr>
          <w:rFonts w:ascii="Arial" w:hAnsi="Arial" w:cs="Arial"/>
        </w:rPr>
      </w:pPr>
    </w:p>
    <w:p w14:paraId="08832840" w14:textId="77777777" w:rsidR="00326021" w:rsidRPr="003866C4" w:rsidRDefault="00326021" w:rsidP="00326021">
      <w:pPr>
        <w:ind w:hanging="720"/>
        <w:jc w:val="both"/>
        <w:rPr>
          <w:rFonts w:ascii="Arial" w:hAnsi="Arial" w:cs="Arial"/>
        </w:rPr>
      </w:pPr>
      <w:proofErr w:type="spellStart"/>
      <w:r w:rsidRPr="003866C4">
        <w:rPr>
          <w:rFonts w:ascii="Arial" w:hAnsi="Arial" w:cs="Arial"/>
        </w:rPr>
        <w:t>Ezeabasili</w:t>
      </w:r>
      <w:proofErr w:type="spellEnd"/>
      <w:r w:rsidRPr="003866C4">
        <w:rPr>
          <w:rFonts w:ascii="Arial" w:hAnsi="Arial" w:cs="Arial"/>
        </w:rPr>
        <w:t xml:space="preserve">, V. N., </w:t>
      </w:r>
      <w:proofErr w:type="spellStart"/>
      <w:r w:rsidRPr="003866C4">
        <w:rPr>
          <w:rFonts w:ascii="Arial" w:hAnsi="Arial" w:cs="Arial"/>
        </w:rPr>
        <w:t>Mojekwu</w:t>
      </w:r>
      <w:proofErr w:type="spellEnd"/>
      <w:r w:rsidRPr="003866C4">
        <w:rPr>
          <w:rFonts w:ascii="Arial" w:hAnsi="Arial" w:cs="Arial"/>
        </w:rPr>
        <w:t>, J. N., &amp; Herbert, W. E. (2012). An empirical analysis of fiscal deficits and inflation in Nigeria. International Journal of Economic and Finance, 4(3), 127–134.</w:t>
      </w:r>
    </w:p>
    <w:p w14:paraId="2AABD3DA" w14:textId="77777777" w:rsidR="00326021" w:rsidRPr="003866C4" w:rsidRDefault="00326021" w:rsidP="00326021">
      <w:pPr>
        <w:ind w:hanging="720"/>
        <w:jc w:val="both"/>
        <w:rPr>
          <w:rFonts w:ascii="Arial" w:hAnsi="Arial" w:cs="Arial"/>
          <w:sz w:val="24"/>
          <w:szCs w:val="24"/>
        </w:rPr>
      </w:pPr>
    </w:p>
    <w:p w14:paraId="1CEB194E" w14:textId="77777777" w:rsidR="00326021" w:rsidRPr="003866C4" w:rsidRDefault="00326021" w:rsidP="00326021">
      <w:pPr>
        <w:ind w:hanging="720"/>
        <w:jc w:val="both"/>
        <w:rPr>
          <w:rFonts w:ascii="Arial" w:hAnsi="Arial" w:cs="Arial"/>
        </w:rPr>
      </w:pPr>
      <w:proofErr w:type="spellStart"/>
      <w:r w:rsidRPr="003866C4">
        <w:rPr>
          <w:rFonts w:ascii="Arial" w:hAnsi="Arial" w:cs="Arial"/>
        </w:rPr>
        <w:t>Fasanya</w:t>
      </w:r>
      <w:proofErr w:type="spellEnd"/>
      <w:r w:rsidRPr="003866C4">
        <w:rPr>
          <w:rFonts w:ascii="Arial" w:hAnsi="Arial" w:cs="Arial"/>
        </w:rPr>
        <w:t xml:space="preserve">, I., </w:t>
      </w:r>
      <w:proofErr w:type="spellStart"/>
      <w:r w:rsidRPr="003866C4">
        <w:rPr>
          <w:rFonts w:ascii="Arial" w:hAnsi="Arial" w:cs="Arial"/>
        </w:rPr>
        <w:t>Fajobi</w:t>
      </w:r>
      <w:proofErr w:type="spellEnd"/>
      <w:r w:rsidRPr="003866C4">
        <w:rPr>
          <w:rFonts w:ascii="Arial" w:hAnsi="Arial" w:cs="Arial"/>
        </w:rPr>
        <w:t xml:space="preserve">, A., &amp; Adetokunbo, A. (2021). Are fiscal deficits inflationary in Nigeria? New evidence from bounds testing to cointegration with structural breaks. </w:t>
      </w:r>
      <w:proofErr w:type="spellStart"/>
      <w:r w:rsidRPr="003866C4">
        <w:rPr>
          <w:rFonts w:ascii="Arial" w:hAnsi="Arial" w:cs="Arial"/>
        </w:rPr>
        <w:t>Ekonomski</w:t>
      </w:r>
      <w:proofErr w:type="spellEnd"/>
      <w:r w:rsidRPr="003866C4">
        <w:rPr>
          <w:rFonts w:ascii="Arial" w:hAnsi="Arial" w:cs="Arial"/>
        </w:rPr>
        <w:t xml:space="preserve"> </w:t>
      </w:r>
      <w:proofErr w:type="spellStart"/>
      <w:r w:rsidRPr="003866C4">
        <w:rPr>
          <w:rFonts w:ascii="Arial" w:hAnsi="Arial" w:cs="Arial"/>
        </w:rPr>
        <w:t>Anali</w:t>
      </w:r>
      <w:proofErr w:type="spellEnd"/>
      <w:r w:rsidRPr="003866C4">
        <w:rPr>
          <w:rFonts w:ascii="Arial" w:hAnsi="Arial" w:cs="Arial"/>
        </w:rPr>
        <w:t>, 66(230), 35–60.</w:t>
      </w:r>
    </w:p>
    <w:p w14:paraId="02368747" w14:textId="77777777" w:rsidR="00326021" w:rsidRPr="003866C4" w:rsidRDefault="00326021" w:rsidP="00326021">
      <w:pPr>
        <w:ind w:hanging="720"/>
        <w:jc w:val="both"/>
        <w:rPr>
          <w:rFonts w:ascii="Arial" w:hAnsi="Arial" w:cs="Arial"/>
        </w:rPr>
      </w:pPr>
    </w:p>
    <w:p w14:paraId="00F05C47" w14:textId="77777777" w:rsidR="00326021" w:rsidRPr="003866C4" w:rsidRDefault="00326021" w:rsidP="00326021">
      <w:pPr>
        <w:ind w:hanging="720"/>
        <w:jc w:val="both"/>
        <w:rPr>
          <w:rFonts w:ascii="Arial" w:hAnsi="Arial" w:cs="Arial"/>
        </w:rPr>
      </w:pPr>
      <w:r w:rsidRPr="003866C4">
        <w:rPr>
          <w:rFonts w:ascii="Arial" w:hAnsi="Arial" w:cs="Arial"/>
        </w:rPr>
        <w:t xml:space="preserve">Fournier, J., &amp; </w:t>
      </w:r>
      <w:proofErr w:type="spellStart"/>
      <w:r w:rsidRPr="003866C4">
        <w:rPr>
          <w:rFonts w:ascii="Arial" w:hAnsi="Arial" w:cs="Arial"/>
        </w:rPr>
        <w:t>Lieberknecht</w:t>
      </w:r>
      <w:proofErr w:type="spellEnd"/>
      <w:r w:rsidRPr="003866C4">
        <w:rPr>
          <w:rFonts w:ascii="Arial" w:hAnsi="Arial" w:cs="Arial"/>
        </w:rPr>
        <w:t>, P. (2020). A model-based fiscal Taylor rule and a toolkit to assess the fiscal stance (IMF Working Paper No. 2020/033). International Monetary Fund.</w:t>
      </w:r>
    </w:p>
    <w:p w14:paraId="2010CD17" w14:textId="77777777" w:rsidR="00326021" w:rsidRPr="003866C4" w:rsidRDefault="00326021" w:rsidP="00326021">
      <w:pPr>
        <w:ind w:hanging="720"/>
        <w:jc w:val="both"/>
        <w:rPr>
          <w:rFonts w:ascii="Arial" w:hAnsi="Arial" w:cs="Arial"/>
        </w:rPr>
      </w:pPr>
      <w:r w:rsidRPr="003866C4">
        <w:rPr>
          <w:rFonts w:ascii="Arial" w:hAnsi="Arial" w:cs="Arial"/>
        </w:rPr>
        <w:t>Garba, A. M. (2023). The threshold level of budget deficit and money supply that stabilize inflation in Nigeria. Journal of Global Economics and Business, 14(1), 45–60.</w:t>
      </w:r>
    </w:p>
    <w:p w14:paraId="3F98A5CB" w14:textId="77777777" w:rsidR="00326021" w:rsidRPr="003866C4" w:rsidRDefault="00326021" w:rsidP="00326021">
      <w:pPr>
        <w:ind w:hanging="720"/>
        <w:jc w:val="both"/>
        <w:rPr>
          <w:rFonts w:ascii="Arial" w:hAnsi="Arial" w:cs="Arial"/>
        </w:rPr>
      </w:pPr>
    </w:p>
    <w:p w14:paraId="5E1D3D84" w14:textId="77777777" w:rsidR="00326021" w:rsidRPr="003866C4" w:rsidRDefault="00326021" w:rsidP="00326021">
      <w:pPr>
        <w:ind w:hanging="720"/>
        <w:jc w:val="both"/>
        <w:rPr>
          <w:rFonts w:ascii="Arial" w:hAnsi="Arial" w:cs="Arial"/>
        </w:rPr>
      </w:pPr>
      <w:r w:rsidRPr="003866C4">
        <w:rPr>
          <w:rFonts w:ascii="Arial" w:hAnsi="Arial" w:cs="Arial"/>
        </w:rPr>
        <w:lastRenderedPageBreak/>
        <w:t xml:space="preserve">Harmon, E. Y. (2012). The impact of public debt on inflation, GDP growth and interest rates in Kenya [Master's thesis, University of Nairobi]. University of Nairobi Repository. </w:t>
      </w:r>
      <w:hyperlink r:id="rId28" w:history="1">
        <w:r w:rsidRPr="003866C4">
          <w:rPr>
            <w:rStyle w:val="Hyperlink"/>
            <w:rFonts w:ascii="Arial" w:hAnsi="Arial" w:cs="Arial"/>
          </w:rPr>
          <w:t>https://erepository.uonbi.ac.ke/server/api/core/bitstreams/deabce50-5c06-4669-9cbf-7e5871d05943/content</w:t>
        </w:r>
      </w:hyperlink>
    </w:p>
    <w:p w14:paraId="22CDCE2B" w14:textId="77777777" w:rsidR="00326021" w:rsidRPr="003866C4" w:rsidRDefault="00326021" w:rsidP="00326021">
      <w:pPr>
        <w:ind w:hanging="720"/>
        <w:jc w:val="both"/>
        <w:rPr>
          <w:rFonts w:ascii="Arial" w:hAnsi="Arial" w:cs="Arial"/>
          <w:sz w:val="24"/>
          <w:szCs w:val="24"/>
        </w:rPr>
      </w:pPr>
    </w:p>
    <w:p w14:paraId="4C6AF999" w14:textId="77777777" w:rsidR="00326021" w:rsidRPr="003866C4" w:rsidRDefault="00326021" w:rsidP="00326021">
      <w:pPr>
        <w:ind w:hanging="720"/>
        <w:jc w:val="both"/>
        <w:rPr>
          <w:rFonts w:ascii="Arial" w:hAnsi="Arial" w:cs="Arial"/>
        </w:rPr>
      </w:pPr>
      <w:r w:rsidRPr="003866C4">
        <w:rPr>
          <w:rFonts w:ascii="Arial" w:hAnsi="Arial" w:cs="Arial"/>
        </w:rPr>
        <w:t>Hilton, S. K. (2021). Public debt and economic growth: Contemporary evidence from a developing economy. Asian Journal of Economics and Banking, 5(2), 169–189.</w:t>
      </w:r>
    </w:p>
    <w:p w14:paraId="3EF64257" w14:textId="77777777" w:rsidR="00326021" w:rsidRPr="003866C4" w:rsidRDefault="00326021" w:rsidP="00326021">
      <w:pPr>
        <w:ind w:hanging="720"/>
        <w:jc w:val="both"/>
        <w:rPr>
          <w:rFonts w:ascii="Arial" w:hAnsi="Arial" w:cs="Arial"/>
        </w:rPr>
      </w:pPr>
      <w:r w:rsidRPr="003866C4">
        <w:rPr>
          <w:rFonts w:ascii="Arial" w:hAnsi="Arial" w:cs="Arial"/>
        </w:rPr>
        <w:t>Hooley, J., Nguyen, L. M., &amp; Saito, M. (2024). Soaring inflation in sub-Saharan Africa: A fiscal root? Quality &amp; Quantity, 58(3), 1123–1150.</w:t>
      </w:r>
    </w:p>
    <w:p w14:paraId="085BE2B1" w14:textId="77777777" w:rsidR="00326021" w:rsidRPr="003866C4" w:rsidRDefault="00326021" w:rsidP="00326021">
      <w:pPr>
        <w:ind w:hanging="720"/>
        <w:jc w:val="both"/>
        <w:rPr>
          <w:rFonts w:ascii="Arial" w:hAnsi="Arial" w:cs="Arial"/>
        </w:rPr>
      </w:pPr>
    </w:p>
    <w:p w14:paraId="48146708" w14:textId="77777777" w:rsidR="00326021" w:rsidRPr="003866C4" w:rsidRDefault="00326021" w:rsidP="00326021">
      <w:pPr>
        <w:ind w:hanging="720"/>
        <w:jc w:val="both"/>
        <w:rPr>
          <w:rFonts w:ascii="Arial" w:hAnsi="Arial" w:cs="Arial"/>
        </w:rPr>
      </w:pPr>
      <w:r w:rsidRPr="003866C4">
        <w:rPr>
          <w:rFonts w:ascii="Arial" w:hAnsi="Arial" w:cs="Arial"/>
        </w:rPr>
        <w:t xml:space="preserve">Hooley, J., Nguyen, L. M., Saito, M., &amp; </w:t>
      </w:r>
      <w:proofErr w:type="spellStart"/>
      <w:r w:rsidRPr="003866C4">
        <w:rPr>
          <w:rFonts w:ascii="Arial" w:hAnsi="Arial" w:cs="Arial"/>
        </w:rPr>
        <w:t>Nikaein</w:t>
      </w:r>
      <w:proofErr w:type="spellEnd"/>
      <w:r w:rsidRPr="003866C4">
        <w:rPr>
          <w:rFonts w:ascii="Arial" w:hAnsi="Arial" w:cs="Arial"/>
        </w:rPr>
        <w:t xml:space="preserve"> </w:t>
      </w:r>
      <w:proofErr w:type="spellStart"/>
      <w:r w:rsidRPr="003866C4">
        <w:rPr>
          <w:rFonts w:ascii="Arial" w:hAnsi="Arial" w:cs="Arial"/>
        </w:rPr>
        <w:t>Towfighian</w:t>
      </w:r>
      <w:proofErr w:type="spellEnd"/>
      <w:r w:rsidRPr="003866C4">
        <w:rPr>
          <w:rFonts w:ascii="Arial" w:hAnsi="Arial" w:cs="Arial"/>
        </w:rPr>
        <w:t>, S. (2021). Fiscal dominance in Sub-Saharan Africa revisited (IMF Working Paper No. 21/123). International Monetary Fund.</w:t>
      </w:r>
    </w:p>
    <w:p w14:paraId="51C189BA" w14:textId="77777777" w:rsidR="00326021" w:rsidRPr="003866C4" w:rsidRDefault="00326021" w:rsidP="00326021">
      <w:pPr>
        <w:ind w:hanging="720"/>
        <w:jc w:val="both"/>
        <w:rPr>
          <w:rFonts w:ascii="Arial" w:hAnsi="Arial" w:cs="Arial"/>
        </w:rPr>
      </w:pPr>
    </w:p>
    <w:p w14:paraId="08CD8D06" w14:textId="77777777" w:rsidR="00326021" w:rsidRPr="003866C4" w:rsidRDefault="00326021" w:rsidP="00326021">
      <w:pPr>
        <w:ind w:hanging="720"/>
        <w:jc w:val="both"/>
        <w:rPr>
          <w:rFonts w:ascii="Arial" w:hAnsi="Arial" w:cs="Arial"/>
        </w:rPr>
      </w:pPr>
      <w:proofErr w:type="spellStart"/>
      <w:r w:rsidRPr="003866C4">
        <w:rPr>
          <w:rFonts w:ascii="Arial" w:hAnsi="Arial" w:cs="Arial"/>
        </w:rPr>
        <w:t>Ichime</w:t>
      </w:r>
      <w:proofErr w:type="spellEnd"/>
      <w:r w:rsidRPr="003866C4">
        <w:rPr>
          <w:rFonts w:ascii="Arial" w:hAnsi="Arial" w:cs="Arial"/>
        </w:rPr>
        <w:t xml:space="preserve">, M. O., </w:t>
      </w:r>
      <w:proofErr w:type="spellStart"/>
      <w:r w:rsidRPr="003866C4">
        <w:rPr>
          <w:rFonts w:ascii="Arial" w:hAnsi="Arial" w:cs="Arial"/>
        </w:rPr>
        <w:t>Awogbemi</w:t>
      </w:r>
      <w:proofErr w:type="spellEnd"/>
      <w:r w:rsidRPr="003866C4">
        <w:rPr>
          <w:rFonts w:ascii="Arial" w:hAnsi="Arial" w:cs="Arial"/>
        </w:rPr>
        <w:t xml:space="preserve">, T. O., &amp; </w:t>
      </w:r>
      <w:proofErr w:type="spellStart"/>
      <w:r w:rsidRPr="003866C4">
        <w:rPr>
          <w:rFonts w:ascii="Arial" w:hAnsi="Arial" w:cs="Arial"/>
        </w:rPr>
        <w:t>Ezi</w:t>
      </w:r>
      <w:proofErr w:type="spellEnd"/>
      <w:r w:rsidRPr="003866C4">
        <w:rPr>
          <w:rFonts w:ascii="Arial" w:hAnsi="Arial" w:cs="Arial"/>
        </w:rPr>
        <w:t xml:space="preserve">, C. T. (2024). Deficit financing and macroeconomic performance: The Nigeria experience. International Journal of Management Studies and Social Science Research, 6(2). </w:t>
      </w:r>
      <w:hyperlink r:id="rId29" w:history="1">
        <w:r w:rsidRPr="003866C4">
          <w:rPr>
            <w:rStyle w:val="Hyperlink"/>
            <w:rFonts w:ascii="Arial" w:hAnsi="Arial" w:cs="Arial"/>
          </w:rPr>
          <w:t>https://doi.org/10.56293/IJMSSSR.2024.4927</w:t>
        </w:r>
      </w:hyperlink>
    </w:p>
    <w:p w14:paraId="50A7DA99" w14:textId="77777777" w:rsidR="00326021" w:rsidRPr="003866C4" w:rsidRDefault="00326021" w:rsidP="00326021">
      <w:pPr>
        <w:ind w:hanging="720"/>
        <w:jc w:val="both"/>
        <w:rPr>
          <w:rFonts w:ascii="Arial" w:hAnsi="Arial" w:cs="Arial"/>
        </w:rPr>
      </w:pPr>
    </w:p>
    <w:p w14:paraId="5279FAFE" w14:textId="77777777" w:rsidR="00326021" w:rsidRPr="003866C4" w:rsidRDefault="00326021" w:rsidP="00326021">
      <w:pPr>
        <w:ind w:hanging="720"/>
        <w:jc w:val="both"/>
        <w:rPr>
          <w:rFonts w:ascii="Arial" w:hAnsi="Arial" w:cs="Arial"/>
        </w:rPr>
      </w:pPr>
      <w:proofErr w:type="spellStart"/>
      <w:r w:rsidRPr="003866C4">
        <w:rPr>
          <w:rFonts w:ascii="Arial" w:hAnsi="Arial" w:cs="Arial"/>
        </w:rPr>
        <w:t>Imimole</w:t>
      </w:r>
      <w:proofErr w:type="spellEnd"/>
      <w:r w:rsidRPr="003866C4">
        <w:rPr>
          <w:rFonts w:ascii="Arial" w:hAnsi="Arial" w:cs="Arial"/>
        </w:rPr>
        <w:t xml:space="preserve">, B., &amp; </w:t>
      </w:r>
      <w:proofErr w:type="spellStart"/>
      <w:r w:rsidRPr="003866C4">
        <w:rPr>
          <w:rFonts w:ascii="Arial" w:hAnsi="Arial" w:cs="Arial"/>
        </w:rPr>
        <w:t>Enoma</w:t>
      </w:r>
      <w:proofErr w:type="spellEnd"/>
      <w:r w:rsidRPr="003866C4">
        <w:rPr>
          <w:rFonts w:ascii="Arial" w:hAnsi="Arial" w:cs="Arial"/>
        </w:rPr>
        <w:t>, A. (2011). Exchange rate depreciation and inflation in Nigeria (1986–2008). Business and Economics Journal, 2011(BEJ</w:t>
      </w:r>
      <w:r w:rsidRPr="003866C4">
        <w:rPr>
          <w:rFonts w:ascii="Cambria Math" w:hAnsi="Cambria Math" w:cs="Cambria Math"/>
        </w:rPr>
        <w:t>‑</w:t>
      </w:r>
      <w:r w:rsidRPr="003866C4">
        <w:rPr>
          <w:rFonts w:ascii="Arial" w:hAnsi="Arial" w:cs="Arial"/>
        </w:rPr>
        <w:t>28), 1–12.</w:t>
      </w:r>
    </w:p>
    <w:p w14:paraId="2C9ED331" w14:textId="77777777" w:rsidR="00326021" w:rsidRPr="003866C4" w:rsidRDefault="00326021" w:rsidP="00326021">
      <w:pPr>
        <w:ind w:hanging="720"/>
        <w:jc w:val="both"/>
        <w:rPr>
          <w:rFonts w:ascii="Arial" w:hAnsi="Arial" w:cs="Arial"/>
        </w:rPr>
      </w:pPr>
    </w:p>
    <w:p w14:paraId="6418CE5F" w14:textId="77777777" w:rsidR="00326021" w:rsidRPr="003866C4" w:rsidRDefault="00326021" w:rsidP="00326021">
      <w:pPr>
        <w:ind w:hanging="720"/>
        <w:jc w:val="both"/>
        <w:rPr>
          <w:rFonts w:ascii="Arial" w:hAnsi="Arial" w:cs="Arial"/>
          <w:sz w:val="24"/>
          <w:szCs w:val="24"/>
        </w:rPr>
      </w:pPr>
      <w:proofErr w:type="spellStart"/>
      <w:r w:rsidRPr="003866C4">
        <w:rPr>
          <w:rFonts w:ascii="Arial" w:hAnsi="Arial" w:cs="Arial"/>
        </w:rPr>
        <w:t>Imoisi</w:t>
      </w:r>
      <w:proofErr w:type="spellEnd"/>
      <w:r w:rsidRPr="003866C4">
        <w:rPr>
          <w:rFonts w:ascii="Arial" w:hAnsi="Arial" w:cs="Arial"/>
        </w:rPr>
        <w:t xml:space="preserve">, A. I. (2021). Fiscal policy and sustainability of public debt: The Nigerian experience. </w:t>
      </w:r>
      <w:hyperlink r:id="rId30" w:history="1">
        <w:r w:rsidRPr="003866C4">
          <w:rPr>
            <w:rStyle w:val="Hyperlink"/>
            <w:rFonts w:ascii="Arial" w:hAnsi="Arial" w:cs="Arial"/>
          </w:rPr>
          <w:t>https://api.semanticscholar.org/CorpusID:237739636</w:t>
        </w:r>
      </w:hyperlink>
    </w:p>
    <w:p w14:paraId="26B20EF8" w14:textId="77777777" w:rsidR="00326021" w:rsidRPr="003866C4" w:rsidRDefault="00326021" w:rsidP="00326021">
      <w:pPr>
        <w:ind w:hanging="720"/>
        <w:jc w:val="both"/>
        <w:rPr>
          <w:rFonts w:ascii="Arial" w:hAnsi="Arial" w:cs="Arial"/>
          <w:sz w:val="24"/>
          <w:szCs w:val="24"/>
        </w:rPr>
      </w:pPr>
    </w:p>
    <w:p w14:paraId="17F50E9F" w14:textId="77777777" w:rsidR="00326021" w:rsidRPr="003866C4" w:rsidRDefault="00326021" w:rsidP="00326021">
      <w:pPr>
        <w:ind w:hanging="720"/>
        <w:jc w:val="both"/>
        <w:rPr>
          <w:rFonts w:ascii="Arial" w:hAnsi="Arial" w:cs="Arial"/>
        </w:rPr>
      </w:pPr>
      <w:proofErr w:type="spellStart"/>
      <w:r w:rsidRPr="003866C4">
        <w:rPr>
          <w:rFonts w:ascii="Arial" w:hAnsi="Arial" w:cs="Arial"/>
        </w:rPr>
        <w:t>Isiaka</w:t>
      </w:r>
      <w:proofErr w:type="spellEnd"/>
      <w:r w:rsidRPr="003866C4">
        <w:rPr>
          <w:rFonts w:ascii="Arial" w:hAnsi="Arial" w:cs="Arial"/>
        </w:rPr>
        <w:t xml:space="preserve">, M. A., Lamidi, L. O., Kareem, R. O., &amp; </w:t>
      </w:r>
      <w:proofErr w:type="spellStart"/>
      <w:r w:rsidRPr="003866C4">
        <w:rPr>
          <w:rFonts w:ascii="Arial" w:hAnsi="Arial" w:cs="Arial"/>
        </w:rPr>
        <w:t>Oladotun</w:t>
      </w:r>
      <w:proofErr w:type="spellEnd"/>
      <w:r w:rsidRPr="003866C4">
        <w:rPr>
          <w:rFonts w:ascii="Arial" w:hAnsi="Arial" w:cs="Arial"/>
        </w:rPr>
        <w:t>, P. F. (2022). Long-run and short-run relationship between budget deficits and inflation rate in Nigeria. African Journal of Economics and Sustainable Development, 5(1), 75–82.</w:t>
      </w:r>
    </w:p>
    <w:p w14:paraId="2F3EAB07" w14:textId="77777777" w:rsidR="00326021" w:rsidRPr="003866C4" w:rsidRDefault="00326021" w:rsidP="00326021">
      <w:pPr>
        <w:ind w:hanging="720"/>
        <w:jc w:val="both"/>
        <w:rPr>
          <w:rFonts w:ascii="Arial" w:hAnsi="Arial" w:cs="Arial"/>
        </w:rPr>
      </w:pPr>
    </w:p>
    <w:p w14:paraId="1233E70A" w14:textId="77777777" w:rsidR="00326021" w:rsidRPr="003866C4" w:rsidRDefault="00326021" w:rsidP="00326021">
      <w:pPr>
        <w:ind w:hanging="720"/>
        <w:jc w:val="both"/>
        <w:rPr>
          <w:rFonts w:ascii="Arial" w:hAnsi="Arial" w:cs="Arial"/>
        </w:rPr>
      </w:pPr>
      <w:r w:rsidRPr="003866C4">
        <w:rPr>
          <w:rFonts w:ascii="Arial" w:hAnsi="Arial" w:cs="Arial"/>
        </w:rPr>
        <w:t xml:space="preserve">Jung, A. (2024). The quantity theory of money, 1870-2020 (ECB Working Paper No. 2940). European Central Bank. </w:t>
      </w:r>
      <w:hyperlink r:id="rId31" w:history="1">
        <w:r w:rsidRPr="003866C4">
          <w:rPr>
            <w:rStyle w:val="Hyperlink"/>
            <w:rFonts w:ascii="Arial" w:hAnsi="Arial" w:cs="Arial"/>
          </w:rPr>
          <w:t>https://doi.org/10.2866/983455</w:t>
        </w:r>
      </w:hyperlink>
    </w:p>
    <w:p w14:paraId="6C3326A6" w14:textId="77777777" w:rsidR="00326021" w:rsidRPr="003866C4" w:rsidRDefault="00326021" w:rsidP="00326021">
      <w:pPr>
        <w:ind w:hanging="720"/>
        <w:jc w:val="both"/>
        <w:rPr>
          <w:rFonts w:ascii="Arial" w:hAnsi="Arial" w:cs="Arial"/>
        </w:rPr>
      </w:pPr>
    </w:p>
    <w:p w14:paraId="015E9B1B" w14:textId="77777777" w:rsidR="00326021" w:rsidRPr="003866C4" w:rsidRDefault="00326021" w:rsidP="00326021">
      <w:pPr>
        <w:ind w:hanging="720"/>
        <w:jc w:val="both"/>
        <w:rPr>
          <w:rFonts w:ascii="Arial" w:hAnsi="Arial" w:cs="Arial"/>
        </w:rPr>
      </w:pPr>
      <w:proofErr w:type="spellStart"/>
      <w:r w:rsidRPr="003866C4">
        <w:rPr>
          <w:rFonts w:ascii="Arial" w:hAnsi="Arial" w:cs="Arial"/>
        </w:rPr>
        <w:t>Khah</w:t>
      </w:r>
      <w:proofErr w:type="spellEnd"/>
      <w:r w:rsidRPr="003866C4">
        <w:rPr>
          <w:rFonts w:ascii="Arial" w:hAnsi="Arial" w:cs="Arial"/>
        </w:rPr>
        <w:t xml:space="preserve">, A. M., &amp; Ahmad, M. (2024). Investigating the dynamic nexus between fiscal deficit and inflation: Empirical evidence from BRICS economies. International Journal of Emerging Markets, 20(2). </w:t>
      </w:r>
      <w:hyperlink r:id="rId32" w:history="1">
        <w:r w:rsidRPr="003866C4">
          <w:rPr>
            <w:rStyle w:val="Hyperlink"/>
            <w:rFonts w:ascii="Arial" w:hAnsi="Arial" w:cs="Arial"/>
          </w:rPr>
          <w:t>https://doi.org/10.1108/IJOEM-03-2024-0515</w:t>
        </w:r>
      </w:hyperlink>
    </w:p>
    <w:p w14:paraId="25710465" w14:textId="77777777" w:rsidR="00326021" w:rsidRPr="003866C4" w:rsidRDefault="00326021" w:rsidP="00326021">
      <w:pPr>
        <w:ind w:hanging="720"/>
        <w:jc w:val="both"/>
        <w:rPr>
          <w:rFonts w:ascii="Arial" w:hAnsi="Arial" w:cs="Arial"/>
        </w:rPr>
      </w:pPr>
    </w:p>
    <w:p w14:paraId="7BC26943" w14:textId="77777777" w:rsidR="00326021" w:rsidRPr="003866C4" w:rsidRDefault="00326021" w:rsidP="00326021">
      <w:pPr>
        <w:ind w:hanging="720"/>
        <w:jc w:val="both"/>
        <w:rPr>
          <w:rFonts w:ascii="Arial" w:hAnsi="Arial" w:cs="Arial"/>
        </w:rPr>
      </w:pPr>
      <w:r w:rsidRPr="003866C4">
        <w:rPr>
          <w:rFonts w:ascii="Arial" w:hAnsi="Arial" w:cs="Arial"/>
        </w:rPr>
        <w:t>Kwon, G., McFarlane, L., &amp; Robinson, W. (2006). Public debt, money supply, and inflation: A cross-country study and its application to Jamaica (IMF Working Paper No. 2006/121). International Monetary Fund.</w:t>
      </w:r>
    </w:p>
    <w:p w14:paraId="6C4D1B1F" w14:textId="77777777" w:rsidR="00326021" w:rsidRPr="003866C4" w:rsidRDefault="00326021" w:rsidP="00326021">
      <w:pPr>
        <w:ind w:hanging="720"/>
        <w:jc w:val="both"/>
        <w:rPr>
          <w:rFonts w:ascii="Arial" w:hAnsi="Arial" w:cs="Arial"/>
        </w:rPr>
      </w:pPr>
    </w:p>
    <w:p w14:paraId="65166C85" w14:textId="77777777" w:rsidR="00326021" w:rsidRPr="003866C4" w:rsidRDefault="00326021" w:rsidP="00326021">
      <w:pPr>
        <w:ind w:hanging="720"/>
        <w:jc w:val="both"/>
        <w:rPr>
          <w:rFonts w:ascii="Arial" w:hAnsi="Arial" w:cs="Arial"/>
        </w:rPr>
      </w:pPr>
      <w:r w:rsidRPr="003866C4">
        <w:rPr>
          <w:rFonts w:ascii="Arial" w:hAnsi="Arial" w:cs="Arial"/>
        </w:rPr>
        <w:t>Kwon, G., McFarlane, L., &amp; Robinson, W. (2009). Public debt, money supply, and inflation: A cross-country study. IMF Staff Papers, 56(3), 476–515.</w:t>
      </w:r>
    </w:p>
    <w:p w14:paraId="284E18B0" w14:textId="77777777" w:rsidR="00326021" w:rsidRPr="003866C4" w:rsidRDefault="00326021" w:rsidP="00326021">
      <w:pPr>
        <w:ind w:hanging="720"/>
        <w:jc w:val="both"/>
        <w:rPr>
          <w:rFonts w:ascii="Arial" w:hAnsi="Arial" w:cs="Arial"/>
        </w:rPr>
      </w:pPr>
    </w:p>
    <w:p w14:paraId="5715E0C4" w14:textId="77777777" w:rsidR="00326021" w:rsidRPr="003866C4" w:rsidRDefault="00326021" w:rsidP="00326021">
      <w:pPr>
        <w:ind w:hanging="720"/>
        <w:jc w:val="both"/>
        <w:rPr>
          <w:rFonts w:ascii="Arial" w:hAnsi="Arial" w:cs="Arial"/>
        </w:rPr>
      </w:pPr>
      <w:r w:rsidRPr="003866C4">
        <w:rPr>
          <w:rFonts w:ascii="Arial" w:hAnsi="Arial" w:cs="Arial"/>
        </w:rPr>
        <w:t xml:space="preserve">Law, S. H., Ng, C. H., </w:t>
      </w:r>
      <w:proofErr w:type="spellStart"/>
      <w:r w:rsidRPr="003866C4">
        <w:rPr>
          <w:rFonts w:ascii="Arial" w:hAnsi="Arial" w:cs="Arial"/>
        </w:rPr>
        <w:t>Kutan</w:t>
      </w:r>
      <w:proofErr w:type="spellEnd"/>
      <w:r w:rsidRPr="003866C4">
        <w:rPr>
          <w:rFonts w:ascii="Arial" w:hAnsi="Arial" w:cs="Arial"/>
        </w:rPr>
        <w:t>, A. M., &amp; Law, Z. K. (2021). Public debt and economic growth in developing countries: Nonlinearity and threshold analysis. Economic Modelling, 98(C), 26–40.</w:t>
      </w:r>
    </w:p>
    <w:p w14:paraId="7D5CAE52" w14:textId="77777777" w:rsidR="00326021" w:rsidRPr="003866C4" w:rsidRDefault="00326021" w:rsidP="00326021">
      <w:pPr>
        <w:ind w:hanging="720"/>
        <w:jc w:val="both"/>
        <w:rPr>
          <w:rFonts w:ascii="Arial" w:hAnsi="Arial" w:cs="Arial"/>
          <w:sz w:val="24"/>
          <w:szCs w:val="24"/>
        </w:rPr>
      </w:pPr>
    </w:p>
    <w:p w14:paraId="679867F0" w14:textId="77777777" w:rsidR="00326021" w:rsidRPr="003866C4" w:rsidRDefault="00326021" w:rsidP="00326021">
      <w:pPr>
        <w:ind w:hanging="720"/>
        <w:jc w:val="both"/>
        <w:rPr>
          <w:rFonts w:ascii="Arial" w:hAnsi="Arial" w:cs="Arial"/>
        </w:rPr>
      </w:pPr>
      <w:r w:rsidRPr="003866C4">
        <w:rPr>
          <w:rFonts w:ascii="Arial" w:hAnsi="Arial" w:cs="Arial"/>
        </w:rPr>
        <w:t xml:space="preserve">Muller, P., &amp; Price, R. (1984). Structural budget deficits and fiscal stance (OECD Economics Department Working Papers No. 15). OECD Publishing. </w:t>
      </w:r>
      <w:hyperlink r:id="rId33" w:history="1">
        <w:r w:rsidRPr="003866C4">
          <w:rPr>
            <w:rStyle w:val="Hyperlink"/>
            <w:rFonts w:ascii="Arial" w:hAnsi="Arial" w:cs="Arial"/>
          </w:rPr>
          <w:t>https://doi.org/10.1787/050184860264</w:t>
        </w:r>
      </w:hyperlink>
    </w:p>
    <w:p w14:paraId="5CD84E9B" w14:textId="77777777" w:rsidR="00326021" w:rsidRPr="003866C4" w:rsidRDefault="00326021" w:rsidP="00326021">
      <w:pPr>
        <w:ind w:hanging="720"/>
        <w:jc w:val="both"/>
        <w:rPr>
          <w:rFonts w:ascii="Arial" w:hAnsi="Arial" w:cs="Arial"/>
        </w:rPr>
      </w:pPr>
    </w:p>
    <w:p w14:paraId="714C8A24" w14:textId="77777777" w:rsidR="00326021" w:rsidRPr="003866C4" w:rsidRDefault="00326021" w:rsidP="00326021">
      <w:pPr>
        <w:ind w:hanging="720"/>
        <w:jc w:val="both"/>
        <w:rPr>
          <w:rFonts w:ascii="Arial" w:hAnsi="Arial" w:cs="Arial"/>
        </w:rPr>
      </w:pPr>
      <w:proofErr w:type="spellStart"/>
      <w:r w:rsidRPr="003866C4">
        <w:rPr>
          <w:rFonts w:ascii="Arial" w:hAnsi="Arial" w:cs="Arial"/>
        </w:rPr>
        <w:t>Natsiopoulos</w:t>
      </w:r>
      <w:proofErr w:type="spellEnd"/>
      <w:r w:rsidRPr="003866C4">
        <w:rPr>
          <w:rFonts w:ascii="Arial" w:hAnsi="Arial" w:cs="Arial"/>
        </w:rPr>
        <w:t xml:space="preserve">, K., &amp; </w:t>
      </w:r>
      <w:proofErr w:type="spellStart"/>
      <w:r w:rsidRPr="003866C4">
        <w:rPr>
          <w:rFonts w:ascii="Arial" w:hAnsi="Arial" w:cs="Arial"/>
        </w:rPr>
        <w:t>Tzeremes</w:t>
      </w:r>
      <w:proofErr w:type="spellEnd"/>
      <w:r w:rsidRPr="003866C4">
        <w:rPr>
          <w:rFonts w:ascii="Arial" w:hAnsi="Arial" w:cs="Arial"/>
        </w:rPr>
        <w:t xml:space="preserve">, N. G. (2022). ARDL bounds test for cointegration: Replicating the </w:t>
      </w:r>
      <w:proofErr w:type="spellStart"/>
      <w:r w:rsidRPr="003866C4">
        <w:rPr>
          <w:rFonts w:ascii="Arial" w:hAnsi="Arial" w:cs="Arial"/>
        </w:rPr>
        <w:t>Pesaran</w:t>
      </w:r>
      <w:proofErr w:type="spellEnd"/>
      <w:r w:rsidRPr="003866C4">
        <w:rPr>
          <w:rFonts w:ascii="Arial" w:hAnsi="Arial" w:cs="Arial"/>
        </w:rPr>
        <w:t xml:space="preserve"> et al. (2001) results for the UK earnings equation using R. Journal of Applied Econometrics, 37(4), 802–810.</w:t>
      </w:r>
    </w:p>
    <w:p w14:paraId="205C6E42" w14:textId="77777777" w:rsidR="00326021" w:rsidRPr="003866C4" w:rsidRDefault="00326021" w:rsidP="00326021">
      <w:pPr>
        <w:ind w:hanging="720"/>
        <w:jc w:val="both"/>
        <w:rPr>
          <w:rFonts w:ascii="Arial" w:hAnsi="Arial" w:cs="Arial"/>
        </w:rPr>
      </w:pPr>
    </w:p>
    <w:p w14:paraId="14FE921A" w14:textId="77777777" w:rsidR="00326021" w:rsidRPr="003866C4" w:rsidRDefault="00326021" w:rsidP="00326021">
      <w:pPr>
        <w:ind w:hanging="720"/>
        <w:jc w:val="both"/>
        <w:rPr>
          <w:rFonts w:ascii="Arial" w:hAnsi="Arial" w:cs="Arial"/>
        </w:rPr>
      </w:pPr>
      <w:proofErr w:type="spellStart"/>
      <w:r w:rsidRPr="003866C4">
        <w:rPr>
          <w:rFonts w:ascii="Arial" w:hAnsi="Arial" w:cs="Arial"/>
        </w:rPr>
        <w:t>Ndoricimpa</w:t>
      </w:r>
      <w:proofErr w:type="spellEnd"/>
      <w:r w:rsidRPr="003866C4">
        <w:rPr>
          <w:rFonts w:ascii="Arial" w:hAnsi="Arial" w:cs="Arial"/>
        </w:rPr>
        <w:t>, A. (2020). Threshold effects of public debt on economic growth in Africa: New evidence. Journal of Economics and Development, 22(2), 187–207.</w:t>
      </w:r>
    </w:p>
    <w:p w14:paraId="0537A4CC" w14:textId="77777777" w:rsidR="00326021" w:rsidRPr="003866C4" w:rsidRDefault="00326021" w:rsidP="00326021">
      <w:pPr>
        <w:ind w:hanging="720"/>
        <w:jc w:val="both"/>
        <w:rPr>
          <w:rFonts w:ascii="Arial" w:hAnsi="Arial" w:cs="Arial"/>
        </w:rPr>
      </w:pPr>
    </w:p>
    <w:p w14:paraId="42B9E62C" w14:textId="77777777" w:rsidR="00326021" w:rsidRPr="003866C4" w:rsidRDefault="00326021" w:rsidP="00326021">
      <w:pPr>
        <w:ind w:hanging="720"/>
        <w:jc w:val="both"/>
        <w:rPr>
          <w:rFonts w:ascii="Arial" w:hAnsi="Arial" w:cs="Arial"/>
        </w:rPr>
      </w:pPr>
      <w:r w:rsidRPr="003866C4">
        <w:rPr>
          <w:rFonts w:ascii="Arial" w:hAnsi="Arial" w:cs="Arial"/>
        </w:rPr>
        <w:t>Nguyen, V. B. (2015). The relationship between public debt and inflation in developing countries: Empirical evidence based on Difference Panel GMM. Asian Journal of Empirical Research, 5(9), 128–142.</w:t>
      </w:r>
    </w:p>
    <w:p w14:paraId="70C00B6F" w14:textId="77777777" w:rsidR="00326021" w:rsidRPr="003866C4" w:rsidRDefault="00326021" w:rsidP="00326021">
      <w:pPr>
        <w:ind w:hanging="720"/>
        <w:jc w:val="both"/>
        <w:rPr>
          <w:rFonts w:ascii="Arial" w:hAnsi="Arial" w:cs="Arial"/>
        </w:rPr>
      </w:pPr>
    </w:p>
    <w:p w14:paraId="12839F48" w14:textId="77777777" w:rsidR="00326021" w:rsidRPr="003866C4" w:rsidRDefault="00326021" w:rsidP="00326021">
      <w:pPr>
        <w:ind w:hanging="720"/>
        <w:jc w:val="both"/>
        <w:rPr>
          <w:rFonts w:ascii="Arial" w:hAnsi="Arial" w:cs="Arial"/>
        </w:rPr>
      </w:pPr>
      <w:r w:rsidRPr="003866C4">
        <w:rPr>
          <w:rFonts w:ascii="Arial" w:hAnsi="Arial" w:cs="Arial"/>
        </w:rPr>
        <w:lastRenderedPageBreak/>
        <w:t xml:space="preserve">Nguyen, V. B. (2022). Does governance matter for the public debt–inflation relationship in developed countries? Panel quantile regression approach. Annals of Public and Cooperative Economics, 93(4), 1153–1173. </w:t>
      </w:r>
      <w:hyperlink r:id="rId34" w:history="1">
        <w:r w:rsidRPr="003866C4">
          <w:rPr>
            <w:rStyle w:val="Hyperlink"/>
            <w:rFonts w:ascii="Arial" w:hAnsi="Arial" w:cs="Arial"/>
          </w:rPr>
          <w:t>https://doi.org/10.1111/apce.12367</w:t>
        </w:r>
      </w:hyperlink>
    </w:p>
    <w:p w14:paraId="5E824DAB" w14:textId="77777777" w:rsidR="00326021" w:rsidRPr="003866C4" w:rsidRDefault="00326021" w:rsidP="00326021">
      <w:pPr>
        <w:ind w:hanging="720"/>
        <w:jc w:val="both"/>
        <w:rPr>
          <w:rFonts w:ascii="Arial" w:hAnsi="Arial" w:cs="Arial"/>
        </w:rPr>
      </w:pPr>
    </w:p>
    <w:p w14:paraId="47EA8205" w14:textId="77777777" w:rsidR="00326021" w:rsidRPr="003866C4" w:rsidRDefault="00326021" w:rsidP="00326021">
      <w:pPr>
        <w:ind w:hanging="720"/>
        <w:jc w:val="both"/>
        <w:rPr>
          <w:rFonts w:ascii="Arial" w:hAnsi="Arial" w:cs="Arial"/>
        </w:rPr>
      </w:pPr>
      <w:r w:rsidRPr="003866C4">
        <w:rPr>
          <w:rFonts w:ascii="Arial" w:hAnsi="Arial" w:cs="Arial"/>
        </w:rPr>
        <w:t>Nuhu, M. (2021). Impact of exchange rate volatility on inflation in Nigeria. Journal of Contemporary Research in Business, Economics and Finance, 3(1), 88–102.</w:t>
      </w:r>
    </w:p>
    <w:p w14:paraId="0A8ADF0C" w14:textId="77777777" w:rsidR="00326021" w:rsidRPr="003866C4" w:rsidRDefault="00326021" w:rsidP="00326021">
      <w:pPr>
        <w:ind w:hanging="720"/>
        <w:jc w:val="both"/>
        <w:rPr>
          <w:rFonts w:ascii="Arial" w:hAnsi="Arial" w:cs="Arial"/>
        </w:rPr>
      </w:pPr>
    </w:p>
    <w:p w14:paraId="0C9B920D" w14:textId="77777777" w:rsidR="00326021" w:rsidRPr="003866C4" w:rsidRDefault="00326021" w:rsidP="00326021">
      <w:pPr>
        <w:ind w:hanging="720"/>
        <w:jc w:val="both"/>
        <w:rPr>
          <w:rFonts w:ascii="Arial" w:hAnsi="Arial" w:cs="Arial"/>
        </w:rPr>
      </w:pPr>
      <w:r w:rsidRPr="003866C4">
        <w:rPr>
          <w:rFonts w:ascii="Arial" w:hAnsi="Arial" w:cs="Arial"/>
        </w:rPr>
        <w:t xml:space="preserve">Nwosu, N., </w:t>
      </w:r>
      <w:proofErr w:type="spellStart"/>
      <w:r w:rsidRPr="003866C4">
        <w:rPr>
          <w:rFonts w:ascii="Arial" w:hAnsi="Arial" w:cs="Arial"/>
        </w:rPr>
        <w:t>Inam</w:t>
      </w:r>
      <w:proofErr w:type="spellEnd"/>
      <w:r w:rsidRPr="003866C4">
        <w:rPr>
          <w:rFonts w:ascii="Arial" w:hAnsi="Arial" w:cs="Arial"/>
        </w:rPr>
        <w:t xml:space="preserve">, U. S., &amp; </w:t>
      </w:r>
      <w:proofErr w:type="spellStart"/>
      <w:r w:rsidRPr="003866C4">
        <w:rPr>
          <w:rFonts w:ascii="Arial" w:hAnsi="Arial" w:cs="Arial"/>
        </w:rPr>
        <w:t>Orebiyi</w:t>
      </w:r>
      <w:proofErr w:type="spellEnd"/>
      <w:r w:rsidRPr="003866C4">
        <w:rPr>
          <w:rFonts w:ascii="Arial" w:hAnsi="Arial" w:cs="Arial"/>
        </w:rPr>
        <w:t>, P. (2024). Fiscal deficit inflation nexus in Nigeria. International Journal of Research and Innovation in Social Science, 8(1), 123–132.</w:t>
      </w:r>
    </w:p>
    <w:p w14:paraId="473EA329" w14:textId="77777777" w:rsidR="00326021" w:rsidRPr="003866C4" w:rsidRDefault="00326021" w:rsidP="00326021">
      <w:pPr>
        <w:ind w:hanging="720"/>
        <w:jc w:val="both"/>
        <w:rPr>
          <w:rFonts w:ascii="Arial" w:hAnsi="Arial" w:cs="Arial"/>
        </w:rPr>
      </w:pPr>
    </w:p>
    <w:p w14:paraId="49063CB4" w14:textId="77777777" w:rsidR="00326021" w:rsidRPr="003866C4" w:rsidRDefault="00326021" w:rsidP="00326021">
      <w:pPr>
        <w:ind w:hanging="720"/>
        <w:jc w:val="both"/>
        <w:rPr>
          <w:rFonts w:ascii="Arial" w:hAnsi="Arial" w:cs="Arial"/>
        </w:rPr>
      </w:pPr>
      <w:proofErr w:type="spellStart"/>
      <w:r w:rsidRPr="003866C4">
        <w:rPr>
          <w:rFonts w:ascii="Arial" w:hAnsi="Arial" w:cs="Arial"/>
        </w:rPr>
        <w:t>Nzeh</w:t>
      </w:r>
      <w:proofErr w:type="spellEnd"/>
      <w:r w:rsidRPr="003866C4">
        <w:rPr>
          <w:rFonts w:ascii="Arial" w:hAnsi="Arial" w:cs="Arial"/>
        </w:rPr>
        <w:t>, I. (2020). Public debt and economic growth in Nigeria: Investigating the optimal threshold level. Asian Development Policy Review, 8(2), 72–90.</w:t>
      </w:r>
    </w:p>
    <w:p w14:paraId="0F5392F2" w14:textId="77777777" w:rsidR="00326021" w:rsidRPr="003866C4" w:rsidRDefault="00326021" w:rsidP="00326021">
      <w:pPr>
        <w:ind w:hanging="720"/>
        <w:jc w:val="both"/>
        <w:rPr>
          <w:rFonts w:ascii="Arial" w:hAnsi="Arial" w:cs="Arial"/>
        </w:rPr>
      </w:pPr>
    </w:p>
    <w:p w14:paraId="14390151" w14:textId="77777777" w:rsidR="00326021" w:rsidRPr="003866C4" w:rsidRDefault="00326021" w:rsidP="00326021">
      <w:pPr>
        <w:ind w:hanging="720"/>
        <w:jc w:val="both"/>
        <w:rPr>
          <w:rFonts w:ascii="Arial" w:hAnsi="Arial" w:cs="Arial"/>
        </w:rPr>
      </w:pPr>
      <w:proofErr w:type="spellStart"/>
      <w:r w:rsidRPr="003866C4">
        <w:rPr>
          <w:rFonts w:ascii="Arial" w:hAnsi="Arial" w:cs="Arial"/>
        </w:rPr>
        <w:t>Olaoye</w:t>
      </w:r>
      <w:proofErr w:type="spellEnd"/>
      <w:r w:rsidRPr="003866C4">
        <w:rPr>
          <w:rFonts w:ascii="Arial" w:hAnsi="Arial" w:cs="Arial"/>
        </w:rPr>
        <w:t xml:space="preserve">, O. F., </w:t>
      </w:r>
      <w:proofErr w:type="spellStart"/>
      <w:r w:rsidRPr="003866C4">
        <w:rPr>
          <w:rFonts w:ascii="Arial" w:hAnsi="Arial" w:cs="Arial"/>
        </w:rPr>
        <w:t>Omokanmi</w:t>
      </w:r>
      <w:proofErr w:type="spellEnd"/>
      <w:r w:rsidRPr="003866C4">
        <w:rPr>
          <w:rFonts w:ascii="Arial" w:hAnsi="Arial" w:cs="Arial"/>
        </w:rPr>
        <w:t xml:space="preserve">, O. J., Tabash, M. I., </w:t>
      </w:r>
      <w:proofErr w:type="spellStart"/>
      <w:r w:rsidRPr="003866C4">
        <w:rPr>
          <w:rFonts w:ascii="Arial" w:hAnsi="Arial" w:cs="Arial"/>
        </w:rPr>
        <w:t>Olofinlade</w:t>
      </w:r>
      <w:proofErr w:type="spellEnd"/>
      <w:r w:rsidRPr="003866C4">
        <w:rPr>
          <w:rFonts w:ascii="Arial" w:hAnsi="Arial" w:cs="Arial"/>
        </w:rPr>
        <w:t xml:space="preserve">, S. O., &amp; </w:t>
      </w:r>
      <w:proofErr w:type="spellStart"/>
      <w:r w:rsidRPr="003866C4">
        <w:rPr>
          <w:rFonts w:ascii="Arial" w:hAnsi="Arial" w:cs="Arial"/>
        </w:rPr>
        <w:t>Ojelade</w:t>
      </w:r>
      <w:proofErr w:type="spellEnd"/>
      <w:r w:rsidRPr="003866C4">
        <w:rPr>
          <w:rFonts w:ascii="Arial" w:hAnsi="Arial" w:cs="Arial"/>
        </w:rPr>
        <w:t>, M. O. (2023). Soaring inflation in sub-Saharan Africa: A fiscal root? Quality &amp; Quantity, 57(5), 2875–2904.</w:t>
      </w:r>
    </w:p>
    <w:p w14:paraId="69F44B21" w14:textId="77777777" w:rsidR="00326021" w:rsidRPr="003866C4" w:rsidRDefault="00326021" w:rsidP="00326021">
      <w:pPr>
        <w:ind w:hanging="720"/>
        <w:jc w:val="both"/>
        <w:rPr>
          <w:rFonts w:ascii="Arial" w:hAnsi="Arial" w:cs="Arial"/>
        </w:rPr>
      </w:pPr>
    </w:p>
    <w:p w14:paraId="5BF30E7F" w14:textId="77777777" w:rsidR="00326021" w:rsidRPr="003866C4" w:rsidRDefault="00326021" w:rsidP="00326021">
      <w:pPr>
        <w:ind w:hanging="720"/>
        <w:jc w:val="both"/>
        <w:rPr>
          <w:rFonts w:ascii="Arial" w:hAnsi="Arial" w:cs="Arial"/>
        </w:rPr>
      </w:pPr>
      <w:proofErr w:type="spellStart"/>
      <w:r w:rsidRPr="003866C4">
        <w:rPr>
          <w:rFonts w:ascii="Arial" w:hAnsi="Arial" w:cs="Arial"/>
        </w:rPr>
        <w:t>Olaoye</w:t>
      </w:r>
      <w:proofErr w:type="spellEnd"/>
      <w:r w:rsidRPr="003866C4">
        <w:rPr>
          <w:rFonts w:ascii="Arial" w:hAnsi="Arial" w:cs="Arial"/>
        </w:rPr>
        <w:t xml:space="preserve">, O. F., Tabash, M. I., </w:t>
      </w:r>
      <w:proofErr w:type="spellStart"/>
      <w:r w:rsidRPr="003866C4">
        <w:rPr>
          <w:rFonts w:ascii="Arial" w:hAnsi="Arial" w:cs="Arial"/>
        </w:rPr>
        <w:t>Omokanmi</w:t>
      </w:r>
      <w:proofErr w:type="spellEnd"/>
      <w:r w:rsidRPr="003866C4">
        <w:rPr>
          <w:rFonts w:ascii="Arial" w:hAnsi="Arial" w:cs="Arial"/>
        </w:rPr>
        <w:t xml:space="preserve">, O. J., </w:t>
      </w:r>
      <w:proofErr w:type="spellStart"/>
      <w:r w:rsidRPr="003866C4">
        <w:rPr>
          <w:rFonts w:ascii="Arial" w:hAnsi="Arial" w:cs="Arial"/>
        </w:rPr>
        <w:t>Ogunjumo</w:t>
      </w:r>
      <w:proofErr w:type="spellEnd"/>
      <w:r w:rsidRPr="003866C4">
        <w:rPr>
          <w:rFonts w:ascii="Arial" w:hAnsi="Arial" w:cs="Arial"/>
        </w:rPr>
        <w:t xml:space="preserve">, R., </w:t>
      </w:r>
      <w:proofErr w:type="spellStart"/>
      <w:r w:rsidRPr="003866C4">
        <w:rPr>
          <w:rFonts w:ascii="Arial" w:hAnsi="Arial" w:cs="Arial"/>
        </w:rPr>
        <w:t>Ojelade</w:t>
      </w:r>
      <w:proofErr w:type="spellEnd"/>
      <w:r w:rsidRPr="003866C4">
        <w:rPr>
          <w:rFonts w:ascii="Arial" w:hAnsi="Arial" w:cs="Arial"/>
        </w:rPr>
        <w:t xml:space="preserve">, M. O., &amp; </w:t>
      </w:r>
      <w:proofErr w:type="spellStart"/>
      <w:r w:rsidRPr="003866C4">
        <w:rPr>
          <w:rFonts w:ascii="Arial" w:hAnsi="Arial" w:cs="Arial"/>
        </w:rPr>
        <w:t>Ishola</w:t>
      </w:r>
      <w:proofErr w:type="spellEnd"/>
      <w:r w:rsidRPr="003866C4">
        <w:rPr>
          <w:rFonts w:ascii="Arial" w:hAnsi="Arial" w:cs="Arial"/>
        </w:rPr>
        <w:t>, J. A. (2022). Macroeconomic implications of escalating stock of public debt: Evidence from sub-Saharan African economies. African Development Review, 34(4), 527-540.</w:t>
      </w:r>
    </w:p>
    <w:p w14:paraId="1680125A" w14:textId="77777777" w:rsidR="00326021" w:rsidRPr="003866C4" w:rsidRDefault="00326021" w:rsidP="00326021">
      <w:pPr>
        <w:ind w:hanging="720"/>
        <w:jc w:val="both"/>
        <w:rPr>
          <w:rFonts w:ascii="Arial" w:hAnsi="Arial" w:cs="Arial"/>
        </w:rPr>
      </w:pPr>
    </w:p>
    <w:p w14:paraId="4A4CD5F8" w14:textId="77777777" w:rsidR="00326021" w:rsidRPr="003866C4" w:rsidRDefault="00326021" w:rsidP="00326021">
      <w:pPr>
        <w:ind w:hanging="720"/>
        <w:jc w:val="both"/>
        <w:rPr>
          <w:rFonts w:ascii="Arial" w:hAnsi="Arial" w:cs="Arial"/>
        </w:rPr>
      </w:pPr>
      <w:proofErr w:type="spellStart"/>
      <w:r w:rsidRPr="003866C4">
        <w:rPr>
          <w:rFonts w:ascii="Arial" w:hAnsi="Arial" w:cs="Arial"/>
        </w:rPr>
        <w:t>Omotosho</w:t>
      </w:r>
      <w:proofErr w:type="spellEnd"/>
      <w:r w:rsidRPr="003866C4">
        <w:rPr>
          <w:rFonts w:ascii="Arial" w:hAnsi="Arial" w:cs="Arial"/>
        </w:rPr>
        <w:t xml:space="preserve">, B. S., </w:t>
      </w:r>
      <w:proofErr w:type="spellStart"/>
      <w:r w:rsidRPr="003866C4">
        <w:rPr>
          <w:rFonts w:ascii="Arial" w:hAnsi="Arial" w:cs="Arial"/>
        </w:rPr>
        <w:t>Bawa</w:t>
      </w:r>
      <w:proofErr w:type="spellEnd"/>
      <w:r w:rsidRPr="003866C4">
        <w:rPr>
          <w:rFonts w:ascii="Arial" w:hAnsi="Arial" w:cs="Arial"/>
        </w:rPr>
        <w:t xml:space="preserve">, S., &amp; </w:t>
      </w:r>
      <w:proofErr w:type="spellStart"/>
      <w:r w:rsidRPr="003866C4">
        <w:rPr>
          <w:rFonts w:ascii="Arial" w:hAnsi="Arial" w:cs="Arial"/>
        </w:rPr>
        <w:t>Doguwa</w:t>
      </w:r>
      <w:proofErr w:type="spellEnd"/>
      <w:r w:rsidRPr="003866C4">
        <w:rPr>
          <w:rFonts w:ascii="Arial" w:hAnsi="Arial" w:cs="Arial"/>
        </w:rPr>
        <w:t>, S. I. (2016). Determining the optimal public debt threshold for Nigeria. CBN Journal of Applied Statistics, 7(2), 1–25.</w:t>
      </w:r>
    </w:p>
    <w:p w14:paraId="00B96BAE" w14:textId="77777777" w:rsidR="00326021" w:rsidRPr="003866C4" w:rsidRDefault="00326021" w:rsidP="00326021">
      <w:pPr>
        <w:ind w:hanging="720"/>
        <w:jc w:val="both"/>
        <w:rPr>
          <w:rFonts w:ascii="Arial" w:hAnsi="Arial" w:cs="Arial"/>
        </w:rPr>
      </w:pPr>
    </w:p>
    <w:p w14:paraId="6464AADB" w14:textId="77777777" w:rsidR="00326021" w:rsidRPr="003866C4" w:rsidRDefault="00326021" w:rsidP="00326021">
      <w:pPr>
        <w:ind w:hanging="720"/>
        <w:jc w:val="both"/>
        <w:rPr>
          <w:rFonts w:ascii="Arial" w:hAnsi="Arial" w:cs="Arial"/>
        </w:rPr>
      </w:pPr>
      <w:proofErr w:type="spellStart"/>
      <w:r w:rsidRPr="003866C4">
        <w:rPr>
          <w:rFonts w:ascii="Arial" w:hAnsi="Arial" w:cs="Arial"/>
        </w:rPr>
        <w:t>Orisadare</w:t>
      </w:r>
      <w:proofErr w:type="spellEnd"/>
      <w:r w:rsidRPr="003866C4">
        <w:rPr>
          <w:rFonts w:ascii="Arial" w:hAnsi="Arial" w:cs="Arial"/>
        </w:rPr>
        <w:t xml:space="preserve">, M. A., &amp; Adeyemi, O. W. (2024). Fiscal dominance and the effectiveness of monetary authority in Nigeria 1980-2020. Asian Journal of Economics, Business and Accounting, 24(6), 192–203. </w:t>
      </w:r>
      <w:hyperlink r:id="rId35" w:history="1">
        <w:r w:rsidRPr="003866C4">
          <w:rPr>
            <w:rStyle w:val="Hyperlink"/>
            <w:rFonts w:ascii="Arial" w:hAnsi="Arial" w:cs="Arial"/>
          </w:rPr>
          <w:t>https://doi.org/10.9734/ajeba/2024/v24i61353</w:t>
        </w:r>
      </w:hyperlink>
    </w:p>
    <w:p w14:paraId="04FB79B1" w14:textId="77777777" w:rsidR="00326021" w:rsidRPr="003866C4" w:rsidRDefault="00326021" w:rsidP="00326021">
      <w:pPr>
        <w:ind w:hanging="720"/>
        <w:jc w:val="both"/>
        <w:rPr>
          <w:rFonts w:ascii="Arial" w:hAnsi="Arial" w:cs="Arial"/>
        </w:rPr>
      </w:pPr>
    </w:p>
    <w:p w14:paraId="3E7829FB" w14:textId="77777777" w:rsidR="00326021" w:rsidRPr="003866C4" w:rsidRDefault="00326021" w:rsidP="00326021">
      <w:pPr>
        <w:ind w:hanging="720"/>
        <w:jc w:val="both"/>
        <w:rPr>
          <w:rFonts w:ascii="Arial" w:hAnsi="Arial" w:cs="Arial"/>
        </w:rPr>
      </w:pPr>
      <w:proofErr w:type="spellStart"/>
      <w:r w:rsidRPr="003866C4">
        <w:rPr>
          <w:rFonts w:ascii="Arial" w:hAnsi="Arial" w:cs="Arial"/>
        </w:rPr>
        <w:t>Oyeleke</w:t>
      </w:r>
      <w:proofErr w:type="spellEnd"/>
      <w:r w:rsidRPr="003866C4">
        <w:rPr>
          <w:rFonts w:ascii="Arial" w:hAnsi="Arial" w:cs="Arial"/>
        </w:rPr>
        <w:t>, O. J. (2021). On the non-linear relationship between fiscal deficit and inflation: The Nigeria experience. International Advances in Economic Research, 27(2), 105–117.</w:t>
      </w:r>
    </w:p>
    <w:p w14:paraId="22EF623E" w14:textId="77777777" w:rsidR="00326021" w:rsidRPr="003866C4" w:rsidRDefault="00326021" w:rsidP="00326021">
      <w:pPr>
        <w:ind w:hanging="720"/>
        <w:jc w:val="both"/>
        <w:rPr>
          <w:rFonts w:ascii="Arial" w:hAnsi="Arial" w:cs="Arial"/>
        </w:rPr>
      </w:pPr>
    </w:p>
    <w:p w14:paraId="5498B91E" w14:textId="77777777" w:rsidR="00326021" w:rsidRPr="003866C4" w:rsidRDefault="00326021" w:rsidP="00326021">
      <w:pPr>
        <w:ind w:hanging="720"/>
        <w:jc w:val="both"/>
        <w:rPr>
          <w:rFonts w:ascii="Arial" w:hAnsi="Arial" w:cs="Arial"/>
        </w:rPr>
      </w:pPr>
      <w:proofErr w:type="spellStart"/>
      <w:r w:rsidRPr="003866C4">
        <w:rPr>
          <w:rFonts w:ascii="Arial" w:hAnsi="Arial" w:cs="Arial"/>
        </w:rPr>
        <w:t>Oyeleke</w:t>
      </w:r>
      <w:proofErr w:type="spellEnd"/>
      <w:r w:rsidRPr="003866C4">
        <w:rPr>
          <w:rFonts w:ascii="Arial" w:hAnsi="Arial" w:cs="Arial"/>
        </w:rPr>
        <w:t xml:space="preserve">, O. J., &amp; </w:t>
      </w:r>
      <w:proofErr w:type="spellStart"/>
      <w:r w:rsidRPr="003866C4">
        <w:rPr>
          <w:rFonts w:ascii="Arial" w:hAnsi="Arial" w:cs="Arial"/>
        </w:rPr>
        <w:t>Orisadare</w:t>
      </w:r>
      <w:proofErr w:type="spellEnd"/>
      <w:r w:rsidRPr="003866C4">
        <w:rPr>
          <w:rFonts w:ascii="Arial" w:hAnsi="Arial" w:cs="Arial"/>
        </w:rPr>
        <w:t>, M. A. (2018). Relative importance of public debts and money growth on inflation in Nigeria. International Journal of Economics and Finance, 10(7), 70–81.</w:t>
      </w:r>
    </w:p>
    <w:p w14:paraId="02029084" w14:textId="77777777" w:rsidR="00326021" w:rsidRPr="003866C4" w:rsidRDefault="00326021" w:rsidP="00326021">
      <w:pPr>
        <w:ind w:hanging="720"/>
        <w:jc w:val="both"/>
        <w:rPr>
          <w:rFonts w:ascii="Arial" w:hAnsi="Arial" w:cs="Arial"/>
        </w:rPr>
      </w:pPr>
    </w:p>
    <w:p w14:paraId="376EB88C" w14:textId="77777777" w:rsidR="00326021" w:rsidRPr="003866C4" w:rsidRDefault="00326021" w:rsidP="00326021">
      <w:pPr>
        <w:ind w:hanging="720"/>
        <w:jc w:val="both"/>
        <w:rPr>
          <w:rFonts w:ascii="Arial" w:hAnsi="Arial" w:cs="Arial"/>
        </w:rPr>
      </w:pPr>
      <w:proofErr w:type="spellStart"/>
      <w:r w:rsidRPr="003866C4">
        <w:rPr>
          <w:rFonts w:ascii="Arial" w:hAnsi="Arial" w:cs="Arial"/>
        </w:rPr>
        <w:t>Ozurumba</w:t>
      </w:r>
      <w:proofErr w:type="spellEnd"/>
      <w:r w:rsidRPr="003866C4">
        <w:rPr>
          <w:rFonts w:ascii="Arial" w:hAnsi="Arial" w:cs="Arial"/>
        </w:rPr>
        <w:t>, B. A. (2012). Fiscal deficits and inflation in Nigeria: The causality approach. International Journal of Scientific &amp; Technology Research, 1(8), 6–12.</w:t>
      </w:r>
    </w:p>
    <w:p w14:paraId="2DAAAD3A" w14:textId="77777777" w:rsidR="00326021" w:rsidRPr="003866C4" w:rsidRDefault="00326021" w:rsidP="00326021">
      <w:pPr>
        <w:ind w:hanging="720"/>
        <w:jc w:val="both"/>
        <w:rPr>
          <w:rFonts w:ascii="Arial" w:hAnsi="Arial" w:cs="Arial"/>
        </w:rPr>
      </w:pPr>
      <w:r w:rsidRPr="003866C4">
        <w:rPr>
          <w:rFonts w:ascii="Arial" w:hAnsi="Arial" w:cs="Arial"/>
        </w:rPr>
        <w:t>Panizza, U. (2008). Domestic and external public debt in developing countries (UNCTAD Discussion Papers No. 188). United Nations Conference on Trade and Development.</w:t>
      </w:r>
    </w:p>
    <w:p w14:paraId="07C456CD" w14:textId="77777777" w:rsidR="00326021" w:rsidRPr="003866C4" w:rsidRDefault="00326021" w:rsidP="00326021">
      <w:pPr>
        <w:ind w:hanging="720"/>
        <w:jc w:val="both"/>
        <w:rPr>
          <w:rFonts w:ascii="Arial" w:hAnsi="Arial" w:cs="Arial"/>
        </w:rPr>
      </w:pPr>
    </w:p>
    <w:p w14:paraId="1242A9F4" w14:textId="77777777" w:rsidR="00326021" w:rsidRPr="003866C4" w:rsidRDefault="00326021" w:rsidP="00326021">
      <w:pPr>
        <w:ind w:hanging="720"/>
        <w:jc w:val="both"/>
        <w:rPr>
          <w:rFonts w:ascii="Arial" w:hAnsi="Arial" w:cs="Arial"/>
        </w:rPr>
      </w:pPr>
      <w:proofErr w:type="spellStart"/>
      <w:r w:rsidRPr="003866C4">
        <w:rPr>
          <w:rFonts w:ascii="Arial" w:hAnsi="Arial" w:cs="Arial"/>
        </w:rPr>
        <w:t>Pesaran</w:t>
      </w:r>
      <w:proofErr w:type="spellEnd"/>
      <w:r w:rsidRPr="003866C4">
        <w:rPr>
          <w:rFonts w:ascii="Arial" w:hAnsi="Arial" w:cs="Arial"/>
        </w:rPr>
        <w:t xml:space="preserve">, M. H. (2015). Time series and panel data econometrics. Oxford University Press. </w:t>
      </w:r>
      <w:hyperlink r:id="rId36" w:history="1">
        <w:r w:rsidRPr="003866C4">
          <w:rPr>
            <w:rStyle w:val="Hyperlink"/>
            <w:rFonts w:ascii="Arial" w:hAnsi="Arial" w:cs="Arial"/>
          </w:rPr>
          <w:t>https://doi.org/10.1093/acprof:oso/9780198736912.001.0001</w:t>
        </w:r>
      </w:hyperlink>
    </w:p>
    <w:p w14:paraId="227EA0F4" w14:textId="77777777" w:rsidR="00326021" w:rsidRPr="003866C4" w:rsidRDefault="00326021" w:rsidP="00326021">
      <w:pPr>
        <w:ind w:hanging="720"/>
        <w:jc w:val="both"/>
        <w:rPr>
          <w:rFonts w:ascii="Arial" w:hAnsi="Arial" w:cs="Arial"/>
        </w:rPr>
      </w:pPr>
    </w:p>
    <w:p w14:paraId="6EF163AA" w14:textId="77777777" w:rsidR="00326021" w:rsidRPr="003866C4" w:rsidRDefault="00326021" w:rsidP="00326021">
      <w:pPr>
        <w:ind w:hanging="720"/>
        <w:jc w:val="both"/>
        <w:rPr>
          <w:rFonts w:ascii="Arial" w:hAnsi="Arial" w:cs="Arial"/>
        </w:rPr>
      </w:pPr>
      <w:proofErr w:type="spellStart"/>
      <w:r w:rsidRPr="003866C4">
        <w:rPr>
          <w:rFonts w:ascii="Arial" w:hAnsi="Arial" w:cs="Arial"/>
        </w:rPr>
        <w:t>Pesaran</w:t>
      </w:r>
      <w:proofErr w:type="spellEnd"/>
      <w:r w:rsidRPr="003866C4">
        <w:rPr>
          <w:rFonts w:ascii="Arial" w:hAnsi="Arial" w:cs="Arial"/>
        </w:rPr>
        <w:t>, M. H., Shin, Y., &amp; Smith, R. J. (2001). Bounds testing approaches to the analysis of level relationships. Journal of Applied Econometrics, 16(3), 289–326.</w:t>
      </w:r>
    </w:p>
    <w:p w14:paraId="3D896559" w14:textId="77777777" w:rsidR="00326021" w:rsidRPr="003866C4" w:rsidRDefault="00326021" w:rsidP="00326021">
      <w:pPr>
        <w:ind w:hanging="720"/>
        <w:jc w:val="both"/>
        <w:rPr>
          <w:rFonts w:ascii="Arial" w:hAnsi="Arial" w:cs="Arial"/>
        </w:rPr>
      </w:pPr>
    </w:p>
    <w:p w14:paraId="5B01D315" w14:textId="77777777" w:rsidR="00326021" w:rsidRPr="003866C4" w:rsidRDefault="00326021" w:rsidP="00326021">
      <w:pPr>
        <w:ind w:hanging="720"/>
        <w:jc w:val="both"/>
        <w:rPr>
          <w:rFonts w:ascii="Arial" w:hAnsi="Arial" w:cs="Arial"/>
        </w:rPr>
      </w:pPr>
      <w:r w:rsidRPr="003866C4">
        <w:rPr>
          <w:rFonts w:ascii="Arial" w:hAnsi="Arial" w:cs="Arial"/>
        </w:rPr>
        <w:t>Reinhart, C. M., &amp; Rogoff, K. S. (2010). Growth in a time of debt. American Economic Review, 100(2), 573–578.</w:t>
      </w:r>
    </w:p>
    <w:p w14:paraId="700BBEF8" w14:textId="77777777" w:rsidR="00326021" w:rsidRPr="003866C4" w:rsidRDefault="00326021" w:rsidP="00326021">
      <w:pPr>
        <w:ind w:hanging="720"/>
        <w:jc w:val="both"/>
        <w:rPr>
          <w:rFonts w:ascii="Arial" w:hAnsi="Arial" w:cs="Arial"/>
        </w:rPr>
      </w:pPr>
    </w:p>
    <w:p w14:paraId="0DAA10FB" w14:textId="77777777" w:rsidR="00326021" w:rsidRPr="003866C4" w:rsidRDefault="00326021" w:rsidP="00326021">
      <w:pPr>
        <w:ind w:hanging="720"/>
        <w:jc w:val="both"/>
        <w:rPr>
          <w:rFonts w:ascii="Arial" w:hAnsi="Arial" w:cs="Arial"/>
        </w:rPr>
      </w:pPr>
      <w:r w:rsidRPr="003866C4">
        <w:rPr>
          <w:rFonts w:ascii="Arial" w:hAnsi="Arial" w:cs="Arial"/>
        </w:rPr>
        <w:t xml:space="preserve">Sanusi, K. A. (2020). Fiscal dominance and inflation: Evidence from Nigerian and South African's experiences. Cogent Economics &amp; Finance, 8(1). </w:t>
      </w:r>
      <w:hyperlink r:id="rId37" w:history="1">
        <w:r w:rsidRPr="003866C4">
          <w:rPr>
            <w:rStyle w:val="Hyperlink"/>
            <w:rFonts w:ascii="Arial" w:hAnsi="Arial" w:cs="Arial"/>
          </w:rPr>
          <w:t>https://doi.org/10.1080/23322039.2020.1814508</w:t>
        </w:r>
      </w:hyperlink>
    </w:p>
    <w:p w14:paraId="505A1B6A" w14:textId="77777777" w:rsidR="00326021" w:rsidRPr="003866C4" w:rsidRDefault="00326021" w:rsidP="00326021">
      <w:pPr>
        <w:ind w:hanging="720"/>
        <w:jc w:val="both"/>
        <w:rPr>
          <w:rFonts w:ascii="Arial" w:hAnsi="Arial" w:cs="Arial"/>
        </w:rPr>
      </w:pPr>
    </w:p>
    <w:p w14:paraId="2BDA8E1F" w14:textId="77777777" w:rsidR="00326021" w:rsidRPr="003866C4" w:rsidRDefault="00326021" w:rsidP="00326021">
      <w:pPr>
        <w:ind w:hanging="720"/>
        <w:jc w:val="both"/>
        <w:rPr>
          <w:rFonts w:ascii="Arial" w:hAnsi="Arial" w:cs="Arial"/>
        </w:rPr>
      </w:pPr>
      <w:r w:rsidRPr="003866C4">
        <w:rPr>
          <w:rFonts w:ascii="Arial" w:hAnsi="Arial" w:cs="Arial"/>
        </w:rPr>
        <w:t>Shah, S. S. A., Khan, N., &amp; Sun, J. S. (2024). Is public debt inflationary in developing countries? New empirical insights from a panel data analysis. Studies in Economics and Econometrics, 48(3), 205–220.</w:t>
      </w:r>
    </w:p>
    <w:p w14:paraId="7A8B0237" w14:textId="77777777" w:rsidR="00326021" w:rsidRPr="003866C4" w:rsidRDefault="00326021" w:rsidP="00326021">
      <w:pPr>
        <w:ind w:hanging="720"/>
        <w:jc w:val="both"/>
        <w:rPr>
          <w:rFonts w:ascii="Arial" w:hAnsi="Arial" w:cs="Arial"/>
        </w:rPr>
      </w:pPr>
    </w:p>
    <w:p w14:paraId="41E0F8B5" w14:textId="77777777" w:rsidR="00326021" w:rsidRPr="003866C4" w:rsidRDefault="00326021" w:rsidP="00326021">
      <w:pPr>
        <w:ind w:hanging="720"/>
        <w:jc w:val="both"/>
        <w:rPr>
          <w:rFonts w:ascii="Arial" w:hAnsi="Arial" w:cs="Arial"/>
        </w:rPr>
      </w:pPr>
      <w:proofErr w:type="spellStart"/>
      <w:r w:rsidRPr="003866C4">
        <w:rPr>
          <w:rFonts w:ascii="Arial" w:hAnsi="Arial" w:cs="Arial"/>
        </w:rPr>
        <w:t>Shuaibu</w:t>
      </w:r>
      <w:proofErr w:type="spellEnd"/>
      <w:r w:rsidRPr="003866C4">
        <w:rPr>
          <w:rFonts w:ascii="Arial" w:hAnsi="Arial" w:cs="Arial"/>
        </w:rPr>
        <w:t xml:space="preserve">, M., Muhammad, H. M., Abdullahi, S., &amp; </w:t>
      </w:r>
      <w:proofErr w:type="spellStart"/>
      <w:r w:rsidRPr="003866C4">
        <w:rPr>
          <w:rFonts w:ascii="Arial" w:hAnsi="Arial" w:cs="Arial"/>
        </w:rPr>
        <w:t>Gwazawa</w:t>
      </w:r>
      <w:proofErr w:type="spellEnd"/>
      <w:r w:rsidRPr="003866C4">
        <w:rPr>
          <w:rFonts w:ascii="Arial" w:hAnsi="Arial" w:cs="Arial"/>
        </w:rPr>
        <w:t>, U. G. (2021). Impact of public debt on inflation and unemployment in Nigeria: An ARDL vector error correction model. Noble International Journal of Economics and Financial Research, 6(10), 100–112.</w:t>
      </w:r>
    </w:p>
    <w:p w14:paraId="6EB213FD" w14:textId="77777777" w:rsidR="00326021" w:rsidRPr="003866C4" w:rsidRDefault="00326021" w:rsidP="00326021">
      <w:pPr>
        <w:ind w:hanging="720"/>
        <w:jc w:val="both"/>
        <w:rPr>
          <w:rFonts w:ascii="Arial" w:hAnsi="Arial" w:cs="Arial"/>
        </w:rPr>
      </w:pPr>
    </w:p>
    <w:p w14:paraId="40B5C1C1" w14:textId="77777777" w:rsidR="00326021" w:rsidRPr="003866C4" w:rsidRDefault="00326021" w:rsidP="00326021">
      <w:pPr>
        <w:ind w:hanging="720"/>
        <w:jc w:val="both"/>
        <w:rPr>
          <w:rFonts w:ascii="Arial" w:hAnsi="Arial" w:cs="Arial"/>
        </w:rPr>
      </w:pPr>
      <w:r w:rsidRPr="003866C4">
        <w:rPr>
          <w:rFonts w:ascii="Arial" w:hAnsi="Arial" w:cs="Arial"/>
        </w:rPr>
        <w:lastRenderedPageBreak/>
        <w:t>Stella, P. (2021). Interpreting modern monetary reality. Journal of Applied Corporate Finance, 33(4), 40–49.</w:t>
      </w:r>
    </w:p>
    <w:p w14:paraId="17D6D1DF" w14:textId="77777777" w:rsidR="00326021" w:rsidRPr="003866C4" w:rsidRDefault="00326021" w:rsidP="00326021">
      <w:pPr>
        <w:ind w:hanging="720"/>
        <w:jc w:val="both"/>
        <w:rPr>
          <w:rFonts w:ascii="Arial" w:hAnsi="Arial" w:cs="Arial"/>
        </w:rPr>
      </w:pPr>
    </w:p>
    <w:p w14:paraId="273E19CD" w14:textId="77777777" w:rsidR="00326021" w:rsidRPr="003866C4" w:rsidRDefault="00326021" w:rsidP="00326021">
      <w:pPr>
        <w:ind w:hanging="720"/>
        <w:jc w:val="both"/>
        <w:rPr>
          <w:rFonts w:ascii="Arial" w:hAnsi="Arial" w:cs="Arial"/>
        </w:rPr>
      </w:pPr>
      <w:r w:rsidRPr="003866C4">
        <w:rPr>
          <w:rFonts w:ascii="Arial" w:hAnsi="Arial" w:cs="Arial"/>
        </w:rPr>
        <w:t xml:space="preserve">Sumba, J. O., </w:t>
      </w:r>
      <w:proofErr w:type="spellStart"/>
      <w:r w:rsidRPr="003866C4">
        <w:rPr>
          <w:rFonts w:ascii="Arial" w:hAnsi="Arial" w:cs="Arial"/>
        </w:rPr>
        <w:t>Ochenge</w:t>
      </w:r>
      <w:proofErr w:type="spellEnd"/>
      <w:r w:rsidRPr="003866C4">
        <w:rPr>
          <w:rFonts w:ascii="Arial" w:hAnsi="Arial" w:cs="Arial"/>
        </w:rPr>
        <w:t xml:space="preserve">, R., </w:t>
      </w:r>
      <w:proofErr w:type="spellStart"/>
      <w:r w:rsidRPr="003866C4">
        <w:rPr>
          <w:rFonts w:ascii="Arial" w:hAnsi="Arial" w:cs="Arial"/>
        </w:rPr>
        <w:t>Mugambi</w:t>
      </w:r>
      <w:proofErr w:type="spellEnd"/>
      <w:r w:rsidRPr="003866C4">
        <w:rPr>
          <w:rFonts w:ascii="Arial" w:hAnsi="Arial" w:cs="Arial"/>
        </w:rPr>
        <w:t xml:space="preserve">, P., &amp; </w:t>
      </w:r>
      <w:proofErr w:type="spellStart"/>
      <w:r w:rsidRPr="003866C4">
        <w:rPr>
          <w:rFonts w:ascii="Arial" w:hAnsi="Arial" w:cs="Arial"/>
        </w:rPr>
        <w:t>Musafiri</w:t>
      </w:r>
      <w:proofErr w:type="spellEnd"/>
      <w:r w:rsidRPr="003866C4">
        <w:rPr>
          <w:rFonts w:ascii="Arial" w:hAnsi="Arial" w:cs="Arial"/>
        </w:rPr>
        <w:t xml:space="preserve">, C. M. (2024). Public debt and macroeconomic stability among sub-Saharan African countries: A system GMM test approach. Cogent Economics &amp; Finance, 12(1), 1–16. </w:t>
      </w:r>
      <w:hyperlink r:id="rId38" w:history="1">
        <w:r w:rsidRPr="003866C4">
          <w:rPr>
            <w:rStyle w:val="Hyperlink"/>
            <w:rFonts w:ascii="Arial" w:hAnsi="Arial" w:cs="Arial"/>
          </w:rPr>
          <w:t>https://doi.org/10.1080/23322039.2024.2326451</w:t>
        </w:r>
      </w:hyperlink>
    </w:p>
    <w:p w14:paraId="14709362" w14:textId="77777777" w:rsidR="00326021" w:rsidRPr="003866C4" w:rsidRDefault="00326021" w:rsidP="00326021">
      <w:pPr>
        <w:ind w:hanging="720"/>
        <w:jc w:val="both"/>
        <w:rPr>
          <w:rFonts w:ascii="Arial" w:hAnsi="Arial" w:cs="Arial"/>
        </w:rPr>
      </w:pPr>
    </w:p>
    <w:p w14:paraId="3DD2DC23" w14:textId="77777777" w:rsidR="00326021" w:rsidRPr="003866C4" w:rsidRDefault="00326021" w:rsidP="00326021">
      <w:pPr>
        <w:ind w:hanging="720"/>
        <w:jc w:val="both"/>
        <w:rPr>
          <w:rFonts w:ascii="Arial" w:hAnsi="Arial" w:cs="Arial"/>
        </w:rPr>
      </w:pPr>
      <w:r w:rsidRPr="003866C4">
        <w:rPr>
          <w:rFonts w:ascii="Arial" w:hAnsi="Arial" w:cs="Arial"/>
        </w:rPr>
        <w:t>Sutherland, A. (1997). Fiscal crises and aggregate demand: Can high public debt reverse the effects of fiscal policy? Journal of Public Economics, 65(2), 147–162.</w:t>
      </w:r>
    </w:p>
    <w:p w14:paraId="5D53F3C5" w14:textId="77777777" w:rsidR="00326021" w:rsidRPr="003866C4" w:rsidRDefault="00326021" w:rsidP="00326021">
      <w:pPr>
        <w:ind w:hanging="720"/>
        <w:jc w:val="both"/>
        <w:rPr>
          <w:rFonts w:ascii="Arial" w:hAnsi="Arial" w:cs="Arial"/>
        </w:rPr>
      </w:pPr>
    </w:p>
    <w:p w14:paraId="78BBAA39" w14:textId="77777777" w:rsidR="00326021" w:rsidRPr="003866C4" w:rsidRDefault="00326021" w:rsidP="00326021">
      <w:pPr>
        <w:ind w:hanging="720"/>
        <w:jc w:val="both"/>
        <w:rPr>
          <w:rFonts w:ascii="Arial" w:hAnsi="Arial" w:cs="Arial"/>
        </w:rPr>
      </w:pPr>
      <w:r w:rsidRPr="003866C4">
        <w:rPr>
          <w:rFonts w:ascii="Arial" w:hAnsi="Arial" w:cs="Arial"/>
        </w:rPr>
        <w:t>Uribe, M. (2016). Is the monetarist arithmetic unpleasant? (NBER Working Paper No. 22866). National Bureau of Economic Research.</w:t>
      </w:r>
    </w:p>
    <w:bookmarkEnd w:id="5"/>
    <w:p w14:paraId="527E4EDB" w14:textId="77777777" w:rsidR="00326021" w:rsidRPr="003866C4" w:rsidRDefault="00326021" w:rsidP="00326021"/>
    <w:p w14:paraId="24D8C0F3" w14:textId="77777777" w:rsidR="00B01FCD" w:rsidRPr="00FB3A86" w:rsidRDefault="00B01FCD" w:rsidP="00326021">
      <w:pPr>
        <w:pStyle w:val="Appendix"/>
        <w:spacing w:after="0"/>
        <w:jc w:val="both"/>
        <w:rPr>
          <w:rFonts w:ascii="Arial" w:hAnsi="Arial" w:cs="Arial"/>
          <w:b w:val="0"/>
        </w:rPr>
      </w:pPr>
    </w:p>
    <w:sectPr w:rsidR="00B01FCD" w:rsidRPr="00FB3A86" w:rsidSect="009E2C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BBA4A" w14:textId="77777777" w:rsidR="00BC0561" w:rsidRDefault="00BC0561" w:rsidP="00C37E61">
      <w:r>
        <w:separator/>
      </w:r>
    </w:p>
  </w:endnote>
  <w:endnote w:type="continuationSeparator" w:id="0">
    <w:p w14:paraId="55F8DA8C" w14:textId="77777777" w:rsidR="00BC0561" w:rsidRDefault="00BC056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5F148" w14:textId="77777777" w:rsidR="009E048A" w:rsidRDefault="009E048A">
    <w:pPr>
      <w:pStyle w:val="Footer"/>
      <w:rPr>
        <w:rFonts w:ascii="Arial" w:hAnsi="Arial" w:cs="Arial"/>
        <w:sz w:val="16"/>
      </w:rPr>
    </w:pPr>
  </w:p>
  <w:p w14:paraId="5166197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4EBE0EA" w14:textId="77777777" w:rsidR="009E048A" w:rsidRDefault="009E048A">
    <w:pPr>
      <w:pStyle w:val="Footer"/>
      <w:rPr>
        <w:rFonts w:ascii="Arial" w:hAnsi="Arial" w:cs="Arial"/>
        <w:sz w:val="16"/>
      </w:rPr>
    </w:pPr>
  </w:p>
  <w:p w14:paraId="7820666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0BE2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8C08C" w14:textId="77777777" w:rsidR="00BC0561" w:rsidRDefault="00BC0561" w:rsidP="00C37E61">
      <w:r>
        <w:separator/>
      </w:r>
    </w:p>
  </w:footnote>
  <w:footnote w:type="continuationSeparator" w:id="0">
    <w:p w14:paraId="6D109215" w14:textId="77777777" w:rsidR="00BC0561" w:rsidRDefault="00BC056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F6E11" w14:textId="42776D37" w:rsidR="00AD2E6C" w:rsidRDefault="00AD2E6C">
    <w:pPr>
      <w:pStyle w:val="Header"/>
    </w:pPr>
    <w:r>
      <w:rPr>
        <w:noProof/>
      </w:rPr>
      <w:pict w14:anchorId="7AD117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411118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FB2BE" w14:textId="4E679B0F" w:rsidR="00AD2E6C" w:rsidRDefault="00AD2E6C">
    <w:pPr>
      <w:pStyle w:val="Header"/>
    </w:pPr>
    <w:r>
      <w:rPr>
        <w:noProof/>
      </w:rPr>
      <w:pict w14:anchorId="2F619A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411119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1D662" w14:textId="78DD3519" w:rsidR="00296529" w:rsidRPr="00296529" w:rsidRDefault="00AD2E6C" w:rsidP="00296529">
    <w:pPr>
      <w:ind w:left="2160"/>
      <w:jc w:val="center"/>
      <w:rPr>
        <w:rFonts w:ascii="Times New Roman" w:eastAsia="Calibri" w:hAnsi="Times New Roman"/>
        <w:i/>
        <w:sz w:val="18"/>
        <w:szCs w:val="22"/>
      </w:rPr>
    </w:pPr>
    <w:r>
      <w:rPr>
        <w:noProof/>
      </w:rPr>
      <w:pict w14:anchorId="72BA87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411118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AAA25B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C7605E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6CDEEC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54EED9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FFC84E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58378B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CE272" w14:textId="14157D83" w:rsidR="00AD2E6C" w:rsidRDefault="00AD2E6C">
    <w:pPr>
      <w:pStyle w:val="Header"/>
    </w:pPr>
    <w:r>
      <w:rPr>
        <w:noProof/>
      </w:rPr>
      <w:pict w14:anchorId="25644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411119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9861B" w14:textId="6ED5F065" w:rsidR="00AD2E6C" w:rsidRDefault="00AD2E6C">
    <w:pPr>
      <w:pStyle w:val="Header"/>
    </w:pPr>
    <w:r>
      <w:rPr>
        <w:noProof/>
      </w:rPr>
      <w:pict w14:anchorId="7A3C1A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411119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95142" w14:textId="447BA203" w:rsidR="00AD2E6C" w:rsidRDefault="00AD2E6C">
    <w:pPr>
      <w:pStyle w:val="Header"/>
    </w:pPr>
    <w:r>
      <w:rPr>
        <w:noProof/>
      </w:rPr>
      <w:pict w14:anchorId="228E34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411119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D613F78"/>
    <w:multiLevelType w:val="hybridMultilevel"/>
    <w:tmpl w:val="AF4A5DB0"/>
    <w:lvl w:ilvl="0" w:tplc="D0D8A5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1EA29A1"/>
    <w:multiLevelType w:val="hybridMultilevel"/>
    <w:tmpl w:val="BF2C8C3E"/>
    <w:lvl w:ilvl="0" w:tplc="62CC88DC">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63A0335"/>
    <w:multiLevelType w:val="hybridMultilevel"/>
    <w:tmpl w:val="24763838"/>
    <w:lvl w:ilvl="0" w:tplc="E4D2E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18"/>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7"/>
  </w:num>
  <w:num w:numId="27">
    <w:abstractNumId w:val="23"/>
  </w:num>
  <w:num w:numId="28">
    <w:abstractNumId w:val="30"/>
  </w:num>
  <w:num w:numId="29">
    <w:abstractNumId w:val="27"/>
  </w:num>
  <w:num w:numId="30">
    <w:abstractNumId w:val="11"/>
  </w:num>
  <w:num w:numId="31">
    <w:abstractNumId w:val="20"/>
  </w:num>
  <w:num w:numId="32">
    <w:abstractNumId w:val="9"/>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D6B91"/>
    <w:rsid w:val="001E10D2"/>
    <w:rsid w:val="001E25B4"/>
    <w:rsid w:val="001E44FE"/>
    <w:rsid w:val="00200595"/>
    <w:rsid w:val="00204835"/>
    <w:rsid w:val="00225636"/>
    <w:rsid w:val="00231920"/>
    <w:rsid w:val="0023195C"/>
    <w:rsid w:val="00236ADE"/>
    <w:rsid w:val="0024282C"/>
    <w:rsid w:val="002460DC"/>
    <w:rsid w:val="00250985"/>
    <w:rsid w:val="002556F6"/>
    <w:rsid w:val="00283105"/>
    <w:rsid w:val="00284C4C"/>
    <w:rsid w:val="00287E68"/>
    <w:rsid w:val="00296529"/>
    <w:rsid w:val="002B27FB"/>
    <w:rsid w:val="002B685A"/>
    <w:rsid w:val="002C57D2"/>
    <w:rsid w:val="002E0D56"/>
    <w:rsid w:val="00315186"/>
    <w:rsid w:val="00317537"/>
    <w:rsid w:val="00326021"/>
    <w:rsid w:val="0033343E"/>
    <w:rsid w:val="003512C2"/>
    <w:rsid w:val="00371FB6"/>
    <w:rsid w:val="003763C1"/>
    <w:rsid w:val="00376BBE"/>
    <w:rsid w:val="00385CAF"/>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E5289"/>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000A"/>
    <w:rsid w:val="00686953"/>
    <w:rsid w:val="00687DEA"/>
    <w:rsid w:val="00687E67"/>
    <w:rsid w:val="006967F7"/>
    <w:rsid w:val="006A250C"/>
    <w:rsid w:val="006B07DA"/>
    <w:rsid w:val="006B21D3"/>
    <w:rsid w:val="006B57D0"/>
    <w:rsid w:val="006D30FF"/>
    <w:rsid w:val="006D6940"/>
    <w:rsid w:val="006F11EC"/>
    <w:rsid w:val="0070082C"/>
    <w:rsid w:val="0070373B"/>
    <w:rsid w:val="007369E6"/>
    <w:rsid w:val="00746E59"/>
    <w:rsid w:val="00754C9A"/>
    <w:rsid w:val="0075599A"/>
    <w:rsid w:val="00761D52"/>
    <w:rsid w:val="0077749E"/>
    <w:rsid w:val="00790ADA"/>
    <w:rsid w:val="007D2288"/>
    <w:rsid w:val="007E088F"/>
    <w:rsid w:val="007F7B32"/>
    <w:rsid w:val="0080182A"/>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2C16"/>
    <w:rsid w:val="009E3DB9"/>
    <w:rsid w:val="009E6E35"/>
    <w:rsid w:val="009F0EDA"/>
    <w:rsid w:val="00A03B96"/>
    <w:rsid w:val="00A05B19"/>
    <w:rsid w:val="00A1134E"/>
    <w:rsid w:val="00A24E7E"/>
    <w:rsid w:val="00A258C3"/>
    <w:rsid w:val="00A347C0"/>
    <w:rsid w:val="00A51431"/>
    <w:rsid w:val="00A539AD"/>
    <w:rsid w:val="00A74774"/>
    <w:rsid w:val="00A94063"/>
    <w:rsid w:val="00AA6219"/>
    <w:rsid w:val="00AA74E0"/>
    <w:rsid w:val="00AB703F"/>
    <w:rsid w:val="00AC6BB8"/>
    <w:rsid w:val="00AD2E6C"/>
    <w:rsid w:val="00AE008F"/>
    <w:rsid w:val="00AE19C6"/>
    <w:rsid w:val="00B01FCD"/>
    <w:rsid w:val="00B1776C"/>
    <w:rsid w:val="00B52583"/>
    <w:rsid w:val="00B52896"/>
    <w:rsid w:val="00B95236"/>
    <w:rsid w:val="00B96BD9"/>
    <w:rsid w:val="00BA1B01"/>
    <w:rsid w:val="00BA2641"/>
    <w:rsid w:val="00BB37AA"/>
    <w:rsid w:val="00BC0561"/>
    <w:rsid w:val="00BC53A0"/>
    <w:rsid w:val="00BE62AD"/>
    <w:rsid w:val="00BF121F"/>
    <w:rsid w:val="00BF1F80"/>
    <w:rsid w:val="00C166EF"/>
    <w:rsid w:val="00C17EB0"/>
    <w:rsid w:val="00C27F5F"/>
    <w:rsid w:val="00C30A0F"/>
    <w:rsid w:val="00C32177"/>
    <w:rsid w:val="00C37E61"/>
    <w:rsid w:val="00C4031C"/>
    <w:rsid w:val="00C70F1B"/>
    <w:rsid w:val="00C71A47"/>
    <w:rsid w:val="00C7464C"/>
    <w:rsid w:val="00C85588"/>
    <w:rsid w:val="00CC7C28"/>
    <w:rsid w:val="00CD6755"/>
    <w:rsid w:val="00CD6856"/>
    <w:rsid w:val="00CE0089"/>
    <w:rsid w:val="00CE793C"/>
    <w:rsid w:val="00CF193C"/>
    <w:rsid w:val="00D173F1"/>
    <w:rsid w:val="00D5081E"/>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C7D28"/>
    <w:rsid w:val="00ED0288"/>
    <w:rsid w:val="00EE52CB"/>
    <w:rsid w:val="00EF581D"/>
    <w:rsid w:val="00EF7FD8"/>
    <w:rsid w:val="00F06F59"/>
    <w:rsid w:val="00F17988"/>
    <w:rsid w:val="00F26C58"/>
    <w:rsid w:val="00F469F0"/>
    <w:rsid w:val="00F53273"/>
    <w:rsid w:val="00F755E4"/>
    <w:rsid w:val="00F77D02"/>
    <w:rsid w:val="00FA17F5"/>
    <w:rsid w:val="00FB3A86"/>
    <w:rsid w:val="00FD36C8"/>
    <w:rsid w:val="00FE0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D9D8F0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mainspantag">
    <w:name w:val="main_span_tag"/>
    <w:basedOn w:val="DefaultParagraphFont"/>
    <w:rsid w:val="0080182A"/>
  </w:style>
  <w:style w:type="paragraph" w:styleId="ListParagraph">
    <w:name w:val="List Paragraph"/>
    <w:basedOn w:val="Normal"/>
    <w:uiPriority w:val="34"/>
    <w:qFormat/>
    <w:rsid w:val="0080182A"/>
    <w:pPr>
      <w:spacing w:after="160" w:line="259"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85CAF"/>
    <w:rPr>
      <w:rFonts w:ascii="Helvetica" w:hAnsi="Helvetica"/>
    </w:rPr>
  </w:style>
  <w:style w:type="character" w:customStyle="1" w:styleId="FooterChar">
    <w:name w:val="Footer Char"/>
    <w:basedOn w:val="DefaultParagraphFont"/>
    <w:link w:val="Footer"/>
    <w:uiPriority w:val="99"/>
    <w:rsid w:val="00385CAF"/>
    <w:rPr>
      <w:rFonts w:ascii="Helvetica" w:hAnsi="Helvetica"/>
    </w:rPr>
  </w:style>
  <w:style w:type="character" w:customStyle="1" w:styleId="grammarchecknew">
    <w:name w:val="grammarcheck_new"/>
    <w:basedOn w:val="DefaultParagraphFont"/>
    <w:rsid w:val="00385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71146085">
      <w:bodyDiv w:val="1"/>
      <w:marLeft w:val="0"/>
      <w:marRight w:val="0"/>
      <w:marTop w:val="0"/>
      <w:marBottom w:val="0"/>
      <w:divBdr>
        <w:top w:val="none" w:sz="0" w:space="0" w:color="auto"/>
        <w:left w:val="none" w:sz="0" w:space="0" w:color="auto"/>
        <w:bottom w:val="none" w:sz="0" w:space="0" w:color="auto"/>
        <w:right w:val="none" w:sz="0" w:space="0" w:color="auto"/>
      </w:divBdr>
    </w:div>
    <w:div w:id="168305054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mpra.ub.uni-muenchen.de/88786/" TargetMode="External"/><Relationship Id="rId26" Type="http://schemas.openxmlformats.org/officeDocument/2006/relationships/hyperlink" Target="https://doi.org/10.1016/j.frl.2021.102353" TargetMode="External"/><Relationship Id="rId39" Type="http://schemas.openxmlformats.org/officeDocument/2006/relationships/fontTable" Target="fontTable.xml"/><Relationship Id="rId21" Type="http://schemas.openxmlformats.org/officeDocument/2006/relationships/hyperlink" Target="https://doi.org/10.1177/09763996221103003" TargetMode="External"/><Relationship Id="rId34" Type="http://schemas.openxmlformats.org/officeDocument/2006/relationships/hyperlink" Target="https://doi.org/10.1111/apce.12367"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6.xml"/><Relationship Id="rId25" Type="http://schemas.openxmlformats.org/officeDocument/2006/relationships/hyperlink" Target="https://doi.org/10.60089/dbebj.2023.3.3.13" TargetMode="External"/><Relationship Id="rId33" Type="http://schemas.openxmlformats.org/officeDocument/2006/relationships/hyperlink" Target="https://doi.org/10.1787/050184860264" TargetMode="External"/><Relationship Id="rId38" Type="http://schemas.openxmlformats.org/officeDocument/2006/relationships/hyperlink" Target="https://doi.org/10.1080/23322039.2024.2326451"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doi.org/10.1080/23322039.2021.1911439" TargetMode="External"/><Relationship Id="rId29" Type="http://schemas.openxmlformats.org/officeDocument/2006/relationships/hyperlink" Target="https://doi.org/10.56293/IJMSSSR.2024.49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1016/j.jimonfin.2024.103144" TargetMode="External"/><Relationship Id="rId32" Type="http://schemas.openxmlformats.org/officeDocument/2006/relationships/hyperlink" Target="https://doi.org/10.1108/IJOEM-03-2024-0515" TargetMode="External"/><Relationship Id="rId37" Type="http://schemas.openxmlformats.org/officeDocument/2006/relationships/hyperlink" Target="https://doi.org/10.1080/23322039.2020.1814508"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www.nber.org/papers/w28195" TargetMode="External"/><Relationship Id="rId28" Type="http://schemas.openxmlformats.org/officeDocument/2006/relationships/hyperlink" Target="https://erepository.uonbi.ac.ke/server/api/core/bitstreams/deabce50-5c06-4669-9cbf-7e5871d05943/content" TargetMode="External"/><Relationship Id="rId36" Type="http://schemas.openxmlformats.org/officeDocument/2006/relationships/hyperlink" Target="https://doi.org/10.1093/acprof:oso/9780198736912.001.0001" TargetMode="External"/><Relationship Id="rId10" Type="http://schemas.openxmlformats.org/officeDocument/2006/relationships/header" Target="header3.xml"/><Relationship Id="rId19" Type="http://schemas.openxmlformats.org/officeDocument/2006/relationships/hyperlink" Target="https://doi.org/10.1080/21665095.2021.1915498" TargetMode="External"/><Relationship Id="rId31" Type="http://schemas.openxmlformats.org/officeDocument/2006/relationships/hyperlink" Target="https://doi.org/10.2866/98345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22617/WPS240396-2" TargetMode="External"/><Relationship Id="rId27" Type="http://schemas.openxmlformats.org/officeDocument/2006/relationships/hyperlink" Target="https://doi.org/10.11648/J.AJTAB.20200603.14" TargetMode="External"/><Relationship Id="rId30" Type="http://schemas.openxmlformats.org/officeDocument/2006/relationships/hyperlink" Target="https://api.semanticscholar.org/CorpusID:237739636" TargetMode="External"/><Relationship Id="rId35" Type="http://schemas.openxmlformats.org/officeDocument/2006/relationships/hyperlink" Target="https://doi.org/10.9734/ajeba/2024/v24i61353" TargetMode="Externa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8358C-3656-48A3-BE10-47EB8A26A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326</TotalTime>
  <Pages>1</Pages>
  <Words>11547</Words>
  <Characters>65822</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77215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RAJAT SHAW</cp:lastModifiedBy>
  <cp:revision>11</cp:revision>
  <cp:lastPrinted>1999-07-06T11:00:00Z</cp:lastPrinted>
  <dcterms:created xsi:type="dcterms:W3CDTF">2026-06-21T20:09:00Z</dcterms:created>
  <dcterms:modified xsi:type="dcterms:W3CDTF">2026-06-22T17:08:00Z</dcterms:modified>
</cp:coreProperties>
</file>