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9B93E" w14:textId="2A37CD74" w:rsidR="00B05A71" w:rsidRPr="00692AF5" w:rsidRDefault="00C2401C" w:rsidP="00055D83">
      <w:pPr>
        <w:spacing w:before="0" w:line="240" w:lineRule="auto"/>
        <w:jc w:val="center"/>
        <w:rPr>
          <w:rFonts w:cs="Times New Roman"/>
          <w:b/>
          <w:bCs/>
          <w:color w:val="000000" w:themeColor="text1"/>
          <w:sz w:val="36"/>
          <w:szCs w:val="36"/>
        </w:rPr>
      </w:pPr>
      <w:r w:rsidRPr="00692AF5">
        <w:rPr>
          <w:rFonts w:cs="Times New Roman"/>
          <w:b/>
          <w:bCs/>
          <w:color w:val="000000" w:themeColor="text1"/>
          <w:sz w:val="36"/>
          <w:szCs w:val="36"/>
        </w:rPr>
        <w:t xml:space="preserve">STRATEGIC RESPONSES AND PERFORMANCE OF </w:t>
      </w:r>
      <w:bookmarkStart w:id="0" w:name="_Hlk232695405"/>
      <w:r w:rsidRPr="00692AF5">
        <w:rPr>
          <w:rFonts w:cs="Times New Roman"/>
          <w:b/>
          <w:bCs/>
          <w:color w:val="000000" w:themeColor="text1"/>
          <w:sz w:val="36"/>
          <w:szCs w:val="36"/>
        </w:rPr>
        <w:t>KENYA REVENUE AUTHORITY</w:t>
      </w:r>
      <w:bookmarkEnd w:id="0"/>
      <w:r w:rsidRPr="00692AF5">
        <w:rPr>
          <w:rFonts w:cs="Times New Roman"/>
          <w:b/>
          <w:bCs/>
          <w:color w:val="000000" w:themeColor="text1"/>
          <w:sz w:val="36"/>
          <w:szCs w:val="36"/>
        </w:rPr>
        <w:t xml:space="preserve"> IN NAIROBI COUNTY, KENYA</w:t>
      </w:r>
    </w:p>
    <w:p w14:paraId="362DBFAE" w14:textId="77777777" w:rsidR="007B468C" w:rsidRPr="00692AF5" w:rsidRDefault="007B468C" w:rsidP="00055D83">
      <w:pPr>
        <w:spacing w:before="0" w:line="240" w:lineRule="auto"/>
        <w:jc w:val="center"/>
        <w:rPr>
          <w:rFonts w:cs="Times New Roman"/>
          <w:color w:val="000000" w:themeColor="text1"/>
          <w:szCs w:val="24"/>
        </w:rPr>
      </w:pPr>
    </w:p>
    <w:p w14:paraId="26A1F76F" w14:textId="77777777" w:rsidR="00DD21C0" w:rsidRPr="00692AF5" w:rsidRDefault="00DD21C0" w:rsidP="00055D83">
      <w:pPr>
        <w:spacing w:before="0" w:line="240" w:lineRule="auto"/>
        <w:jc w:val="center"/>
        <w:rPr>
          <w:rFonts w:cs="Times New Roman"/>
          <w:color w:val="000000" w:themeColor="text1"/>
          <w:szCs w:val="24"/>
        </w:rPr>
      </w:pPr>
    </w:p>
    <w:p w14:paraId="43D2AA90" w14:textId="77777777" w:rsidR="007C3182" w:rsidRPr="00692AF5" w:rsidRDefault="007C3182" w:rsidP="00055D83">
      <w:pPr>
        <w:spacing w:before="0" w:line="240" w:lineRule="auto"/>
        <w:jc w:val="center"/>
        <w:rPr>
          <w:rFonts w:cs="Times New Roman"/>
          <w:color w:val="000000" w:themeColor="text1"/>
          <w:szCs w:val="24"/>
        </w:rPr>
      </w:pPr>
    </w:p>
    <w:p w14:paraId="42946DD8" w14:textId="77777777" w:rsidR="00055D83" w:rsidRPr="00692AF5" w:rsidRDefault="00055D83" w:rsidP="004737A8">
      <w:pPr>
        <w:spacing w:before="0" w:line="240" w:lineRule="auto"/>
        <w:jc w:val="center"/>
        <w:rPr>
          <w:b/>
          <w:sz w:val="28"/>
        </w:rPr>
      </w:pPr>
      <w:bookmarkStart w:id="1" w:name="_Toc488404692"/>
      <w:bookmarkStart w:id="2" w:name="_Toc102409737"/>
      <w:r w:rsidRPr="00692AF5">
        <w:rPr>
          <w:b/>
          <w:sz w:val="28"/>
        </w:rPr>
        <w:t>ABSTRACT</w:t>
      </w:r>
      <w:bookmarkEnd w:id="1"/>
      <w:bookmarkEnd w:id="2"/>
    </w:p>
    <w:p w14:paraId="33405D5C" w14:textId="690F806C" w:rsidR="00C2401C" w:rsidRPr="00692AF5" w:rsidRDefault="00C2401C" w:rsidP="00C2401C">
      <w:pPr>
        <w:spacing w:line="240" w:lineRule="auto"/>
        <w:rPr>
          <w:rFonts w:cs="Times New Roman"/>
          <w:color w:val="000000" w:themeColor="text1"/>
          <w:szCs w:val="24"/>
        </w:rPr>
      </w:pPr>
      <w:r w:rsidRPr="00692AF5">
        <w:rPr>
          <w:rFonts w:cs="Times New Roman"/>
          <w:color w:val="000000" w:themeColor="text1"/>
          <w:szCs w:val="24"/>
        </w:rPr>
        <w:t>Despite implementing strategic management practices, the Kenya Revenue Authority (KRA) consistently experiences revenue shortfalls, highlighting potential gaps in strategy execution. Grounded in the Resource-Based View (RBV) theory and the Technology Acceptance Model (TAM), this study investigated the effects of strategic responses on organizational performance at KRA’s Nairobi headquarters, focusing on customer-centric approaches, brand positioning, technological integration, and data-driven decision-making. A descriptive research design utilized a census approach targeting 180 employees, sampling 50% from middle-level (n=116) and senior (n=64) cadres across three primary departments. Data reliability was verified using Cronbach’s alpha (alpha 0.7), and analyzed via descriptive and inferential statistics. Regression analysis revealed that data-driven decision-making exerted the strongest positive impact on performance (B= 1.399, p = 0.008), significantly improving compliance and forecasting. Strategic brand positioning also highly influenced performance (B = 1.240, p = 0.000) by fostering stakeholder trust and institutional legitimacy. Customer-centric approaches significantly driven efficiency (\beta = 0.662, p = 0.002), though outcomes depended heavily on implementation quality. Conversely, technological integration yielded a negative, statistically non-significant effect (B = -0.312, p = 0.535). The study concludes that customer-focused initiatives, taxpayer education, and robust brand management are critical for voluntary compliance. Furthermore, investments in technology and analytics yield optimal performance benefits only when paired with comprehensive staff training, system integration, and strong data governance. These insights offer actionable strategies for policymakers seeking to optimize tax administration and revenue mobilization.</w:t>
      </w:r>
    </w:p>
    <w:p w14:paraId="474A5808" w14:textId="77777777" w:rsidR="00C2401C" w:rsidRPr="00692AF5" w:rsidRDefault="00C2401C" w:rsidP="00C2401C">
      <w:pPr>
        <w:spacing w:line="240" w:lineRule="auto"/>
        <w:rPr>
          <w:rFonts w:cs="Times New Roman"/>
          <w:color w:val="000000" w:themeColor="text1"/>
          <w:szCs w:val="24"/>
        </w:rPr>
      </w:pPr>
    </w:p>
    <w:p w14:paraId="6DA87711" w14:textId="44FD56F9" w:rsidR="005E386E" w:rsidRPr="00692AF5" w:rsidRDefault="00C2401C" w:rsidP="00C2401C">
      <w:pPr>
        <w:spacing w:line="240" w:lineRule="auto"/>
        <w:rPr>
          <w:rFonts w:cs="Times New Roman"/>
          <w:color w:val="000000" w:themeColor="text1"/>
          <w:szCs w:val="24"/>
        </w:rPr>
      </w:pPr>
      <w:r w:rsidRPr="00692AF5">
        <w:rPr>
          <w:rFonts w:cs="Times New Roman"/>
          <w:b/>
          <w:bCs/>
          <w:color w:val="000000" w:themeColor="text1"/>
          <w:szCs w:val="24"/>
        </w:rPr>
        <w:t xml:space="preserve">Key Words: </w:t>
      </w:r>
      <w:r w:rsidRPr="00692AF5">
        <w:rPr>
          <w:rFonts w:cs="Times New Roman"/>
          <w:i/>
          <w:iCs/>
          <w:color w:val="000000" w:themeColor="text1"/>
          <w:szCs w:val="24"/>
        </w:rPr>
        <w:t>Strategic responses, Revenue mobilization, Brand positioning, Data-driven decision-making, Taxpayer compliance, Organizational performance, Tax administration</w:t>
      </w:r>
      <w:r w:rsidR="005E386E" w:rsidRPr="00692AF5">
        <w:rPr>
          <w:rFonts w:cs="Times New Roman"/>
          <w:i/>
          <w:iCs/>
          <w:color w:val="000000" w:themeColor="text1"/>
          <w:szCs w:val="24"/>
        </w:rPr>
        <w:t>.</w:t>
      </w:r>
    </w:p>
    <w:p w14:paraId="73B850E8" w14:textId="77777777" w:rsidR="004261F9" w:rsidRPr="00692AF5" w:rsidRDefault="004261F9" w:rsidP="004261F9">
      <w:pPr>
        <w:spacing w:line="240" w:lineRule="auto"/>
        <w:rPr>
          <w:rFonts w:cs="Times New Roman"/>
          <w:color w:val="000000" w:themeColor="text1"/>
          <w:szCs w:val="24"/>
        </w:rPr>
      </w:pPr>
    </w:p>
    <w:p w14:paraId="60C890DF" w14:textId="77777777" w:rsidR="00055D83" w:rsidRPr="00692AF5" w:rsidRDefault="00055D83" w:rsidP="00055D83">
      <w:pPr>
        <w:shd w:val="clear" w:color="auto" w:fill="FFFFFF"/>
        <w:spacing w:line="240" w:lineRule="auto"/>
        <w:rPr>
          <w:rFonts w:eastAsia="Times New Roman" w:cs="Times New Roman"/>
          <w:b/>
          <w:bCs/>
          <w:color w:val="000000" w:themeColor="text1"/>
          <w:sz w:val="28"/>
          <w:szCs w:val="28"/>
        </w:rPr>
      </w:pPr>
      <w:r w:rsidRPr="00692AF5">
        <w:rPr>
          <w:rFonts w:eastAsia="Times New Roman" w:cs="Times New Roman"/>
          <w:b/>
          <w:bCs/>
          <w:color w:val="000000" w:themeColor="text1"/>
          <w:sz w:val="28"/>
          <w:szCs w:val="28"/>
        </w:rPr>
        <w:t>1.0 INTRODUCTION</w:t>
      </w:r>
    </w:p>
    <w:p w14:paraId="2CBEFE8E"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In contemporary business environments, strategy is viewed as a long-term roadmap that guides organizations in achieving their performance objectives through coordinated actions, resource allocation, and informed decision-making (Braun et al., 2017). A strategy reflects an organization’s understanding of its operating environment, competitive dynamics, and the actions required to sustain competitiveness and improve performance (Munyao, 2021). Strategic management therefore involves the formulation, implementation, and evaluation of decisions aimed at achieving organizational objectives. It incorporates corporate, business-level, and operational strategies, where corporate strategy provides overall direction in line with organizational vision and mission (Kheyley &amp; Ragui, 2018; Nyong’a &amp; Maina, 2019).</w:t>
      </w:r>
    </w:p>
    <w:p w14:paraId="2CC213D3"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 xml:space="preserve">Strategic responses represent organizational adjustments to changes within the external and internal operating environment. These responses enable organizations to leverage their competencies, enhance value creation, and improve performance outcomes (Tarus &amp; Ndeto, 2021). Organizations that effectively adopt strategic responses are more likely to achieve improved performance compared to those that fail to adapt to environmental changes. In public institutions, strategic responses are particularly important because they enhance efficiency, improve service delivery, and support achievement of institutional mandates. For revenue-collecting agencies such as the Kenya </w:t>
      </w:r>
      <w:r w:rsidRPr="00692AF5">
        <w:rPr>
          <w:rFonts w:cs="Times New Roman"/>
          <w:color w:val="000000" w:themeColor="text1"/>
          <w:szCs w:val="24"/>
        </w:rPr>
        <w:lastRenderedPageBreak/>
        <w:t>Revenue Authority (KRA), strategic responses are essential in strengthening revenue mobilization and improving taxpayer engagement.</w:t>
      </w:r>
    </w:p>
    <w:p w14:paraId="2957A64C"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The Kenya Revenue Authority (KRA) was established under Chapter 469 of the Laws of Kenya and became operational on 1 July 1995. Its mandate is to assess, collect, and account for government revenue while providing guidance on matters related to revenue administration (Kenya Revenue Authority, 2022). The authority’s primary objective is to achieve government revenue targets while developing a sustainable tax base. To achieve this mandate, KRA has continuously implemented strategic initiatives aimed at improving taxpayer services, reducing the cost of revenue collection, and enhancing compliance. Consequently, its performance is largely assessed through revenue collection efficiency, taxpayer compliance, service delivery effectiveness, and achievement of annual collection targets (Tarus &amp; Ndeto, 2021).</w:t>
      </w:r>
    </w:p>
    <w:p w14:paraId="5B3F3145"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Strategic responses require organizations to modify their practices, processes, and approaches in response to environmental demands and emerging challenges (Akhter &amp; Barcellos, 2021). Organizations develop different strategic responses depending on their resources, capabilities, and competitive environments. Such responses provide organizations with competitive advantages by enabling them to anticipate changes and effectively address market or operational challenges (Snow &amp; Hambrick, 2018). In this study, strategic responses are conceptualized through customer-centric strategies and business process revitalization, which represent approaches adopted by KRA to enhance revenue mobilization.</w:t>
      </w:r>
    </w:p>
    <w:p w14:paraId="3F32F732"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Customer-centric strategies focus on creating positive customer experiences, strengthening relationships, and improving customer satisfaction to enhance organizational outcomes (Mohktar et al., 2021). Karaenke (2021) describes customer-centricity as an approach that not only improves customer experience but also contributes to organizational profitability and growth, while Ndunda (2021) emphasizes meeting customer needs and expectations as a central component of such strategies. Studies on public service delivery, including Huduma Centres and electronic government services in Kenya, demonstrate that addressing customer needs at every stage of service delivery improves adoption, satisfaction, and efficiency (Manyu, 2018; Mwangi, 2021).</w:t>
      </w:r>
    </w:p>
    <w:p w14:paraId="7C3F3D4B"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For KRA, customer-centric approaches are important because they encourage voluntary compliance, increase taxpayer retention, broaden the tax base, and reduce costs associated with taxpayer acquisition and administration (Karaenke, 2021). These approaches include tax simplification, service excellence, brand awareness, and improved trade facilitation. This study specifically focuses on tax simplification and brand awareness because of their direct influence on taxpayer experience and engagement.</w:t>
      </w:r>
    </w:p>
    <w:p w14:paraId="4D62133F"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Business process strategies involve initiatives aimed at improving organizational processes, operational efficiency, and service outcomes through restructuring and innovation (Goel et al., 2021). According to Lagula and Marklund (2018), business process strategies are closely linked to operational management practices where organizations transform competencies into efficient processes that meet customer requirements while controlling costs. Rane et al. (2019) further highlight the importance of business intelligence and data utilization in strengthening business processes. Similarly, Akumu and Nzulwa (2018) and Noah (2019) emphasize that effective business process strategies enhance efficiency by ensuring that organizational activities operate effectively.</w:t>
      </w:r>
    </w:p>
    <w:p w14:paraId="19F78AB7"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Within KRA, business process strategies include adoption of modern technologies, strengthening of big data analytics, and development of reliable information technology infrastructure. These initiatives are expected to improve compliance monitoring, enhance decision-making, and increase efficiency in revenue administration. Given the increasing role of digital transformation in public sector operations, technological advancement remains a critical component of KRA’s strategic response framework.</w:t>
      </w:r>
    </w:p>
    <w:p w14:paraId="25A10D13"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 xml:space="preserve">Organizational performance refers to an institution’s ability to effectively implement strategies and achieve predetermined objectives (Kaplan &amp; Norton, 1996). Neely, Adams, and Kennerley (2002) define performance in terms of the effectiveness and efficiency of activities undertaken to achieve organizational goals. Richard et al. </w:t>
      </w:r>
      <w:r w:rsidRPr="00692AF5">
        <w:rPr>
          <w:rFonts w:cs="Times New Roman"/>
          <w:color w:val="000000" w:themeColor="text1"/>
          <w:szCs w:val="24"/>
        </w:rPr>
        <w:lastRenderedPageBreak/>
        <w:t>(2009) argue that organizational performance includes both financial and non-financial outcomes, such as profitability, market share, and customer satisfaction. Similarly, Lebas (1995) views performance as an organization’s ability to generate outcomes aligned with its strategic objectives, while Armstrong and Baron (2005) emphasize continuous improvement of organizational activities to satisfy stakeholder expectations.</w:t>
      </w:r>
    </w:p>
    <w:p w14:paraId="66C8A70D"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Various frameworks have been developed to measure organizational performance. The Balanced Scorecard framework by Kaplan and Norton (1992) evaluates performance through financial, customer, internal process, and learning perspectives. Bourne et al. (2003) advocate for integrating both financial and non-financial measures, while Otley (1999) emphasizes efficiency, effectiveness, and flexibility as key performance dimensions. In public institutions, performance is commonly evaluated through revenue generation, operational efficiency, compliance levels, and quality of service delivery (OECD, 2017). Bititci et al. (2012) further argue that performance measurement should align with strategic objectives and incorporate both qualitative and quantitative indicators.</w:t>
      </w:r>
    </w:p>
    <w:p w14:paraId="13C5A849"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Tax administration performance is critical in promoting economic stability and financing public services. KRA, as the principal revenue collection agency in Kenya, continues to face challenges related to tax fraud, service inefficiencies, and technological limitations (KRA, 2023). Although digital solutions such as iTax and data analytics have improved compliance and operational efficiency, challenges associated with revenue shortfalls and taxpayer dissatisfaction remain. Previous studies have examined KRA performance through revenue targets, compliance levels, customer satisfaction, and service efficiency (Mutua, 2016; Njiru, 2018; Wanjohi, 2020; Mwangi &amp; Wekesa, 2022). Therefore, this study measures organizational performance using taxpayer compliance rate, revenue collection efficiency, customer satisfaction, service delivery effectiveness, and technological adoption.</w:t>
      </w:r>
    </w:p>
    <w:p w14:paraId="3ABD5073"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KRA operates within an environment characterized by increasing demands for efficient revenue administration and improved public service delivery. Since its establishment in 1995, the authority has implemented reforms aimed at enhancing revenue mobilization, improving taxpayer services, and strengthening compliance mechanisms (Mutuku, 2013). Its strategic capabilities include technical expertise, automation, independent management of the iTax system, and improved system reliability (KRA, 2020).</w:t>
      </w:r>
    </w:p>
    <w:p w14:paraId="7C155066"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KRA’s operating environment has been influenced by emerging opportunities and challenges, including digital transformation, growth of the informal sector, cybersecurity concerns, increased technological adoption, and reforms in tax legislation. These factors have informed the authority’s strategic plans for improving revenue administration and achieving international standards of practice.</w:t>
      </w:r>
    </w:p>
    <w:p w14:paraId="0B54AE1D" w14:textId="7F191511" w:rsidR="00533290"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Despite these initiatives, KRA has historically experienced difficulties in meeting revenue collection targets. Before 2020, the authority recorded persistent revenue collection deficits, a situation worsened by the economic effects of the COVID-19 pandemic, which resulted in a significant revenue shortfall of approximately KSh 350 billion (Omondi, 2020). Such deficits increase pressure on government financing and contribute to national debt challenges. Consequently, understanding how strategic responses influence KRA’s performance remains essential in enhancing revenue mobilization and strengthening public sector effectiveness.</w:t>
      </w:r>
    </w:p>
    <w:p w14:paraId="48C38FDC" w14:textId="4C473802" w:rsidR="00055D83" w:rsidRPr="00692AF5" w:rsidRDefault="00055D83" w:rsidP="00CE4C91">
      <w:pPr>
        <w:shd w:val="clear" w:color="auto" w:fill="FFFFFF"/>
        <w:spacing w:line="240" w:lineRule="auto"/>
        <w:rPr>
          <w:rFonts w:eastAsia="Times New Roman" w:cs="Times New Roman"/>
          <w:b/>
          <w:bCs/>
          <w:color w:val="000000" w:themeColor="text1"/>
          <w:sz w:val="28"/>
          <w:szCs w:val="28"/>
        </w:rPr>
      </w:pPr>
      <w:r w:rsidRPr="00692AF5">
        <w:rPr>
          <w:rFonts w:eastAsia="Times New Roman" w:cs="Times New Roman"/>
          <w:b/>
          <w:bCs/>
          <w:color w:val="000000" w:themeColor="text1"/>
          <w:sz w:val="28"/>
          <w:szCs w:val="28"/>
        </w:rPr>
        <w:t>1.1 Research Problem</w:t>
      </w:r>
    </w:p>
    <w:p w14:paraId="27FDC211" w14:textId="657E3A93" w:rsidR="00BD15A0" w:rsidRPr="00692AF5" w:rsidRDefault="00CD7331" w:rsidP="003E21E7">
      <w:pPr>
        <w:spacing w:after="240" w:line="240" w:lineRule="auto"/>
        <w:rPr>
          <w:rFonts w:cs="Times New Roman"/>
          <w:b/>
          <w:szCs w:val="24"/>
        </w:rPr>
      </w:pPr>
      <w:r w:rsidRPr="00692AF5">
        <w:rPr>
          <w:rFonts w:cs="Times New Roman"/>
          <w:color w:val="000000" w:themeColor="text1"/>
          <w:szCs w:val="24"/>
        </w:rPr>
        <w:t xml:space="preserve">Strategic plan implementation remains a critical yet challenging phase of strategic management in public organizations, with many parastatals experiencing difficulties in translating strategies into improved performance outcomes. Despite continuous efforts to enhance organizational effectiveness, the Kenya Revenue Authority (KRA) previously failed to achieve its revenue targets, raising concerns regarding the effectiveness of strategic implementation practices (Muiruri, 2021). Although KRA exceeded its revenue collection target in 2022, this deviation from previous trends presents an opportunity to examine the strategic factors contributing to improved performance. Munyao (2019) noted that many parastatals lose implementation momentum before realizing anticipated benefits. While Oluoch (2014) established a relationship between strategic responses, employee </w:t>
      </w:r>
      <w:r w:rsidRPr="00692AF5">
        <w:rPr>
          <w:rFonts w:cs="Times New Roman"/>
          <w:color w:val="000000" w:themeColor="text1"/>
          <w:szCs w:val="24"/>
        </w:rPr>
        <w:lastRenderedPageBreak/>
        <w:t>engagement, and organizational performance in public organizations, further investigation is needed on how strategic management of responses influences performance. This study therefore examined how strategic responses targeting customer satisfaction and internal business processes enhance revenue mobilization and support KRA’s strategic objectives.</w:t>
      </w:r>
      <w:r w:rsidR="00BD15A0" w:rsidRPr="00692AF5">
        <w:rPr>
          <w:rFonts w:cs="Times New Roman"/>
          <w:b/>
          <w:szCs w:val="24"/>
        </w:rPr>
        <w:t xml:space="preserve"> </w:t>
      </w:r>
    </w:p>
    <w:p w14:paraId="7860FC20" w14:textId="564AFDA6" w:rsidR="00055D83" w:rsidRPr="00692AF5" w:rsidRDefault="00055D83" w:rsidP="00E5141C">
      <w:pPr>
        <w:spacing w:line="240" w:lineRule="auto"/>
        <w:rPr>
          <w:rFonts w:cs="Times New Roman"/>
          <w:b/>
          <w:bCs/>
          <w:color w:val="000000" w:themeColor="text1"/>
          <w:sz w:val="28"/>
          <w:szCs w:val="28"/>
        </w:rPr>
      </w:pPr>
      <w:r w:rsidRPr="00692AF5">
        <w:rPr>
          <w:rFonts w:cs="Times New Roman"/>
          <w:b/>
          <w:bCs/>
          <w:color w:val="000000" w:themeColor="text1"/>
          <w:sz w:val="28"/>
          <w:szCs w:val="28"/>
        </w:rPr>
        <w:t>1.2 Research Objective</w:t>
      </w:r>
    </w:p>
    <w:p w14:paraId="3A006523" w14:textId="195B2345" w:rsidR="0054398C" w:rsidRPr="00692AF5" w:rsidRDefault="00055D83" w:rsidP="0054398C">
      <w:pPr>
        <w:spacing w:line="240" w:lineRule="auto"/>
        <w:rPr>
          <w:rFonts w:cs="Times New Roman"/>
          <w:color w:val="000000" w:themeColor="text1"/>
          <w:szCs w:val="24"/>
        </w:rPr>
      </w:pPr>
      <w:r w:rsidRPr="00692AF5">
        <w:rPr>
          <w:rFonts w:cs="Times New Roman"/>
          <w:color w:val="000000" w:themeColor="text1"/>
          <w:szCs w:val="24"/>
        </w:rPr>
        <w:t>This study was guided by the following general objective to:</w:t>
      </w:r>
      <w:r w:rsidR="00784B96" w:rsidRPr="00692AF5">
        <w:rPr>
          <w:rFonts w:cs="Times New Roman"/>
          <w:color w:val="000000" w:themeColor="text1"/>
          <w:szCs w:val="24"/>
        </w:rPr>
        <w:t xml:space="preserve"> </w:t>
      </w:r>
      <w:r w:rsidR="00CD7331" w:rsidRPr="00692AF5">
        <w:rPr>
          <w:rFonts w:cs="Times New Roman"/>
          <w:color w:val="000000" w:themeColor="text1"/>
          <w:szCs w:val="24"/>
        </w:rPr>
        <w:t>To establish the effects of strategic response on performance of Kenya Revenue Authority in Nairobi Headquarters.</w:t>
      </w:r>
    </w:p>
    <w:p w14:paraId="6B071E8F" w14:textId="77777777" w:rsidR="00E448DE" w:rsidRPr="00692AF5" w:rsidRDefault="0054398C" w:rsidP="00F42A52">
      <w:pPr>
        <w:spacing w:line="240" w:lineRule="auto"/>
        <w:rPr>
          <w:rFonts w:cs="Times New Roman"/>
          <w:color w:val="000000" w:themeColor="text1"/>
          <w:szCs w:val="24"/>
        </w:rPr>
      </w:pPr>
      <w:r w:rsidRPr="00692AF5">
        <w:rPr>
          <w:rFonts w:cs="Times New Roman"/>
          <w:color w:val="000000" w:themeColor="text1"/>
          <w:szCs w:val="24"/>
        </w:rPr>
        <w:t>Specific Objectives were to;</w:t>
      </w:r>
      <w:r w:rsidR="00784B96" w:rsidRPr="00692AF5">
        <w:rPr>
          <w:rFonts w:cs="Times New Roman"/>
          <w:color w:val="000000" w:themeColor="text1"/>
          <w:szCs w:val="24"/>
        </w:rPr>
        <w:t xml:space="preserve"> </w:t>
      </w:r>
    </w:p>
    <w:p w14:paraId="5C6B0918" w14:textId="77777777" w:rsidR="00CD7331" w:rsidRPr="00692AF5"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692AF5">
        <w:rPr>
          <w:rFonts w:ascii="Times New Roman" w:hAnsi="Times New Roman"/>
          <w:sz w:val="24"/>
          <w:szCs w:val="24"/>
        </w:rPr>
        <w:t>To examine the effect of strategic customer engagement on the performance of the KRA in Nairobi County.</w:t>
      </w:r>
    </w:p>
    <w:p w14:paraId="1148B6E3" w14:textId="77777777" w:rsidR="00CD7331" w:rsidRPr="00692AF5"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692AF5">
        <w:rPr>
          <w:rFonts w:ascii="Times New Roman" w:hAnsi="Times New Roman"/>
          <w:sz w:val="24"/>
          <w:szCs w:val="24"/>
        </w:rPr>
        <w:t>To assess the influence of strategic brand positioning on the performance of the KRA in Nairobi County</w:t>
      </w:r>
    </w:p>
    <w:p w14:paraId="2D9CDBC9" w14:textId="77777777" w:rsidR="00CD7331" w:rsidRPr="00692AF5"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692AF5">
        <w:rPr>
          <w:rFonts w:ascii="Times New Roman" w:hAnsi="Times New Roman"/>
          <w:sz w:val="24"/>
          <w:szCs w:val="24"/>
        </w:rPr>
        <w:t>To evaluate the effect of technological integration as a strategic response on the performance of the KRA in Nairobi County.</w:t>
      </w:r>
    </w:p>
    <w:p w14:paraId="03DEEE1C" w14:textId="75A88622" w:rsidR="002A562C" w:rsidRPr="00692AF5"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692AF5">
        <w:rPr>
          <w:rFonts w:ascii="Times New Roman" w:hAnsi="Times New Roman"/>
          <w:sz w:val="24"/>
          <w:szCs w:val="24"/>
        </w:rPr>
        <w:t>To analyze the effect of data-driven decision-making on the performance of the KRA in Nairobi County</w:t>
      </w:r>
    </w:p>
    <w:p w14:paraId="5B4CDBFD" w14:textId="77777777" w:rsidR="007B03EC" w:rsidRDefault="007B03EC" w:rsidP="00055D83">
      <w:pPr>
        <w:pStyle w:val="ListParagraph"/>
        <w:autoSpaceDE w:val="0"/>
        <w:autoSpaceDN w:val="0"/>
        <w:adjustRightInd w:val="0"/>
        <w:spacing w:before="480" w:after="240" w:line="240" w:lineRule="auto"/>
        <w:ind w:left="0"/>
        <w:rPr>
          <w:rFonts w:ascii="Times New Roman" w:hAnsi="Times New Roman"/>
          <w:b/>
          <w:color w:val="000000" w:themeColor="text1"/>
          <w:sz w:val="28"/>
          <w:szCs w:val="28"/>
          <w:lang w:val="en-GB"/>
        </w:rPr>
      </w:pPr>
    </w:p>
    <w:p w14:paraId="60555E06" w14:textId="6059422F" w:rsidR="00055D83" w:rsidRPr="00692AF5" w:rsidRDefault="00055D83" w:rsidP="00055D83">
      <w:pPr>
        <w:pStyle w:val="ListParagraph"/>
        <w:autoSpaceDE w:val="0"/>
        <w:autoSpaceDN w:val="0"/>
        <w:adjustRightInd w:val="0"/>
        <w:spacing w:before="480" w:after="240" w:line="240" w:lineRule="auto"/>
        <w:ind w:left="0"/>
        <w:rPr>
          <w:rFonts w:ascii="Times New Roman" w:hAnsi="Times New Roman"/>
          <w:b/>
          <w:color w:val="000000" w:themeColor="text1"/>
          <w:sz w:val="28"/>
          <w:szCs w:val="28"/>
          <w:lang w:val="en-GB"/>
        </w:rPr>
      </w:pPr>
      <w:r w:rsidRPr="00692AF5">
        <w:rPr>
          <w:rFonts w:ascii="Times New Roman" w:hAnsi="Times New Roman"/>
          <w:b/>
          <w:color w:val="000000" w:themeColor="text1"/>
          <w:sz w:val="28"/>
          <w:szCs w:val="28"/>
          <w:lang w:val="en-GB"/>
        </w:rPr>
        <w:t xml:space="preserve">2.0 LITERATURE REVIEW  </w:t>
      </w:r>
    </w:p>
    <w:p w14:paraId="18375864" w14:textId="56C40F05" w:rsidR="008B0097" w:rsidRPr="00692AF5" w:rsidRDefault="008B0097" w:rsidP="008B0097">
      <w:pPr>
        <w:spacing w:before="0" w:after="160" w:line="259" w:lineRule="auto"/>
        <w:rPr>
          <w:rFonts w:cs="Times New Roman"/>
          <w:b/>
          <w:bCs/>
          <w:i/>
          <w:color w:val="000000" w:themeColor="text1"/>
          <w:kern w:val="2"/>
          <w:szCs w:val="24"/>
          <w:lang w:val="en-GB"/>
        </w:rPr>
      </w:pPr>
      <w:r w:rsidRPr="00692AF5">
        <w:rPr>
          <w:rFonts w:cs="Times New Roman"/>
          <w:b/>
          <w:bCs/>
          <w:i/>
          <w:color w:val="000000" w:themeColor="text1"/>
          <w:kern w:val="2"/>
          <w:szCs w:val="24"/>
          <w:lang w:val="en-GB"/>
        </w:rPr>
        <w:t>Theoretical Literature</w:t>
      </w:r>
    </w:p>
    <w:p w14:paraId="0808D5BA" w14:textId="77777777" w:rsidR="00731F76"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The theoretical review examines established theories that provide explanations and conceptual understanding of phenomena under investigation. This study is anchored on the Resource-Based View Theory and Davis’s Technology Acceptance Theory, which provide insights into organizational resources, technological adoption, and strategic performance.</w:t>
      </w:r>
    </w:p>
    <w:p w14:paraId="14EE276B" w14:textId="2B601C3F" w:rsidR="00731F76"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The Resource-Based View (RBV) Theory, developed by Wernefelt (1984), argues that sustainable competitive advantage is achieved through possession of resources that are valuable, rare, difficult to imitate, and non-substitutable. Edwards (2014) emphasizes that organizational resources are essential determinants of superior performance. The theory views resources as inputs that support production activities, including human, physical, organizational, and capital resources. It further highlights that firms must align their resource capabilities with environmental demands and strategic objectives to enhance competitiveness.</w:t>
      </w:r>
    </w:p>
    <w:p w14:paraId="40660449" w14:textId="261529A0" w:rsidR="00731F76"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The theory is relevant to this study because it demonstrates how resource availability influences the adoption of strategic responses and implementation of policies aimed at improving service delivery (Pfeffer &amp; Salancik, 2003). Organizations achieve competitive development by strengthening competencies derived from their resource base, with firms possessing stronger resources being more likely to attain superior performance levels (Koumaditis et al., 2013). However, the theory has been criticized for limited managerial guidance and its assumption that organizational resources alone determine sustained competitiveness. Chambers (2015) notes that these limitations affect its applicability across diverse organizational contexts.</w:t>
      </w:r>
    </w:p>
    <w:p w14:paraId="54BA4445" w14:textId="14EAB538" w:rsidR="00731F76"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Davis’s Technology Acceptance Theory (1989) explains how individuals’ perceptions influence their acceptance and use of technology. The theory proposes that perceived usefulness and ease of use are key determinants of technology adoption. Bilgihan (2011) further notes that individuals adjust their beliefs and practices when faced with technological changes.</w:t>
      </w:r>
    </w:p>
    <w:p w14:paraId="0DBF4C0A" w14:textId="08D9ECDA" w:rsidR="002D6969"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 xml:space="preserve">The theory supports this study by explaining how technological usefulness influences organizational change and information system adoption. Wekesa (2020) observes that perceived utility remains a critical factor affecting </w:t>
      </w:r>
      <w:r w:rsidRPr="00692AF5">
        <w:rPr>
          <w:rFonts w:cs="Times New Roman"/>
          <w:bCs/>
          <w:color w:val="000000" w:themeColor="text1"/>
          <w:kern w:val="2"/>
          <w:szCs w:val="24"/>
          <w:lang w:val="en-GB"/>
        </w:rPr>
        <w:lastRenderedPageBreak/>
        <w:t>technology acceptance and change management. However, the theory has limitations in measuring user behavior, particularly due to variations in personal attitudes, social influence, and subjective perceptions (Shan &amp; King, 2015).</w:t>
      </w:r>
    </w:p>
    <w:p w14:paraId="0236764D" w14:textId="19E3A4FA" w:rsidR="0025635B" w:rsidRPr="00692AF5" w:rsidRDefault="00E0554F" w:rsidP="0025635B">
      <w:pPr>
        <w:spacing w:before="0" w:after="160" w:line="259" w:lineRule="auto"/>
        <w:rPr>
          <w:rFonts w:cs="Times New Roman"/>
          <w:b/>
          <w:bCs/>
          <w:color w:val="000000" w:themeColor="text1"/>
          <w:sz w:val="28"/>
          <w:szCs w:val="28"/>
        </w:rPr>
      </w:pPr>
      <w:r w:rsidRPr="00692AF5">
        <w:rPr>
          <w:rFonts w:cs="Times New Roman"/>
          <w:b/>
          <w:bCs/>
          <w:color w:val="000000" w:themeColor="text1"/>
          <w:sz w:val="28"/>
          <w:szCs w:val="28"/>
        </w:rPr>
        <w:t xml:space="preserve">2.1 </w:t>
      </w:r>
      <w:r w:rsidR="00CB6E82" w:rsidRPr="00692AF5">
        <w:rPr>
          <w:rFonts w:cs="Times New Roman"/>
          <w:b/>
          <w:bCs/>
          <w:color w:val="000000" w:themeColor="text1"/>
          <w:sz w:val="28"/>
          <w:szCs w:val="28"/>
        </w:rPr>
        <w:t>Empirical Review</w:t>
      </w:r>
    </w:p>
    <w:p w14:paraId="39C55864"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Previous empirical studies have established the relevance of customer-centric approaches in enhancing organizational performance across different sectors. Al Abdul Razzaq, Rafiki, and Hidayat (2019) examined customer relationship management (CRM) dimensions, including customer support, training orientation, customer orientation, and customer data management, among 167 employees in Kuwaiti telecommunications companies. Using correlation and regression analyses, the study established that management support, customer data, and information processing positively influenced organizational performance, while training orientation, customer orientation, and CRM integration had insignificant effects. However, the study was limited to telecommunications firms in Kuwait, creating a contextual gap that requires investigation within public institutions.</w:t>
      </w:r>
    </w:p>
    <w:p w14:paraId="4D034C1A"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Similarly, Lebdaoui and Chetioui (2020) investigated the relationship between CRM, service quality, and organizational performance in conventional and Islamic banks in Morocco. Using data collected from 388 bank managers and analysed through Partial Least Squares Structural Equation Modelling (PLS-SEM), the study revealed that service quality mediates the relationship between CRM practices and organizational performance. Although the findings confirmed the positive contribution of CRM practices, the study identified the need for further examination of contextual factors influencing CRM effectiveness in different institutional environments.</w:t>
      </w:r>
    </w:p>
    <w:p w14:paraId="0767CF20"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Ullah, Iqbal, and Shams (2020) explored the influence of CRM adoption on organizational performance and the moderating role of technological turbulence. Based on data from 277 employees, correlation and regression analyses showed that CRM adoption improves customer satisfaction, which subsequently enhances organizational performance. However, technological instability negatively influenced this relationship, highlighting the importance of examining moderating factors when evaluating customer-centric strategies.</w:t>
      </w:r>
    </w:p>
    <w:p w14:paraId="70270F44"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Lovemore et al. (2023) assessed the role of customer retention strategies and ICT in improving service quality and performance among Zimbabwean retail firms. Findings from 280 employees indicated that ICT partially strengthens the relationship between customer retention strategies, service quality, and organizational performance. Nevertheless, the study focused on private retail organizations, leaving a gap regarding customer-centric approaches within public sector institutions.</w:t>
      </w:r>
    </w:p>
    <w:p w14:paraId="7A6B4229"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Dah et al. (2023) examined customer orientation, CRM organization, customer satisfaction, and hotel financial performance in Ghana. Using a cross-sectional survey among hotels, the study established a positive relationship between customer orientation and customer satisfaction but found that CRM organization and customer satisfaction did not significantly influence financial performance. This suggests the need for further research on customer-centric strategies within other institutional contexts.</w:t>
      </w:r>
    </w:p>
    <w:p w14:paraId="554B6A34"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Jagdish et al. (2020) proposed customer service repositioning as a strategy for transforming customer support functions from cost centres into value-generating units. The study emphasized customer loyalty, customer-centric culture, and employee capability development as critical elements for improving competitiveness. However, limited empirical validation of the proposed framework remains a major gap. Christian Nedu (2020) further demonstrated that customer-centricity enhances innovation and organizational performance, although the study focused on Nigerian firms and did not sufficiently explore internal organizational factors influencing customer-centric practices. The current study addresses these gaps by examining customer-centric approaches within a public institutional setting.</w:t>
      </w:r>
    </w:p>
    <w:p w14:paraId="37EEB413"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 xml:space="preserve">Research demonstrates that strategic brand positioning contributes significantly to organizational performance by enhancing customer recognition, loyalty, and competitive advantage. Streimikien and Ahmed (2021) established </w:t>
      </w:r>
      <w:r w:rsidRPr="00692AF5">
        <w:rPr>
          <w:rFonts w:cs="Times New Roman"/>
          <w:color w:val="000000" w:themeColor="text1"/>
          <w:szCs w:val="24"/>
        </w:rPr>
        <w:lastRenderedPageBreak/>
        <w:t>that strong brand reputation improves global business performance by creating consistent brand identity and strengthening customer perceptions. Wesley (2014) similarly found that corporate brand management practices, expertise, and market orientation positively influence brand performance among SMEs operating in business-to-business environments.</w:t>
      </w:r>
    </w:p>
    <w:p w14:paraId="33C0DDE8"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Wang, Kandampully, and Shi (2006) revealed that brand repositioning may negatively influence consumer perceptions of loyalty when changes conflict with established brand identity. Hassain (2007) further demonstrated that brand identification, product quality, and price significantly influence consumer purchasing decisions. These findings emphasize the importance of maintaining a clear and consistent brand position.</w:t>
      </w:r>
    </w:p>
    <w:p w14:paraId="7323BC0E"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Kim and Kim (2022) found that customer-based brand equity dimensions, including perceived quality, brand loyalty, and brand image, positively influence financial performance in hospitality organizations. Similarly, Grashuis (2018), using data from 707 marketing cooperatives in the United States, confirmed that brand equity contributes positively to financial outcomes through improved sales performance.</w:t>
      </w:r>
    </w:p>
    <w:p w14:paraId="3858AE53"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Agostini et al. (2015) examined 133 Italian SMEs and established a positive relationship between corporate trademarks, marketing investment, and sales performance. In Kenya, Mandila (2018) found that brand equity significantly influences sales performance among red meat processing companies, particularly through brand name, symbols, slogans, and corporate colours. Ali (2019) further confirmed that effective brand management enhances product differentiation and organizational performance among pharmaceutical firms in Kenya. Wambua (2021) also established that brand awareness, perceived quality, brand associations, and loyalty significantly influence financial performance among Kenyan banks. However, limited research has examined strategic brand positioning within public institutions, creating a contextual gap.</w:t>
      </w:r>
    </w:p>
    <w:p w14:paraId="352918DA"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Empirical evidence indicates that technological integration enhances productivity, efficiency, and organizational performance. Basant et al. (2018) found that ICT adoption positively influences business growth among manufacturing firms in Brazil and India, with benefits increasing when supported by effective management practices. Kwon and Stoneman (2019) similarly established that IT integration improves firm output, although technological benefits may decline when issues such as employee skills and education are overlooked.</w:t>
      </w:r>
    </w:p>
    <w:p w14:paraId="375CFEEF"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Abri and Mahmoudzadeh (2015) and Ghorbanzad and Beig (2012) demonstrated that IT significantly improves productivity and business growth among Iranian firms, although their foreign contexts limit applicability to Kenyan organizations. Rezaei et al. (2014) established that IT improves human resource efficiency through enhanced motivation, creativity, innovation, and service quality.</w:t>
      </w:r>
    </w:p>
    <w:p w14:paraId="5748D38A"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Appiahene, Missah, and Najim (2019) found that IT positively influences banking efficiency in Ghana, while Niri (2017) highlighted that inadequate technological systems and insufficient employee training negatively affect productivity. In Kenya, Gakuubi (2018) established that IT infrastructure, enterprise resource planning, and tracking technologies enhance logistics efficiency. Zehir, Muceldili, and Akyuz (2020) further confirmed that effective IT investment management improves organizational effectiveness. Palvalin, Lönnqvist, and Vuolle (2023) demonstrated that ICT reduces non-value-adding activities and improves employee productivity. Mutuku and Nyaribo (2021) similarly found that IT influences employee development in Kenyan banks. However, further research is required to establish how technological integration affects performance in public sector organizations.</w:t>
      </w:r>
    </w:p>
    <w:p w14:paraId="1D1D8BAF"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Data-driven decision-making has increasingly been recognized as a strategic capability for improving organizational performance. Gunasekaran et al. (2017) examined Big Data Analytics (BDA) adoption among Indian firms and established that connectivity, information sharing, and top management commitment enhance BDA integration, which positively influences organizational performance.</w:t>
      </w:r>
    </w:p>
    <w:p w14:paraId="212095AA"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lastRenderedPageBreak/>
        <w:t>Seetha et al. (2018) found that analytics, data science, Internet of Things (IoT), supplier evaluation, and demand management improve supply chain efficiency. Mugane (2019) investigated BDA adoption among Kenyan banks and fintech firms and established that analytics supports operational management, evidence-based decision-making, and customer service improvement. However, challenges such as poor data quality and legacy system integration limit effective adoption.</w:t>
      </w:r>
    </w:p>
    <w:p w14:paraId="7A67400B" w14:textId="5EA280AF" w:rsidR="00AF0AC2"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Karuga (2019) revealed that organizational size, management support, competitiveness, compatibility with existing systems, and data availability influence BDA adoption among Kenyan telecommunications firms. Similarly, Kibe et al. (2020) found a positive relationship between BDA adoption and organizational performance in Kenyan universities, particularly regarding productivity, innovation, and efficiency. These studies demonstrate the importance of data-driven capabilities, although limited evidence exists regarding their contribution to performance within public institutions.</w:t>
      </w:r>
    </w:p>
    <w:p w14:paraId="35BCEF5F" w14:textId="7127907E" w:rsidR="00055D83" w:rsidRPr="00692AF5" w:rsidRDefault="00055D83" w:rsidP="002C6F25">
      <w:pPr>
        <w:spacing w:line="240" w:lineRule="auto"/>
        <w:rPr>
          <w:rFonts w:cs="Times New Roman"/>
          <w:b/>
          <w:bCs/>
          <w:color w:val="000000" w:themeColor="text1"/>
          <w:sz w:val="28"/>
          <w:szCs w:val="28"/>
        </w:rPr>
      </w:pPr>
      <w:r w:rsidRPr="00692AF5">
        <w:rPr>
          <w:rFonts w:cs="Times New Roman"/>
          <w:b/>
          <w:bCs/>
          <w:color w:val="000000" w:themeColor="text1"/>
          <w:sz w:val="28"/>
          <w:szCs w:val="28"/>
        </w:rPr>
        <w:t>3.0 RESEARCH METHODOLOGY</w:t>
      </w:r>
    </w:p>
    <w:p w14:paraId="70711228"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According to Muathe (2010), a research design provides a clear and comprehensive description of the characteristics and behaviours of a particular subject or population. Descriptive research is primarily concerned with measuring data trends, comparing variables, verifying existing conditions, conducting studies at different points in time, and identifying respondent characteristics (Kothari, 2004). This approach enabled the researcher to observe and collect data without interfering with cause-and-effect relationships. As a result, the study produced an accurate and objective representation of the prevailing conditions at the Kenya Revenue Authority (KRA).</w:t>
      </w:r>
    </w:p>
    <w:p w14:paraId="711425CD"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A population refers to a group of individuals or objects that share at least one common characteristic (Kothari, 2004). Muathe (2010) defines a target population as the entire group of individuals with specific characteristics from which researchers draw conclusions and generalisations. The study was conducted at the Kenya Revenue Authority Headquarters located on Haile Selassie Avenue in Nairobi, Kenya.</w:t>
      </w:r>
    </w:p>
    <w:p w14:paraId="2CFB1D03"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The study population comprised approximately 4,633 KRA employees across various departments based on the 2023 report. The target population, however, consisted of 180 departmental employees, including 64 top-level staff and 116 middle-level staff drawn from three key departments. These respondents were selected due to their decision-making roles and operational responsibilities, which made them suitable for providing relevant and reliable data. Senior managers are responsible for organisational direction and decision-making, while middle-level managers oversee implementation and operational execution, making them appropriate respondents for this study (KRA, 2023).</w:t>
      </w:r>
    </w:p>
    <w:p w14:paraId="3894D987" w14:textId="58F88365"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Table 1: Distribution of Target Population</w:t>
      </w:r>
    </w:p>
    <w:tbl>
      <w:tblPr>
        <w:tblStyle w:val="TableGrid1"/>
        <w:tblW w:w="0" w:type="auto"/>
        <w:tblLook w:val="04A0" w:firstRow="1" w:lastRow="0" w:firstColumn="1" w:lastColumn="0" w:noHBand="0" w:noVBand="1"/>
      </w:tblPr>
      <w:tblGrid>
        <w:gridCol w:w="3255"/>
        <w:gridCol w:w="1070"/>
        <w:gridCol w:w="816"/>
      </w:tblGrid>
      <w:tr w:rsidR="00E32139" w:rsidRPr="00692AF5" w14:paraId="76D219B6" w14:textId="77777777" w:rsidTr="00E32139">
        <w:tc>
          <w:tcPr>
            <w:tcW w:w="0" w:type="auto"/>
            <w:hideMark/>
          </w:tcPr>
          <w:p w14:paraId="4169D6ED"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Category</w:t>
            </w:r>
          </w:p>
        </w:tc>
        <w:tc>
          <w:tcPr>
            <w:tcW w:w="0" w:type="auto"/>
            <w:hideMark/>
          </w:tcPr>
          <w:p w14:paraId="1467157F"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Number</w:t>
            </w:r>
          </w:p>
        </w:tc>
        <w:tc>
          <w:tcPr>
            <w:tcW w:w="0" w:type="auto"/>
            <w:hideMark/>
          </w:tcPr>
          <w:p w14:paraId="51B062FB"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w:t>
            </w:r>
          </w:p>
        </w:tc>
      </w:tr>
      <w:tr w:rsidR="00E32139" w:rsidRPr="00692AF5" w14:paraId="37DEE90E" w14:textId="77777777" w:rsidTr="00E32139">
        <w:tc>
          <w:tcPr>
            <w:tcW w:w="0" w:type="auto"/>
            <w:hideMark/>
          </w:tcPr>
          <w:p w14:paraId="753155D9"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Top departmental staff</w:t>
            </w:r>
          </w:p>
        </w:tc>
        <w:tc>
          <w:tcPr>
            <w:tcW w:w="0" w:type="auto"/>
            <w:hideMark/>
          </w:tcPr>
          <w:p w14:paraId="00B7540E"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64</w:t>
            </w:r>
          </w:p>
        </w:tc>
        <w:tc>
          <w:tcPr>
            <w:tcW w:w="0" w:type="auto"/>
            <w:hideMark/>
          </w:tcPr>
          <w:p w14:paraId="1420580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35%</w:t>
            </w:r>
          </w:p>
        </w:tc>
      </w:tr>
      <w:tr w:rsidR="00E32139" w:rsidRPr="00692AF5" w14:paraId="45A7B91B" w14:textId="77777777" w:rsidTr="00E32139">
        <w:tc>
          <w:tcPr>
            <w:tcW w:w="0" w:type="auto"/>
            <w:hideMark/>
          </w:tcPr>
          <w:p w14:paraId="7D9F8680"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Middle-level departmental staff</w:t>
            </w:r>
          </w:p>
        </w:tc>
        <w:tc>
          <w:tcPr>
            <w:tcW w:w="0" w:type="auto"/>
            <w:hideMark/>
          </w:tcPr>
          <w:p w14:paraId="6BF7DED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116</w:t>
            </w:r>
          </w:p>
        </w:tc>
        <w:tc>
          <w:tcPr>
            <w:tcW w:w="0" w:type="auto"/>
            <w:hideMark/>
          </w:tcPr>
          <w:p w14:paraId="1F2E1350"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65%</w:t>
            </w:r>
          </w:p>
        </w:tc>
      </w:tr>
      <w:tr w:rsidR="00E32139" w:rsidRPr="00692AF5" w14:paraId="2BD871AC" w14:textId="77777777" w:rsidTr="00E32139">
        <w:tc>
          <w:tcPr>
            <w:tcW w:w="0" w:type="auto"/>
            <w:hideMark/>
          </w:tcPr>
          <w:p w14:paraId="4E7520DE"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Total</w:t>
            </w:r>
          </w:p>
        </w:tc>
        <w:tc>
          <w:tcPr>
            <w:tcW w:w="0" w:type="auto"/>
            <w:hideMark/>
          </w:tcPr>
          <w:p w14:paraId="7E7AB93D"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180</w:t>
            </w:r>
          </w:p>
        </w:tc>
        <w:tc>
          <w:tcPr>
            <w:tcW w:w="0" w:type="auto"/>
            <w:hideMark/>
          </w:tcPr>
          <w:p w14:paraId="45215C23"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100%</w:t>
            </w:r>
          </w:p>
        </w:tc>
      </w:tr>
    </w:tbl>
    <w:p w14:paraId="298DADD9"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Source: KRA (2023)</w:t>
      </w:r>
    </w:p>
    <w:p w14:paraId="02E1CF48"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lastRenderedPageBreak/>
        <w:t>Sampling refers to the process of selecting a subset of a population to represent the entire group in a study (Andrew et al., 2019). It enables researchers to draw manageable samples that allow for generalisation of findings to the wider population (Leedy &amp; Ormrod, 2015).</w:t>
      </w:r>
    </w:p>
    <w:p w14:paraId="2BD9A7A4"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This study adopted a census approach, whereby all 180 targeted employees were included in the study. A census involves collecting data from every unit in the target population rather than selecting a sample (Kothari, 2004). This approach was appropriate due to the relatively small population size and the need for comprehensive and accurate data. It also eliminated sampling bias and ensured that all relevant perspectives from the three main departments—Strategy, Innovation, and Risk Management (DTD &amp; CBCD), and Corporate Support Services Division (CSSD)—were captured.</w:t>
      </w:r>
    </w:p>
    <w:p w14:paraId="5801180B" w14:textId="2B86E5B8"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Table 2: Distribution of Sample Size</w:t>
      </w:r>
    </w:p>
    <w:tbl>
      <w:tblPr>
        <w:tblStyle w:val="TableGrid1"/>
        <w:tblW w:w="0" w:type="auto"/>
        <w:tblLook w:val="04A0" w:firstRow="1" w:lastRow="0" w:firstColumn="1" w:lastColumn="0" w:noHBand="0" w:noVBand="1"/>
      </w:tblPr>
      <w:tblGrid>
        <w:gridCol w:w="3255"/>
        <w:gridCol w:w="1337"/>
        <w:gridCol w:w="1410"/>
        <w:gridCol w:w="836"/>
      </w:tblGrid>
      <w:tr w:rsidR="00E32139" w:rsidRPr="00692AF5" w14:paraId="70EB1BCF" w14:textId="77777777" w:rsidTr="00E32139">
        <w:tc>
          <w:tcPr>
            <w:tcW w:w="0" w:type="auto"/>
            <w:hideMark/>
          </w:tcPr>
          <w:p w14:paraId="3D044A31"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Category</w:t>
            </w:r>
          </w:p>
        </w:tc>
        <w:tc>
          <w:tcPr>
            <w:tcW w:w="0" w:type="auto"/>
            <w:hideMark/>
          </w:tcPr>
          <w:p w14:paraId="689F1EBA"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Population</w:t>
            </w:r>
          </w:p>
        </w:tc>
        <w:tc>
          <w:tcPr>
            <w:tcW w:w="0" w:type="auto"/>
            <w:hideMark/>
          </w:tcPr>
          <w:p w14:paraId="3B6AB91C"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Sample size</w:t>
            </w:r>
          </w:p>
        </w:tc>
        <w:tc>
          <w:tcPr>
            <w:tcW w:w="0" w:type="auto"/>
            <w:hideMark/>
          </w:tcPr>
          <w:p w14:paraId="084C4476"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w:t>
            </w:r>
          </w:p>
        </w:tc>
      </w:tr>
      <w:tr w:rsidR="00E32139" w:rsidRPr="00692AF5" w14:paraId="3BADA8D9" w14:textId="77777777" w:rsidTr="00E32139">
        <w:tc>
          <w:tcPr>
            <w:tcW w:w="0" w:type="auto"/>
            <w:hideMark/>
          </w:tcPr>
          <w:p w14:paraId="0696D634"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Top departmental staff</w:t>
            </w:r>
          </w:p>
        </w:tc>
        <w:tc>
          <w:tcPr>
            <w:tcW w:w="0" w:type="auto"/>
            <w:hideMark/>
          </w:tcPr>
          <w:p w14:paraId="63A4420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64</w:t>
            </w:r>
          </w:p>
        </w:tc>
        <w:tc>
          <w:tcPr>
            <w:tcW w:w="0" w:type="auto"/>
            <w:hideMark/>
          </w:tcPr>
          <w:p w14:paraId="2F8729FE"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32</w:t>
            </w:r>
          </w:p>
        </w:tc>
        <w:tc>
          <w:tcPr>
            <w:tcW w:w="0" w:type="auto"/>
            <w:hideMark/>
          </w:tcPr>
          <w:p w14:paraId="6F62C85E"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35.5%</w:t>
            </w:r>
          </w:p>
        </w:tc>
      </w:tr>
      <w:tr w:rsidR="00E32139" w:rsidRPr="00692AF5" w14:paraId="4586442D" w14:textId="77777777" w:rsidTr="00E32139">
        <w:tc>
          <w:tcPr>
            <w:tcW w:w="0" w:type="auto"/>
            <w:hideMark/>
          </w:tcPr>
          <w:p w14:paraId="1033597D"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Middle-level departmental staff</w:t>
            </w:r>
          </w:p>
        </w:tc>
        <w:tc>
          <w:tcPr>
            <w:tcW w:w="0" w:type="auto"/>
            <w:hideMark/>
          </w:tcPr>
          <w:p w14:paraId="1CFCBCEC"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116</w:t>
            </w:r>
          </w:p>
        </w:tc>
        <w:tc>
          <w:tcPr>
            <w:tcW w:w="0" w:type="auto"/>
            <w:hideMark/>
          </w:tcPr>
          <w:p w14:paraId="26E8592A"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58</w:t>
            </w:r>
          </w:p>
        </w:tc>
        <w:tc>
          <w:tcPr>
            <w:tcW w:w="0" w:type="auto"/>
            <w:hideMark/>
          </w:tcPr>
          <w:p w14:paraId="3AB17946"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64.4%</w:t>
            </w:r>
          </w:p>
        </w:tc>
      </w:tr>
      <w:tr w:rsidR="00E32139" w:rsidRPr="00692AF5" w14:paraId="2B7502FD" w14:textId="77777777" w:rsidTr="00E32139">
        <w:tc>
          <w:tcPr>
            <w:tcW w:w="0" w:type="auto"/>
            <w:hideMark/>
          </w:tcPr>
          <w:p w14:paraId="4AF252B5"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Total</w:t>
            </w:r>
          </w:p>
        </w:tc>
        <w:tc>
          <w:tcPr>
            <w:tcW w:w="0" w:type="auto"/>
            <w:hideMark/>
          </w:tcPr>
          <w:p w14:paraId="4D5BB3DC"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180</w:t>
            </w:r>
          </w:p>
        </w:tc>
        <w:tc>
          <w:tcPr>
            <w:tcW w:w="0" w:type="auto"/>
            <w:hideMark/>
          </w:tcPr>
          <w:p w14:paraId="520FCB0C"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90</w:t>
            </w:r>
          </w:p>
        </w:tc>
        <w:tc>
          <w:tcPr>
            <w:tcW w:w="0" w:type="auto"/>
            <w:hideMark/>
          </w:tcPr>
          <w:p w14:paraId="42ED7A2E"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100%</w:t>
            </w:r>
          </w:p>
        </w:tc>
      </w:tr>
    </w:tbl>
    <w:p w14:paraId="43007A4D"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Source: Author (2024)</w:t>
      </w:r>
    </w:p>
    <w:p w14:paraId="0FA701A8"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Data collection instruments are selected based on the nature of the data and research design, with emphasis on accuracy and reliability (Muathe, 2010). Proper selection of instruments helps reduce errors and ensures alignment with research objectives (Mugenda &amp; Mugenda, 2003). This study used structured questionnaires to collect primary data. The questionnaires included both open-ended and closed-ended questions, with closed-ended items providing measurable data for quantitative analysis.</w:t>
      </w:r>
    </w:p>
    <w:p w14:paraId="14F74707"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The questionnaire was developed after reviewing relevant literature to identify key constructs related to strategic responses and organisational performance. Krosnick (2018) emphasises that well-structured questionnaires enhance validity and reliability by ensuring alignment with research objectives. The questionnaire was divided into six sections: general information; customer-centric strategies; brand awareness; adoption of modern technology; big data analytics; and organisational performance.</w:t>
      </w:r>
    </w:p>
    <w:p w14:paraId="77495A0E"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Pilot testing was conducted before the main study to improve the reliability and effectiveness of the research instrument (Kothari, 2004). According to Mugenda and Mugenda (2003), 10% of the target population was used, resulting in 18 respondents for the pilot study. The pilot test helped identify potential errors and improve clarity in the research instrument. Respondents involved in the pilot study were excluded from the final analysis to avoid bias.</w:t>
      </w:r>
    </w:p>
    <w:p w14:paraId="22F7ABC5"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Validity refers to the extent to which a research instrument measures what it is intended to measure (Muathe, 2019). Construct validity was ensured by aligning questionnaire items with theoretical constructs. Content validity was assessed through expert review by the supervisor and industry specialists. Feedback from the pilot study was used to refine the instrument, ensuring clarity, accuracy, and generalisability of results.</w:t>
      </w:r>
    </w:p>
    <w:p w14:paraId="240D6773"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lastRenderedPageBreak/>
        <w:t>Reliability refers to the consistency of a research instrument in producing stable results under similar conditions. Internal consistency was assessed using Cronbach’s Alpha, where a coefficient of 0.7 or above was considered acceptable for reliability.</w:t>
      </w:r>
    </w:p>
    <w:p w14:paraId="7656FAD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Before data collection, approval letters were obtained from Kenyatta University, NACOSTI, and KRA. Respondents were provided with questionnaires containing clear instructions for both closed and open-ended questions. The procedure ensured higher response rates and improved data quality.</w:t>
      </w:r>
    </w:p>
    <w:p w14:paraId="062BD33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Data analysis involves interpreting collected data to identify patterns and trends (Muathe, 2010). After data collection, responses were edited, coded, classified, and analysed. Quantitative data were analysed using means, frequencies, and standard deviations, while qualitative data were described using thematic narrative analysis.</w:t>
      </w:r>
    </w:p>
    <w:p w14:paraId="5A53C119"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Descriptive statistics were used to summarise relationships between strategic responses and organisational performance, while inferential statistics, including correlation and multiple regression analysis, were applied to test relationships among variables. The model used was:</w:t>
      </w:r>
    </w:p>
    <w:p w14:paraId="5A23C92B" w14:textId="77777777" w:rsidR="00E32139" w:rsidRPr="00692AF5" w:rsidRDefault="00E32139" w:rsidP="00E32139">
      <w:pPr>
        <w:spacing w:after="160" w:line="259" w:lineRule="auto"/>
        <w:jc w:val="left"/>
        <w:rPr>
          <w:rFonts w:cs="Times New Roman"/>
          <w:color w:val="000000" w:themeColor="text1"/>
          <w:szCs w:val="24"/>
        </w:rPr>
      </w:pPr>
      <w:r w:rsidRPr="00692AF5">
        <w:rPr>
          <w:rFonts w:cs="Times New Roman"/>
          <w:color w:val="000000" w:themeColor="text1"/>
          <w:szCs w:val="24"/>
        </w:rPr>
        <w:t>Y = β0 + β1X1 + β2X2 + β3X3 + β4X4 + ε</w:t>
      </w:r>
    </w:p>
    <w:p w14:paraId="29E95329" w14:textId="77777777" w:rsidR="00E32139" w:rsidRPr="00692AF5" w:rsidRDefault="00E32139" w:rsidP="00E32139">
      <w:pPr>
        <w:spacing w:after="160" w:line="259" w:lineRule="auto"/>
        <w:jc w:val="left"/>
        <w:rPr>
          <w:rFonts w:cs="Times New Roman"/>
          <w:color w:val="000000" w:themeColor="text1"/>
          <w:szCs w:val="24"/>
        </w:rPr>
      </w:pPr>
      <w:r w:rsidRPr="00692AF5">
        <w:rPr>
          <w:rFonts w:cs="Times New Roman"/>
          <w:color w:val="000000" w:themeColor="text1"/>
          <w:szCs w:val="24"/>
        </w:rPr>
        <w:t>Where:</w:t>
      </w:r>
      <w:r w:rsidRPr="00692AF5">
        <w:rPr>
          <w:rFonts w:cs="Times New Roman"/>
          <w:color w:val="000000" w:themeColor="text1"/>
          <w:szCs w:val="24"/>
        </w:rPr>
        <w:br/>
        <w:t>Y = Organisational performance</w:t>
      </w:r>
      <w:r w:rsidRPr="00692AF5">
        <w:rPr>
          <w:rFonts w:cs="Times New Roman"/>
          <w:color w:val="000000" w:themeColor="text1"/>
          <w:szCs w:val="24"/>
        </w:rPr>
        <w:br/>
        <w:t>X1 = Customer-Centric Approaches</w:t>
      </w:r>
      <w:r w:rsidRPr="00692AF5">
        <w:rPr>
          <w:rFonts w:cs="Times New Roman"/>
          <w:color w:val="000000" w:themeColor="text1"/>
          <w:szCs w:val="24"/>
        </w:rPr>
        <w:br/>
        <w:t>X2 = Brand Awareness Efforts</w:t>
      </w:r>
      <w:r w:rsidRPr="00692AF5">
        <w:rPr>
          <w:rFonts w:cs="Times New Roman"/>
          <w:color w:val="000000" w:themeColor="text1"/>
          <w:szCs w:val="24"/>
        </w:rPr>
        <w:br/>
        <w:t>X3 = Adoption of Modern Technology</w:t>
      </w:r>
      <w:r w:rsidRPr="00692AF5">
        <w:rPr>
          <w:rFonts w:cs="Times New Roman"/>
          <w:color w:val="000000" w:themeColor="text1"/>
          <w:szCs w:val="24"/>
        </w:rPr>
        <w:br/>
        <w:t>X4 = Big Data Analytics</w:t>
      </w:r>
      <w:r w:rsidRPr="00692AF5">
        <w:rPr>
          <w:rFonts w:cs="Times New Roman"/>
          <w:color w:val="000000" w:themeColor="text1"/>
          <w:szCs w:val="24"/>
        </w:rPr>
        <w:br/>
        <w:t>β = Coefficients</w:t>
      </w:r>
      <w:r w:rsidRPr="00692AF5">
        <w:rPr>
          <w:rFonts w:cs="Times New Roman"/>
          <w:color w:val="000000" w:themeColor="text1"/>
          <w:szCs w:val="24"/>
        </w:rPr>
        <w:br/>
        <w:t>ε = Error term</w:t>
      </w:r>
    </w:p>
    <w:p w14:paraId="565CBB96"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Ethical considerations guided the entire research process. Necessary approvals were obtained from Kenyatta University, NACOSTI, and KRA before data collection. Participation was voluntary, and respondents were not required to disclose their names, ensuring confidentiality and anonymity throughout the study.</w:t>
      </w:r>
    </w:p>
    <w:p w14:paraId="7C961926" w14:textId="4293C8C4" w:rsidR="00B55CEF" w:rsidRPr="00692AF5" w:rsidRDefault="00B55CEF">
      <w:pPr>
        <w:spacing w:before="0" w:after="160" w:line="259" w:lineRule="auto"/>
        <w:jc w:val="left"/>
        <w:rPr>
          <w:b/>
          <w:bCs/>
          <w:color w:val="000000" w:themeColor="text1"/>
          <w:sz w:val="28"/>
          <w:szCs w:val="24"/>
        </w:rPr>
      </w:pPr>
    </w:p>
    <w:p w14:paraId="14C2E9C9" w14:textId="41B94B9A" w:rsidR="00055D83" w:rsidRPr="00692AF5" w:rsidRDefault="002B2D3C" w:rsidP="002B2D3C">
      <w:pPr>
        <w:rPr>
          <w:b/>
          <w:bCs/>
          <w:color w:val="000000" w:themeColor="text1"/>
          <w:sz w:val="28"/>
          <w:szCs w:val="24"/>
        </w:rPr>
      </w:pPr>
      <w:r w:rsidRPr="00692AF5">
        <w:rPr>
          <w:b/>
          <w:bCs/>
          <w:color w:val="000000" w:themeColor="text1"/>
          <w:sz w:val="28"/>
          <w:szCs w:val="24"/>
        </w:rPr>
        <w:t xml:space="preserve">4.0 </w:t>
      </w:r>
      <w:r w:rsidR="00055D83" w:rsidRPr="00692AF5">
        <w:rPr>
          <w:b/>
          <w:bCs/>
          <w:color w:val="000000" w:themeColor="text1"/>
          <w:sz w:val="28"/>
          <w:szCs w:val="24"/>
        </w:rPr>
        <w:t>RESULTS AND DISCUSSION</w:t>
      </w:r>
    </w:p>
    <w:p w14:paraId="35E4007D" w14:textId="518C41F8" w:rsidR="00096C2E" w:rsidRPr="00692AF5" w:rsidRDefault="00096C2E" w:rsidP="00096C2E">
      <w:pPr>
        <w:shd w:val="clear" w:color="auto" w:fill="FFFFFF"/>
        <w:spacing w:before="0" w:line="240" w:lineRule="auto"/>
        <w:rPr>
          <w:rFonts w:eastAsia="Times New Roman" w:cs="Times New Roman"/>
          <w:b/>
          <w:bCs/>
          <w:color w:val="auto"/>
          <w14:ligatures w14:val="none"/>
        </w:rPr>
      </w:pPr>
      <w:r w:rsidRPr="00692AF5">
        <w:rPr>
          <w:rFonts w:eastAsia="Times New Roman" w:cs="Times New Roman"/>
          <w:b/>
          <w:bCs/>
          <w:color w:val="auto"/>
          <w14:ligatures w14:val="none"/>
        </w:rPr>
        <w:t xml:space="preserve">Response Rate </w:t>
      </w:r>
    </w:p>
    <w:p w14:paraId="06F390E8" w14:textId="13B9D8F6" w:rsidR="00096C2E" w:rsidRPr="00692AF5" w:rsidRDefault="00E32139" w:rsidP="00096C2E">
      <w:pPr>
        <w:shd w:val="clear" w:color="auto" w:fill="FFFFFF"/>
        <w:spacing w:line="240" w:lineRule="auto"/>
        <w:rPr>
          <w:rFonts w:eastAsia="Times New Roman" w:cs="Times New Roman"/>
          <w:color w:val="auto"/>
          <w:szCs w:val="24"/>
          <w14:ligatures w14:val="none"/>
        </w:rPr>
      </w:pPr>
      <w:r w:rsidRPr="00692AF5">
        <w:rPr>
          <w:rFonts w:eastAsia="Times New Roman" w:cs="Times New Roman"/>
          <w:color w:val="auto"/>
          <w:szCs w:val="24"/>
          <w14:ligatures w14:val="none"/>
        </w:rPr>
        <w:t>A total of 90 questionnaires were distributed to respondents at the Kenya Revenue Authority headquarters in Nairobi. Of these, 77 were fully completed and returned, representing a response rate of 86%, while 13 (14%) were not returned. This response rate was considered adequate for analysis and reporting. According to Mugenda and Mugenda (2003), response rates of 50% are adequate, 60% good, and 70% and above excellent in social science research. Therefore, the 86% rate was sufficiently high to support valid conclusions on the impact of strategic response on Kenya Revenue Authority performance.</w:t>
      </w:r>
    </w:p>
    <w:p w14:paraId="11B4385D" w14:textId="77777777" w:rsidR="00E32139" w:rsidRPr="00692AF5" w:rsidRDefault="00E32139" w:rsidP="00E32139">
      <w:pPr>
        <w:rPr>
          <w:color w:val="000000" w:themeColor="text1"/>
        </w:rPr>
      </w:pPr>
      <w:r w:rsidRPr="00692AF5">
        <w:rPr>
          <w:noProof/>
          <w:color w:val="000000" w:themeColor="text1"/>
        </w:rPr>
        <w:lastRenderedPageBreak/>
        <w:drawing>
          <wp:inline distT="0" distB="0" distL="0" distR="0" wp14:anchorId="4C3BC92A" wp14:editId="2CA1315E">
            <wp:extent cx="5915025" cy="27432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9E2F75D" w14:textId="500FAE15" w:rsidR="00E32139" w:rsidRPr="00692AF5" w:rsidRDefault="00E32139" w:rsidP="00E32139">
      <w:pPr>
        <w:pStyle w:val="Heading2"/>
        <w:spacing w:before="0" w:line="240" w:lineRule="auto"/>
        <w:rPr>
          <w:color w:val="000000" w:themeColor="text1"/>
        </w:rPr>
      </w:pPr>
      <w:bookmarkStart w:id="3" w:name="_Toc207923087"/>
      <w:r w:rsidRPr="00692AF5">
        <w:rPr>
          <w:color w:val="000000" w:themeColor="text1"/>
        </w:rPr>
        <w:t>Figure 1: Response Rate</w:t>
      </w:r>
      <w:bookmarkEnd w:id="3"/>
    </w:p>
    <w:p w14:paraId="233891BD" w14:textId="77777777" w:rsidR="00E32139" w:rsidRPr="00692AF5" w:rsidRDefault="00E32139" w:rsidP="00E32139">
      <w:pPr>
        <w:spacing w:line="240" w:lineRule="auto"/>
        <w:rPr>
          <w:color w:val="000000" w:themeColor="text1"/>
        </w:rPr>
      </w:pPr>
      <w:r w:rsidRPr="00692AF5">
        <w:rPr>
          <w:color w:val="000000" w:themeColor="text1"/>
        </w:rPr>
        <w:t>Source: Researcher (2025)</w:t>
      </w:r>
    </w:p>
    <w:p w14:paraId="308F5C8A" w14:textId="77777777" w:rsidR="00E32139" w:rsidRPr="00692AF5" w:rsidRDefault="00E32139" w:rsidP="00096C2E">
      <w:pPr>
        <w:shd w:val="clear" w:color="auto" w:fill="FFFFFF"/>
        <w:spacing w:line="240" w:lineRule="auto"/>
        <w:rPr>
          <w:rFonts w:eastAsia="Times New Roman" w:cs="Times New Roman"/>
          <w:b/>
          <w:bCs/>
          <w:color w:val="auto"/>
          <w:szCs w:val="24"/>
          <w14:ligatures w14:val="none"/>
        </w:rPr>
      </w:pPr>
    </w:p>
    <w:p w14:paraId="6E6C3321" w14:textId="77777777" w:rsidR="003B03A5" w:rsidRPr="00692AF5" w:rsidRDefault="003B03A5" w:rsidP="003B03A5">
      <w:pPr>
        <w:spacing w:before="0" w:after="160" w:line="240" w:lineRule="auto"/>
        <w:rPr>
          <w:rFonts w:cs="Times New Roman"/>
          <w:b/>
          <w:bCs/>
          <w:sz w:val="20"/>
          <w:szCs w:val="20"/>
        </w:rPr>
      </w:pPr>
      <w:r w:rsidRPr="00692AF5">
        <w:rPr>
          <w:rFonts w:cs="Times New Roman"/>
          <w:b/>
          <w:bCs/>
          <w:sz w:val="20"/>
          <w:szCs w:val="20"/>
        </w:rPr>
        <w:t>Inferential Analysis</w:t>
      </w:r>
    </w:p>
    <w:p w14:paraId="47F27572"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Inferential analysis is used to draw conclusions about a population based on sample data, establish relationships among variables, and test hypotheses. It enhances the credibility of research findings by minimizing bias and estimating the probability that observed outcomes occurred by chance. In this study, inferential analysis was applied to examine the relationship between customer-centric approaches, strategic brand positioning, technological integration, data-driven decision-making, and organizational performance at the Kenya Revenue Authority (KRA). The analysis includes correlation and regression results, which are interpreted in relation to organizational performance.</w:t>
      </w:r>
    </w:p>
    <w:p w14:paraId="3B90708E" w14:textId="77777777" w:rsidR="003B03A5" w:rsidRPr="00692AF5" w:rsidRDefault="003B03A5" w:rsidP="003B03A5">
      <w:pPr>
        <w:spacing w:before="0" w:after="160" w:line="240" w:lineRule="auto"/>
        <w:rPr>
          <w:rFonts w:cs="Times New Roman"/>
          <w:b/>
          <w:bCs/>
          <w:sz w:val="20"/>
          <w:szCs w:val="20"/>
        </w:rPr>
      </w:pPr>
      <w:r w:rsidRPr="00692AF5">
        <w:rPr>
          <w:rFonts w:cs="Times New Roman"/>
          <w:b/>
          <w:bCs/>
          <w:sz w:val="20"/>
          <w:szCs w:val="20"/>
        </w:rPr>
        <w:t>Correlation Analysis</w:t>
      </w:r>
    </w:p>
    <w:p w14:paraId="2F3ABEC5"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Correlation analysis was conducted to determine the strength and direction of the relationships between the study variables: customer-centric approaches, strategic brand positioning, technological integration, data-driven decision-making, and organizational performance at KRA.</w:t>
      </w:r>
    </w:p>
    <w:p w14:paraId="7BB55478" w14:textId="4C00ACBD" w:rsidR="003B03A5" w:rsidRPr="00692AF5" w:rsidRDefault="003B03A5" w:rsidP="003B03A5">
      <w:pPr>
        <w:spacing w:before="0" w:after="160" w:line="240" w:lineRule="auto"/>
        <w:rPr>
          <w:rFonts w:cs="Times New Roman"/>
          <w:b/>
          <w:bCs/>
          <w:sz w:val="20"/>
          <w:szCs w:val="20"/>
        </w:rPr>
      </w:pPr>
      <w:r w:rsidRPr="00692AF5">
        <w:rPr>
          <w:rFonts w:cs="Times New Roman"/>
          <w:b/>
          <w:bCs/>
          <w:sz w:val="20"/>
          <w:szCs w:val="20"/>
        </w:rPr>
        <w:t>Table</w:t>
      </w:r>
      <w:r w:rsidR="003A1E48" w:rsidRPr="00692AF5">
        <w:rPr>
          <w:rFonts w:cs="Times New Roman"/>
          <w:b/>
          <w:bCs/>
          <w:sz w:val="20"/>
          <w:szCs w:val="20"/>
        </w:rPr>
        <w:t xml:space="preserve"> 3</w:t>
      </w:r>
      <w:r w:rsidRPr="00692AF5">
        <w:rPr>
          <w:rFonts w:cs="Times New Roman"/>
          <w:b/>
          <w:bCs/>
          <w:sz w:val="20"/>
          <w:szCs w:val="20"/>
        </w:rPr>
        <w:t>: Correlations</w:t>
      </w:r>
    </w:p>
    <w:tbl>
      <w:tblPr>
        <w:tblStyle w:val="TableGrid"/>
        <w:tblW w:w="0" w:type="auto"/>
        <w:tblLook w:val="04A0" w:firstRow="1" w:lastRow="0" w:firstColumn="1" w:lastColumn="0" w:noHBand="0" w:noVBand="1"/>
      </w:tblPr>
      <w:tblGrid>
        <w:gridCol w:w="1908"/>
        <w:gridCol w:w="1883"/>
        <w:gridCol w:w="1738"/>
        <w:gridCol w:w="1813"/>
        <w:gridCol w:w="1707"/>
        <w:gridCol w:w="1971"/>
      </w:tblGrid>
      <w:tr w:rsidR="003B03A5" w:rsidRPr="00692AF5" w14:paraId="1C593E0F" w14:textId="77777777" w:rsidTr="004A0591">
        <w:tc>
          <w:tcPr>
            <w:tcW w:w="0" w:type="auto"/>
            <w:hideMark/>
          </w:tcPr>
          <w:p w14:paraId="767675AE" w14:textId="77777777" w:rsidR="003B03A5" w:rsidRPr="00692AF5" w:rsidRDefault="003B03A5" w:rsidP="004A0591">
            <w:pPr>
              <w:spacing w:after="160" w:line="240" w:lineRule="auto"/>
              <w:rPr>
                <w:rFonts w:cs="Times New Roman"/>
                <w:sz w:val="20"/>
                <w:szCs w:val="20"/>
              </w:rPr>
            </w:pPr>
          </w:p>
        </w:tc>
        <w:tc>
          <w:tcPr>
            <w:tcW w:w="0" w:type="auto"/>
            <w:hideMark/>
          </w:tcPr>
          <w:p w14:paraId="398D783E"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Customer-Centric Approaches</w:t>
            </w:r>
          </w:p>
        </w:tc>
        <w:tc>
          <w:tcPr>
            <w:tcW w:w="0" w:type="auto"/>
            <w:hideMark/>
          </w:tcPr>
          <w:p w14:paraId="034AA8E3"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Strategic Brand Positioning</w:t>
            </w:r>
          </w:p>
        </w:tc>
        <w:tc>
          <w:tcPr>
            <w:tcW w:w="0" w:type="auto"/>
            <w:hideMark/>
          </w:tcPr>
          <w:p w14:paraId="623DAF14"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Technological Integration</w:t>
            </w:r>
          </w:p>
        </w:tc>
        <w:tc>
          <w:tcPr>
            <w:tcW w:w="0" w:type="auto"/>
            <w:hideMark/>
          </w:tcPr>
          <w:p w14:paraId="73728F52"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Data-driven Decision-Making</w:t>
            </w:r>
          </w:p>
        </w:tc>
        <w:tc>
          <w:tcPr>
            <w:tcW w:w="0" w:type="auto"/>
            <w:hideMark/>
          </w:tcPr>
          <w:p w14:paraId="0CF133B4"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Organizational Performance</w:t>
            </w:r>
          </w:p>
        </w:tc>
      </w:tr>
      <w:tr w:rsidR="003B03A5" w:rsidRPr="00692AF5" w14:paraId="7FDD380C" w14:textId="77777777" w:rsidTr="004A0591">
        <w:tc>
          <w:tcPr>
            <w:tcW w:w="0" w:type="auto"/>
            <w:hideMark/>
          </w:tcPr>
          <w:p w14:paraId="26AE8BBC"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Customer-Centric Approaches</w:t>
            </w:r>
          </w:p>
        </w:tc>
        <w:tc>
          <w:tcPr>
            <w:tcW w:w="0" w:type="auto"/>
            <w:hideMark/>
          </w:tcPr>
          <w:p w14:paraId="11336D50"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Pearson Correlation 1</w:t>
            </w:r>
          </w:p>
        </w:tc>
        <w:tc>
          <w:tcPr>
            <w:tcW w:w="0" w:type="auto"/>
            <w:hideMark/>
          </w:tcPr>
          <w:p w14:paraId="7CF54A82" w14:textId="77777777" w:rsidR="003B03A5" w:rsidRPr="00692AF5" w:rsidRDefault="003B03A5" w:rsidP="004A0591">
            <w:pPr>
              <w:spacing w:after="160" w:line="240" w:lineRule="auto"/>
              <w:rPr>
                <w:rFonts w:cs="Times New Roman"/>
                <w:sz w:val="20"/>
                <w:szCs w:val="20"/>
              </w:rPr>
            </w:pPr>
          </w:p>
        </w:tc>
        <w:tc>
          <w:tcPr>
            <w:tcW w:w="0" w:type="auto"/>
            <w:hideMark/>
          </w:tcPr>
          <w:p w14:paraId="6938631F" w14:textId="77777777" w:rsidR="003B03A5" w:rsidRPr="00692AF5" w:rsidRDefault="003B03A5" w:rsidP="004A0591">
            <w:pPr>
              <w:spacing w:after="160" w:line="240" w:lineRule="auto"/>
              <w:rPr>
                <w:rFonts w:cs="Times New Roman"/>
                <w:sz w:val="20"/>
                <w:szCs w:val="20"/>
              </w:rPr>
            </w:pPr>
          </w:p>
        </w:tc>
        <w:tc>
          <w:tcPr>
            <w:tcW w:w="0" w:type="auto"/>
            <w:hideMark/>
          </w:tcPr>
          <w:p w14:paraId="333F8CE1" w14:textId="77777777" w:rsidR="003B03A5" w:rsidRPr="00692AF5" w:rsidRDefault="003B03A5" w:rsidP="004A0591">
            <w:pPr>
              <w:spacing w:after="160" w:line="240" w:lineRule="auto"/>
              <w:rPr>
                <w:rFonts w:cs="Times New Roman"/>
                <w:sz w:val="20"/>
                <w:szCs w:val="20"/>
              </w:rPr>
            </w:pPr>
          </w:p>
        </w:tc>
        <w:tc>
          <w:tcPr>
            <w:tcW w:w="0" w:type="auto"/>
            <w:hideMark/>
          </w:tcPr>
          <w:p w14:paraId="280C6DCE" w14:textId="77777777" w:rsidR="003B03A5" w:rsidRPr="00692AF5" w:rsidRDefault="003B03A5" w:rsidP="004A0591">
            <w:pPr>
              <w:spacing w:after="160" w:line="240" w:lineRule="auto"/>
              <w:rPr>
                <w:rFonts w:cs="Times New Roman"/>
                <w:sz w:val="20"/>
                <w:szCs w:val="20"/>
              </w:rPr>
            </w:pPr>
          </w:p>
        </w:tc>
      </w:tr>
      <w:tr w:rsidR="003B03A5" w:rsidRPr="00692AF5" w14:paraId="67DB3FF8" w14:textId="77777777" w:rsidTr="004A0591">
        <w:tc>
          <w:tcPr>
            <w:tcW w:w="0" w:type="auto"/>
            <w:hideMark/>
          </w:tcPr>
          <w:p w14:paraId="64BC17BF" w14:textId="77777777" w:rsidR="003B03A5" w:rsidRPr="00692AF5" w:rsidRDefault="003B03A5" w:rsidP="004A0591">
            <w:pPr>
              <w:spacing w:after="160" w:line="240" w:lineRule="auto"/>
              <w:rPr>
                <w:rFonts w:cs="Times New Roman"/>
                <w:sz w:val="20"/>
                <w:szCs w:val="20"/>
              </w:rPr>
            </w:pPr>
          </w:p>
        </w:tc>
        <w:tc>
          <w:tcPr>
            <w:tcW w:w="0" w:type="auto"/>
            <w:hideMark/>
          </w:tcPr>
          <w:p w14:paraId="1EE7F01A"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Sig. (2-tailed)</w:t>
            </w:r>
          </w:p>
        </w:tc>
        <w:tc>
          <w:tcPr>
            <w:tcW w:w="0" w:type="auto"/>
            <w:hideMark/>
          </w:tcPr>
          <w:p w14:paraId="42F2D6A2" w14:textId="77777777" w:rsidR="003B03A5" w:rsidRPr="00692AF5" w:rsidRDefault="003B03A5" w:rsidP="004A0591">
            <w:pPr>
              <w:spacing w:after="160" w:line="240" w:lineRule="auto"/>
              <w:rPr>
                <w:rFonts w:cs="Times New Roman"/>
                <w:sz w:val="20"/>
                <w:szCs w:val="20"/>
              </w:rPr>
            </w:pPr>
          </w:p>
        </w:tc>
        <w:tc>
          <w:tcPr>
            <w:tcW w:w="0" w:type="auto"/>
            <w:hideMark/>
          </w:tcPr>
          <w:p w14:paraId="7920DFBD" w14:textId="77777777" w:rsidR="003B03A5" w:rsidRPr="00692AF5" w:rsidRDefault="003B03A5" w:rsidP="004A0591">
            <w:pPr>
              <w:spacing w:after="160" w:line="240" w:lineRule="auto"/>
              <w:rPr>
                <w:rFonts w:cs="Times New Roman"/>
                <w:sz w:val="20"/>
                <w:szCs w:val="20"/>
              </w:rPr>
            </w:pPr>
          </w:p>
        </w:tc>
        <w:tc>
          <w:tcPr>
            <w:tcW w:w="0" w:type="auto"/>
            <w:hideMark/>
          </w:tcPr>
          <w:p w14:paraId="7D343C29" w14:textId="77777777" w:rsidR="003B03A5" w:rsidRPr="00692AF5" w:rsidRDefault="003B03A5" w:rsidP="004A0591">
            <w:pPr>
              <w:spacing w:after="160" w:line="240" w:lineRule="auto"/>
              <w:rPr>
                <w:rFonts w:cs="Times New Roman"/>
                <w:sz w:val="20"/>
                <w:szCs w:val="20"/>
              </w:rPr>
            </w:pPr>
          </w:p>
        </w:tc>
        <w:tc>
          <w:tcPr>
            <w:tcW w:w="0" w:type="auto"/>
            <w:hideMark/>
          </w:tcPr>
          <w:p w14:paraId="57F4DD51" w14:textId="77777777" w:rsidR="003B03A5" w:rsidRPr="00692AF5" w:rsidRDefault="003B03A5" w:rsidP="004A0591">
            <w:pPr>
              <w:spacing w:after="160" w:line="240" w:lineRule="auto"/>
              <w:rPr>
                <w:rFonts w:cs="Times New Roman"/>
                <w:sz w:val="20"/>
                <w:szCs w:val="20"/>
              </w:rPr>
            </w:pPr>
          </w:p>
        </w:tc>
      </w:tr>
      <w:tr w:rsidR="003B03A5" w:rsidRPr="00692AF5" w14:paraId="6E772F71" w14:textId="77777777" w:rsidTr="004A0591">
        <w:tc>
          <w:tcPr>
            <w:tcW w:w="0" w:type="auto"/>
            <w:hideMark/>
          </w:tcPr>
          <w:p w14:paraId="6131FB3D"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Strategic Brand Positioning</w:t>
            </w:r>
          </w:p>
        </w:tc>
        <w:tc>
          <w:tcPr>
            <w:tcW w:w="0" w:type="auto"/>
            <w:hideMark/>
          </w:tcPr>
          <w:p w14:paraId="55802D73"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Pearson Correlation .251*</w:t>
            </w:r>
          </w:p>
        </w:tc>
        <w:tc>
          <w:tcPr>
            <w:tcW w:w="0" w:type="auto"/>
            <w:hideMark/>
          </w:tcPr>
          <w:p w14:paraId="315C69E6"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w:t>
            </w:r>
          </w:p>
        </w:tc>
        <w:tc>
          <w:tcPr>
            <w:tcW w:w="0" w:type="auto"/>
            <w:hideMark/>
          </w:tcPr>
          <w:p w14:paraId="41575D38" w14:textId="77777777" w:rsidR="003B03A5" w:rsidRPr="00692AF5" w:rsidRDefault="003B03A5" w:rsidP="004A0591">
            <w:pPr>
              <w:spacing w:after="160" w:line="240" w:lineRule="auto"/>
              <w:rPr>
                <w:rFonts w:cs="Times New Roman"/>
                <w:sz w:val="20"/>
                <w:szCs w:val="20"/>
              </w:rPr>
            </w:pPr>
          </w:p>
        </w:tc>
        <w:tc>
          <w:tcPr>
            <w:tcW w:w="0" w:type="auto"/>
            <w:hideMark/>
          </w:tcPr>
          <w:p w14:paraId="4F9FFDD1" w14:textId="77777777" w:rsidR="003B03A5" w:rsidRPr="00692AF5" w:rsidRDefault="003B03A5" w:rsidP="004A0591">
            <w:pPr>
              <w:spacing w:after="160" w:line="240" w:lineRule="auto"/>
              <w:rPr>
                <w:rFonts w:cs="Times New Roman"/>
                <w:sz w:val="20"/>
                <w:szCs w:val="20"/>
              </w:rPr>
            </w:pPr>
          </w:p>
        </w:tc>
        <w:tc>
          <w:tcPr>
            <w:tcW w:w="0" w:type="auto"/>
            <w:hideMark/>
          </w:tcPr>
          <w:p w14:paraId="47D917E9" w14:textId="77777777" w:rsidR="003B03A5" w:rsidRPr="00692AF5" w:rsidRDefault="003B03A5" w:rsidP="004A0591">
            <w:pPr>
              <w:spacing w:after="160" w:line="240" w:lineRule="auto"/>
              <w:rPr>
                <w:rFonts w:cs="Times New Roman"/>
                <w:sz w:val="20"/>
                <w:szCs w:val="20"/>
              </w:rPr>
            </w:pPr>
          </w:p>
        </w:tc>
      </w:tr>
      <w:tr w:rsidR="003B03A5" w:rsidRPr="00692AF5" w14:paraId="0981E159" w14:textId="77777777" w:rsidTr="004A0591">
        <w:tc>
          <w:tcPr>
            <w:tcW w:w="0" w:type="auto"/>
            <w:hideMark/>
          </w:tcPr>
          <w:p w14:paraId="6D63EE2B" w14:textId="77777777" w:rsidR="003B03A5" w:rsidRPr="00692AF5" w:rsidRDefault="003B03A5" w:rsidP="004A0591">
            <w:pPr>
              <w:spacing w:after="160" w:line="240" w:lineRule="auto"/>
              <w:rPr>
                <w:rFonts w:cs="Times New Roman"/>
                <w:sz w:val="20"/>
                <w:szCs w:val="20"/>
              </w:rPr>
            </w:pPr>
          </w:p>
        </w:tc>
        <w:tc>
          <w:tcPr>
            <w:tcW w:w="0" w:type="auto"/>
            <w:hideMark/>
          </w:tcPr>
          <w:p w14:paraId="2DB4EC05"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Sig. (2-tailed) .128</w:t>
            </w:r>
          </w:p>
        </w:tc>
        <w:tc>
          <w:tcPr>
            <w:tcW w:w="0" w:type="auto"/>
            <w:hideMark/>
          </w:tcPr>
          <w:p w14:paraId="10CF5429" w14:textId="77777777" w:rsidR="003B03A5" w:rsidRPr="00692AF5" w:rsidRDefault="003B03A5" w:rsidP="004A0591">
            <w:pPr>
              <w:spacing w:after="160" w:line="240" w:lineRule="auto"/>
              <w:rPr>
                <w:rFonts w:cs="Times New Roman"/>
                <w:sz w:val="20"/>
                <w:szCs w:val="20"/>
              </w:rPr>
            </w:pPr>
          </w:p>
        </w:tc>
        <w:tc>
          <w:tcPr>
            <w:tcW w:w="0" w:type="auto"/>
            <w:hideMark/>
          </w:tcPr>
          <w:p w14:paraId="7CDC6249" w14:textId="77777777" w:rsidR="003B03A5" w:rsidRPr="00692AF5" w:rsidRDefault="003B03A5" w:rsidP="004A0591">
            <w:pPr>
              <w:spacing w:after="160" w:line="240" w:lineRule="auto"/>
              <w:rPr>
                <w:rFonts w:cs="Times New Roman"/>
                <w:sz w:val="20"/>
                <w:szCs w:val="20"/>
              </w:rPr>
            </w:pPr>
          </w:p>
        </w:tc>
        <w:tc>
          <w:tcPr>
            <w:tcW w:w="0" w:type="auto"/>
            <w:hideMark/>
          </w:tcPr>
          <w:p w14:paraId="2DB38FF8" w14:textId="77777777" w:rsidR="003B03A5" w:rsidRPr="00692AF5" w:rsidRDefault="003B03A5" w:rsidP="004A0591">
            <w:pPr>
              <w:spacing w:after="160" w:line="240" w:lineRule="auto"/>
              <w:rPr>
                <w:rFonts w:cs="Times New Roman"/>
                <w:sz w:val="20"/>
                <w:szCs w:val="20"/>
              </w:rPr>
            </w:pPr>
          </w:p>
        </w:tc>
        <w:tc>
          <w:tcPr>
            <w:tcW w:w="0" w:type="auto"/>
            <w:hideMark/>
          </w:tcPr>
          <w:p w14:paraId="5CA6E3E6" w14:textId="77777777" w:rsidR="003B03A5" w:rsidRPr="00692AF5" w:rsidRDefault="003B03A5" w:rsidP="004A0591">
            <w:pPr>
              <w:spacing w:after="160" w:line="240" w:lineRule="auto"/>
              <w:rPr>
                <w:rFonts w:cs="Times New Roman"/>
                <w:sz w:val="20"/>
                <w:szCs w:val="20"/>
              </w:rPr>
            </w:pPr>
          </w:p>
        </w:tc>
      </w:tr>
      <w:tr w:rsidR="003B03A5" w:rsidRPr="00692AF5" w14:paraId="315397F5" w14:textId="77777777" w:rsidTr="004A0591">
        <w:tc>
          <w:tcPr>
            <w:tcW w:w="0" w:type="auto"/>
            <w:hideMark/>
          </w:tcPr>
          <w:p w14:paraId="56AED14C"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lastRenderedPageBreak/>
              <w:t>Technological Integration</w:t>
            </w:r>
          </w:p>
        </w:tc>
        <w:tc>
          <w:tcPr>
            <w:tcW w:w="0" w:type="auto"/>
            <w:hideMark/>
          </w:tcPr>
          <w:p w14:paraId="0BA032C5"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Pearson Correlation .345**</w:t>
            </w:r>
          </w:p>
        </w:tc>
        <w:tc>
          <w:tcPr>
            <w:tcW w:w="0" w:type="auto"/>
            <w:hideMark/>
          </w:tcPr>
          <w:p w14:paraId="1BC86119"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-.026</w:t>
            </w:r>
          </w:p>
        </w:tc>
        <w:tc>
          <w:tcPr>
            <w:tcW w:w="0" w:type="auto"/>
            <w:hideMark/>
          </w:tcPr>
          <w:p w14:paraId="7141B207"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w:t>
            </w:r>
          </w:p>
        </w:tc>
        <w:tc>
          <w:tcPr>
            <w:tcW w:w="0" w:type="auto"/>
            <w:hideMark/>
          </w:tcPr>
          <w:p w14:paraId="0057AE5C" w14:textId="77777777" w:rsidR="003B03A5" w:rsidRPr="00692AF5" w:rsidRDefault="003B03A5" w:rsidP="004A0591">
            <w:pPr>
              <w:spacing w:after="160" w:line="240" w:lineRule="auto"/>
              <w:rPr>
                <w:rFonts w:cs="Times New Roman"/>
                <w:sz w:val="20"/>
                <w:szCs w:val="20"/>
              </w:rPr>
            </w:pPr>
          </w:p>
        </w:tc>
        <w:tc>
          <w:tcPr>
            <w:tcW w:w="0" w:type="auto"/>
            <w:hideMark/>
          </w:tcPr>
          <w:p w14:paraId="3EC89D9E" w14:textId="77777777" w:rsidR="003B03A5" w:rsidRPr="00692AF5" w:rsidRDefault="003B03A5" w:rsidP="004A0591">
            <w:pPr>
              <w:spacing w:after="160" w:line="240" w:lineRule="auto"/>
              <w:rPr>
                <w:rFonts w:cs="Times New Roman"/>
                <w:sz w:val="20"/>
                <w:szCs w:val="20"/>
              </w:rPr>
            </w:pPr>
          </w:p>
        </w:tc>
      </w:tr>
      <w:tr w:rsidR="003B03A5" w:rsidRPr="00692AF5" w14:paraId="18F8D65A" w14:textId="77777777" w:rsidTr="004A0591">
        <w:tc>
          <w:tcPr>
            <w:tcW w:w="0" w:type="auto"/>
            <w:hideMark/>
          </w:tcPr>
          <w:p w14:paraId="6EF966E5" w14:textId="77777777" w:rsidR="003B03A5" w:rsidRPr="00692AF5" w:rsidRDefault="003B03A5" w:rsidP="004A0591">
            <w:pPr>
              <w:spacing w:after="160" w:line="240" w:lineRule="auto"/>
              <w:rPr>
                <w:rFonts w:cs="Times New Roman"/>
                <w:sz w:val="20"/>
                <w:szCs w:val="20"/>
              </w:rPr>
            </w:pPr>
          </w:p>
        </w:tc>
        <w:tc>
          <w:tcPr>
            <w:tcW w:w="0" w:type="auto"/>
            <w:hideMark/>
          </w:tcPr>
          <w:p w14:paraId="70ED57AC"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Sig. (2-tailed) .302</w:t>
            </w:r>
          </w:p>
        </w:tc>
        <w:tc>
          <w:tcPr>
            <w:tcW w:w="0" w:type="auto"/>
            <w:hideMark/>
          </w:tcPr>
          <w:p w14:paraId="5C4964AF"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.820</w:t>
            </w:r>
          </w:p>
        </w:tc>
        <w:tc>
          <w:tcPr>
            <w:tcW w:w="0" w:type="auto"/>
            <w:hideMark/>
          </w:tcPr>
          <w:p w14:paraId="06A86984" w14:textId="77777777" w:rsidR="003B03A5" w:rsidRPr="00692AF5" w:rsidRDefault="003B03A5" w:rsidP="004A0591">
            <w:pPr>
              <w:spacing w:after="160" w:line="240" w:lineRule="auto"/>
              <w:rPr>
                <w:rFonts w:cs="Times New Roman"/>
                <w:sz w:val="20"/>
                <w:szCs w:val="20"/>
              </w:rPr>
            </w:pPr>
          </w:p>
        </w:tc>
        <w:tc>
          <w:tcPr>
            <w:tcW w:w="0" w:type="auto"/>
            <w:hideMark/>
          </w:tcPr>
          <w:p w14:paraId="05E49B90" w14:textId="77777777" w:rsidR="003B03A5" w:rsidRPr="00692AF5" w:rsidRDefault="003B03A5" w:rsidP="004A0591">
            <w:pPr>
              <w:spacing w:after="160" w:line="240" w:lineRule="auto"/>
              <w:rPr>
                <w:rFonts w:cs="Times New Roman"/>
                <w:sz w:val="20"/>
                <w:szCs w:val="20"/>
              </w:rPr>
            </w:pPr>
          </w:p>
        </w:tc>
        <w:tc>
          <w:tcPr>
            <w:tcW w:w="0" w:type="auto"/>
            <w:hideMark/>
          </w:tcPr>
          <w:p w14:paraId="2E30960A" w14:textId="77777777" w:rsidR="003B03A5" w:rsidRPr="00692AF5" w:rsidRDefault="003B03A5" w:rsidP="004A0591">
            <w:pPr>
              <w:spacing w:after="160" w:line="240" w:lineRule="auto"/>
              <w:rPr>
                <w:rFonts w:cs="Times New Roman"/>
                <w:sz w:val="20"/>
                <w:szCs w:val="20"/>
              </w:rPr>
            </w:pPr>
          </w:p>
        </w:tc>
      </w:tr>
      <w:tr w:rsidR="003B03A5" w:rsidRPr="00692AF5" w14:paraId="686D0F7C" w14:textId="77777777" w:rsidTr="004A0591">
        <w:tc>
          <w:tcPr>
            <w:tcW w:w="0" w:type="auto"/>
            <w:hideMark/>
          </w:tcPr>
          <w:p w14:paraId="1D43F092"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Data-driven Decision-Making</w:t>
            </w:r>
          </w:p>
        </w:tc>
        <w:tc>
          <w:tcPr>
            <w:tcW w:w="0" w:type="auto"/>
            <w:hideMark/>
          </w:tcPr>
          <w:p w14:paraId="5270DB84"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Pearson Correlation .297**</w:t>
            </w:r>
          </w:p>
        </w:tc>
        <w:tc>
          <w:tcPr>
            <w:tcW w:w="0" w:type="auto"/>
            <w:hideMark/>
          </w:tcPr>
          <w:p w14:paraId="4EA245EC"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-.063</w:t>
            </w:r>
          </w:p>
        </w:tc>
        <w:tc>
          <w:tcPr>
            <w:tcW w:w="0" w:type="auto"/>
            <w:hideMark/>
          </w:tcPr>
          <w:p w14:paraId="426148F3"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.981**</w:t>
            </w:r>
          </w:p>
        </w:tc>
        <w:tc>
          <w:tcPr>
            <w:tcW w:w="0" w:type="auto"/>
            <w:hideMark/>
          </w:tcPr>
          <w:p w14:paraId="2938606E"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w:t>
            </w:r>
          </w:p>
        </w:tc>
        <w:tc>
          <w:tcPr>
            <w:tcW w:w="0" w:type="auto"/>
            <w:hideMark/>
          </w:tcPr>
          <w:p w14:paraId="72D820BE" w14:textId="77777777" w:rsidR="003B03A5" w:rsidRPr="00692AF5" w:rsidRDefault="003B03A5" w:rsidP="004A0591">
            <w:pPr>
              <w:spacing w:after="160" w:line="240" w:lineRule="auto"/>
              <w:rPr>
                <w:rFonts w:cs="Times New Roman"/>
                <w:sz w:val="20"/>
                <w:szCs w:val="20"/>
              </w:rPr>
            </w:pPr>
          </w:p>
        </w:tc>
      </w:tr>
      <w:tr w:rsidR="003B03A5" w:rsidRPr="00692AF5" w14:paraId="59CB1550" w14:textId="77777777" w:rsidTr="004A0591">
        <w:tc>
          <w:tcPr>
            <w:tcW w:w="0" w:type="auto"/>
            <w:hideMark/>
          </w:tcPr>
          <w:p w14:paraId="3AF7E8A1" w14:textId="77777777" w:rsidR="003B03A5" w:rsidRPr="00692AF5" w:rsidRDefault="003B03A5" w:rsidP="004A0591">
            <w:pPr>
              <w:spacing w:after="160" w:line="240" w:lineRule="auto"/>
              <w:rPr>
                <w:rFonts w:cs="Times New Roman"/>
                <w:sz w:val="20"/>
                <w:szCs w:val="20"/>
              </w:rPr>
            </w:pPr>
          </w:p>
        </w:tc>
        <w:tc>
          <w:tcPr>
            <w:tcW w:w="0" w:type="auto"/>
            <w:hideMark/>
          </w:tcPr>
          <w:p w14:paraId="53A4477F"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Sig. (2-tailed) .109</w:t>
            </w:r>
          </w:p>
        </w:tc>
        <w:tc>
          <w:tcPr>
            <w:tcW w:w="0" w:type="auto"/>
            <w:hideMark/>
          </w:tcPr>
          <w:p w14:paraId="6057B943"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.589</w:t>
            </w:r>
          </w:p>
        </w:tc>
        <w:tc>
          <w:tcPr>
            <w:tcW w:w="0" w:type="auto"/>
            <w:hideMark/>
          </w:tcPr>
          <w:p w14:paraId="206B2F49"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.200</w:t>
            </w:r>
          </w:p>
        </w:tc>
        <w:tc>
          <w:tcPr>
            <w:tcW w:w="0" w:type="auto"/>
            <w:hideMark/>
          </w:tcPr>
          <w:p w14:paraId="4B01C53B" w14:textId="77777777" w:rsidR="003B03A5" w:rsidRPr="00692AF5" w:rsidRDefault="003B03A5" w:rsidP="004A0591">
            <w:pPr>
              <w:spacing w:after="160" w:line="240" w:lineRule="auto"/>
              <w:rPr>
                <w:rFonts w:cs="Times New Roman"/>
                <w:sz w:val="20"/>
                <w:szCs w:val="20"/>
              </w:rPr>
            </w:pPr>
          </w:p>
        </w:tc>
        <w:tc>
          <w:tcPr>
            <w:tcW w:w="0" w:type="auto"/>
            <w:hideMark/>
          </w:tcPr>
          <w:p w14:paraId="1DF84DBD" w14:textId="77777777" w:rsidR="003B03A5" w:rsidRPr="00692AF5" w:rsidRDefault="003B03A5" w:rsidP="004A0591">
            <w:pPr>
              <w:spacing w:after="160" w:line="240" w:lineRule="auto"/>
              <w:rPr>
                <w:rFonts w:cs="Times New Roman"/>
                <w:sz w:val="20"/>
                <w:szCs w:val="20"/>
              </w:rPr>
            </w:pPr>
          </w:p>
        </w:tc>
      </w:tr>
      <w:tr w:rsidR="003B03A5" w:rsidRPr="00692AF5" w14:paraId="41394368" w14:textId="77777777" w:rsidTr="004A0591">
        <w:tc>
          <w:tcPr>
            <w:tcW w:w="0" w:type="auto"/>
            <w:hideMark/>
          </w:tcPr>
          <w:p w14:paraId="5EFD8D1B"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Organizational Performance</w:t>
            </w:r>
          </w:p>
        </w:tc>
        <w:tc>
          <w:tcPr>
            <w:tcW w:w="0" w:type="auto"/>
            <w:hideMark/>
          </w:tcPr>
          <w:p w14:paraId="401B25FE"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Pearson Correlation .507**</w:t>
            </w:r>
          </w:p>
        </w:tc>
        <w:tc>
          <w:tcPr>
            <w:tcW w:w="0" w:type="auto"/>
            <w:hideMark/>
          </w:tcPr>
          <w:p w14:paraId="6C8D4B4D"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.525**</w:t>
            </w:r>
          </w:p>
        </w:tc>
        <w:tc>
          <w:tcPr>
            <w:tcW w:w="0" w:type="auto"/>
            <w:hideMark/>
          </w:tcPr>
          <w:p w14:paraId="038EB480"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.664**</w:t>
            </w:r>
          </w:p>
        </w:tc>
        <w:tc>
          <w:tcPr>
            <w:tcW w:w="0" w:type="auto"/>
            <w:hideMark/>
          </w:tcPr>
          <w:p w14:paraId="14AF38CB"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.654**</w:t>
            </w:r>
          </w:p>
        </w:tc>
        <w:tc>
          <w:tcPr>
            <w:tcW w:w="0" w:type="auto"/>
            <w:hideMark/>
          </w:tcPr>
          <w:p w14:paraId="21227041"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w:t>
            </w:r>
          </w:p>
        </w:tc>
      </w:tr>
      <w:tr w:rsidR="003B03A5" w:rsidRPr="00692AF5" w14:paraId="47A7C5F7" w14:textId="77777777" w:rsidTr="004A0591">
        <w:tc>
          <w:tcPr>
            <w:tcW w:w="0" w:type="auto"/>
            <w:hideMark/>
          </w:tcPr>
          <w:p w14:paraId="4CDBC5CC" w14:textId="77777777" w:rsidR="003B03A5" w:rsidRPr="00692AF5" w:rsidRDefault="003B03A5" w:rsidP="004A0591">
            <w:pPr>
              <w:spacing w:after="160" w:line="240" w:lineRule="auto"/>
              <w:rPr>
                <w:rFonts w:cs="Times New Roman"/>
                <w:sz w:val="20"/>
                <w:szCs w:val="20"/>
              </w:rPr>
            </w:pPr>
          </w:p>
        </w:tc>
        <w:tc>
          <w:tcPr>
            <w:tcW w:w="0" w:type="auto"/>
            <w:hideMark/>
          </w:tcPr>
          <w:p w14:paraId="263FF4DC"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Sig. (2-tailed) .000</w:t>
            </w:r>
          </w:p>
        </w:tc>
        <w:tc>
          <w:tcPr>
            <w:tcW w:w="0" w:type="auto"/>
            <w:hideMark/>
          </w:tcPr>
          <w:p w14:paraId="7EA155EA"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.000</w:t>
            </w:r>
          </w:p>
        </w:tc>
        <w:tc>
          <w:tcPr>
            <w:tcW w:w="0" w:type="auto"/>
            <w:hideMark/>
          </w:tcPr>
          <w:p w14:paraId="0E69E27B"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.000</w:t>
            </w:r>
          </w:p>
        </w:tc>
        <w:tc>
          <w:tcPr>
            <w:tcW w:w="0" w:type="auto"/>
            <w:hideMark/>
          </w:tcPr>
          <w:p w14:paraId="0F222E87"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.000</w:t>
            </w:r>
          </w:p>
        </w:tc>
        <w:tc>
          <w:tcPr>
            <w:tcW w:w="0" w:type="auto"/>
            <w:hideMark/>
          </w:tcPr>
          <w:p w14:paraId="2D5F9A1B" w14:textId="77777777" w:rsidR="003B03A5" w:rsidRPr="00692AF5" w:rsidRDefault="003B03A5" w:rsidP="004A0591">
            <w:pPr>
              <w:spacing w:after="160" w:line="240" w:lineRule="auto"/>
              <w:rPr>
                <w:rFonts w:cs="Times New Roman"/>
                <w:sz w:val="20"/>
                <w:szCs w:val="20"/>
              </w:rPr>
            </w:pPr>
          </w:p>
        </w:tc>
      </w:tr>
    </w:tbl>
    <w:p w14:paraId="0A626B80" w14:textId="77777777" w:rsidR="003B03A5" w:rsidRPr="00692AF5" w:rsidRDefault="003B03A5" w:rsidP="003B03A5">
      <w:pPr>
        <w:spacing w:before="0" w:after="160" w:line="240" w:lineRule="auto"/>
        <w:rPr>
          <w:rFonts w:cs="Times New Roman"/>
          <w:sz w:val="20"/>
          <w:szCs w:val="20"/>
        </w:rPr>
      </w:pPr>
      <w:r w:rsidRPr="00692AF5">
        <w:rPr>
          <w:rFonts w:cs="Times New Roman"/>
          <w:i/>
          <w:iCs/>
          <w:sz w:val="20"/>
          <w:szCs w:val="20"/>
        </w:rPr>
        <w:t>Source: Researcher (2025)</w:t>
      </w:r>
    </w:p>
    <w:p w14:paraId="7CC2CE03"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The findings indicate that all four independent variables are positively associated with organizational performance at KRA. Customer-centric approaches show a strong positive relationship with performance (r = 0.507, p = 0.000), implying that responsiveness to taxpayer needs significantly enhances service quality and institutional effectiveness.</w:t>
      </w:r>
    </w:p>
    <w:p w14:paraId="586631FD"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Strategic brand positioning also demonstrates a strong positive relationship with performance (r = 0.525, p = 0.000), suggesting that a well-established institutional image improves stakeholder trust and operational outcomes.</w:t>
      </w:r>
    </w:p>
    <w:p w14:paraId="63989C23"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Technological integration exhibits the strongest correlation with performance (r = 0.664, p = 0.000), highlighting the importance of digital systems and automation in improving efficiency, compliance, and service delivery.</w:t>
      </w:r>
    </w:p>
    <w:p w14:paraId="70AAD3C3"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Similarly, data-driven decision-making shows a strong positive correlation with performance (r = 0.654, p = 0.000), indicating that evidence-based management and analytics significantly contribute to improved organizational outcomes.</w:t>
      </w:r>
    </w:p>
    <w:p w14:paraId="648AD301"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Additionally, inter-variable relationships indicate a particularly strong correlation between technological integration and data-driven decision-making (r = 0.981), suggesting that the two constructs are highly interdependent in influencing performance outcomes. However, weaker correlations among some variables, such as customer-centric approaches and technological integration, suggest that certain strategies may operate independently rather than synergistically.</w:t>
      </w:r>
    </w:p>
    <w:p w14:paraId="3CCDAE3F"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Overall, the results confirm that all four constructs positively influence organizational performance, with technology and data use emerging as the most influential drivers.</w:t>
      </w:r>
    </w:p>
    <w:p w14:paraId="39A27B68" w14:textId="77777777" w:rsidR="003B03A5" w:rsidRPr="00692AF5" w:rsidRDefault="003B03A5" w:rsidP="003B03A5">
      <w:pPr>
        <w:spacing w:before="0" w:after="160" w:line="240" w:lineRule="auto"/>
        <w:rPr>
          <w:rFonts w:cs="Times New Roman"/>
          <w:b/>
          <w:bCs/>
          <w:sz w:val="20"/>
          <w:szCs w:val="20"/>
        </w:rPr>
      </w:pPr>
      <w:r w:rsidRPr="00692AF5">
        <w:rPr>
          <w:rFonts w:cs="Times New Roman"/>
          <w:b/>
          <w:bCs/>
          <w:sz w:val="20"/>
          <w:szCs w:val="20"/>
        </w:rPr>
        <w:t>Regression Analysis</w:t>
      </w:r>
    </w:p>
    <w:p w14:paraId="29651A6D" w14:textId="77777777" w:rsidR="003B03A5" w:rsidRDefault="003B03A5" w:rsidP="003B03A5">
      <w:pPr>
        <w:spacing w:before="0" w:after="160" w:line="240" w:lineRule="auto"/>
        <w:rPr>
          <w:rFonts w:cs="Times New Roman"/>
          <w:sz w:val="20"/>
          <w:szCs w:val="20"/>
        </w:rPr>
      </w:pPr>
      <w:r w:rsidRPr="00692AF5">
        <w:rPr>
          <w:rFonts w:cs="Times New Roman"/>
          <w:sz w:val="20"/>
          <w:szCs w:val="20"/>
        </w:rPr>
        <w:t>Regression analysis was conducted to determine the predictive power of customer-centric approaches, strategic brand positioning, technological integration, and data-driven decision-making on organizational performance at KRA. This analysis also identifies the relative contribution of each predictor to overall performance outcomes.</w:t>
      </w:r>
    </w:p>
    <w:p w14:paraId="1079F275" w14:textId="77777777" w:rsidR="007B468C" w:rsidRPr="00692AF5" w:rsidRDefault="007B468C" w:rsidP="003B03A5">
      <w:pPr>
        <w:spacing w:before="0" w:after="160" w:line="240" w:lineRule="auto"/>
        <w:rPr>
          <w:rFonts w:cs="Times New Roman"/>
          <w:sz w:val="20"/>
          <w:szCs w:val="20"/>
        </w:rPr>
      </w:pPr>
    </w:p>
    <w:p w14:paraId="26B392AD" w14:textId="16CF34C7" w:rsidR="003B03A5" w:rsidRPr="00692AF5" w:rsidRDefault="003B03A5" w:rsidP="003B03A5">
      <w:pPr>
        <w:spacing w:before="0" w:after="160" w:line="240" w:lineRule="auto"/>
        <w:rPr>
          <w:rFonts w:cs="Times New Roman"/>
          <w:b/>
          <w:bCs/>
          <w:sz w:val="20"/>
          <w:szCs w:val="20"/>
        </w:rPr>
      </w:pPr>
      <w:r w:rsidRPr="00692AF5">
        <w:rPr>
          <w:rFonts w:cs="Times New Roman"/>
          <w:b/>
          <w:bCs/>
          <w:sz w:val="20"/>
          <w:szCs w:val="20"/>
        </w:rPr>
        <w:t>Table</w:t>
      </w:r>
      <w:r w:rsidR="003A1E48" w:rsidRPr="00692AF5">
        <w:rPr>
          <w:rFonts w:cs="Times New Roman"/>
          <w:b/>
          <w:bCs/>
          <w:sz w:val="20"/>
          <w:szCs w:val="20"/>
        </w:rPr>
        <w:t xml:space="preserve"> 4</w:t>
      </w:r>
      <w:r w:rsidRPr="00692AF5">
        <w:rPr>
          <w:rFonts w:cs="Times New Roman"/>
          <w:b/>
          <w:bCs/>
          <w:sz w:val="20"/>
          <w:szCs w:val="20"/>
        </w:rPr>
        <w:t xml:space="preserve"> Model Summary</w:t>
      </w:r>
    </w:p>
    <w:tbl>
      <w:tblPr>
        <w:tblStyle w:val="TableGrid"/>
        <w:tblW w:w="0" w:type="auto"/>
        <w:tblLook w:val="04A0" w:firstRow="1" w:lastRow="0" w:firstColumn="1" w:lastColumn="0" w:noHBand="0" w:noVBand="1"/>
      </w:tblPr>
      <w:tblGrid>
        <w:gridCol w:w="761"/>
        <w:gridCol w:w="655"/>
        <w:gridCol w:w="566"/>
        <w:gridCol w:w="1249"/>
        <w:gridCol w:w="2444"/>
      </w:tblGrid>
      <w:tr w:rsidR="003B03A5" w:rsidRPr="00692AF5" w14:paraId="4EC0EDC1" w14:textId="77777777" w:rsidTr="004A0591">
        <w:tc>
          <w:tcPr>
            <w:tcW w:w="0" w:type="auto"/>
            <w:hideMark/>
          </w:tcPr>
          <w:p w14:paraId="520ED0D6"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Model</w:t>
            </w:r>
          </w:p>
        </w:tc>
        <w:tc>
          <w:tcPr>
            <w:tcW w:w="0" w:type="auto"/>
            <w:hideMark/>
          </w:tcPr>
          <w:p w14:paraId="1D6E815A"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R</w:t>
            </w:r>
          </w:p>
        </w:tc>
        <w:tc>
          <w:tcPr>
            <w:tcW w:w="0" w:type="auto"/>
            <w:hideMark/>
          </w:tcPr>
          <w:p w14:paraId="33652AD8"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R²</w:t>
            </w:r>
          </w:p>
        </w:tc>
        <w:tc>
          <w:tcPr>
            <w:tcW w:w="0" w:type="auto"/>
            <w:hideMark/>
          </w:tcPr>
          <w:p w14:paraId="4B296F71"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Adjusted R²</w:t>
            </w:r>
          </w:p>
        </w:tc>
        <w:tc>
          <w:tcPr>
            <w:tcW w:w="0" w:type="auto"/>
            <w:hideMark/>
          </w:tcPr>
          <w:p w14:paraId="0FA52D20"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Std. Error of the Estimate</w:t>
            </w:r>
          </w:p>
        </w:tc>
      </w:tr>
      <w:tr w:rsidR="003B03A5" w:rsidRPr="00692AF5" w14:paraId="7C2C2F7F" w14:textId="77777777" w:rsidTr="004A0591">
        <w:tc>
          <w:tcPr>
            <w:tcW w:w="0" w:type="auto"/>
            <w:hideMark/>
          </w:tcPr>
          <w:p w14:paraId="5A6DE9BE"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w:t>
            </w:r>
          </w:p>
        </w:tc>
        <w:tc>
          <w:tcPr>
            <w:tcW w:w="0" w:type="auto"/>
            <w:hideMark/>
          </w:tcPr>
          <w:p w14:paraId="45ACF5B1"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.884a</w:t>
            </w:r>
          </w:p>
        </w:tc>
        <w:tc>
          <w:tcPr>
            <w:tcW w:w="0" w:type="auto"/>
            <w:hideMark/>
          </w:tcPr>
          <w:p w14:paraId="175A4EB6"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.781</w:t>
            </w:r>
          </w:p>
        </w:tc>
        <w:tc>
          <w:tcPr>
            <w:tcW w:w="0" w:type="auto"/>
            <w:hideMark/>
          </w:tcPr>
          <w:p w14:paraId="7E8A5390"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.769</w:t>
            </w:r>
          </w:p>
        </w:tc>
        <w:tc>
          <w:tcPr>
            <w:tcW w:w="0" w:type="auto"/>
            <w:hideMark/>
          </w:tcPr>
          <w:p w14:paraId="1BB4A50A"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1.60515</w:t>
            </w:r>
          </w:p>
        </w:tc>
      </w:tr>
    </w:tbl>
    <w:p w14:paraId="46270430" w14:textId="77777777" w:rsidR="003B03A5" w:rsidRPr="00692AF5" w:rsidRDefault="003B03A5" w:rsidP="003B03A5">
      <w:pPr>
        <w:spacing w:before="0" w:after="160" w:line="240" w:lineRule="auto"/>
        <w:rPr>
          <w:rFonts w:cs="Times New Roman"/>
          <w:sz w:val="20"/>
          <w:szCs w:val="20"/>
        </w:rPr>
      </w:pPr>
      <w:r w:rsidRPr="00692AF5">
        <w:rPr>
          <w:rFonts w:cs="Times New Roman"/>
          <w:i/>
          <w:iCs/>
          <w:sz w:val="20"/>
          <w:szCs w:val="20"/>
        </w:rPr>
        <w:t>Predictors: (Constant), Customer-Centric Approaches, Strategic Brand Positioning, Technological Integration, Data-Driven Decision-Making</w:t>
      </w:r>
      <w:r w:rsidRPr="00692AF5">
        <w:rPr>
          <w:rFonts w:cs="Times New Roman"/>
          <w:sz w:val="20"/>
          <w:szCs w:val="20"/>
        </w:rPr>
        <w:br/>
      </w:r>
      <w:r w:rsidRPr="00692AF5">
        <w:rPr>
          <w:rFonts w:cs="Times New Roman"/>
          <w:i/>
          <w:iCs/>
          <w:sz w:val="20"/>
          <w:szCs w:val="20"/>
        </w:rPr>
        <w:t>Source: Researcher (2025)</w:t>
      </w:r>
    </w:p>
    <w:p w14:paraId="61D87263"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lastRenderedPageBreak/>
        <w:t>The model summary indicates a strong predictive relationship between the independent variables and organizational performance. The R value of 0.884 suggests a strong combined correlation between predictors and the dependent variable. The R² value of 0.781 implies that 78.1% of the variation in organizational performance at KRA is explained by the four predictors.</w:t>
      </w:r>
    </w:p>
    <w:p w14:paraId="47A92EB5"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The adjusted R² value of 0.769 confirms the robustness of the model after accounting for the number of predictors. This implies that the selected variables provide a strong explanatory framework for understanding performance variation within KRA. The remaining 21.9% of variation may be attributed to other external factors such as government policy, economic conditions, or workforce capacity.</w:t>
      </w:r>
    </w:p>
    <w:p w14:paraId="4071C16D" w14:textId="76B68483" w:rsidR="003B03A5" w:rsidRPr="00692AF5" w:rsidRDefault="003B03A5" w:rsidP="003B03A5">
      <w:pPr>
        <w:spacing w:before="0" w:after="160" w:line="240" w:lineRule="auto"/>
        <w:rPr>
          <w:rFonts w:cs="Times New Roman"/>
          <w:b/>
          <w:bCs/>
          <w:sz w:val="20"/>
          <w:szCs w:val="20"/>
        </w:rPr>
      </w:pPr>
      <w:r w:rsidRPr="00692AF5">
        <w:rPr>
          <w:rFonts w:cs="Times New Roman"/>
          <w:b/>
          <w:bCs/>
          <w:sz w:val="20"/>
          <w:szCs w:val="20"/>
        </w:rPr>
        <w:t>Table</w:t>
      </w:r>
      <w:r w:rsidR="003A1E48" w:rsidRPr="00692AF5">
        <w:rPr>
          <w:rFonts w:cs="Times New Roman"/>
          <w:b/>
          <w:bCs/>
          <w:sz w:val="20"/>
          <w:szCs w:val="20"/>
        </w:rPr>
        <w:t xml:space="preserve"> 5</w:t>
      </w:r>
      <w:r w:rsidRPr="00692AF5">
        <w:rPr>
          <w:rFonts w:cs="Times New Roman"/>
          <w:b/>
          <w:bCs/>
          <w:sz w:val="20"/>
          <w:szCs w:val="20"/>
        </w:rPr>
        <w:t xml:space="preserve"> ANOVA</w:t>
      </w:r>
    </w:p>
    <w:tbl>
      <w:tblPr>
        <w:tblStyle w:val="TableGrid"/>
        <w:tblW w:w="0" w:type="auto"/>
        <w:tblLook w:val="04A0" w:firstRow="1" w:lastRow="0" w:firstColumn="1" w:lastColumn="0" w:noHBand="0" w:noVBand="1"/>
      </w:tblPr>
      <w:tblGrid>
        <w:gridCol w:w="1105"/>
        <w:gridCol w:w="1561"/>
        <w:gridCol w:w="416"/>
        <w:gridCol w:w="1366"/>
        <w:gridCol w:w="766"/>
        <w:gridCol w:w="666"/>
      </w:tblGrid>
      <w:tr w:rsidR="003B03A5" w:rsidRPr="00692AF5" w14:paraId="25064093" w14:textId="77777777" w:rsidTr="004A0591">
        <w:tc>
          <w:tcPr>
            <w:tcW w:w="0" w:type="auto"/>
            <w:hideMark/>
          </w:tcPr>
          <w:p w14:paraId="67164D1C"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Model</w:t>
            </w:r>
          </w:p>
        </w:tc>
        <w:tc>
          <w:tcPr>
            <w:tcW w:w="0" w:type="auto"/>
            <w:hideMark/>
          </w:tcPr>
          <w:p w14:paraId="5D991532"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Sum of Squares</w:t>
            </w:r>
          </w:p>
        </w:tc>
        <w:tc>
          <w:tcPr>
            <w:tcW w:w="0" w:type="auto"/>
            <w:hideMark/>
          </w:tcPr>
          <w:p w14:paraId="54CEF9D4"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df</w:t>
            </w:r>
          </w:p>
        </w:tc>
        <w:tc>
          <w:tcPr>
            <w:tcW w:w="0" w:type="auto"/>
            <w:hideMark/>
          </w:tcPr>
          <w:p w14:paraId="23530B9D"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Mean Square</w:t>
            </w:r>
          </w:p>
        </w:tc>
        <w:tc>
          <w:tcPr>
            <w:tcW w:w="0" w:type="auto"/>
            <w:hideMark/>
          </w:tcPr>
          <w:p w14:paraId="43F15875"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F</w:t>
            </w:r>
          </w:p>
        </w:tc>
        <w:tc>
          <w:tcPr>
            <w:tcW w:w="0" w:type="auto"/>
            <w:hideMark/>
          </w:tcPr>
          <w:p w14:paraId="1CDB52DA"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Sig.</w:t>
            </w:r>
          </w:p>
        </w:tc>
      </w:tr>
      <w:tr w:rsidR="003B03A5" w:rsidRPr="00692AF5" w14:paraId="348711FC" w14:textId="77777777" w:rsidTr="004A0591">
        <w:tc>
          <w:tcPr>
            <w:tcW w:w="0" w:type="auto"/>
            <w:hideMark/>
          </w:tcPr>
          <w:p w14:paraId="7BE816E6"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Regression</w:t>
            </w:r>
          </w:p>
        </w:tc>
        <w:tc>
          <w:tcPr>
            <w:tcW w:w="0" w:type="auto"/>
            <w:hideMark/>
          </w:tcPr>
          <w:p w14:paraId="11C36B0C"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661.296</w:t>
            </w:r>
          </w:p>
        </w:tc>
        <w:tc>
          <w:tcPr>
            <w:tcW w:w="0" w:type="auto"/>
            <w:hideMark/>
          </w:tcPr>
          <w:p w14:paraId="10EE57A5"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4</w:t>
            </w:r>
          </w:p>
        </w:tc>
        <w:tc>
          <w:tcPr>
            <w:tcW w:w="0" w:type="auto"/>
            <w:hideMark/>
          </w:tcPr>
          <w:p w14:paraId="22A515D5"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165.324</w:t>
            </w:r>
          </w:p>
        </w:tc>
        <w:tc>
          <w:tcPr>
            <w:tcW w:w="0" w:type="auto"/>
            <w:hideMark/>
          </w:tcPr>
          <w:p w14:paraId="32434B65"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64.166</w:t>
            </w:r>
          </w:p>
        </w:tc>
        <w:tc>
          <w:tcPr>
            <w:tcW w:w="0" w:type="auto"/>
            <w:hideMark/>
          </w:tcPr>
          <w:p w14:paraId="5AB03250"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.000b</w:t>
            </w:r>
          </w:p>
        </w:tc>
      </w:tr>
      <w:tr w:rsidR="003B03A5" w:rsidRPr="00692AF5" w14:paraId="1EC64B91" w14:textId="77777777" w:rsidTr="004A0591">
        <w:tc>
          <w:tcPr>
            <w:tcW w:w="0" w:type="auto"/>
            <w:hideMark/>
          </w:tcPr>
          <w:p w14:paraId="3CC9D21B"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Residual</w:t>
            </w:r>
          </w:p>
        </w:tc>
        <w:tc>
          <w:tcPr>
            <w:tcW w:w="0" w:type="auto"/>
            <w:hideMark/>
          </w:tcPr>
          <w:p w14:paraId="258E1C51"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185.509</w:t>
            </w:r>
          </w:p>
        </w:tc>
        <w:tc>
          <w:tcPr>
            <w:tcW w:w="0" w:type="auto"/>
            <w:hideMark/>
          </w:tcPr>
          <w:p w14:paraId="57E12657"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72</w:t>
            </w:r>
          </w:p>
        </w:tc>
        <w:tc>
          <w:tcPr>
            <w:tcW w:w="0" w:type="auto"/>
            <w:hideMark/>
          </w:tcPr>
          <w:p w14:paraId="7388CC6A"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2.577</w:t>
            </w:r>
          </w:p>
        </w:tc>
        <w:tc>
          <w:tcPr>
            <w:tcW w:w="0" w:type="auto"/>
            <w:hideMark/>
          </w:tcPr>
          <w:p w14:paraId="62170587" w14:textId="77777777" w:rsidR="003B03A5" w:rsidRPr="00692AF5" w:rsidRDefault="003B03A5" w:rsidP="004A0591">
            <w:pPr>
              <w:spacing w:after="160" w:line="240" w:lineRule="auto"/>
              <w:rPr>
                <w:rFonts w:cs="Times New Roman"/>
                <w:sz w:val="20"/>
                <w:szCs w:val="20"/>
              </w:rPr>
            </w:pPr>
          </w:p>
        </w:tc>
        <w:tc>
          <w:tcPr>
            <w:tcW w:w="0" w:type="auto"/>
            <w:hideMark/>
          </w:tcPr>
          <w:p w14:paraId="283BF22C" w14:textId="77777777" w:rsidR="003B03A5" w:rsidRPr="00692AF5" w:rsidRDefault="003B03A5" w:rsidP="004A0591">
            <w:pPr>
              <w:spacing w:after="160" w:line="240" w:lineRule="auto"/>
              <w:rPr>
                <w:rFonts w:cs="Times New Roman"/>
                <w:sz w:val="20"/>
                <w:szCs w:val="20"/>
              </w:rPr>
            </w:pPr>
          </w:p>
        </w:tc>
      </w:tr>
      <w:tr w:rsidR="003B03A5" w:rsidRPr="00692AF5" w14:paraId="2AC23E67" w14:textId="77777777" w:rsidTr="004A0591">
        <w:tc>
          <w:tcPr>
            <w:tcW w:w="0" w:type="auto"/>
            <w:hideMark/>
          </w:tcPr>
          <w:p w14:paraId="384DBB64"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Total</w:t>
            </w:r>
          </w:p>
        </w:tc>
        <w:tc>
          <w:tcPr>
            <w:tcW w:w="0" w:type="auto"/>
            <w:hideMark/>
          </w:tcPr>
          <w:p w14:paraId="191AAA45"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846.805</w:t>
            </w:r>
          </w:p>
        </w:tc>
        <w:tc>
          <w:tcPr>
            <w:tcW w:w="0" w:type="auto"/>
            <w:hideMark/>
          </w:tcPr>
          <w:p w14:paraId="2F02E2B9"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76</w:t>
            </w:r>
          </w:p>
        </w:tc>
        <w:tc>
          <w:tcPr>
            <w:tcW w:w="0" w:type="auto"/>
            <w:hideMark/>
          </w:tcPr>
          <w:p w14:paraId="1CC09BE4" w14:textId="77777777" w:rsidR="003B03A5" w:rsidRPr="00692AF5" w:rsidRDefault="003B03A5" w:rsidP="004A0591">
            <w:pPr>
              <w:spacing w:after="160" w:line="240" w:lineRule="auto"/>
              <w:rPr>
                <w:rFonts w:cs="Times New Roman"/>
                <w:sz w:val="20"/>
                <w:szCs w:val="20"/>
              </w:rPr>
            </w:pPr>
          </w:p>
        </w:tc>
        <w:tc>
          <w:tcPr>
            <w:tcW w:w="0" w:type="auto"/>
            <w:hideMark/>
          </w:tcPr>
          <w:p w14:paraId="242934A6" w14:textId="77777777" w:rsidR="003B03A5" w:rsidRPr="00692AF5" w:rsidRDefault="003B03A5" w:rsidP="004A0591">
            <w:pPr>
              <w:spacing w:after="160" w:line="240" w:lineRule="auto"/>
              <w:rPr>
                <w:rFonts w:cs="Times New Roman"/>
                <w:sz w:val="20"/>
                <w:szCs w:val="20"/>
              </w:rPr>
            </w:pPr>
          </w:p>
        </w:tc>
        <w:tc>
          <w:tcPr>
            <w:tcW w:w="0" w:type="auto"/>
            <w:hideMark/>
          </w:tcPr>
          <w:p w14:paraId="5BD58E55" w14:textId="77777777" w:rsidR="003B03A5" w:rsidRPr="00692AF5" w:rsidRDefault="003B03A5" w:rsidP="004A0591">
            <w:pPr>
              <w:spacing w:after="160" w:line="240" w:lineRule="auto"/>
              <w:rPr>
                <w:rFonts w:cs="Times New Roman"/>
                <w:sz w:val="20"/>
                <w:szCs w:val="20"/>
              </w:rPr>
            </w:pPr>
          </w:p>
        </w:tc>
      </w:tr>
    </w:tbl>
    <w:p w14:paraId="78E0C1FE" w14:textId="77777777" w:rsidR="003B03A5" w:rsidRPr="00692AF5" w:rsidRDefault="003B03A5" w:rsidP="003B03A5">
      <w:pPr>
        <w:spacing w:before="0" w:after="160" w:line="240" w:lineRule="auto"/>
        <w:rPr>
          <w:rFonts w:cs="Times New Roman"/>
          <w:sz w:val="20"/>
          <w:szCs w:val="20"/>
        </w:rPr>
      </w:pPr>
      <w:r w:rsidRPr="00692AF5">
        <w:rPr>
          <w:rFonts w:cs="Times New Roman"/>
          <w:i/>
          <w:iCs/>
          <w:sz w:val="20"/>
          <w:szCs w:val="20"/>
        </w:rPr>
        <w:t>Dependent Variable: Organizational Performance</w:t>
      </w:r>
      <w:r w:rsidRPr="00692AF5">
        <w:rPr>
          <w:rFonts w:cs="Times New Roman"/>
          <w:sz w:val="20"/>
          <w:szCs w:val="20"/>
        </w:rPr>
        <w:br/>
      </w:r>
      <w:r w:rsidRPr="00692AF5">
        <w:rPr>
          <w:rFonts w:cs="Times New Roman"/>
          <w:i/>
          <w:iCs/>
          <w:sz w:val="20"/>
          <w:szCs w:val="20"/>
        </w:rPr>
        <w:t>Predictors: Customer-Centric Approaches, Strategic Brand Positioning, Technological Integration, Data-Driven Decision-Making</w:t>
      </w:r>
      <w:r w:rsidRPr="00692AF5">
        <w:rPr>
          <w:rFonts w:cs="Times New Roman"/>
          <w:sz w:val="20"/>
          <w:szCs w:val="20"/>
        </w:rPr>
        <w:br/>
      </w:r>
      <w:r w:rsidRPr="00692AF5">
        <w:rPr>
          <w:rFonts w:cs="Times New Roman"/>
          <w:i/>
          <w:iCs/>
          <w:sz w:val="20"/>
          <w:szCs w:val="20"/>
        </w:rPr>
        <w:t>Source: Researcher (2025)</w:t>
      </w:r>
    </w:p>
    <w:p w14:paraId="617F1F8A"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The ANOVA results show that the regression model is statistically significant (F = 64.166, p = 0.000). This confirms that the independent variables, when combined, significantly influence organizational performance at KRA. The model is therefore a good fit for explaining variations in performance, and the predictors are jointly important determinants of institutional effectiveness.</w:t>
      </w:r>
    </w:p>
    <w:p w14:paraId="64E9CB1F" w14:textId="5306908C" w:rsidR="003B03A5" w:rsidRPr="00692AF5" w:rsidRDefault="003B03A5" w:rsidP="003B03A5">
      <w:pPr>
        <w:spacing w:before="0" w:after="160" w:line="240" w:lineRule="auto"/>
        <w:rPr>
          <w:rFonts w:cs="Times New Roman"/>
          <w:b/>
          <w:bCs/>
          <w:sz w:val="20"/>
          <w:szCs w:val="20"/>
        </w:rPr>
      </w:pPr>
      <w:r w:rsidRPr="00692AF5">
        <w:rPr>
          <w:rFonts w:cs="Times New Roman"/>
          <w:b/>
          <w:bCs/>
          <w:sz w:val="20"/>
          <w:szCs w:val="20"/>
        </w:rPr>
        <w:t xml:space="preserve">Table </w:t>
      </w:r>
      <w:r w:rsidR="003A1E48" w:rsidRPr="00692AF5">
        <w:rPr>
          <w:rFonts w:cs="Times New Roman"/>
          <w:b/>
          <w:bCs/>
          <w:sz w:val="20"/>
          <w:szCs w:val="20"/>
        </w:rPr>
        <w:t>6</w:t>
      </w:r>
      <w:r w:rsidRPr="00692AF5">
        <w:rPr>
          <w:rFonts w:cs="Times New Roman"/>
          <w:b/>
          <w:bCs/>
          <w:sz w:val="20"/>
          <w:szCs w:val="20"/>
        </w:rPr>
        <w:t xml:space="preserve"> Coefficients</w:t>
      </w:r>
    </w:p>
    <w:tbl>
      <w:tblPr>
        <w:tblStyle w:val="TableGrid"/>
        <w:tblW w:w="0" w:type="auto"/>
        <w:tblLook w:val="04A0" w:firstRow="1" w:lastRow="0" w:firstColumn="1" w:lastColumn="0" w:noHBand="0" w:noVBand="1"/>
      </w:tblPr>
      <w:tblGrid>
        <w:gridCol w:w="2666"/>
        <w:gridCol w:w="2961"/>
        <w:gridCol w:w="1105"/>
        <w:gridCol w:w="2994"/>
        <w:gridCol w:w="666"/>
        <w:gridCol w:w="566"/>
      </w:tblGrid>
      <w:tr w:rsidR="003B03A5" w:rsidRPr="00692AF5" w14:paraId="1D8DAFD5" w14:textId="77777777" w:rsidTr="004A0591">
        <w:tc>
          <w:tcPr>
            <w:tcW w:w="0" w:type="auto"/>
            <w:hideMark/>
          </w:tcPr>
          <w:p w14:paraId="782243DE"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Model</w:t>
            </w:r>
          </w:p>
        </w:tc>
        <w:tc>
          <w:tcPr>
            <w:tcW w:w="0" w:type="auto"/>
            <w:hideMark/>
          </w:tcPr>
          <w:p w14:paraId="55929328"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Unstandardized Coefficients (B)</w:t>
            </w:r>
          </w:p>
        </w:tc>
        <w:tc>
          <w:tcPr>
            <w:tcW w:w="0" w:type="auto"/>
            <w:hideMark/>
          </w:tcPr>
          <w:p w14:paraId="73245AF1"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Std. Error</w:t>
            </w:r>
          </w:p>
        </w:tc>
        <w:tc>
          <w:tcPr>
            <w:tcW w:w="0" w:type="auto"/>
            <w:hideMark/>
          </w:tcPr>
          <w:p w14:paraId="54C1C197"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Standardized Coefficients (Beta)</w:t>
            </w:r>
          </w:p>
        </w:tc>
        <w:tc>
          <w:tcPr>
            <w:tcW w:w="0" w:type="auto"/>
            <w:hideMark/>
          </w:tcPr>
          <w:p w14:paraId="282CA961"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t</w:t>
            </w:r>
          </w:p>
        </w:tc>
        <w:tc>
          <w:tcPr>
            <w:tcW w:w="0" w:type="auto"/>
            <w:hideMark/>
          </w:tcPr>
          <w:p w14:paraId="546ABAD0" w14:textId="77777777" w:rsidR="003B03A5" w:rsidRPr="00692AF5" w:rsidRDefault="003B03A5" w:rsidP="004A0591">
            <w:pPr>
              <w:spacing w:after="160" w:line="240" w:lineRule="auto"/>
              <w:rPr>
                <w:rFonts w:cs="Times New Roman"/>
                <w:b/>
                <w:bCs/>
                <w:sz w:val="20"/>
                <w:szCs w:val="20"/>
              </w:rPr>
            </w:pPr>
            <w:r w:rsidRPr="00692AF5">
              <w:rPr>
                <w:rFonts w:cs="Times New Roman"/>
                <w:b/>
                <w:bCs/>
                <w:sz w:val="20"/>
                <w:szCs w:val="20"/>
              </w:rPr>
              <w:t>Sig.</w:t>
            </w:r>
          </w:p>
        </w:tc>
      </w:tr>
      <w:tr w:rsidR="003B03A5" w:rsidRPr="00692AF5" w14:paraId="475AF702" w14:textId="77777777" w:rsidTr="004A0591">
        <w:tc>
          <w:tcPr>
            <w:tcW w:w="0" w:type="auto"/>
            <w:hideMark/>
          </w:tcPr>
          <w:p w14:paraId="5F9F31EE"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(Constant)</w:t>
            </w:r>
          </w:p>
        </w:tc>
        <w:tc>
          <w:tcPr>
            <w:tcW w:w="0" w:type="auto"/>
            <w:hideMark/>
          </w:tcPr>
          <w:p w14:paraId="794B5019"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13.003</w:t>
            </w:r>
          </w:p>
        </w:tc>
        <w:tc>
          <w:tcPr>
            <w:tcW w:w="0" w:type="auto"/>
            <w:hideMark/>
          </w:tcPr>
          <w:p w14:paraId="594CCAB6"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3.437</w:t>
            </w:r>
          </w:p>
        </w:tc>
        <w:tc>
          <w:tcPr>
            <w:tcW w:w="0" w:type="auto"/>
            <w:hideMark/>
          </w:tcPr>
          <w:p w14:paraId="72099D3A" w14:textId="77777777" w:rsidR="003B03A5" w:rsidRPr="00692AF5" w:rsidRDefault="003B03A5" w:rsidP="004A0591">
            <w:pPr>
              <w:spacing w:after="160" w:line="240" w:lineRule="auto"/>
              <w:rPr>
                <w:rFonts w:cs="Times New Roman"/>
                <w:sz w:val="20"/>
                <w:szCs w:val="20"/>
              </w:rPr>
            </w:pPr>
          </w:p>
        </w:tc>
        <w:tc>
          <w:tcPr>
            <w:tcW w:w="0" w:type="auto"/>
            <w:hideMark/>
          </w:tcPr>
          <w:p w14:paraId="75E1B699"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3.783</w:t>
            </w:r>
          </w:p>
        </w:tc>
        <w:tc>
          <w:tcPr>
            <w:tcW w:w="0" w:type="auto"/>
            <w:hideMark/>
          </w:tcPr>
          <w:p w14:paraId="6F270796"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.000</w:t>
            </w:r>
          </w:p>
        </w:tc>
      </w:tr>
      <w:tr w:rsidR="003B03A5" w:rsidRPr="00692AF5" w14:paraId="293DEE63" w14:textId="77777777" w:rsidTr="004A0591">
        <w:tc>
          <w:tcPr>
            <w:tcW w:w="0" w:type="auto"/>
            <w:hideMark/>
          </w:tcPr>
          <w:p w14:paraId="07C2E8C3"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Customer-Centric Approaches</w:t>
            </w:r>
          </w:p>
        </w:tc>
        <w:tc>
          <w:tcPr>
            <w:tcW w:w="0" w:type="auto"/>
            <w:hideMark/>
          </w:tcPr>
          <w:p w14:paraId="5B683CEE"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.662</w:t>
            </w:r>
          </w:p>
        </w:tc>
        <w:tc>
          <w:tcPr>
            <w:tcW w:w="0" w:type="auto"/>
            <w:hideMark/>
          </w:tcPr>
          <w:p w14:paraId="48F66A3A"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.206</w:t>
            </w:r>
          </w:p>
        </w:tc>
        <w:tc>
          <w:tcPr>
            <w:tcW w:w="0" w:type="auto"/>
            <w:hideMark/>
          </w:tcPr>
          <w:p w14:paraId="3055FEE6"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.200</w:t>
            </w:r>
          </w:p>
        </w:tc>
        <w:tc>
          <w:tcPr>
            <w:tcW w:w="0" w:type="auto"/>
            <w:hideMark/>
          </w:tcPr>
          <w:p w14:paraId="6E20907F"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3.218</w:t>
            </w:r>
          </w:p>
        </w:tc>
        <w:tc>
          <w:tcPr>
            <w:tcW w:w="0" w:type="auto"/>
            <w:hideMark/>
          </w:tcPr>
          <w:p w14:paraId="72545B42"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.002</w:t>
            </w:r>
          </w:p>
        </w:tc>
      </w:tr>
      <w:tr w:rsidR="003B03A5" w:rsidRPr="00692AF5" w14:paraId="0639D769" w14:textId="77777777" w:rsidTr="004A0591">
        <w:tc>
          <w:tcPr>
            <w:tcW w:w="0" w:type="auto"/>
            <w:hideMark/>
          </w:tcPr>
          <w:p w14:paraId="47EF05BC"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Strategic Brand Positioning</w:t>
            </w:r>
          </w:p>
        </w:tc>
        <w:tc>
          <w:tcPr>
            <w:tcW w:w="0" w:type="auto"/>
            <w:hideMark/>
          </w:tcPr>
          <w:p w14:paraId="37BBD8DC"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1.240</w:t>
            </w:r>
          </w:p>
        </w:tc>
        <w:tc>
          <w:tcPr>
            <w:tcW w:w="0" w:type="auto"/>
            <w:hideMark/>
          </w:tcPr>
          <w:p w14:paraId="3C7B486A"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.138</w:t>
            </w:r>
          </w:p>
        </w:tc>
        <w:tc>
          <w:tcPr>
            <w:tcW w:w="0" w:type="auto"/>
            <w:hideMark/>
          </w:tcPr>
          <w:p w14:paraId="6095D1D6"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.520</w:t>
            </w:r>
          </w:p>
        </w:tc>
        <w:tc>
          <w:tcPr>
            <w:tcW w:w="0" w:type="auto"/>
            <w:hideMark/>
          </w:tcPr>
          <w:p w14:paraId="6E9FFBF2"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8.977</w:t>
            </w:r>
          </w:p>
        </w:tc>
        <w:tc>
          <w:tcPr>
            <w:tcW w:w="0" w:type="auto"/>
            <w:hideMark/>
          </w:tcPr>
          <w:p w14:paraId="0A9160C3"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.000</w:t>
            </w:r>
          </w:p>
        </w:tc>
      </w:tr>
      <w:tr w:rsidR="003B03A5" w:rsidRPr="00692AF5" w14:paraId="3FEBBF0A" w14:textId="77777777" w:rsidTr="004A0591">
        <w:tc>
          <w:tcPr>
            <w:tcW w:w="0" w:type="auto"/>
            <w:hideMark/>
          </w:tcPr>
          <w:p w14:paraId="74097DF4"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Technological Integration</w:t>
            </w:r>
          </w:p>
        </w:tc>
        <w:tc>
          <w:tcPr>
            <w:tcW w:w="0" w:type="auto"/>
            <w:hideMark/>
          </w:tcPr>
          <w:p w14:paraId="2B31FD4B"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-.312</w:t>
            </w:r>
          </w:p>
        </w:tc>
        <w:tc>
          <w:tcPr>
            <w:tcW w:w="0" w:type="auto"/>
            <w:hideMark/>
          </w:tcPr>
          <w:p w14:paraId="37CEDF44"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.500</w:t>
            </w:r>
          </w:p>
        </w:tc>
        <w:tc>
          <w:tcPr>
            <w:tcW w:w="0" w:type="auto"/>
            <w:hideMark/>
          </w:tcPr>
          <w:p w14:paraId="16581650"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-.187</w:t>
            </w:r>
          </w:p>
        </w:tc>
        <w:tc>
          <w:tcPr>
            <w:tcW w:w="0" w:type="auto"/>
            <w:hideMark/>
          </w:tcPr>
          <w:p w14:paraId="4C5CB009"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-.623</w:t>
            </w:r>
          </w:p>
        </w:tc>
        <w:tc>
          <w:tcPr>
            <w:tcW w:w="0" w:type="auto"/>
            <w:hideMark/>
          </w:tcPr>
          <w:p w14:paraId="1ADA3339"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.535</w:t>
            </w:r>
          </w:p>
        </w:tc>
      </w:tr>
      <w:tr w:rsidR="003B03A5" w:rsidRPr="00692AF5" w14:paraId="5BE1E175" w14:textId="77777777" w:rsidTr="004A0591">
        <w:tc>
          <w:tcPr>
            <w:tcW w:w="0" w:type="auto"/>
            <w:hideMark/>
          </w:tcPr>
          <w:p w14:paraId="520CB85A"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Data-Driven Decision-Making</w:t>
            </w:r>
          </w:p>
        </w:tc>
        <w:tc>
          <w:tcPr>
            <w:tcW w:w="0" w:type="auto"/>
            <w:hideMark/>
          </w:tcPr>
          <w:p w14:paraId="4D0926BE"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1.399</w:t>
            </w:r>
          </w:p>
        </w:tc>
        <w:tc>
          <w:tcPr>
            <w:tcW w:w="0" w:type="auto"/>
            <w:hideMark/>
          </w:tcPr>
          <w:p w14:paraId="73201CE3"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.511</w:t>
            </w:r>
          </w:p>
        </w:tc>
        <w:tc>
          <w:tcPr>
            <w:tcW w:w="0" w:type="auto"/>
            <w:hideMark/>
          </w:tcPr>
          <w:p w14:paraId="320136D0"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.811</w:t>
            </w:r>
          </w:p>
        </w:tc>
        <w:tc>
          <w:tcPr>
            <w:tcW w:w="0" w:type="auto"/>
            <w:hideMark/>
          </w:tcPr>
          <w:p w14:paraId="73A09743"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2.738</w:t>
            </w:r>
          </w:p>
        </w:tc>
        <w:tc>
          <w:tcPr>
            <w:tcW w:w="0" w:type="auto"/>
            <w:hideMark/>
          </w:tcPr>
          <w:p w14:paraId="72D7CD0A" w14:textId="77777777" w:rsidR="003B03A5" w:rsidRPr="00692AF5" w:rsidRDefault="003B03A5" w:rsidP="004A0591">
            <w:pPr>
              <w:spacing w:after="160" w:line="240" w:lineRule="auto"/>
              <w:rPr>
                <w:rFonts w:cs="Times New Roman"/>
                <w:sz w:val="20"/>
                <w:szCs w:val="20"/>
              </w:rPr>
            </w:pPr>
            <w:r w:rsidRPr="00692AF5">
              <w:rPr>
                <w:rFonts w:cs="Times New Roman"/>
                <w:sz w:val="20"/>
                <w:szCs w:val="20"/>
              </w:rPr>
              <w:t>.008</w:t>
            </w:r>
          </w:p>
        </w:tc>
      </w:tr>
    </w:tbl>
    <w:p w14:paraId="039323D8" w14:textId="77777777" w:rsidR="003B03A5" w:rsidRPr="00692AF5" w:rsidRDefault="003B03A5" w:rsidP="003B03A5">
      <w:pPr>
        <w:spacing w:before="0" w:after="160" w:line="240" w:lineRule="auto"/>
        <w:rPr>
          <w:rFonts w:cs="Times New Roman"/>
          <w:sz w:val="20"/>
          <w:szCs w:val="20"/>
        </w:rPr>
      </w:pPr>
      <w:r w:rsidRPr="00692AF5">
        <w:rPr>
          <w:rFonts w:cs="Times New Roman"/>
          <w:i/>
          <w:iCs/>
          <w:sz w:val="20"/>
          <w:szCs w:val="20"/>
        </w:rPr>
        <w:t>Dependent Variable: Organizational Performance</w:t>
      </w:r>
      <w:r w:rsidRPr="00692AF5">
        <w:rPr>
          <w:rFonts w:cs="Times New Roman"/>
          <w:sz w:val="20"/>
          <w:szCs w:val="20"/>
        </w:rPr>
        <w:br/>
      </w:r>
      <w:r w:rsidRPr="00692AF5">
        <w:rPr>
          <w:rFonts w:cs="Times New Roman"/>
          <w:i/>
          <w:iCs/>
          <w:sz w:val="20"/>
          <w:szCs w:val="20"/>
        </w:rPr>
        <w:t>Source: Researcher (2025)</w:t>
      </w:r>
    </w:p>
    <w:p w14:paraId="3ED2BCE2"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The regression coefficients reveal varying effects of the predictors on organizational performance.</w:t>
      </w:r>
    </w:p>
    <w:p w14:paraId="35A4F269"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Customer-centric approaches have a positive and statistically significant effect on performance (B = 0.662, p = 0.002). This indicates that improvements in customer-focused strategies enhance organizational outcomes. These findings align with Ullah, Iqbal, and Shams (2020), who established that customer relationship management improves organizational performance, although its effectiveness depends on implementation quality and contextual factors.</w:t>
      </w:r>
    </w:p>
    <w:p w14:paraId="13F4647D"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Strategic brand positioning has a strong positive and significant effect (B = 1.240, p = 0.000). This implies that effective branding enhances institutional credibility, stakeholder trust, and compliance levels. This supports findings by Kim and Kim (2022) and Mandila (2018), who established that strong brand equity improves organizational performance and market outcomes.</w:t>
      </w:r>
    </w:p>
    <w:p w14:paraId="21BFC7AF"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lastRenderedPageBreak/>
        <w:t>Technological integration, however, shows a negative and statistically insignificant effect (B = -0.312, p = 0.535). This suggests that although technology adoption exists, it does not significantly improve performance at KRA. This contradicts studies such as Abri and Mahmoudzadeh (2015) and Gakuubi (2018), which found positive impacts of technology on productivity. The result may indicate challenges such as system inefficiencies, inadequate training, or poor integration with legacy systems.</w:t>
      </w:r>
    </w:p>
    <w:p w14:paraId="555C47DC"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Data-driven decision-making has a strong positive and significant effect (B = 1.399, p = 0.008), indicating that analytics and evidence-based decision-making significantly enhance performance. This aligns with Gunasekaran et al. (2017) and Kibe et al. (2020), who emphasized that data analytics improves productivity, competitiveness, and organizational efficiency. At KRA, this enhances tax compliance monitoring, fraud detection, and policy formulation.</w:t>
      </w:r>
    </w:p>
    <w:p w14:paraId="503DA11B" w14:textId="77777777" w:rsidR="003B03A5" w:rsidRPr="00692AF5" w:rsidRDefault="003B03A5" w:rsidP="003B03A5">
      <w:pPr>
        <w:spacing w:before="0" w:after="160" w:line="240" w:lineRule="auto"/>
        <w:rPr>
          <w:rFonts w:cs="Times New Roman"/>
          <w:sz w:val="20"/>
          <w:szCs w:val="20"/>
        </w:rPr>
      </w:pPr>
      <w:r w:rsidRPr="00692AF5">
        <w:rPr>
          <w:rFonts w:cs="Times New Roman"/>
          <w:sz w:val="20"/>
          <w:szCs w:val="20"/>
        </w:rPr>
        <w:t>However, challenges such as data quality issues and limited technical capacity may constrain full benefits, as noted by Karuga (2019). Despite these limitations, evidence strongly supports the importance of data-driven practices in improving performance in public sector institutions.</w:t>
      </w:r>
    </w:p>
    <w:p w14:paraId="5134BD71" w14:textId="00EBBADC" w:rsidR="00B3455A" w:rsidRPr="00692AF5" w:rsidRDefault="00B3455A" w:rsidP="00B3455A">
      <w:pPr>
        <w:shd w:val="clear" w:color="auto" w:fill="FFFFFF"/>
        <w:spacing w:line="240" w:lineRule="auto"/>
        <w:rPr>
          <w:rFonts w:eastAsia="Times New Roman" w:cs="Times New Roman"/>
          <w:color w:val="auto"/>
          <w:szCs w:val="24"/>
          <w14:ligatures w14:val="none"/>
        </w:rPr>
      </w:pPr>
    </w:p>
    <w:p w14:paraId="359E84B3" w14:textId="0E82A427" w:rsidR="00055D83" w:rsidRPr="00692AF5" w:rsidRDefault="00055D83" w:rsidP="00055D83">
      <w:pPr>
        <w:shd w:val="clear" w:color="auto" w:fill="FFFFFF"/>
        <w:spacing w:line="240" w:lineRule="auto"/>
        <w:rPr>
          <w:rFonts w:eastAsia="Times New Roman" w:cs="Times New Roman"/>
          <w:b/>
          <w:bCs/>
          <w:color w:val="000000" w:themeColor="text1"/>
          <w:sz w:val="28"/>
          <w:szCs w:val="28"/>
        </w:rPr>
      </w:pPr>
      <w:r w:rsidRPr="00692AF5">
        <w:rPr>
          <w:rFonts w:eastAsia="Times New Roman" w:cs="Times New Roman"/>
          <w:b/>
          <w:bCs/>
          <w:color w:val="000000" w:themeColor="text1"/>
          <w:sz w:val="28"/>
          <w:szCs w:val="28"/>
        </w:rPr>
        <w:t xml:space="preserve">5.0 CONCLUSIONS </w:t>
      </w:r>
    </w:p>
    <w:p w14:paraId="66B2072A" w14:textId="77777777" w:rsidR="003B03A5" w:rsidRPr="00692AF5" w:rsidRDefault="003B03A5" w:rsidP="003B03A5">
      <w:pPr>
        <w:spacing w:line="240" w:lineRule="auto"/>
        <w:rPr>
          <w:rFonts w:cs="Times New Roman"/>
          <w:color w:val="000000" w:themeColor="text1"/>
          <w:szCs w:val="24"/>
        </w:rPr>
      </w:pPr>
      <w:r w:rsidRPr="00692AF5">
        <w:rPr>
          <w:rFonts w:cs="Times New Roman"/>
          <w:color w:val="000000" w:themeColor="text1"/>
          <w:szCs w:val="24"/>
        </w:rPr>
        <w:t>The study concludes that customer-centric strategies have a positive and significant effect on organizational performance. Increased focus on customer interaction, feedback mechanisms, and responsive service delivery enhances compliance, trust, and operational efficiency within the Kenya Revenue Authority (KRA). However, the long-term effectiveness of customer-centricity depends on the quality of implementation and the broader organizational environment in which it is applied.</w:t>
      </w:r>
    </w:p>
    <w:p w14:paraId="12A93E6E" w14:textId="77777777" w:rsidR="003B03A5" w:rsidRPr="00692AF5" w:rsidRDefault="003B03A5" w:rsidP="003B03A5">
      <w:pPr>
        <w:spacing w:line="240" w:lineRule="auto"/>
        <w:rPr>
          <w:rFonts w:cs="Times New Roman"/>
          <w:color w:val="000000" w:themeColor="text1"/>
          <w:szCs w:val="24"/>
        </w:rPr>
      </w:pPr>
      <w:r w:rsidRPr="00692AF5">
        <w:rPr>
          <w:rFonts w:cs="Times New Roman"/>
          <w:color w:val="000000" w:themeColor="text1"/>
          <w:szCs w:val="24"/>
        </w:rPr>
        <w:t>Strategic brand positioning emerged as the most influential factor, showing a strong positive and statistically significant relationship with performance. Effective branding enhances institutional credibility, legitimacy, and taxpayer trust, thereby promoting voluntary compliance. This indicates that brand positioning functions not only as a communication tool but also as a strategic driver of organizational effectiveness and stakeholder confidence.</w:t>
      </w:r>
    </w:p>
    <w:p w14:paraId="25A9D7BD" w14:textId="77777777" w:rsidR="003B03A5" w:rsidRPr="00692AF5" w:rsidRDefault="003B03A5" w:rsidP="003B03A5">
      <w:pPr>
        <w:spacing w:line="240" w:lineRule="auto"/>
        <w:rPr>
          <w:rFonts w:cs="Times New Roman"/>
          <w:color w:val="000000" w:themeColor="text1"/>
          <w:szCs w:val="24"/>
        </w:rPr>
      </w:pPr>
      <w:r w:rsidRPr="00692AF5">
        <w:rPr>
          <w:rFonts w:cs="Times New Roman"/>
          <w:color w:val="000000" w:themeColor="text1"/>
          <w:szCs w:val="24"/>
        </w:rPr>
        <w:t>In contrast, technological integration showed a negative but statistically insignificant effect on performance. Despite investments in systems such as iTax, automation, and fraud detection tools, expected performance gains were not fully realized. This suggests that technology alone is insufficient and its impact depends on organizational readiness, human capacity, and supporting infrastructure.</w:t>
      </w:r>
    </w:p>
    <w:p w14:paraId="50F0BC2F" w14:textId="74952377" w:rsidR="00A27439" w:rsidRPr="00692AF5" w:rsidRDefault="003B03A5" w:rsidP="003B03A5">
      <w:pPr>
        <w:spacing w:line="240" w:lineRule="auto"/>
        <w:rPr>
          <w:rFonts w:cs="Times New Roman"/>
          <w:color w:val="000000" w:themeColor="text1"/>
          <w:szCs w:val="24"/>
        </w:rPr>
      </w:pPr>
      <w:r w:rsidRPr="00692AF5">
        <w:rPr>
          <w:rFonts w:cs="Times New Roman"/>
          <w:color w:val="000000" w:themeColor="text1"/>
          <w:szCs w:val="24"/>
        </w:rPr>
        <w:t>Finally, data analytics integration demonstrated a positive and significant effect on performance. It improves compliance monitoring, revenue forecasting, and evidence-based decision-making, although its effectiveness may be limited by data quality and system integration challenges.</w:t>
      </w:r>
      <w:r w:rsidR="00E05059" w:rsidRPr="00692AF5">
        <w:rPr>
          <w:rFonts w:cs="Times New Roman"/>
          <w:color w:val="000000" w:themeColor="text1"/>
          <w:szCs w:val="24"/>
        </w:rPr>
        <w:t xml:space="preserve"> </w:t>
      </w:r>
    </w:p>
    <w:p w14:paraId="750144BF" w14:textId="7E52FE3F" w:rsidR="00055D83" w:rsidRPr="00692AF5" w:rsidRDefault="00055D83" w:rsidP="00D26C8B">
      <w:pPr>
        <w:spacing w:line="240" w:lineRule="auto"/>
        <w:rPr>
          <w:rFonts w:cs="Times New Roman"/>
          <w:b/>
          <w:bCs/>
          <w:color w:val="000000" w:themeColor="text1"/>
          <w:sz w:val="28"/>
          <w:szCs w:val="28"/>
        </w:rPr>
      </w:pPr>
      <w:r w:rsidRPr="00692AF5">
        <w:rPr>
          <w:rFonts w:cs="Times New Roman"/>
          <w:b/>
          <w:bCs/>
          <w:color w:val="000000" w:themeColor="text1"/>
          <w:sz w:val="28"/>
          <w:szCs w:val="28"/>
        </w:rPr>
        <w:t>6.0 RECOMMENDATIONS</w:t>
      </w:r>
    </w:p>
    <w:p w14:paraId="7A0C0471" w14:textId="77777777" w:rsidR="001618DC" w:rsidRPr="00692AF5" w:rsidRDefault="001618DC" w:rsidP="001618DC">
      <w:pPr>
        <w:spacing w:before="0" w:after="160" w:line="259" w:lineRule="auto"/>
      </w:pPr>
      <w:r w:rsidRPr="00692AF5">
        <w:t>The study recommends that the Kenya Revenue Authority (KRA) should strengthen customer-focused practices by institutionalizing feedback systems, enhancing taxpayer education, and improving customer care services to boost satisfaction, voluntary compliance, and trust in revenue collection processes. In addition, KRA should adopt a proactive customer relationship management approach that continuously monitors and improves service delivery in line with evolving taxpayer needs.</w:t>
      </w:r>
    </w:p>
    <w:p w14:paraId="3A134A61" w14:textId="77777777" w:rsidR="001618DC" w:rsidRPr="00692AF5" w:rsidRDefault="001618DC" w:rsidP="001618DC">
      <w:pPr>
        <w:spacing w:before="0" w:after="160" w:line="259" w:lineRule="auto"/>
      </w:pPr>
    </w:p>
    <w:p w14:paraId="1119314D" w14:textId="77777777" w:rsidR="001618DC" w:rsidRPr="00692AF5" w:rsidRDefault="001618DC" w:rsidP="001618DC">
      <w:pPr>
        <w:spacing w:before="0" w:after="160" w:line="259" w:lineRule="auto"/>
      </w:pPr>
      <w:r w:rsidRPr="00692AF5">
        <w:t>On strategic brand positioning, KRA is advised to invest in building a strong and consistent brand identity that reflects integrity, fairness, and reliability. Public confidence can be enhanced through targeted awareness campaigns emphasizing transparency and accountability in tax administration. Collaboration with stakeholders such as professional bodies, business associations, and civil society is also recommended to strengthen institutional credibility and brand equity.</w:t>
      </w:r>
    </w:p>
    <w:p w14:paraId="0E850415" w14:textId="77777777" w:rsidR="001618DC" w:rsidRPr="00692AF5" w:rsidRDefault="001618DC" w:rsidP="001618DC">
      <w:pPr>
        <w:spacing w:before="0" w:after="160" w:line="259" w:lineRule="auto"/>
      </w:pPr>
    </w:p>
    <w:p w14:paraId="38ACF2C4" w14:textId="02E1A902" w:rsidR="007A56B8" w:rsidRPr="00692AF5" w:rsidRDefault="001618DC" w:rsidP="001618DC">
      <w:pPr>
        <w:spacing w:before="0" w:after="160" w:line="259" w:lineRule="auto"/>
      </w:pPr>
      <w:r w:rsidRPr="00692AF5">
        <w:t>Regarding technological integration, KRA should upgrade systems to address downtime, usability challenges, and capacity gaps through infrastructure investment, staff training, and adaptive technologies. A phased implementation approach with continuous user support is necessary. For data-driven decision-making, the Authority should enhance analytics capacity, improve data quality, train staff, and establish centralized data governance to improve consistency, efficiency, and accuracy in decision-making processes.</w:t>
      </w:r>
    </w:p>
    <w:p w14:paraId="261D6F8B" w14:textId="524CFBB8" w:rsidR="00A31614" w:rsidRPr="00692AF5" w:rsidRDefault="00A31614" w:rsidP="001618DC">
      <w:pPr>
        <w:spacing w:before="0" w:after="160" w:line="259" w:lineRule="auto"/>
        <w:rPr>
          <w:rFonts w:eastAsia="Times New Roman" w:cs="Times New Roman"/>
          <w:b/>
          <w:bCs/>
          <w:color w:val="000000" w:themeColor="text1"/>
          <w:sz w:val="28"/>
          <w:szCs w:val="28"/>
        </w:rPr>
      </w:pPr>
    </w:p>
    <w:p w14:paraId="637316D1" w14:textId="77777777" w:rsidR="00A31614" w:rsidRPr="00692AF5" w:rsidRDefault="00A31614" w:rsidP="00A31614">
      <w:pPr>
        <w:outlineLvl w:val="0"/>
        <w:rPr>
          <w:rFonts w:ascii="Arial" w:hAnsi="Arial" w:cs="Arial"/>
        </w:rPr>
      </w:pPr>
      <w:r w:rsidRPr="00692AF5">
        <w:rPr>
          <w:rFonts w:ascii="Arial" w:hAnsi="Arial" w:cs="Arial"/>
          <w:b/>
          <w:bCs/>
        </w:rPr>
        <w:t>COMPETING INTERESTS DISCLAIMER:</w:t>
      </w:r>
    </w:p>
    <w:p w14:paraId="6E61929D" w14:textId="31573471" w:rsidR="00A31614" w:rsidRDefault="00A31614" w:rsidP="007B468C">
      <w:r w:rsidRPr="00692AF5">
        <w:t>Authors have declared that they have no known competing financial interests OR non-financial interests OR personal relationships that could have appeared to influence the work reported in this paper.</w:t>
      </w:r>
    </w:p>
    <w:p w14:paraId="5A202687" w14:textId="2912289E" w:rsidR="00B55CEF" w:rsidRPr="00692AF5" w:rsidRDefault="00055D83" w:rsidP="002151BA">
      <w:pPr>
        <w:shd w:val="clear" w:color="auto" w:fill="FFFFFF"/>
        <w:spacing w:line="240" w:lineRule="auto"/>
        <w:rPr>
          <w:rFonts w:eastAsia="Times New Roman" w:cs="Times New Roman"/>
          <w:b/>
          <w:bCs/>
          <w:color w:val="000000" w:themeColor="text1"/>
          <w:sz w:val="28"/>
          <w:szCs w:val="28"/>
        </w:rPr>
      </w:pPr>
      <w:r w:rsidRPr="00692AF5">
        <w:rPr>
          <w:rFonts w:eastAsia="Times New Roman" w:cs="Times New Roman"/>
          <w:b/>
          <w:bCs/>
          <w:color w:val="000000" w:themeColor="text1"/>
          <w:sz w:val="28"/>
          <w:szCs w:val="28"/>
        </w:rPr>
        <w:t>REFERENCES</w:t>
      </w:r>
    </w:p>
    <w:p w14:paraId="29AC9212"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Agostini, L., Filippini, R., &amp; Nosella, A. (2015). Brand‐building efforts and their association with SME sales performance. </w:t>
      </w:r>
      <w:r w:rsidRPr="00692AF5">
        <w:rPr>
          <w:i/>
          <w:color w:val="000000" w:themeColor="text1"/>
        </w:rPr>
        <w:t>Journal of Small Business Management,</w:t>
      </w:r>
      <w:r w:rsidRPr="00692AF5">
        <w:rPr>
          <w:color w:val="000000" w:themeColor="text1"/>
        </w:rPr>
        <w:t xml:space="preserve"> 53.</w:t>
      </w:r>
    </w:p>
    <w:p w14:paraId="5C6C897D"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Akhter, S. H., &amp; Barcellos, P. F. (2021) Competitive Threats Strategic Response and Performance of Brazilian B2B </w:t>
      </w:r>
      <w:r w:rsidRPr="00692AF5">
        <w:rPr>
          <w:i/>
          <w:color w:val="000000" w:themeColor="text1"/>
        </w:rPr>
        <w:t>Firms Management Decision</w:t>
      </w:r>
      <w:r w:rsidRPr="00692AF5">
        <w:rPr>
          <w:color w:val="000000" w:themeColor="text1"/>
        </w:rPr>
        <w:t>.51 (8): 1628-1642.</w:t>
      </w:r>
    </w:p>
    <w:p w14:paraId="4AE36F27"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Ali, I. M. (2019). </w:t>
      </w:r>
      <w:r w:rsidRPr="00692AF5">
        <w:rPr>
          <w:i/>
          <w:color w:val="000000" w:themeColor="text1"/>
        </w:rPr>
        <w:t xml:space="preserve">Corporate Brand Equity and Firm Performance in the Pharmaceutical Industry in Kenya </w:t>
      </w:r>
      <w:r w:rsidRPr="00692AF5">
        <w:rPr>
          <w:color w:val="000000" w:themeColor="text1"/>
        </w:rPr>
        <w:t>(Graduate dissertation, University of Nairobi).</w:t>
      </w:r>
    </w:p>
    <w:p w14:paraId="122C16D8"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Alshammari, M., A., Pavlovic, M., &amp; Qaied, A. A. (2016).Chaos Theory in Strategic Research. </w:t>
      </w:r>
      <w:r w:rsidRPr="00692AF5">
        <w:rPr>
          <w:i/>
          <w:color w:val="000000" w:themeColor="text1"/>
        </w:rPr>
        <w:t>American Journal of Business Management</w:t>
      </w:r>
      <w:r w:rsidRPr="00692AF5">
        <w:rPr>
          <w:color w:val="000000" w:themeColor="text1"/>
        </w:rPr>
        <w:t xml:space="preserve"> 5 (1): 1-13.</w:t>
      </w:r>
    </w:p>
    <w:p w14:paraId="4075109F" w14:textId="77777777" w:rsidR="001618DC" w:rsidRPr="00692AF5" w:rsidRDefault="001618DC" w:rsidP="003A1E48">
      <w:pPr>
        <w:spacing w:line="240" w:lineRule="auto"/>
        <w:ind w:left="720" w:hanging="720"/>
        <w:rPr>
          <w:color w:val="000000" w:themeColor="text1"/>
        </w:rPr>
      </w:pPr>
      <w:r w:rsidRPr="00692AF5">
        <w:rPr>
          <w:color w:val="000000" w:themeColor="text1"/>
        </w:rPr>
        <w:t>Aosa, E. (1992). An empirical investigation of aspects of strategy formulation and implementation within large, private manufacturing companies in Kenya</w:t>
      </w:r>
      <w:r w:rsidRPr="00692AF5">
        <w:rPr>
          <w:i/>
          <w:color w:val="000000" w:themeColor="text1"/>
        </w:rPr>
        <w:t xml:space="preserve">. Unpublished Doctoral Thesis, </w:t>
      </w:r>
      <w:r w:rsidRPr="00692AF5">
        <w:rPr>
          <w:color w:val="000000" w:themeColor="text1"/>
        </w:rPr>
        <w:t>University of Strathclyde, Scotland.</w:t>
      </w:r>
    </w:p>
    <w:p w14:paraId="660B676C"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Braun, Müller, M., &amp; Moritz, C. (2017). Guiding or following the crowd? Strategic communication as reputational and regulatory strategy. </w:t>
      </w:r>
      <w:r w:rsidRPr="00692AF5">
        <w:rPr>
          <w:rFonts w:cs="Times New Roman"/>
          <w:i/>
          <w:iCs/>
          <w:color w:val="000000" w:themeColor="text1"/>
          <w:szCs w:val="24"/>
        </w:rPr>
        <w:t>Journal of Public Administration Research and Theory</w:t>
      </w:r>
      <w:r w:rsidRPr="00692AF5">
        <w:rPr>
          <w:rFonts w:cs="Times New Roman"/>
          <w:color w:val="000000" w:themeColor="text1"/>
          <w:szCs w:val="24"/>
        </w:rPr>
        <w:t>, </w:t>
      </w:r>
      <w:r w:rsidRPr="00692AF5">
        <w:rPr>
          <w:rFonts w:cs="Times New Roman"/>
          <w:i/>
          <w:iCs/>
          <w:color w:val="000000" w:themeColor="text1"/>
          <w:szCs w:val="24"/>
        </w:rPr>
        <w:t>31</w:t>
      </w:r>
      <w:r w:rsidRPr="00692AF5">
        <w:rPr>
          <w:rFonts w:cs="Times New Roman"/>
          <w:color w:val="000000" w:themeColor="text1"/>
          <w:szCs w:val="24"/>
        </w:rPr>
        <w:t>(4), 670-686.</w:t>
      </w:r>
    </w:p>
    <w:p w14:paraId="5E8B74E5"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Damilola, O. W., Adekunle, A. M., Fatai, A. L., Ola, A. O., &amp; Oloruntoyin, R. R. (2015). Impact of Strategic Management on Competitive Advantage and Organizational Performance: Evidence from Nigerian Bottling Company. </w:t>
      </w:r>
      <w:r w:rsidRPr="00692AF5">
        <w:rPr>
          <w:i/>
          <w:color w:val="000000" w:themeColor="text1"/>
        </w:rPr>
        <w:t>Journal of Policy and development Studies</w:t>
      </w:r>
      <w:r w:rsidRPr="00692AF5">
        <w:rPr>
          <w:color w:val="000000" w:themeColor="text1"/>
        </w:rPr>
        <w:t>. 9 (2): 185-198.</w:t>
      </w:r>
    </w:p>
    <w:p w14:paraId="27106D27" w14:textId="77777777" w:rsidR="001618DC" w:rsidRPr="00692AF5" w:rsidRDefault="001618DC" w:rsidP="003A1E48">
      <w:pPr>
        <w:spacing w:line="240" w:lineRule="auto"/>
        <w:ind w:left="720" w:hanging="720"/>
        <w:rPr>
          <w:color w:val="000000" w:themeColor="text1"/>
        </w:rPr>
      </w:pPr>
      <w:r w:rsidRPr="00692AF5">
        <w:rPr>
          <w:color w:val="000000" w:themeColor="text1"/>
        </w:rPr>
        <w:t>Gakuubi, D. K. (2018). The Impact Of Information Communication Technology On Organizational Performance: A Case of Nairobi Bottlers Logistics Operation’s (Doctoral dissertation, United States International University-Africa).</w:t>
      </w:r>
    </w:p>
    <w:p w14:paraId="3C384397"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Goldsmith, S., &amp; Mechling, J. (2008). </w:t>
      </w:r>
      <w:r w:rsidRPr="00692AF5">
        <w:rPr>
          <w:i/>
          <w:color w:val="000000" w:themeColor="text1"/>
        </w:rPr>
        <w:t>Turbulence, Innovations and Leadership: Adapting to Change in the 21st Century.</w:t>
      </w:r>
      <w:r w:rsidRPr="00692AF5">
        <w:rPr>
          <w:color w:val="000000" w:themeColor="text1"/>
        </w:rPr>
        <w:t xml:space="preserve"> Harvard Kennedy School, J. F. Kennedy School of Government.</w:t>
      </w:r>
    </w:p>
    <w:p w14:paraId="5585CA33" w14:textId="77777777" w:rsidR="001618DC" w:rsidRPr="00692AF5" w:rsidRDefault="001618DC" w:rsidP="003A1E48">
      <w:pPr>
        <w:spacing w:line="240" w:lineRule="auto"/>
        <w:ind w:left="720" w:hanging="720"/>
        <w:rPr>
          <w:color w:val="000000" w:themeColor="text1"/>
        </w:rPr>
      </w:pPr>
      <w:r w:rsidRPr="00692AF5">
        <w:rPr>
          <w:color w:val="000000" w:themeColor="text1"/>
        </w:rPr>
        <w:lastRenderedPageBreak/>
        <w:t xml:space="preserve">Grashuis, J. (2019). The impact of brand equity on the financial performance of marketing cooperatives. </w:t>
      </w:r>
      <w:r w:rsidRPr="00692AF5">
        <w:rPr>
          <w:i/>
          <w:color w:val="000000" w:themeColor="text1"/>
        </w:rPr>
        <w:t>Agribusiness,</w:t>
      </w:r>
      <w:r w:rsidRPr="00692AF5">
        <w:rPr>
          <w:color w:val="000000" w:themeColor="text1"/>
        </w:rPr>
        <w:t xml:space="preserve"> 35(2), 234-248.</w:t>
      </w:r>
    </w:p>
    <w:p w14:paraId="08AAF846"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Gunasekaran, A., Papadopoulos, T., Dubey, R, Wamba, S., F., Childe, S., J., Hazen, B., &amp; Akter, S. (2017). Big data and predictive analytics for supply chain and organizational performance. </w:t>
      </w:r>
      <w:r w:rsidRPr="00692AF5">
        <w:rPr>
          <w:i/>
          <w:color w:val="000000" w:themeColor="text1"/>
        </w:rPr>
        <w:t>Journal of Business Research,</w:t>
      </w:r>
      <w:r w:rsidRPr="00692AF5">
        <w:rPr>
          <w:color w:val="000000" w:themeColor="text1"/>
        </w:rPr>
        <w:t xml:space="preserve"> 70, 308-317</w:t>
      </w:r>
    </w:p>
    <w:p w14:paraId="22033E91"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Hambrick, D. C., &amp; Snow, C. C. (1977, August). A Contextual Model of Strategic Decision Making in Organizations. In </w:t>
      </w:r>
      <w:r w:rsidRPr="00692AF5">
        <w:rPr>
          <w:rFonts w:cs="Times New Roman"/>
          <w:i/>
          <w:iCs/>
          <w:color w:val="000000" w:themeColor="text1"/>
          <w:szCs w:val="24"/>
        </w:rPr>
        <w:t>Academy of management proceedings</w:t>
      </w:r>
      <w:r w:rsidRPr="00692AF5">
        <w:rPr>
          <w:rFonts w:cs="Times New Roman"/>
          <w:color w:val="000000" w:themeColor="text1"/>
          <w:szCs w:val="24"/>
        </w:rPr>
        <w:t> (Vol. 1977, No. 1, pp. 109-112). Briarcliff Manor, NY 10510: Academy of Management.</w:t>
      </w:r>
    </w:p>
    <w:p w14:paraId="71840FCC"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Hassain, G. (2007). </w:t>
      </w:r>
      <w:r w:rsidRPr="00692AF5">
        <w:rPr>
          <w:i/>
          <w:color w:val="000000" w:themeColor="text1"/>
        </w:rPr>
        <w:t>Growing brands through sponsorship: An empirical investigation of brand image transfer in a sponsorship alliance</w:t>
      </w:r>
      <w:r w:rsidRPr="00692AF5">
        <w:rPr>
          <w:color w:val="000000" w:themeColor="text1"/>
        </w:rPr>
        <w:t>. Chicago: NTC.</w:t>
      </w:r>
    </w:p>
    <w:p w14:paraId="725EFE1E"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Johnson, G., Scholes, K., &amp; Wittington, R. (2009). </w:t>
      </w:r>
      <w:r w:rsidRPr="00692AF5">
        <w:rPr>
          <w:i/>
          <w:color w:val="000000" w:themeColor="text1"/>
        </w:rPr>
        <w:t>Fundamentals of Strategy</w:t>
      </w:r>
      <w:r w:rsidRPr="00692AF5">
        <w:rPr>
          <w:color w:val="000000" w:themeColor="text1"/>
        </w:rPr>
        <w:t>. Financial Times, Prentice Hall.</w:t>
      </w:r>
    </w:p>
    <w:p w14:paraId="4147AC3A"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Karaenke, P., Schiffer, M., &amp; Waldherr, S. (2021). The Customer is Always Right: Customer-Centered Pooling for Ride-Hailing Systems. </w:t>
      </w:r>
      <w:r w:rsidRPr="00692AF5">
        <w:rPr>
          <w:rFonts w:cs="Times New Roman"/>
          <w:i/>
          <w:iCs/>
          <w:color w:val="000000" w:themeColor="text1"/>
          <w:szCs w:val="24"/>
        </w:rPr>
        <w:t>arXiv preprint arXiv:2107.01161</w:t>
      </w:r>
      <w:r w:rsidRPr="00692AF5">
        <w:rPr>
          <w:rFonts w:cs="Times New Roman"/>
          <w:color w:val="000000" w:themeColor="text1"/>
          <w:szCs w:val="24"/>
        </w:rPr>
        <w:t>.</w:t>
      </w:r>
    </w:p>
    <w:p w14:paraId="75A6F320"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Karuga, E.W. (2019). </w:t>
      </w:r>
      <w:r w:rsidRPr="00692AF5">
        <w:rPr>
          <w:i/>
          <w:color w:val="000000" w:themeColor="text1"/>
        </w:rPr>
        <w:t>Adoption of big data analytics to drive decision maki</w:t>
      </w:r>
      <w:r w:rsidRPr="00692AF5">
        <w:rPr>
          <w:color w:val="000000" w:themeColor="text1"/>
        </w:rPr>
        <w:t>ng. Unpublished MBA research paper. University of Nairobi.</w:t>
      </w:r>
    </w:p>
    <w:p w14:paraId="20CA0C76"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Kheyley, I. A., &amp; Ragui, M. (2018). Strategic Leadership Involvement and Strategy Implementation Among Parastatals in Kenya. </w:t>
      </w:r>
      <w:r w:rsidRPr="00692AF5">
        <w:rPr>
          <w:rFonts w:cs="Times New Roman"/>
          <w:i/>
          <w:iCs/>
          <w:color w:val="000000" w:themeColor="text1"/>
          <w:szCs w:val="24"/>
        </w:rPr>
        <w:t>European Journal of Business and Strategic Management</w:t>
      </w:r>
      <w:r w:rsidRPr="00692AF5">
        <w:rPr>
          <w:rFonts w:cs="Times New Roman"/>
          <w:color w:val="000000" w:themeColor="text1"/>
          <w:szCs w:val="24"/>
        </w:rPr>
        <w:t>, </w:t>
      </w:r>
      <w:r w:rsidRPr="00692AF5">
        <w:rPr>
          <w:rFonts w:cs="Times New Roman"/>
          <w:i/>
          <w:iCs/>
          <w:color w:val="000000" w:themeColor="text1"/>
          <w:szCs w:val="24"/>
        </w:rPr>
        <w:t>3</w:t>
      </w:r>
      <w:r w:rsidRPr="00692AF5">
        <w:rPr>
          <w:rFonts w:cs="Times New Roman"/>
          <w:color w:val="000000" w:themeColor="text1"/>
          <w:szCs w:val="24"/>
        </w:rPr>
        <w:t>(5), 39-62.</w:t>
      </w:r>
    </w:p>
    <w:p w14:paraId="024CCBD6" w14:textId="77777777" w:rsidR="001618DC" w:rsidRPr="00692AF5" w:rsidRDefault="001618DC" w:rsidP="003A1E48">
      <w:pPr>
        <w:spacing w:line="240" w:lineRule="auto"/>
        <w:ind w:left="720" w:hanging="720"/>
        <w:rPr>
          <w:color w:val="000000" w:themeColor="text1"/>
        </w:rPr>
      </w:pPr>
      <w:r w:rsidRPr="00692AF5">
        <w:rPr>
          <w:color w:val="000000" w:themeColor="text1"/>
        </w:rPr>
        <w:t>Kibe, L.W., Kwanya, T. &amp; Owano, A. (2020). Relationship between big data analytics and organisational performance of the Technical University of Kenya and Strathmore University in Kenya.</w:t>
      </w:r>
      <w:r w:rsidRPr="00692AF5">
        <w:rPr>
          <w:i/>
          <w:color w:val="000000" w:themeColor="text1"/>
        </w:rPr>
        <w:t xml:space="preserve"> Global Knowledge, Memory and Communication,</w:t>
      </w:r>
      <w:r w:rsidRPr="00692AF5">
        <w:rPr>
          <w:color w:val="000000" w:themeColor="text1"/>
        </w:rPr>
        <w:t xml:space="preserve"> 2514-9342</w:t>
      </w:r>
    </w:p>
    <w:p w14:paraId="5734705C"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Kim, H. B., &amp; Kim, W. G. (2005). The relationship between brand equity and firms’ performance in luxury hotels and chain restaurants. </w:t>
      </w:r>
      <w:r w:rsidRPr="00692AF5">
        <w:rPr>
          <w:i/>
          <w:color w:val="000000" w:themeColor="text1"/>
        </w:rPr>
        <w:t>Tourism management,</w:t>
      </w:r>
      <w:r w:rsidRPr="00692AF5">
        <w:rPr>
          <w:color w:val="000000" w:themeColor="text1"/>
        </w:rPr>
        <w:t xml:space="preserve"> 26(4). </w:t>
      </w:r>
    </w:p>
    <w:p w14:paraId="11C76C4B"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Mandila, K. L. (2018). </w:t>
      </w:r>
      <w:r w:rsidRPr="00692AF5">
        <w:rPr>
          <w:i/>
          <w:color w:val="000000" w:themeColor="text1"/>
        </w:rPr>
        <w:t xml:space="preserve">Brand Equity and Sales Performance of Red Meat Brands in Kenya </w:t>
      </w:r>
      <w:r w:rsidRPr="00692AF5">
        <w:rPr>
          <w:color w:val="000000" w:themeColor="text1"/>
        </w:rPr>
        <w:t>(Doctoral dissertation, University of Nairobi).</w:t>
      </w:r>
    </w:p>
    <w:p w14:paraId="2A922ED2"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Mokhtar, M., Shaaban, M. F., Zeineldin, H., &amp; El-Saadany, E. F. (2021). A customer-centered smart charging strategy considering virtual charging system. </w:t>
      </w:r>
      <w:r w:rsidRPr="00692AF5">
        <w:rPr>
          <w:rFonts w:cs="Times New Roman"/>
          <w:i/>
          <w:iCs/>
          <w:color w:val="000000" w:themeColor="text1"/>
          <w:szCs w:val="24"/>
        </w:rPr>
        <w:t>IEEE Access</w:t>
      </w:r>
      <w:r w:rsidRPr="00692AF5">
        <w:rPr>
          <w:rFonts w:cs="Times New Roman"/>
          <w:color w:val="000000" w:themeColor="text1"/>
          <w:szCs w:val="24"/>
        </w:rPr>
        <w:t>, </w:t>
      </w:r>
      <w:r w:rsidRPr="00692AF5">
        <w:rPr>
          <w:rFonts w:cs="Times New Roman"/>
          <w:i/>
          <w:iCs/>
          <w:color w:val="000000" w:themeColor="text1"/>
          <w:szCs w:val="24"/>
        </w:rPr>
        <w:t>9</w:t>
      </w:r>
      <w:r w:rsidRPr="00692AF5">
        <w:rPr>
          <w:rFonts w:cs="Times New Roman"/>
          <w:color w:val="000000" w:themeColor="text1"/>
          <w:szCs w:val="24"/>
        </w:rPr>
        <w:t>, 117993-118004.</w:t>
      </w:r>
    </w:p>
    <w:p w14:paraId="451B0342"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Mugane, G.M. (2019). </w:t>
      </w:r>
      <w:r w:rsidRPr="00692AF5">
        <w:rPr>
          <w:i/>
          <w:color w:val="000000" w:themeColor="text1"/>
        </w:rPr>
        <w:t>Big data analytics and competitive advantage of commercial banks and fintech companies in Kenya.</w:t>
      </w:r>
      <w:r w:rsidRPr="00692AF5">
        <w:rPr>
          <w:color w:val="000000" w:themeColor="text1"/>
        </w:rPr>
        <w:t xml:space="preserve"> Unpublished MBA research paper. University of Nairobi.</w:t>
      </w:r>
    </w:p>
    <w:p w14:paraId="3858D411"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Mukaye Manyu, S. (2018). Effects Of Kenya’s Narok Huduma Center On Quality Of Service Delivery.</w:t>
      </w:r>
    </w:p>
    <w:p w14:paraId="42CC68E4"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Munyao, S. M. (2021). Effects of Strategic Leadership on the Performance of Africa Inland Church Theological Training Institutions in Kenya. </w:t>
      </w:r>
      <w:r w:rsidRPr="00692AF5">
        <w:rPr>
          <w:rFonts w:cs="Times New Roman"/>
          <w:i/>
          <w:iCs/>
          <w:color w:val="000000" w:themeColor="text1"/>
          <w:szCs w:val="24"/>
        </w:rPr>
        <w:t>Effects of Strategic Leadership on the Performance of Africa Inland Church Theological Training Institutions in Kenya</w:t>
      </w:r>
      <w:r w:rsidRPr="00692AF5">
        <w:rPr>
          <w:rFonts w:cs="Times New Roman"/>
          <w:color w:val="000000" w:themeColor="text1"/>
          <w:szCs w:val="24"/>
        </w:rPr>
        <w:t>, </w:t>
      </w:r>
      <w:r w:rsidRPr="00692AF5">
        <w:rPr>
          <w:rFonts w:cs="Times New Roman"/>
          <w:i/>
          <w:iCs/>
          <w:color w:val="000000" w:themeColor="text1"/>
          <w:szCs w:val="24"/>
        </w:rPr>
        <w:t>77</w:t>
      </w:r>
      <w:r w:rsidRPr="00692AF5">
        <w:rPr>
          <w:rFonts w:cs="Times New Roman"/>
          <w:color w:val="000000" w:themeColor="text1"/>
          <w:szCs w:val="24"/>
        </w:rPr>
        <w:t>(1), 9-9.</w:t>
      </w:r>
    </w:p>
    <w:p w14:paraId="36E0CF11"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Mutuku, M. N., &amp; Nyaribo, W. M. (2021). Effect of Information Technology on Employee Growth in Selected Banks in Kenya. Review of Contemporary Business. </w:t>
      </w:r>
      <w:r w:rsidRPr="00692AF5">
        <w:rPr>
          <w:i/>
          <w:color w:val="000000" w:themeColor="text1"/>
        </w:rPr>
        <w:t>Research,</w:t>
      </w:r>
      <w:r w:rsidRPr="00692AF5">
        <w:rPr>
          <w:color w:val="000000" w:themeColor="text1"/>
        </w:rPr>
        <w:t xml:space="preserve"> 4(1), 49-57</w:t>
      </w:r>
    </w:p>
    <w:p w14:paraId="697489A7"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Mwangi, E. W. (2021). </w:t>
      </w:r>
      <w:r w:rsidRPr="00692AF5">
        <w:rPr>
          <w:rFonts w:cs="Times New Roman"/>
          <w:i/>
          <w:iCs/>
          <w:color w:val="000000" w:themeColor="text1"/>
          <w:szCs w:val="24"/>
        </w:rPr>
        <w:t>Enhancing Electronic Government Services in Public Organizations in Kenya: Case of Huduma Postal City Square in Nairobi</w:t>
      </w:r>
      <w:r w:rsidRPr="00692AF5">
        <w:rPr>
          <w:rFonts w:cs="Times New Roman"/>
          <w:color w:val="000000" w:themeColor="text1"/>
          <w:szCs w:val="24"/>
        </w:rPr>
        <w:t> (Doctoral dissertation, University of Nairobi).</w:t>
      </w:r>
    </w:p>
    <w:p w14:paraId="36D1BAA3"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lastRenderedPageBreak/>
        <w:t>Ndunda, A. M. (2021). </w:t>
      </w:r>
      <w:r w:rsidRPr="00692AF5">
        <w:rPr>
          <w:rFonts w:cs="Times New Roman"/>
          <w:i/>
          <w:iCs/>
          <w:color w:val="000000" w:themeColor="text1"/>
          <w:szCs w:val="24"/>
        </w:rPr>
        <w:t>The Nexus between Customer Relationship Management Strategy and Customer Loyalty in The Star Rated Hotels in Kenya</w:t>
      </w:r>
      <w:r w:rsidRPr="00692AF5">
        <w:rPr>
          <w:rFonts w:cs="Times New Roman"/>
          <w:color w:val="000000" w:themeColor="text1"/>
          <w:szCs w:val="24"/>
        </w:rPr>
        <w:t> (Doctoral dissertation, KeMU).</w:t>
      </w:r>
    </w:p>
    <w:p w14:paraId="26F1D96E"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Palvalin, M., Lönnqvist, A., &amp; Vuolle, M. (2023). Analysing the impacts of ICT on knowledge work growth. </w:t>
      </w:r>
      <w:r w:rsidRPr="00692AF5">
        <w:rPr>
          <w:i/>
          <w:color w:val="000000" w:themeColor="text1"/>
        </w:rPr>
        <w:t>Journal of Knowledge Management</w:t>
      </w:r>
      <w:r w:rsidRPr="00692AF5">
        <w:rPr>
          <w:color w:val="000000" w:themeColor="text1"/>
        </w:rPr>
        <w:t>, 17(4), 545-557.</w:t>
      </w:r>
    </w:p>
    <w:p w14:paraId="272F1F1D"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Salkind, N. J. (2017). </w:t>
      </w:r>
      <w:r w:rsidRPr="00692AF5">
        <w:rPr>
          <w:rFonts w:cs="Times New Roman"/>
          <w:i/>
          <w:iCs/>
          <w:color w:val="000000" w:themeColor="text1"/>
          <w:szCs w:val="24"/>
        </w:rPr>
        <w:t>Tests &amp; measurement for people who (think they) hate tests &amp; measurement</w:t>
      </w:r>
      <w:r w:rsidRPr="00692AF5">
        <w:rPr>
          <w:rFonts w:cs="Times New Roman"/>
          <w:color w:val="000000" w:themeColor="text1"/>
          <w:szCs w:val="24"/>
        </w:rPr>
        <w:t>. Sage Publications.</w:t>
      </w:r>
    </w:p>
    <w:p w14:paraId="55C96051" w14:textId="77777777" w:rsidR="001618DC" w:rsidRPr="00692AF5" w:rsidRDefault="001618DC" w:rsidP="003A1E48">
      <w:pPr>
        <w:spacing w:line="240" w:lineRule="auto"/>
        <w:ind w:left="720" w:hanging="720"/>
        <w:rPr>
          <w:color w:val="000000" w:themeColor="text1"/>
        </w:rPr>
      </w:pPr>
      <w:r w:rsidRPr="00692AF5">
        <w:rPr>
          <w:color w:val="000000" w:themeColor="text1"/>
        </w:rPr>
        <w:t>Seetha, R., Patwa, N., Niranjan, I., Ranjan, U., Moorthy, K., &amp; Mehta, A. (2018). Impact of big data on supply chain management</w:t>
      </w:r>
      <w:r w:rsidRPr="00692AF5">
        <w:rPr>
          <w:i/>
          <w:color w:val="000000" w:themeColor="text1"/>
        </w:rPr>
        <w:t>. International Journal of Logistics Research and Applications,</w:t>
      </w:r>
      <w:r w:rsidRPr="00692AF5">
        <w:rPr>
          <w:color w:val="000000" w:themeColor="text1"/>
        </w:rPr>
        <w:t xml:space="preserve"> 21:6, 579-596.</w:t>
      </w:r>
    </w:p>
    <w:p w14:paraId="2980F9E4"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 xml:space="preserve">Stenard, B. S, (2022). Commercialization strategies: Cooperation versus competition. </w:t>
      </w:r>
      <w:r w:rsidRPr="00692AF5">
        <w:rPr>
          <w:rFonts w:cs="Times New Roman"/>
          <w:i/>
          <w:color w:val="000000" w:themeColor="text1"/>
          <w:szCs w:val="24"/>
        </w:rPr>
        <w:t>In Technological Innovation: Generating Economic Results</w:t>
      </w:r>
      <w:r w:rsidRPr="00692AF5">
        <w:rPr>
          <w:rFonts w:cs="Times New Roman"/>
          <w:color w:val="000000" w:themeColor="text1"/>
          <w:szCs w:val="24"/>
        </w:rPr>
        <w:t xml:space="preserve"> (Vol. 26, pp. 289-308). Emerald Group Publishing Limited.</w:t>
      </w:r>
    </w:p>
    <w:p w14:paraId="53FF59F9"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Štreimikienė, D., &amp; Ahmed, R. R. (2021). Corporate social responsibility and brand management: evidence from Carroll’s pyramid and triple bottom line approaches. </w:t>
      </w:r>
      <w:r w:rsidRPr="00692AF5">
        <w:rPr>
          <w:i/>
          <w:color w:val="000000" w:themeColor="text1"/>
        </w:rPr>
        <w:t xml:space="preserve">Technological and Economic Development of Economy, </w:t>
      </w:r>
      <w:r w:rsidRPr="00692AF5">
        <w:rPr>
          <w:color w:val="000000" w:themeColor="text1"/>
        </w:rPr>
        <w:t>27(4), 852-875.</w:t>
      </w:r>
    </w:p>
    <w:p w14:paraId="062B7D80"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Tarus, J., &amp; Ndeto, C. (2021). Effect of strategic procurement on the performance of parastatals in Kenya. </w:t>
      </w:r>
      <w:r w:rsidRPr="00692AF5">
        <w:rPr>
          <w:rFonts w:cs="Times New Roman"/>
          <w:i/>
          <w:iCs/>
          <w:color w:val="000000" w:themeColor="text1"/>
          <w:szCs w:val="24"/>
        </w:rPr>
        <w:t>International Research Journal of Business and Strategic Management</w:t>
      </w:r>
      <w:r w:rsidRPr="00692AF5">
        <w:rPr>
          <w:rFonts w:cs="Times New Roman"/>
          <w:color w:val="000000" w:themeColor="text1"/>
          <w:szCs w:val="24"/>
        </w:rPr>
        <w:t>, </w:t>
      </w:r>
      <w:r w:rsidRPr="00692AF5">
        <w:rPr>
          <w:rFonts w:cs="Times New Roman"/>
          <w:i/>
          <w:iCs/>
          <w:color w:val="000000" w:themeColor="text1"/>
          <w:szCs w:val="24"/>
        </w:rPr>
        <w:t>2</w:t>
      </w:r>
      <w:r w:rsidRPr="00692AF5">
        <w:rPr>
          <w:rFonts w:cs="Times New Roman"/>
          <w:color w:val="000000" w:themeColor="text1"/>
          <w:szCs w:val="24"/>
        </w:rPr>
        <w:t>(2).</w:t>
      </w:r>
    </w:p>
    <w:p w14:paraId="4D7A5B62"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Wambua, D. I. (2021). </w:t>
      </w:r>
      <w:r w:rsidRPr="00692AF5">
        <w:rPr>
          <w:i/>
          <w:color w:val="000000" w:themeColor="text1"/>
        </w:rPr>
        <w:t>Consumer Based Brand Equity and Financial Performance: A Study of the Commercial Banks in Kenya</w:t>
      </w:r>
      <w:r w:rsidRPr="00692AF5">
        <w:rPr>
          <w:color w:val="000000" w:themeColor="text1"/>
        </w:rPr>
        <w:t xml:space="preserve"> (Graduate Dissertation, University of Nairobi).</w:t>
      </w:r>
    </w:p>
    <w:p w14:paraId="6A10AE2B"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Wang, Y., Kandampully, J. A., Lo, H. P., &amp; Shi, G. (2006). The roles of brand equity and corporate reputation in CRM: a Chinese study. </w:t>
      </w:r>
      <w:r w:rsidRPr="00692AF5">
        <w:rPr>
          <w:i/>
          <w:color w:val="000000" w:themeColor="text1"/>
        </w:rPr>
        <w:t>Corporate Reputation Review</w:t>
      </w:r>
      <w:r w:rsidRPr="00692AF5">
        <w:rPr>
          <w:color w:val="000000" w:themeColor="text1"/>
        </w:rPr>
        <w:t>, 9(3), 179-197.</w:t>
      </w:r>
    </w:p>
    <w:p w14:paraId="5CECF4F1" w14:textId="1CF69338" w:rsidR="00390D07" w:rsidRPr="009A40CE" w:rsidRDefault="001618DC" w:rsidP="003A1E48">
      <w:pPr>
        <w:spacing w:after="240" w:line="240" w:lineRule="auto"/>
        <w:ind w:left="720" w:hanging="720"/>
        <w:rPr>
          <w:rFonts w:cs="Times New Roman"/>
          <w:color w:val="222222"/>
          <w:szCs w:val="24"/>
          <w:shd w:val="clear" w:color="auto" w:fill="FFFFFF"/>
        </w:rPr>
      </w:pPr>
      <w:r w:rsidRPr="00692AF5">
        <w:rPr>
          <w:color w:val="000000" w:themeColor="text1"/>
        </w:rPr>
        <w:t xml:space="preserve">Zehir, C., Muceldili, B., &amp; Akyuz, B. (2020). The impact of information technology investments on firm performance in national and multinational companies, </w:t>
      </w:r>
      <w:r w:rsidRPr="00692AF5">
        <w:rPr>
          <w:i/>
          <w:color w:val="000000" w:themeColor="text1"/>
        </w:rPr>
        <w:t>Journal of Global Strategic Management</w:t>
      </w:r>
      <w:r w:rsidRPr="00692AF5">
        <w:rPr>
          <w:color w:val="000000" w:themeColor="text1"/>
        </w:rPr>
        <w:t>, vol,4 DOI: 10.20460/JGSM.2010415846</w:t>
      </w:r>
    </w:p>
    <w:sectPr w:rsidR="00390D07" w:rsidRPr="009A40CE" w:rsidSect="00055D83">
      <w:headerReference w:type="even" r:id="rId8"/>
      <w:headerReference w:type="default" r:id="rId9"/>
      <w:footerReference w:type="even" r:id="rId10"/>
      <w:footerReference w:type="default" r:id="rId11"/>
      <w:headerReference w:type="first" r:id="rId12"/>
      <w:footerReference w:type="first" r:id="rId13"/>
      <w:pgSz w:w="12240" w:h="15840" w:code="1"/>
      <w:pgMar w:top="1094" w:right="605" w:bottom="605" w:left="605" w:header="346"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34BE6" w14:textId="77777777" w:rsidR="00F3363A" w:rsidRDefault="00F3363A">
      <w:pPr>
        <w:spacing w:before="0" w:line="240" w:lineRule="auto"/>
      </w:pPr>
      <w:r>
        <w:separator/>
      </w:r>
    </w:p>
  </w:endnote>
  <w:endnote w:type="continuationSeparator" w:id="0">
    <w:p w14:paraId="56FCBF89" w14:textId="77777777" w:rsidR="00F3363A" w:rsidRDefault="00F3363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14E3" w14:textId="44685476" w:rsidR="009E3D26" w:rsidRDefault="009E3D26">
    <w:pPr>
      <w:pStyle w:val="Footer"/>
    </w:pPr>
    <w:r>
      <w:rPr>
        <w:noProof/>
      </w:rPr>
      <mc:AlternateContent>
        <mc:Choice Requires="wps">
          <w:drawing>
            <wp:anchor distT="0" distB="0" distL="0" distR="0" simplePos="0" relativeHeight="251659264" behindDoc="0" locked="0" layoutInCell="1" allowOverlap="1" wp14:anchorId="717D1372" wp14:editId="2F124E48">
              <wp:simplePos x="635" y="635"/>
              <wp:positionH relativeFrom="page">
                <wp:align>center</wp:align>
              </wp:positionH>
              <wp:positionV relativeFrom="page">
                <wp:align>bottom</wp:align>
              </wp:positionV>
              <wp:extent cx="938530" cy="635000"/>
              <wp:effectExtent l="0" t="0" r="13970" b="0"/>
              <wp:wrapNone/>
              <wp:docPr id="263647457" name="Text Box 2"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8530" cy="635000"/>
                      </a:xfrm>
                      <a:prstGeom prst="rect">
                        <a:avLst/>
                      </a:prstGeom>
                      <a:noFill/>
                      <a:ln>
                        <a:noFill/>
                      </a:ln>
                    </wps:spPr>
                    <wps:txbx>
                      <w:txbxContent>
                        <w:p w14:paraId="5D8F1562" w14:textId="553438AD"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7D1372" id="_x0000_t202" coordsize="21600,21600" o:spt="202" path="m,l,21600r21600,l21600,xe">
              <v:stroke joinstyle="miter"/>
              <v:path gradientshapeok="t" o:connecttype="rect"/>
            </v:shapetype>
            <v:shape id="Text Box 2" o:spid="_x0000_s1026" type="#_x0000_t202" alt="---Internal Use--- " style="position:absolute;left:0;text-align:left;margin-left:0;margin-top:0;width:73.9pt;height:50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" filled="f" stroked="f">
              <v:textbox style="mso-fit-shape-to-text:t" inset="0,0,0,15pt">
                <w:txbxContent>
                  <w:p w14:paraId="5D8F1562" w14:textId="553438AD"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28D3" w14:textId="7D9E6AB6" w:rsidR="004A12F4" w:rsidRPr="008A0558" w:rsidRDefault="00000000">
    <w:pPr>
      <w:pStyle w:val="Footer"/>
      <w:jc w:val="center"/>
      <w:rPr>
        <w:sz w:val="20"/>
        <w:szCs w:val="18"/>
      </w:rPr>
    </w:pPr>
    <w:sdt>
      <w:sdtPr>
        <w:id w:val="-1882236679"/>
        <w:docPartObj>
          <w:docPartGallery w:val="Page Numbers (Bottom of Page)"/>
          <w:docPartUnique/>
        </w:docPartObj>
      </w:sdtPr>
      <w:sdtEndPr>
        <w:rPr>
          <w:noProof/>
          <w:sz w:val="20"/>
          <w:szCs w:val="18"/>
        </w:rPr>
      </w:sdtEndPr>
      <w:sdtContent>
        <w:r w:rsidR="00556C7C" w:rsidRPr="008A0558">
          <w:rPr>
            <w:sz w:val="20"/>
            <w:szCs w:val="18"/>
          </w:rPr>
          <w:fldChar w:fldCharType="begin"/>
        </w:r>
        <w:r w:rsidR="00556C7C" w:rsidRPr="008A0558">
          <w:rPr>
            <w:sz w:val="20"/>
            <w:szCs w:val="18"/>
          </w:rPr>
          <w:instrText xml:space="preserve"> PAGE   \* MERGEFORMAT </w:instrText>
        </w:r>
        <w:r w:rsidR="00556C7C" w:rsidRPr="008A0558">
          <w:rPr>
            <w:sz w:val="20"/>
            <w:szCs w:val="18"/>
          </w:rPr>
          <w:fldChar w:fldCharType="separate"/>
        </w:r>
        <w:r w:rsidR="008E4DDA">
          <w:rPr>
            <w:noProof/>
            <w:sz w:val="20"/>
            <w:szCs w:val="18"/>
          </w:rPr>
          <w:t>1</w:t>
        </w:r>
        <w:r w:rsidR="00556C7C" w:rsidRPr="008A0558">
          <w:rPr>
            <w:noProof/>
            <w:sz w:val="20"/>
            <w:szCs w:val="18"/>
          </w:rPr>
          <w:fldChar w:fldCharType="end"/>
        </w:r>
      </w:sdtContent>
    </w:sdt>
  </w:p>
  <w:p w14:paraId="70E80D4D" w14:textId="77777777" w:rsidR="004A12F4" w:rsidRDefault="004A12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AAD0" w14:textId="7CA455B1" w:rsidR="009E3D26" w:rsidRDefault="009E3D26">
    <w:pPr>
      <w:pStyle w:val="Footer"/>
    </w:pPr>
    <w:r>
      <w:rPr>
        <w:noProof/>
      </w:rPr>
      <mc:AlternateContent>
        <mc:Choice Requires="wps">
          <w:drawing>
            <wp:anchor distT="0" distB="0" distL="0" distR="0" simplePos="0" relativeHeight="251658240" behindDoc="0" locked="0" layoutInCell="1" allowOverlap="1" wp14:anchorId="47786DB9" wp14:editId="365A000E">
              <wp:simplePos x="635" y="635"/>
              <wp:positionH relativeFrom="page">
                <wp:align>center</wp:align>
              </wp:positionH>
              <wp:positionV relativeFrom="page">
                <wp:align>bottom</wp:align>
              </wp:positionV>
              <wp:extent cx="938530" cy="635000"/>
              <wp:effectExtent l="0" t="0" r="13970" b="0"/>
              <wp:wrapNone/>
              <wp:docPr id="1916076555" name="Text Box 1"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8530" cy="635000"/>
                      </a:xfrm>
                      <a:prstGeom prst="rect">
                        <a:avLst/>
                      </a:prstGeom>
                      <a:noFill/>
                      <a:ln>
                        <a:noFill/>
                      </a:ln>
                    </wps:spPr>
                    <wps:txbx>
                      <w:txbxContent>
                        <w:p w14:paraId="1601DDE2" w14:textId="60A9E9C9"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86DB9" id="_x0000_t202" coordsize="21600,21600" o:spt="202" path="m,l,21600r21600,l21600,xe">
              <v:stroke joinstyle="miter"/>
              <v:path gradientshapeok="t" o:connecttype="rect"/>
            </v:shapetype>
            <v:shape id="Text Box 1" o:spid="_x0000_s1027" type="#_x0000_t202" alt="---Internal Use--- " style="position:absolute;left:0;text-align:left;margin-left:0;margin-top:0;width:73.9pt;height:50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" filled="f" stroked="f">
              <v:textbox style="mso-fit-shape-to-text:t" inset="0,0,0,15pt">
                <w:txbxContent>
                  <w:p w14:paraId="1601DDE2" w14:textId="60A9E9C9"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70898" w14:textId="77777777" w:rsidR="00F3363A" w:rsidRDefault="00F3363A">
      <w:pPr>
        <w:spacing w:before="0" w:line="240" w:lineRule="auto"/>
      </w:pPr>
      <w:r>
        <w:separator/>
      </w:r>
    </w:p>
  </w:footnote>
  <w:footnote w:type="continuationSeparator" w:id="0">
    <w:p w14:paraId="723803F1" w14:textId="77777777" w:rsidR="00F3363A" w:rsidRDefault="00F3363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59BF" w14:textId="6514E25B" w:rsidR="00B45984" w:rsidRDefault="00000000">
    <w:pPr>
      <w:pStyle w:val="Header"/>
    </w:pPr>
    <w:r>
      <w:rPr>
        <w:noProof/>
      </w:rPr>
      <w:pict w14:anchorId="47A6CD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3" o:spid="_x0000_s1026" type="#_x0000_t136" style="position:absolute;left:0;text-align:left;margin-left:0;margin-top:0;width:699.8pt;height:77.7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2D2E" w14:textId="30929113" w:rsidR="00B45984" w:rsidRDefault="00000000">
    <w:pPr>
      <w:pStyle w:val="Header"/>
    </w:pPr>
    <w:r>
      <w:rPr>
        <w:noProof/>
      </w:rPr>
      <w:pict w14:anchorId="525F64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4" o:spid="_x0000_s1027" type="#_x0000_t136" style="position:absolute;left:0;text-align:left;margin-left:0;margin-top:0;width:699.8pt;height:77.7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512B3" w14:textId="0819F9DE" w:rsidR="00B45984" w:rsidRDefault="00000000">
    <w:pPr>
      <w:pStyle w:val="Header"/>
    </w:pPr>
    <w:r>
      <w:rPr>
        <w:noProof/>
      </w:rPr>
      <w:pict w14:anchorId="20B62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2" o:spid="_x0000_s1025" type="#_x0000_t136" style="position:absolute;left:0;text-align:left;margin-left:0;margin-top:0;width:699.8pt;height:77.7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687400"/>
    <w:multiLevelType w:val="hybridMultilevel"/>
    <w:tmpl w:val="0718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566D1"/>
    <w:multiLevelType w:val="hybridMultilevel"/>
    <w:tmpl w:val="7BAE53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B7C9E"/>
    <w:multiLevelType w:val="multilevel"/>
    <w:tmpl w:val="0C88FA22"/>
    <w:lvl w:ilvl="0">
      <w:start w:val="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14F32EA"/>
    <w:multiLevelType w:val="hybridMultilevel"/>
    <w:tmpl w:val="E7D68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01C5E"/>
    <w:multiLevelType w:val="hybridMultilevel"/>
    <w:tmpl w:val="F65823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733DE"/>
    <w:multiLevelType w:val="hybridMultilevel"/>
    <w:tmpl w:val="1BD88F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56848"/>
    <w:multiLevelType w:val="hybridMultilevel"/>
    <w:tmpl w:val="AD36A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8C196C"/>
    <w:multiLevelType w:val="hybridMultilevel"/>
    <w:tmpl w:val="E9F03D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7493F"/>
    <w:multiLevelType w:val="hybridMultilevel"/>
    <w:tmpl w:val="646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A1EAC"/>
    <w:multiLevelType w:val="hybridMultilevel"/>
    <w:tmpl w:val="A7EA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E5C35"/>
    <w:multiLevelType w:val="hybridMultilevel"/>
    <w:tmpl w:val="4A0AC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47B39"/>
    <w:multiLevelType w:val="hybridMultilevel"/>
    <w:tmpl w:val="0D0A84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FD2ADC"/>
    <w:multiLevelType w:val="hybridMultilevel"/>
    <w:tmpl w:val="390E2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2D3349"/>
    <w:multiLevelType w:val="hybridMultilevel"/>
    <w:tmpl w:val="7B7E2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46DE2"/>
    <w:multiLevelType w:val="hybridMultilevel"/>
    <w:tmpl w:val="C33094B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D63F92"/>
    <w:multiLevelType w:val="hybridMultilevel"/>
    <w:tmpl w:val="0010C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8732FF"/>
    <w:multiLevelType w:val="multilevel"/>
    <w:tmpl w:val="568460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CF67FC"/>
    <w:multiLevelType w:val="hybridMultilevel"/>
    <w:tmpl w:val="4922F102"/>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8C22F9"/>
    <w:multiLevelType w:val="hybridMultilevel"/>
    <w:tmpl w:val="DDBAC8F8"/>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6B58F2"/>
    <w:multiLevelType w:val="multilevel"/>
    <w:tmpl w:val="EC12FE2E"/>
    <w:lvl w:ilvl="0">
      <w:start w:val="4"/>
      <w:numFmt w:val="decimal"/>
      <w:lvlText w:val="%1"/>
      <w:lvlJc w:val="left"/>
      <w:pPr>
        <w:ind w:left="375" w:hanging="375"/>
      </w:pPr>
      <w:rPr>
        <w:rFonts w:cs="SimSun" w:hint="default"/>
        <w:color w:val="000000"/>
        <w:sz w:val="24"/>
      </w:rPr>
    </w:lvl>
    <w:lvl w:ilvl="1">
      <w:start w:val="1"/>
      <w:numFmt w:val="decimal"/>
      <w:lvlText w:val="%1.%2"/>
      <w:lvlJc w:val="left"/>
      <w:pPr>
        <w:ind w:left="375" w:hanging="375"/>
      </w:pPr>
      <w:rPr>
        <w:rFonts w:cs="SimSun" w:hint="default"/>
        <w:color w:val="000000"/>
        <w:sz w:val="24"/>
      </w:rPr>
    </w:lvl>
    <w:lvl w:ilvl="2">
      <w:start w:val="1"/>
      <w:numFmt w:val="decimal"/>
      <w:lvlText w:val="%1.%2.%3"/>
      <w:lvlJc w:val="left"/>
      <w:pPr>
        <w:ind w:left="720" w:hanging="720"/>
      </w:pPr>
      <w:rPr>
        <w:rFonts w:cs="SimSun" w:hint="default"/>
        <w:color w:val="000000"/>
        <w:sz w:val="24"/>
      </w:rPr>
    </w:lvl>
    <w:lvl w:ilvl="3">
      <w:start w:val="1"/>
      <w:numFmt w:val="decimal"/>
      <w:lvlText w:val="%1.%2.%3.%4"/>
      <w:lvlJc w:val="left"/>
      <w:pPr>
        <w:ind w:left="720" w:hanging="720"/>
      </w:pPr>
      <w:rPr>
        <w:rFonts w:cs="SimSun" w:hint="default"/>
        <w:color w:val="000000"/>
        <w:sz w:val="24"/>
      </w:rPr>
    </w:lvl>
    <w:lvl w:ilvl="4">
      <w:start w:val="1"/>
      <w:numFmt w:val="decimal"/>
      <w:lvlText w:val="%1.%2.%3.%4.%5"/>
      <w:lvlJc w:val="left"/>
      <w:pPr>
        <w:ind w:left="1080" w:hanging="1080"/>
      </w:pPr>
      <w:rPr>
        <w:rFonts w:cs="SimSun" w:hint="default"/>
        <w:color w:val="000000"/>
        <w:sz w:val="24"/>
      </w:rPr>
    </w:lvl>
    <w:lvl w:ilvl="5">
      <w:start w:val="1"/>
      <w:numFmt w:val="decimal"/>
      <w:lvlText w:val="%1.%2.%3.%4.%5.%6"/>
      <w:lvlJc w:val="left"/>
      <w:pPr>
        <w:ind w:left="1080" w:hanging="1080"/>
      </w:pPr>
      <w:rPr>
        <w:rFonts w:cs="SimSun" w:hint="default"/>
        <w:color w:val="000000"/>
        <w:sz w:val="24"/>
      </w:rPr>
    </w:lvl>
    <w:lvl w:ilvl="6">
      <w:start w:val="1"/>
      <w:numFmt w:val="decimal"/>
      <w:lvlText w:val="%1.%2.%3.%4.%5.%6.%7"/>
      <w:lvlJc w:val="left"/>
      <w:pPr>
        <w:ind w:left="1440" w:hanging="1440"/>
      </w:pPr>
      <w:rPr>
        <w:rFonts w:cs="SimSun" w:hint="default"/>
        <w:color w:val="000000"/>
        <w:sz w:val="24"/>
      </w:rPr>
    </w:lvl>
    <w:lvl w:ilvl="7">
      <w:start w:val="1"/>
      <w:numFmt w:val="decimal"/>
      <w:lvlText w:val="%1.%2.%3.%4.%5.%6.%7.%8"/>
      <w:lvlJc w:val="left"/>
      <w:pPr>
        <w:ind w:left="1440" w:hanging="1440"/>
      </w:pPr>
      <w:rPr>
        <w:rFonts w:cs="SimSun" w:hint="default"/>
        <w:color w:val="000000"/>
        <w:sz w:val="24"/>
      </w:rPr>
    </w:lvl>
    <w:lvl w:ilvl="8">
      <w:start w:val="1"/>
      <w:numFmt w:val="decimal"/>
      <w:lvlText w:val="%1.%2.%3.%4.%5.%6.%7.%8.%9"/>
      <w:lvlJc w:val="left"/>
      <w:pPr>
        <w:ind w:left="1800" w:hanging="1800"/>
      </w:pPr>
      <w:rPr>
        <w:rFonts w:cs="SimSun" w:hint="default"/>
        <w:color w:val="000000"/>
        <w:sz w:val="24"/>
      </w:rPr>
    </w:lvl>
  </w:abstractNum>
  <w:abstractNum w:abstractNumId="21" w15:restartNumberingAfterBreak="0">
    <w:nsid w:val="790C191B"/>
    <w:multiLevelType w:val="hybridMultilevel"/>
    <w:tmpl w:val="06B00824"/>
    <w:lvl w:ilvl="0" w:tplc="F1BC3844">
      <w:start w:val="1"/>
      <w:numFmt w:val="lowerLetter"/>
      <w:lvlText w:val="%1."/>
      <w:lvlJc w:val="left"/>
      <w:pPr>
        <w:ind w:left="750" w:hanging="39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B72972"/>
    <w:multiLevelType w:val="hybridMultilevel"/>
    <w:tmpl w:val="4F306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84D78"/>
    <w:multiLevelType w:val="multilevel"/>
    <w:tmpl w:val="C2EA0EBE"/>
    <w:lvl w:ilvl="0">
      <w:start w:val="4"/>
      <w:numFmt w:val="decimal"/>
      <w:lvlText w:val="%1"/>
      <w:lvlJc w:val="left"/>
      <w:pPr>
        <w:ind w:left="525" w:hanging="360"/>
      </w:pPr>
      <w:rPr>
        <w:rFonts w:hint="default"/>
        <w:lang w:val="en-US" w:eastAsia="en-US" w:bidi="ar-SA"/>
      </w:rPr>
    </w:lvl>
    <w:lvl w:ilvl="1">
      <w:start w:val="1"/>
      <w:numFmt w:val="decimal"/>
      <w:lvlText w:val="%1.%2"/>
      <w:lvlJc w:val="left"/>
      <w:pPr>
        <w:ind w:left="525"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705"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960" w:hanging="540"/>
      </w:pPr>
      <w:rPr>
        <w:rFonts w:hint="default"/>
        <w:lang w:val="en-US" w:eastAsia="en-US" w:bidi="ar-SA"/>
      </w:rPr>
    </w:lvl>
    <w:lvl w:ilvl="4">
      <w:numFmt w:val="bullet"/>
      <w:lvlText w:val="•"/>
      <w:lvlJc w:val="left"/>
      <w:pPr>
        <w:ind w:left="1090" w:hanging="540"/>
      </w:pPr>
      <w:rPr>
        <w:rFonts w:hint="default"/>
        <w:lang w:val="en-US" w:eastAsia="en-US" w:bidi="ar-SA"/>
      </w:rPr>
    </w:lvl>
    <w:lvl w:ilvl="5">
      <w:numFmt w:val="bullet"/>
      <w:lvlText w:val="•"/>
      <w:lvlJc w:val="left"/>
      <w:pPr>
        <w:ind w:left="1220" w:hanging="540"/>
      </w:pPr>
      <w:rPr>
        <w:rFonts w:hint="default"/>
        <w:lang w:val="en-US" w:eastAsia="en-US" w:bidi="ar-SA"/>
      </w:rPr>
    </w:lvl>
    <w:lvl w:ilvl="6">
      <w:numFmt w:val="bullet"/>
      <w:lvlText w:val="•"/>
      <w:lvlJc w:val="left"/>
      <w:pPr>
        <w:ind w:left="1351" w:hanging="540"/>
      </w:pPr>
      <w:rPr>
        <w:rFonts w:hint="default"/>
        <w:lang w:val="en-US" w:eastAsia="en-US" w:bidi="ar-SA"/>
      </w:rPr>
    </w:lvl>
    <w:lvl w:ilvl="7">
      <w:numFmt w:val="bullet"/>
      <w:lvlText w:val="•"/>
      <w:lvlJc w:val="left"/>
      <w:pPr>
        <w:ind w:left="1481" w:hanging="540"/>
      </w:pPr>
      <w:rPr>
        <w:rFonts w:hint="default"/>
        <w:lang w:val="en-US" w:eastAsia="en-US" w:bidi="ar-SA"/>
      </w:rPr>
    </w:lvl>
    <w:lvl w:ilvl="8">
      <w:numFmt w:val="bullet"/>
      <w:lvlText w:val="•"/>
      <w:lvlJc w:val="left"/>
      <w:pPr>
        <w:ind w:left="1611" w:hanging="540"/>
      </w:pPr>
      <w:rPr>
        <w:rFonts w:hint="default"/>
        <w:lang w:val="en-US" w:eastAsia="en-US" w:bidi="ar-SA"/>
      </w:rPr>
    </w:lvl>
  </w:abstractNum>
  <w:num w:numId="1" w16cid:durableId="1033069970">
    <w:abstractNumId w:val="4"/>
  </w:num>
  <w:num w:numId="2" w16cid:durableId="2073656442">
    <w:abstractNumId w:val="16"/>
  </w:num>
  <w:num w:numId="3" w16cid:durableId="1477915126">
    <w:abstractNumId w:val="23"/>
  </w:num>
  <w:num w:numId="4" w16cid:durableId="1136724723">
    <w:abstractNumId w:val="22"/>
  </w:num>
  <w:num w:numId="5" w16cid:durableId="630939577">
    <w:abstractNumId w:val="17"/>
  </w:num>
  <w:num w:numId="6" w16cid:durableId="1366561981">
    <w:abstractNumId w:val="20"/>
  </w:num>
  <w:num w:numId="7" w16cid:durableId="1611467413">
    <w:abstractNumId w:val="3"/>
  </w:num>
  <w:num w:numId="8" w16cid:durableId="243224810">
    <w:abstractNumId w:val="0"/>
  </w:num>
  <w:num w:numId="9" w16cid:durableId="1938367743">
    <w:abstractNumId w:val="12"/>
  </w:num>
  <w:num w:numId="10" w16cid:durableId="1575238886">
    <w:abstractNumId w:val="5"/>
  </w:num>
  <w:num w:numId="11" w16cid:durableId="1006909">
    <w:abstractNumId w:val="1"/>
  </w:num>
  <w:num w:numId="12" w16cid:durableId="1713767288">
    <w:abstractNumId w:val="11"/>
  </w:num>
  <w:num w:numId="13" w16cid:durableId="582227852">
    <w:abstractNumId w:val="14"/>
  </w:num>
  <w:num w:numId="14" w16cid:durableId="557057102">
    <w:abstractNumId w:val="19"/>
  </w:num>
  <w:num w:numId="15" w16cid:durableId="1624728804">
    <w:abstractNumId w:val="2"/>
  </w:num>
  <w:num w:numId="16" w16cid:durableId="253977615">
    <w:abstractNumId w:val="10"/>
  </w:num>
  <w:num w:numId="17" w16cid:durableId="919486941">
    <w:abstractNumId w:val="7"/>
  </w:num>
  <w:num w:numId="18" w16cid:durableId="833187481">
    <w:abstractNumId w:val="15"/>
  </w:num>
  <w:num w:numId="19" w16cid:durableId="767821248">
    <w:abstractNumId w:val="13"/>
  </w:num>
  <w:num w:numId="20" w16cid:durableId="1819299616">
    <w:abstractNumId w:val="6"/>
  </w:num>
  <w:num w:numId="21" w16cid:durableId="1281956281">
    <w:abstractNumId w:val="8"/>
  </w:num>
  <w:num w:numId="22" w16cid:durableId="188877961">
    <w:abstractNumId w:val="21"/>
  </w:num>
  <w:num w:numId="23" w16cid:durableId="1557663422">
    <w:abstractNumId w:val="9"/>
  </w:num>
  <w:num w:numId="24" w16cid:durableId="1427465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83"/>
    <w:rsid w:val="00005286"/>
    <w:rsid w:val="00014726"/>
    <w:rsid w:val="0001490C"/>
    <w:rsid w:val="00036654"/>
    <w:rsid w:val="000410EC"/>
    <w:rsid w:val="000443AB"/>
    <w:rsid w:val="000446E8"/>
    <w:rsid w:val="00047D61"/>
    <w:rsid w:val="00055D83"/>
    <w:rsid w:val="000577EB"/>
    <w:rsid w:val="0006448B"/>
    <w:rsid w:val="00064933"/>
    <w:rsid w:val="000650BC"/>
    <w:rsid w:val="000661F9"/>
    <w:rsid w:val="00073097"/>
    <w:rsid w:val="000747C2"/>
    <w:rsid w:val="000750F8"/>
    <w:rsid w:val="00076BA5"/>
    <w:rsid w:val="000804D7"/>
    <w:rsid w:val="00082DAA"/>
    <w:rsid w:val="00087A1D"/>
    <w:rsid w:val="00096C2E"/>
    <w:rsid w:val="0009733F"/>
    <w:rsid w:val="000A3BD7"/>
    <w:rsid w:val="000A56D7"/>
    <w:rsid w:val="000A57EC"/>
    <w:rsid w:val="000A6884"/>
    <w:rsid w:val="000B496D"/>
    <w:rsid w:val="000C037E"/>
    <w:rsid w:val="000D075E"/>
    <w:rsid w:val="000D0F56"/>
    <w:rsid w:val="000D1B44"/>
    <w:rsid w:val="000D7152"/>
    <w:rsid w:val="000D7DAA"/>
    <w:rsid w:val="000E2349"/>
    <w:rsid w:val="000F4A65"/>
    <w:rsid w:val="00111B62"/>
    <w:rsid w:val="001163C7"/>
    <w:rsid w:val="00124253"/>
    <w:rsid w:val="00124CA1"/>
    <w:rsid w:val="00130874"/>
    <w:rsid w:val="00131EAA"/>
    <w:rsid w:val="001403AD"/>
    <w:rsid w:val="00142F60"/>
    <w:rsid w:val="001450C8"/>
    <w:rsid w:val="001452A3"/>
    <w:rsid w:val="00147E4C"/>
    <w:rsid w:val="00154669"/>
    <w:rsid w:val="001618DC"/>
    <w:rsid w:val="00162029"/>
    <w:rsid w:val="00167079"/>
    <w:rsid w:val="00167C75"/>
    <w:rsid w:val="0017796D"/>
    <w:rsid w:val="0018163F"/>
    <w:rsid w:val="0018246F"/>
    <w:rsid w:val="00185BCB"/>
    <w:rsid w:val="00185FFD"/>
    <w:rsid w:val="001938DE"/>
    <w:rsid w:val="001947AD"/>
    <w:rsid w:val="001A1E1C"/>
    <w:rsid w:val="001A5880"/>
    <w:rsid w:val="001C0412"/>
    <w:rsid w:val="001C35CA"/>
    <w:rsid w:val="001C4B7D"/>
    <w:rsid w:val="001D23A9"/>
    <w:rsid w:val="001D4A55"/>
    <w:rsid w:val="001D6A60"/>
    <w:rsid w:val="001E0043"/>
    <w:rsid w:val="001E052A"/>
    <w:rsid w:val="001E21F0"/>
    <w:rsid w:val="001E5289"/>
    <w:rsid w:val="001E649F"/>
    <w:rsid w:val="001F024F"/>
    <w:rsid w:val="001F27A6"/>
    <w:rsid w:val="001F2B0E"/>
    <w:rsid w:val="001F51C1"/>
    <w:rsid w:val="001F7468"/>
    <w:rsid w:val="00204AAD"/>
    <w:rsid w:val="0021142D"/>
    <w:rsid w:val="002151BA"/>
    <w:rsid w:val="0022048F"/>
    <w:rsid w:val="0022156B"/>
    <w:rsid w:val="00223099"/>
    <w:rsid w:val="00223A1A"/>
    <w:rsid w:val="0022500A"/>
    <w:rsid w:val="002254B1"/>
    <w:rsid w:val="00243C69"/>
    <w:rsid w:val="0024737A"/>
    <w:rsid w:val="0025131C"/>
    <w:rsid w:val="0025160E"/>
    <w:rsid w:val="0025635B"/>
    <w:rsid w:val="00260B2D"/>
    <w:rsid w:val="002645C1"/>
    <w:rsid w:val="00270AED"/>
    <w:rsid w:val="00271CF6"/>
    <w:rsid w:val="00274AC6"/>
    <w:rsid w:val="00276CE5"/>
    <w:rsid w:val="002779A5"/>
    <w:rsid w:val="002856C7"/>
    <w:rsid w:val="002859D4"/>
    <w:rsid w:val="002860AE"/>
    <w:rsid w:val="002A562C"/>
    <w:rsid w:val="002B2D3C"/>
    <w:rsid w:val="002B5578"/>
    <w:rsid w:val="002C2F8F"/>
    <w:rsid w:val="002C5E15"/>
    <w:rsid w:val="002C6F25"/>
    <w:rsid w:val="002C72A3"/>
    <w:rsid w:val="002D1CB2"/>
    <w:rsid w:val="002D32ED"/>
    <w:rsid w:val="002D4259"/>
    <w:rsid w:val="002D6969"/>
    <w:rsid w:val="002D7340"/>
    <w:rsid w:val="002E3874"/>
    <w:rsid w:val="002E784F"/>
    <w:rsid w:val="002F03DA"/>
    <w:rsid w:val="002F3573"/>
    <w:rsid w:val="00300BE0"/>
    <w:rsid w:val="00301FD6"/>
    <w:rsid w:val="003029F0"/>
    <w:rsid w:val="00311377"/>
    <w:rsid w:val="00311DFA"/>
    <w:rsid w:val="003128C6"/>
    <w:rsid w:val="003131D7"/>
    <w:rsid w:val="003140FD"/>
    <w:rsid w:val="00323D68"/>
    <w:rsid w:val="00324548"/>
    <w:rsid w:val="0033028F"/>
    <w:rsid w:val="0033151D"/>
    <w:rsid w:val="00336C6D"/>
    <w:rsid w:val="00337145"/>
    <w:rsid w:val="0034183D"/>
    <w:rsid w:val="00342FD9"/>
    <w:rsid w:val="00343363"/>
    <w:rsid w:val="00344733"/>
    <w:rsid w:val="003522D0"/>
    <w:rsid w:val="003607E2"/>
    <w:rsid w:val="0036344E"/>
    <w:rsid w:val="00370F8B"/>
    <w:rsid w:val="00371FF9"/>
    <w:rsid w:val="00372DCB"/>
    <w:rsid w:val="00374FD9"/>
    <w:rsid w:val="00376BF4"/>
    <w:rsid w:val="0038103F"/>
    <w:rsid w:val="003851AE"/>
    <w:rsid w:val="003853CB"/>
    <w:rsid w:val="00390D07"/>
    <w:rsid w:val="003A1E48"/>
    <w:rsid w:val="003A2387"/>
    <w:rsid w:val="003B03A5"/>
    <w:rsid w:val="003C4227"/>
    <w:rsid w:val="003C581F"/>
    <w:rsid w:val="003C59BB"/>
    <w:rsid w:val="003C7107"/>
    <w:rsid w:val="003D2541"/>
    <w:rsid w:val="003D39AB"/>
    <w:rsid w:val="003D4D6F"/>
    <w:rsid w:val="003D4FD6"/>
    <w:rsid w:val="003D7198"/>
    <w:rsid w:val="003E0D69"/>
    <w:rsid w:val="003E0FAD"/>
    <w:rsid w:val="003E21E7"/>
    <w:rsid w:val="003E38F0"/>
    <w:rsid w:val="003E7E33"/>
    <w:rsid w:val="003F01AE"/>
    <w:rsid w:val="003F72A0"/>
    <w:rsid w:val="00406845"/>
    <w:rsid w:val="004071F4"/>
    <w:rsid w:val="00407977"/>
    <w:rsid w:val="0041566F"/>
    <w:rsid w:val="00415ABE"/>
    <w:rsid w:val="004165B3"/>
    <w:rsid w:val="00416E73"/>
    <w:rsid w:val="00421CF2"/>
    <w:rsid w:val="0042251A"/>
    <w:rsid w:val="004261F9"/>
    <w:rsid w:val="00426201"/>
    <w:rsid w:val="00426617"/>
    <w:rsid w:val="00426CDB"/>
    <w:rsid w:val="00437393"/>
    <w:rsid w:val="00440EF7"/>
    <w:rsid w:val="00451ECC"/>
    <w:rsid w:val="00462C20"/>
    <w:rsid w:val="004737A8"/>
    <w:rsid w:val="00483FB5"/>
    <w:rsid w:val="004916BB"/>
    <w:rsid w:val="004963A4"/>
    <w:rsid w:val="00496991"/>
    <w:rsid w:val="004A12F4"/>
    <w:rsid w:val="004A3F7C"/>
    <w:rsid w:val="004A5357"/>
    <w:rsid w:val="004A5AA0"/>
    <w:rsid w:val="004B7C71"/>
    <w:rsid w:val="004C3121"/>
    <w:rsid w:val="004C41F7"/>
    <w:rsid w:val="004C4596"/>
    <w:rsid w:val="004C7D5D"/>
    <w:rsid w:val="004D0812"/>
    <w:rsid w:val="004D081D"/>
    <w:rsid w:val="004D5CCD"/>
    <w:rsid w:val="004D7EEF"/>
    <w:rsid w:val="004E3D2D"/>
    <w:rsid w:val="004E4A2C"/>
    <w:rsid w:val="004F5A5D"/>
    <w:rsid w:val="00500683"/>
    <w:rsid w:val="00505972"/>
    <w:rsid w:val="00511FA2"/>
    <w:rsid w:val="0051495F"/>
    <w:rsid w:val="00526412"/>
    <w:rsid w:val="0052667E"/>
    <w:rsid w:val="00533290"/>
    <w:rsid w:val="005417F4"/>
    <w:rsid w:val="0054398C"/>
    <w:rsid w:val="0054478E"/>
    <w:rsid w:val="00546369"/>
    <w:rsid w:val="00556C7C"/>
    <w:rsid w:val="00561737"/>
    <w:rsid w:val="00563CE7"/>
    <w:rsid w:val="00563F35"/>
    <w:rsid w:val="005666F9"/>
    <w:rsid w:val="005713C2"/>
    <w:rsid w:val="00571717"/>
    <w:rsid w:val="00571F99"/>
    <w:rsid w:val="005740B5"/>
    <w:rsid w:val="00575F00"/>
    <w:rsid w:val="00580F0A"/>
    <w:rsid w:val="00591DBD"/>
    <w:rsid w:val="005926C9"/>
    <w:rsid w:val="00594F68"/>
    <w:rsid w:val="005B04D7"/>
    <w:rsid w:val="005B0558"/>
    <w:rsid w:val="005D3FE1"/>
    <w:rsid w:val="005D72F4"/>
    <w:rsid w:val="005E386E"/>
    <w:rsid w:val="005E3D2C"/>
    <w:rsid w:val="005F19B0"/>
    <w:rsid w:val="005F1DA5"/>
    <w:rsid w:val="005F2F50"/>
    <w:rsid w:val="0060683F"/>
    <w:rsid w:val="00610BEF"/>
    <w:rsid w:val="0061111A"/>
    <w:rsid w:val="00615B2D"/>
    <w:rsid w:val="00616E93"/>
    <w:rsid w:val="006177C4"/>
    <w:rsid w:val="006211E5"/>
    <w:rsid w:val="00622E5D"/>
    <w:rsid w:val="00623C02"/>
    <w:rsid w:val="00632E53"/>
    <w:rsid w:val="00652189"/>
    <w:rsid w:val="0065654C"/>
    <w:rsid w:val="00661AAF"/>
    <w:rsid w:val="006633DF"/>
    <w:rsid w:val="00675C16"/>
    <w:rsid w:val="006826A1"/>
    <w:rsid w:val="00683F32"/>
    <w:rsid w:val="00685965"/>
    <w:rsid w:val="0068692A"/>
    <w:rsid w:val="00692AF5"/>
    <w:rsid w:val="006A0520"/>
    <w:rsid w:val="006B1220"/>
    <w:rsid w:val="006B3C88"/>
    <w:rsid w:val="006B4626"/>
    <w:rsid w:val="006B5A8E"/>
    <w:rsid w:val="006B5CA2"/>
    <w:rsid w:val="006C3DFD"/>
    <w:rsid w:val="006C41A9"/>
    <w:rsid w:val="006C4D79"/>
    <w:rsid w:val="006D16E8"/>
    <w:rsid w:val="006E1D74"/>
    <w:rsid w:val="006E3F3F"/>
    <w:rsid w:val="006E526B"/>
    <w:rsid w:val="0070085D"/>
    <w:rsid w:val="00714562"/>
    <w:rsid w:val="00715AA2"/>
    <w:rsid w:val="0071731F"/>
    <w:rsid w:val="007173FC"/>
    <w:rsid w:val="007205CE"/>
    <w:rsid w:val="00722A32"/>
    <w:rsid w:val="00723B81"/>
    <w:rsid w:val="007313ED"/>
    <w:rsid w:val="00731F76"/>
    <w:rsid w:val="00750F50"/>
    <w:rsid w:val="0075698D"/>
    <w:rsid w:val="0076188C"/>
    <w:rsid w:val="00762807"/>
    <w:rsid w:val="007656A9"/>
    <w:rsid w:val="0077042C"/>
    <w:rsid w:val="00772A04"/>
    <w:rsid w:val="00774F84"/>
    <w:rsid w:val="007769D0"/>
    <w:rsid w:val="00777615"/>
    <w:rsid w:val="0078324B"/>
    <w:rsid w:val="007846B3"/>
    <w:rsid w:val="00784B96"/>
    <w:rsid w:val="00785F6F"/>
    <w:rsid w:val="00790BF9"/>
    <w:rsid w:val="00795B86"/>
    <w:rsid w:val="00797B58"/>
    <w:rsid w:val="007A0442"/>
    <w:rsid w:val="007A2567"/>
    <w:rsid w:val="007A48D9"/>
    <w:rsid w:val="007A56B8"/>
    <w:rsid w:val="007A602B"/>
    <w:rsid w:val="007A6B64"/>
    <w:rsid w:val="007A7328"/>
    <w:rsid w:val="007A784F"/>
    <w:rsid w:val="007A7BFC"/>
    <w:rsid w:val="007B03EC"/>
    <w:rsid w:val="007B468C"/>
    <w:rsid w:val="007B75C6"/>
    <w:rsid w:val="007C3182"/>
    <w:rsid w:val="007C6929"/>
    <w:rsid w:val="007D08AC"/>
    <w:rsid w:val="007D4F35"/>
    <w:rsid w:val="007E3458"/>
    <w:rsid w:val="007E5A6C"/>
    <w:rsid w:val="007F1318"/>
    <w:rsid w:val="007F4F3C"/>
    <w:rsid w:val="008003E7"/>
    <w:rsid w:val="0081762C"/>
    <w:rsid w:val="008209F0"/>
    <w:rsid w:val="00822A7E"/>
    <w:rsid w:val="008263C5"/>
    <w:rsid w:val="008456FF"/>
    <w:rsid w:val="00854FF7"/>
    <w:rsid w:val="00857BF9"/>
    <w:rsid w:val="00860F17"/>
    <w:rsid w:val="00863107"/>
    <w:rsid w:val="00870B4E"/>
    <w:rsid w:val="008718EE"/>
    <w:rsid w:val="00872612"/>
    <w:rsid w:val="00876501"/>
    <w:rsid w:val="00880213"/>
    <w:rsid w:val="00895281"/>
    <w:rsid w:val="008A5E87"/>
    <w:rsid w:val="008B0097"/>
    <w:rsid w:val="008B4F87"/>
    <w:rsid w:val="008B511B"/>
    <w:rsid w:val="008B630B"/>
    <w:rsid w:val="008B7836"/>
    <w:rsid w:val="008B7D65"/>
    <w:rsid w:val="008C0186"/>
    <w:rsid w:val="008C2098"/>
    <w:rsid w:val="008D0E99"/>
    <w:rsid w:val="008D43EA"/>
    <w:rsid w:val="008E2312"/>
    <w:rsid w:val="008E4DDA"/>
    <w:rsid w:val="008E5566"/>
    <w:rsid w:val="008F4E62"/>
    <w:rsid w:val="00906288"/>
    <w:rsid w:val="00912F66"/>
    <w:rsid w:val="009179CC"/>
    <w:rsid w:val="0092006B"/>
    <w:rsid w:val="00925466"/>
    <w:rsid w:val="0092720B"/>
    <w:rsid w:val="00933567"/>
    <w:rsid w:val="00935ABF"/>
    <w:rsid w:val="00945F70"/>
    <w:rsid w:val="00960F01"/>
    <w:rsid w:val="00961903"/>
    <w:rsid w:val="00963A57"/>
    <w:rsid w:val="00973355"/>
    <w:rsid w:val="009841F2"/>
    <w:rsid w:val="00984917"/>
    <w:rsid w:val="00993BED"/>
    <w:rsid w:val="009963FB"/>
    <w:rsid w:val="009A067C"/>
    <w:rsid w:val="009A1D5D"/>
    <w:rsid w:val="009A2D28"/>
    <w:rsid w:val="009B17C5"/>
    <w:rsid w:val="009B2CE5"/>
    <w:rsid w:val="009B3203"/>
    <w:rsid w:val="009B38E7"/>
    <w:rsid w:val="009B434B"/>
    <w:rsid w:val="009B7DE4"/>
    <w:rsid w:val="009C0C7F"/>
    <w:rsid w:val="009C11BB"/>
    <w:rsid w:val="009D5CE2"/>
    <w:rsid w:val="009E0B92"/>
    <w:rsid w:val="009E0CF9"/>
    <w:rsid w:val="009E3D26"/>
    <w:rsid w:val="009E40E7"/>
    <w:rsid w:val="009E457F"/>
    <w:rsid w:val="009E6944"/>
    <w:rsid w:val="009E783A"/>
    <w:rsid w:val="009F3871"/>
    <w:rsid w:val="009F5632"/>
    <w:rsid w:val="009F6D2D"/>
    <w:rsid w:val="00A00A05"/>
    <w:rsid w:val="00A0120F"/>
    <w:rsid w:val="00A01B25"/>
    <w:rsid w:val="00A01E19"/>
    <w:rsid w:val="00A15B6B"/>
    <w:rsid w:val="00A22EB7"/>
    <w:rsid w:val="00A27439"/>
    <w:rsid w:val="00A31119"/>
    <w:rsid w:val="00A31614"/>
    <w:rsid w:val="00A40F08"/>
    <w:rsid w:val="00A42FF3"/>
    <w:rsid w:val="00A52C12"/>
    <w:rsid w:val="00A57832"/>
    <w:rsid w:val="00A616A9"/>
    <w:rsid w:val="00A6679B"/>
    <w:rsid w:val="00A67F40"/>
    <w:rsid w:val="00A73EDF"/>
    <w:rsid w:val="00A75341"/>
    <w:rsid w:val="00A81F27"/>
    <w:rsid w:val="00A82DFB"/>
    <w:rsid w:val="00A85593"/>
    <w:rsid w:val="00A85B82"/>
    <w:rsid w:val="00A91ACF"/>
    <w:rsid w:val="00A91C98"/>
    <w:rsid w:val="00A9253F"/>
    <w:rsid w:val="00A94D23"/>
    <w:rsid w:val="00A9586C"/>
    <w:rsid w:val="00A96A1E"/>
    <w:rsid w:val="00AC0D69"/>
    <w:rsid w:val="00AC2144"/>
    <w:rsid w:val="00AD0959"/>
    <w:rsid w:val="00AD4106"/>
    <w:rsid w:val="00AD50D3"/>
    <w:rsid w:val="00AD6429"/>
    <w:rsid w:val="00AE3911"/>
    <w:rsid w:val="00AE4AA5"/>
    <w:rsid w:val="00AE69E8"/>
    <w:rsid w:val="00AF0AC2"/>
    <w:rsid w:val="00AF253B"/>
    <w:rsid w:val="00AF38F9"/>
    <w:rsid w:val="00AF46F3"/>
    <w:rsid w:val="00B00FCB"/>
    <w:rsid w:val="00B03327"/>
    <w:rsid w:val="00B04E6C"/>
    <w:rsid w:val="00B05A71"/>
    <w:rsid w:val="00B108BB"/>
    <w:rsid w:val="00B14085"/>
    <w:rsid w:val="00B14EAC"/>
    <w:rsid w:val="00B2188D"/>
    <w:rsid w:val="00B22173"/>
    <w:rsid w:val="00B26084"/>
    <w:rsid w:val="00B3455A"/>
    <w:rsid w:val="00B3762C"/>
    <w:rsid w:val="00B40B7A"/>
    <w:rsid w:val="00B40DD3"/>
    <w:rsid w:val="00B423E1"/>
    <w:rsid w:val="00B449E1"/>
    <w:rsid w:val="00B44AE3"/>
    <w:rsid w:val="00B44B78"/>
    <w:rsid w:val="00B45984"/>
    <w:rsid w:val="00B52DF3"/>
    <w:rsid w:val="00B55CEF"/>
    <w:rsid w:val="00B55DC9"/>
    <w:rsid w:val="00B6094B"/>
    <w:rsid w:val="00B67158"/>
    <w:rsid w:val="00B717D1"/>
    <w:rsid w:val="00B836B4"/>
    <w:rsid w:val="00B85E42"/>
    <w:rsid w:val="00B87A83"/>
    <w:rsid w:val="00B93488"/>
    <w:rsid w:val="00B9497F"/>
    <w:rsid w:val="00BA58DB"/>
    <w:rsid w:val="00BA790C"/>
    <w:rsid w:val="00BB1899"/>
    <w:rsid w:val="00BB3A83"/>
    <w:rsid w:val="00BC2524"/>
    <w:rsid w:val="00BC6A0A"/>
    <w:rsid w:val="00BC7830"/>
    <w:rsid w:val="00BD0E33"/>
    <w:rsid w:val="00BD15A0"/>
    <w:rsid w:val="00BD64EB"/>
    <w:rsid w:val="00BD7BE1"/>
    <w:rsid w:val="00BE1869"/>
    <w:rsid w:val="00BE24E1"/>
    <w:rsid w:val="00BF3C23"/>
    <w:rsid w:val="00BF6F97"/>
    <w:rsid w:val="00C01423"/>
    <w:rsid w:val="00C0320B"/>
    <w:rsid w:val="00C03297"/>
    <w:rsid w:val="00C053F5"/>
    <w:rsid w:val="00C06731"/>
    <w:rsid w:val="00C10FCA"/>
    <w:rsid w:val="00C1335A"/>
    <w:rsid w:val="00C21D61"/>
    <w:rsid w:val="00C237CE"/>
    <w:rsid w:val="00C2401C"/>
    <w:rsid w:val="00C25488"/>
    <w:rsid w:val="00C32AB8"/>
    <w:rsid w:val="00C4118B"/>
    <w:rsid w:val="00C54577"/>
    <w:rsid w:val="00C67694"/>
    <w:rsid w:val="00C864EE"/>
    <w:rsid w:val="00C9348C"/>
    <w:rsid w:val="00C937F1"/>
    <w:rsid w:val="00C95979"/>
    <w:rsid w:val="00CA2418"/>
    <w:rsid w:val="00CA37C0"/>
    <w:rsid w:val="00CA6BD4"/>
    <w:rsid w:val="00CB6E82"/>
    <w:rsid w:val="00CD4379"/>
    <w:rsid w:val="00CD7331"/>
    <w:rsid w:val="00CE0AFF"/>
    <w:rsid w:val="00CE4C91"/>
    <w:rsid w:val="00CF7125"/>
    <w:rsid w:val="00CF7422"/>
    <w:rsid w:val="00D14A47"/>
    <w:rsid w:val="00D15E77"/>
    <w:rsid w:val="00D16476"/>
    <w:rsid w:val="00D20B1E"/>
    <w:rsid w:val="00D21679"/>
    <w:rsid w:val="00D242AA"/>
    <w:rsid w:val="00D257C4"/>
    <w:rsid w:val="00D257F6"/>
    <w:rsid w:val="00D26C8B"/>
    <w:rsid w:val="00D309F6"/>
    <w:rsid w:val="00D35C0E"/>
    <w:rsid w:val="00D36322"/>
    <w:rsid w:val="00D54CAA"/>
    <w:rsid w:val="00D56393"/>
    <w:rsid w:val="00D56DAA"/>
    <w:rsid w:val="00D656A4"/>
    <w:rsid w:val="00D665A0"/>
    <w:rsid w:val="00D73F27"/>
    <w:rsid w:val="00D74259"/>
    <w:rsid w:val="00D7477F"/>
    <w:rsid w:val="00D7785F"/>
    <w:rsid w:val="00D86D39"/>
    <w:rsid w:val="00D916BC"/>
    <w:rsid w:val="00D94638"/>
    <w:rsid w:val="00DA0813"/>
    <w:rsid w:val="00DB266B"/>
    <w:rsid w:val="00DB408B"/>
    <w:rsid w:val="00DC20F2"/>
    <w:rsid w:val="00DC3B66"/>
    <w:rsid w:val="00DC406B"/>
    <w:rsid w:val="00DC4076"/>
    <w:rsid w:val="00DC411F"/>
    <w:rsid w:val="00DD21C0"/>
    <w:rsid w:val="00DE2430"/>
    <w:rsid w:val="00DE5974"/>
    <w:rsid w:val="00DE6047"/>
    <w:rsid w:val="00DF126E"/>
    <w:rsid w:val="00E05059"/>
    <w:rsid w:val="00E0554F"/>
    <w:rsid w:val="00E07021"/>
    <w:rsid w:val="00E1065F"/>
    <w:rsid w:val="00E1453F"/>
    <w:rsid w:val="00E160F3"/>
    <w:rsid w:val="00E17890"/>
    <w:rsid w:val="00E22B03"/>
    <w:rsid w:val="00E22FC8"/>
    <w:rsid w:val="00E236F2"/>
    <w:rsid w:val="00E24AB2"/>
    <w:rsid w:val="00E270A8"/>
    <w:rsid w:val="00E31A3E"/>
    <w:rsid w:val="00E32139"/>
    <w:rsid w:val="00E3230A"/>
    <w:rsid w:val="00E3709F"/>
    <w:rsid w:val="00E41E2F"/>
    <w:rsid w:val="00E448DE"/>
    <w:rsid w:val="00E468EC"/>
    <w:rsid w:val="00E5141C"/>
    <w:rsid w:val="00E54B24"/>
    <w:rsid w:val="00E550A5"/>
    <w:rsid w:val="00E57ADC"/>
    <w:rsid w:val="00E60AE6"/>
    <w:rsid w:val="00E63B72"/>
    <w:rsid w:val="00E63DD0"/>
    <w:rsid w:val="00E65193"/>
    <w:rsid w:val="00E70601"/>
    <w:rsid w:val="00E728DB"/>
    <w:rsid w:val="00E730D7"/>
    <w:rsid w:val="00E737F5"/>
    <w:rsid w:val="00E73E17"/>
    <w:rsid w:val="00E75DCB"/>
    <w:rsid w:val="00E77E87"/>
    <w:rsid w:val="00E819C7"/>
    <w:rsid w:val="00E85394"/>
    <w:rsid w:val="00E85589"/>
    <w:rsid w:val="00E87A78"/>
    <w:rsid w:val="00E95BE7"/>
    <w:rsid w:val="00E95FB3"/>
    <w:rsid w:val="00EA355D"/>
    <w:rsid w:val="00EA6B12"/>
    <w:rsid w:val="00EA7AE3"/>
    <w:rsid w:val="00EC58C5"/>
    <w:rsid w:val="00ED008A"/>
    <w:rsid w:val="00EE0214"/>
    <w:rsid w:val="00F00D01"/>
    <w:rsid w:val="00F01BA4"/>
    <w:rsid w:val="00F02225"/>
    <w:rsid w:val="00F05D67"/>
    <w:rsid w:val="00F111A2"/>
    <w:rsid w:val="00F12B27"/>
    <w:rsid w:val="00F13287"/>
    <w:rsid w:val="00F14915"/>
    <w:rsid w:val="00F16858"/>
    <w:rsid w:val="00F23691"/>
    <w:rsid w:val="00F3363A"/>
    <w:rsid w:val="00F341B9"/>
    <w:rsid w:val="00F42712"/>
    <w:rsid w:val="00F42A52"/>
    <w:rsid w:val="00F42B0A"/>
    <w:rsid w:val="00F46BA3"/>
    <w:rsid w:val="00F61F6F"/>
    <w:rsid w:val="00F6655B"/>
    <w:rsid w:val="00F74A68"/>
    <w:rsid w:val="00F74BD5"/>
    <w:rsid w:val="00F857CA"/>
    <w:rsid w:val="00F926C6"/>
    <w:rsid w:val="00F933EE"/>
    <w:rsid w:val="00F93EB9"/>
    <w:rsid w:val="00FA3A0A"/>
    <w:rsid w:val="00FA74EF"/>
    <w:rsid w:val="00FB2E0F"/>
    <w:rsid w:val="00FB3030"/>
    <w:rsid w:val="00FB4E25"/>
    <w:rsid w:val="00FC2372"/>
    <w:rsid w:val="00FC34D0"/>
    <w:rsid w:val="00FC4A1C"/>
    <w:rsid w:val="00FD3DAC"/>
    <w:rsid w:val="00FD4A02"/>
    <w:rsid w:val="00FE1FD7"/>
    <w:rsid w:val="00FE5B93"/>
    <w:rsid w:val="00FE6B26"/>
    <w:rsid w:val="00FE7703"/>
    <w:rsid w:val="00FF2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60C7A"/>
  <w15:chartTrackingRefBased/>
  <w15:docId w15:val="{F58B4E4C-2E9A-4CEF-A397-9B648E9C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84"/>
    <w:pPr>
      <w:spacing w:before="240" w:after="0" w:line="480" w:lineRule="auto"/>
      <w:jc w:val="both"/>
    </w:pPr>
    <w:rPr>
      <w:rFonts w:ascii="Times New Roman" w:eastAsia="Calibri" w:hAnsi="Times New Roman" w:cs="SimSun"/>
      <w:color w:val="000000"/>
      <w:kern w:val="0"/>
      <w:sz w:val="24"/>
    </w:rPr>
  </w:style>
  <w:style w:type="paragraph" w:styleId="Heading1">
    <w:name w:val="heading 1"/>
    <w:basedOn w:val="Normal"/>
    <w:next w:val="Normal"/>
    <w:link w:val="Heading1Char"/>
    <w:autoRedefine/>
    <w:uiPriority w:val="9"/>
    <w:qFormat/>
    <w:rsid w:val="00B67158"/>
    <w:pPr>
      <w:keepNext/>
      <w:keepLines/>
      <w:spacing w:before="600" w:after="120" w:line="240" w:lineRule="auto"/>
      <w:outlineLvl w:val="0"/>
    </w:pPr>
    <w:rPr>
      <w:rFonts w:eastAsia="Times New Roman" w:cs="Times New Roman"/>
      <w:b/>
      <w:color w:val="000000" w:themeColor="text1"/>
      <w:kern w:val="2"/>
      <w:sz w:val="28"/>
      <w:szCs w:val="28"/>
      <w:u w:val="single"/>
    </w:rPr>
  </w:style>
  <w:style w:type="paragraph" w:styleId="Heading2">
    <w:name w:val="heading 2"/>
    <w:basedOn w:val="Normal"/>
    <w:next w:val="Normal"/>
    <w:link w:val="Heading2Char"/>
    <w:uiPriority w:val="9"/>
    <w:semiHidden/>
    <w:unhideWhenUsed/>
    <w:qFormat/>
    <w:rsid w:val="006068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111A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D719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5D8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158"/>
    <w:rPr>
      <w:rFonts w:ascii="Times New Roman" w:eastAsia="Times New Roman" w:hAnsi="Times New Roman" w:cs="Times New Roman"/>
      <w:b/>
      <w:color w:val="000000" w:themeColor="text1"/>
      <w:sz w:val="28"/>
      <w:szCs w:val="28"/>
      <w:u w:val="single"/>
    </w:rPr>
  </w:style>
  <w:style w:type="character" w:customStyle="1" w:styleId="Heading5Char">
    <w:name w:val="Heading 5 Char"/>
    <w:basedOn w:val="DefaultParagraphFont"/>
    <w:link w:val="Heading5"/>
    <w:uiPriority w:val="9"/>
    <w:rsid w:val="00055D83"/>
    <w:rPr>
      <w:rFonts w:asciiTheme="majorHAnsi" w:eastAsiaTheme="majorEastAsia" w:hAnsiTheme="majorHAnsi" w:cstheme="majorBidi"/>
      <w:color w:val="2F5496" w:themeColor="accent1" w:themeShade="BF"/>
      <w:kern w:val="0"/>
      <w:sz w:val="24"/>
    </w:rPr>
  </w:style>
  <w:style w:type="character" w:customStyle="1" w:styleId="ListParagraphChar">
    <w:name w:val="List Paragraph Char"/>
    <w:link w:val="ListParagraph"/>
    <w:uiPriority w:val="34"/>
    <w:rsid w:val="00055D83"/>
    <w:rPr>
      <w:rFonts w:ascii="Calibri" w:eastAsia="Calibri" w:hAnsi="Calibri" w:cs="Times New Roman"/>
    </w:rPr>
  </w:style>
  <w:style w:type="paragraph" w:styleId="ListParagraph">
    <w:name w:val="List Paragraph"/>
    <w:basedOn w:val="Normal"/>
    <w:link w:val="ListParagraphChar"/>
    <w:uiPriority w:val="34"/>
    <w:qFormat/>
    <w:rsid w:val="00055D83"/>
    <w:pPr>
      <w:spacing w:before="120" w:after="200"/>
      <w:ind w:left="720"/>
      <w:contextualSpacing/>
    </w:pPr>
    <w:rPr>
      <w:rFonts w:ascii="Calibri" w:hAnsi="Calibri" w:cs="Times New Roman"/>
      <w:color w:val="auto"/>
      <w:kern w:val="2"/>
      <w:sz w:val="22"/>
    </w:rPr>
  </w:style>
  <w:style w:type="paragraph" w:styleId="Footer">
    <w:name w:val="footer"/>
    <w:basedOn w:val="Normal"/>
    <w:link w:val="FooterChar"/>
    <w:uiPriority w:val="99"/>
    <w:unhideWhenUsed/>
    <w:rsid w:val="00055D8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55D83"/>
    <w:rPr>
      <w:rFonts w:ascii="Times New Roman" w:eastAsia="Calibri" w:hAnsi="Times New Roman" w:cs="SimSun"/>
      <w:color w:val="000000"/>
      <w:kern w:val="0"/>
      <w:sz w:val="24"/>
    </w:rPr>
  </w:style>
  <w:style w:type="paragraph" w:styleId="BodyText">
    <w:name w:val="Body Text"/>
    <w:basedOn w:val="Normal"/>
    <w:link w:val="BodyTextChar"/>
    <w:uiPriority w:val="1"/>
    <w:qFormat/>
    <w:rsid w:val="00055D83"/>
    <w:pPr>
      <w:widowControl w:val="0"/>
      <w:autoSpaceDE w:val="0"/>
      <w:autoSpaceDN w:val="0"/>
      <w:spacing w:before="0" w:line="240" w:lineRule="auto"/>
      <w:jc w:val="left"/>
    </w:pPr>
    <w:rPr>
      <w:rFonts w:eastAsia="Times New Roman" w:cs="Times New Roman"/>
      <w:color w:val="auto"/>
      <w:szCs w:val="24"/>
      <w:lang w:val="en-GB"/>
      <w14:ligatures w14:val="none"/>
    </w:rPr>
  </w:style>
  <w:style w:type="character" w:customStyle="1" w:styleId="BodyTextChar">
    <w:name w:val="Body Text Char"/>
    <w:basedOn w:val="DefaultParagraphFont"/>
    <w:link w:val="BodyText"/>
    <w:uiPriority w:val="1"/>
    <w:rsid w:val="00055D83"/>
    <w:rPr>
      <w:rFonts w:ascii="Times New Roman" w:eastAsia="Times New Roman" w:hAnsi="Times New Roman" w:cs="Times New Roman"/>
      <w:kern w:val="0"/>
      <w:sz w:val="24"/>
      <w:szCs w:val="24"/>
      <w:lang w:val="en-GB"/>
      <w14:ligatures w14:val="none"/>
    </w:rPr>
  </w:style>
  <w:style w:type="paragraph" w:customStyle="1" w:styleId="Default">
    <w:name w:val="Default"/>
    <w:rsid w:val="00055D83"/>
    <w:pPr>
      <w:autoSpaceDE w:val="0"/>
      <w:autoSpaceDN w:val="0"/>
      <w:adjustRightInd w:val="0"/>
      <w:spacing w:after="0" w:line="240" w:lineRule="auto"/>
    </w:pPr>
    <w:rPr>
      <w:rFonts w:ascii="Times New Roman" w:hAnsi="Times New Roman" w:cs="Times New Roman"/>
      <w:color w:val="000000"/>
      <w:kern w:val="0"/>
      <w:sz w:val="24"/>
      <w:szCs w:val="24"/>
      <w:lang w:val="en-GB"/>
      <w14:ligatures w14:val="none"/>
    </w:rPr>
  </w:style>
  <w:style w:type="character" w:customStyle="1" w:styleId="apple-converted-space">
    <w:name w:val="apple-converted-space"/>
    <w:basedOn w:val="DefaultParagraphFont"/>
    <w:rsid w:val="007F1318"/>
  </w:style>
  <w:style w:type="paragraph" w:customStyle="1" w:styleId="TableParagraph">
    <w:name w:val="Table Paragraph"/>
    <w:basedOn w:val="Normal"/>
    <w:uiPriority w:val="1"/>
    <w:qFormat/>
    <w:rsid w:val="00A6679B"/>
    <w:pPr>
      <w:widowControl w:val="0"/>
      <w:autoSpaceDE w:val="0"/>
      <w:autoSpaceDN w:val="0"/>
      <w:spacing w:before="0" w:line="240" w:lineRule="auto"/>
      <w:jc w:val="left"/>
    </w:pPr>
    <w:rPr>
      <w:rFonts w:eastAsia="Times New Roman" w:cs="Times New Roman"/>
      <w:color w:val="auto"/>
      <w:sz w:val="22"/>
      <w14:ligatures w14:val="none"/>
    </w:rPr>
  </w:style>
  <w:style w:type="character" w:customStyle="1" w:styleId="Heading2Char">
    <w:name w:val="Heading 2 Char"/>
    <w:basedOn w:val="DefaultParagraphFont"/>
    <w:link w:val="Heading2"/>
    <w:uiPriority w:val="9"/>
    <w:semiHidden/>
    <w:rsid w:val="0060683F"/>
    <w:rPr>
      <w:rFonts w:asciiTheme="majorHAnsi" w:eastAsiaTheme="majorEastAsia" w:hAnsiTheme="majorHAnsi" w:cstheme="majorBidi"/>
      <w:color w:val="2F5496" w:themeColor="accent1" w:themeShade="BF"/>
      <w:kern w:val="0"/>
      <w:sz w:val="26"/>
      <w:szCs w:val="26"/>
    </w:rPr>
  </w:style>
  <w:style w:type="character" w:customStyle="1" w:styleId="Heading4Char">
    <w:name w:val="Heading 4 Char"/>
    <w:basedOn w:val="DefaultParagraphFont"/>
    <w:link w:val="Heading4"/>
    <w:uiPriority w:val="9"/>
    <w:semiHidden/>
    <w:rsid w:val="003D7198"/>
    <w:rPr>
      <w:rFonts w:asciiTheme="majorHAnsi" w:eastAsiaTheme="majorEastAsia" w:hAnsiTheme="majorHAnsi" w:cstheme="majorBidi"/>
      <w:i/>
      <w:iCs/>
      <w:color w:val="2F5496" w:themeColor="accent1" w:themeShade="BF"/>
      <w:kern w:val="0"/>
      <w:sz w:val="24"/>
    </w:rPr>
  </w:style>
  <w:style w:type="character" w:styleId="Emphasis">
    <w:name w:val="Emphasis"/>
    <w:qFormat/>
    <w:rsid w:val="00E1453F"/>
    <w:rPr>
      <w:i/>
      <w:iCs/>
    </w:rPr>
  </w:style>
  <w:style w:type="character" w:customStyle="1" w:styleId="Heading3Char">
    <w:name w:val="Heading 3 Char"/>
    <w:basedOn w:val="DefaultParagraphFont"/>
    <w:link w:val="Heading3"/>
    <w:uiPriority w:val="9"/>
    <w:qFormat/>
    <w:rsid w:val="00F111A2"/>
    <w:rPr>
      <w:rFonts w:asciiTheme="majorHAnsi" w:eastAsiaTheme="majorEastAsia" w:hAnsiTheme="majorHAnsi" w:cstheme="majorBidi"/>
      <w:color w:val="1F3763" w:themeColor="accent1" w:themeShade="7F"/>
      <w:kern w:val="0"/>
      <w:sz w:val="24"/>
      <w:szCs w:val="24"/>
    </w:rPr>
  </w:style>
  <w:style w:type="paragraph" w:styleId="NoSpacing">
    <w:name w:val="No Spacing"/>
    <w:uiPriority w:val="1"/>
    <w:qFormat/>
    <w:rsid w:val="00BB3A83"/>
    <w:pPr>
      <w:spacing w:after="0" w:line="240" w:lineRule="auto"/>
      <w:jc w:val="center"/>
    </w:pPr>
    <w:rPr>
      <w:rFonts w:ascii="Times New Roman" w:hAnsi="Times New Roman"/>
      <w:b/>
      <w:i/>
      <w:color w:val="000000" w:themeColor="text1"/>
      <w:kern w:val="0"/>
      <w:sz w:val="24"/>
      <w14:ligatures w14:val="none"/>
    </w:rPr>
  </w:style>
  <w:style w:type="table" w:styleId="TableGrid">
    <w:name w:val="Table Grid"/>
    <w:basedOn w:val="TableNormal"/>
    <w:uiPriority w:val="39"/>
    <w:qFormat/>
    <w:rsid w:val="00BB3A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B3A83"/>
    <w:pPr>
      <w:spacing w:before="0" w:after="200" w:line="240" w:lineRule="auto"/>
    </w:pPr>
    <w:rPr>
      <w:rFonts w:eastAsia="Times New Roman" w:cs="Times New Roman"/>
      <w:b/>
      <w:bCs/>
      <w:color w:val="4472C4" w:themeColor="accent1"/>
      <w:sz w:val="18"/>
      <w:szCs w:val="18"/>
      <w14:ligatures w14:val="none"/>
    </w:rPr>
  </w:style>
  <w:style w:type="character" w:customStyle="1" w:styleId="markedcontent">
    <w:name w:val="markedcontent"/>
    <w:basedOn w:val="DefaultParagraphFont"/>
    <w:rsid w:val="002D7340"/>
  </w:style>
  <w:style w:type="paragraph" w:customStyle="1" w:styleId="Tables">
    <w:name w:val="Tables"/>
    <w:basedOn w:val="Normal"/>
    <w:link w:val="TablesChar"/>
    <w:qFormat/>
    <w:rsid w:val="00076BA5"/>
    <w:pPr>
      <w:spacing w:before="0" w:line="240" w:lineRule="auto"/>
      <w:jc w:val="left"/>
    </w:pPr>
    <w:rPr>
      <w:rFonts w:eastAsiaTheme="minorHAnsi" w:cs="Times New Roman"/>
      <w:b/>
      <w:color w:val="auto"/>
      <w:szCs w:val="24"/>
      <w14:ligatures w14:val="none"/>
    </w:rPr>
  </w:style>
  <w:style w:type="character" w:customStyle="1" w:styleId="TablesChar">
    <w:name w:val="Tables Char"/>
    <w:basedOn w:val="DefaultParagraphFont"/>
    <w:link w:val="Tables"/>
    <w:rsid w:val="00076BA5"/>
    <w:rPr>
      <w:rFonts w:ascii="Times New Roman" w:hAnsi="Times New Roman" w:cs="Times New Roman"/>
      <w:b/>
      <w:kern w:val="0"/>
      <w:sz w:val="24"/>
      <w:szCs w:val="24"/>
      <w14:ligatures w14:val="none"/>
    </w:rPr>
  </w:style>
  <w:style w:type="character" w:styleId="Hyperlink">
    <w:name w:val="Hyperlink"/>
    <w:basedOn w:val="DefaultParagraphFont"/>
    <w:uiPriority w:val="99"/>
    <w:unhideWhenUsed/>
    <w:rsid w:val="001E649F"/>
    <w:rPr>
      <w:color w:val="0563C1" w:themeColor="hyperlink"/>
      <w:u w:val="single"/>
    </w:rPr>
  </w:style>
  <w:style w:type="character" w:customStyle="1" w:styleId="UnresolvedMention1">
    <w:name w:val="Unresolved Mention1"/>
    <w:basedOn w:val="DefaultParagraphFont"/>
    <w:uiPriority w:val="99"/>
    <w:semiHidden/>
    <w:unhideWhenUsed/>
    <w:rsid w:val="001E649F"/>
    <w:rPr>
      <w:color w:val="605E5C"/>
      <w:shd w:val="clear" w:color="auto" w:fill="E1DFDD"/>
    </w:rPr>
  </w:style>
  <w:style w:type="paragraph" w:styleId="NormalWeb">
    <w:name w:val="Normal (Web)"/>
    <w:basedOn w:val="Normal"/>
    <w:uiPriority w:val="99"/>
    <w:unhideWhenUsed/>
    <w:rsid w:val="00D16476"/>
    <w:pPr>
      <w:spacing w:before="100" w:beforeAutospacing="1" w:after="100" w:afterAutospacing="1" w:line="240" w:lineRule="auto"/>
      <w:jc w:val="left"/>
    </w:pPr>
    <w:rPr>
      <w:rFonts w:eastAsia="Times New Roman" w:cs="Times New Roman"/>
      <w:color w:val="auto"/>
      <w:szCs w:val="24"/>
      <w14:ligatures w14:val="none"/>
    </w:rPr>
  </w:style>
  <w:style w:type="paragraph" w:customStyle="1" w:styleId="TABLES0">
    <w:name w:val="TABLES"/>
    <w:basedOn w:val="Normal"/>
    <w:qFormat/>
    <w:rsid w:val="00437393"/>
    <w:pPr>
      <w:spacing w:before="120" w:after="120"/>
    </w:pPr>
    <w:rPr>
      <w:rFonts w:cs="Times New Roman"/>
      <w:b/>
      <w:color w:val="auto"/>
      <w14:ligatures w14:val="none"/>
    </w:rPr>
  </w:style>
  <w:style w:type="table" w:styleId="PlainTable5">
    <w:name w:val="Plain Table 5"/>
    <w:basedOn w:val="TableNormal"/>
    <w:uiPriority w:val="45"/>
    <w:rsid w:val="00C053F5"/>
    <w:pPr>
      <w:spacing w:after="0" w:line="240" w:lineRule="auto"/>
      <w:jc w:val="both"/>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ofTables">
    <w:name w:val="List of Tables"/>
    <w:basedOn w:val="Caption"/>
    <w:next w:val="Caption"/>
    <w:qFormat/>
    <w:rsid w:val="00860F17"/>
    <w:pPr>
      <w:keepNext/>
      <w:jc w:val="left"/>
    </w:pPr>
    <w:rPr>
      <w:rFonts w:eastAsia="Calibri"/>
      <w:color w:val="auto"/>
      <w:kern w:val="2"/>
      <w:sz w:val="24"/>
      <w:szCs w:val="24"/>
      <w14:ligatures w14:val="standardContextual"/>
    </w:rPr>
  </w:style>
  <w:style w:type="character" w:customStyle="1" w:styleId="UnresolvedMention2">
    <w:name w:val="Unresolved Mention2"/>
    <w:basedOn w:val="DefaultParagraphFont"/>
    <w:uiPriority w:val="99"/>
    <w:semiHidden/>
    <w:unhideWhenUsed/>
    <w:rsid w:val="00790BF9"/>
    <w:rPr>
      <w:color w:val="605E5C"/>
      <w:shd w:val="clear" w:color="auto" w:fill="E1DFDD"/>
    </w:rPr>
  </w:style>
  <w:style w:type="character" w:styleId="Strong">
    <w:name w:val="Strong"/>
    <w:basedOn w:val="DefaultParagraphFont"/>
    <w:uiPriority w:val="22"/>
    <w:qFormat/>
    <w:rsid w:val="001F51C1"/>
    <w:rPr>
      <w:b/>
      <w:bCs/>
    </w:rPr>
  </w:style>
  <w:style w:type="table" w:customStyle="1" w:styleId="TableGrid1">
    <w:name w:val="Table Grid1"/>
    <w:basedOn w:val="TableNormal"/>
    <w:next w:val="TableGrid"/>
    <w:uiPriority w:val="39"/>
    <w:qFormat/>
    <w:rsid w:val="007E3458"/>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916BC"/>
    <w:pPr>
      <w:widowControl w:val="0"/>
      <w:autoSpaceDE w:val="0"/>
      <w:autoSpaceDN w:val="0"/>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D916BC"/>
    <w:pPr>
      <w:spacing w:after="0" w:line="240" w:lineRule="auto"/>
    </w:pPr>
    <w:rPr>
      <w:rFonts w:ascii="Calibri" w:eastAsia="Calibri" w:hAnsi="Calibri" w:cs="SimSu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DC20F2"/>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unhideWhenUsed/>
    <w:rsid w:val="009E3D26"/>
    <w:rPr>
      <w:color w:val="605E5C"/>
      <w:shd w:val="clear" w:color="auto" w:fill="E1DFDD"/>
    </w:rPr>
  </w:style>
  <w:style w:type="paragraph" w:styleId="Header">
    <w:name w:val="header"/>
    <w:basedOn w:val="Normal"/>
    <w:link w:val="HeaderChar"/>
    <w:uiPriority w:val="99"/>
    <w:unhideWhenUsed/>
    <w:rsid w:val="000F4A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F4A65"/>
    <w:rPr>
      <w:rFonts w:ascii="Times New Roman" w:eastAsia="Calibri" w:hAnsi="Times New Roman" w:cs="SimSun"/>
      <w:color w:val="000000"/>
      <w:kern w:val="0"/>
      <w:sz w:val="24"/>
    </w:rPr>
  </w:style>
  <w:style w:type="character" w:styleId="UnresolvedMention">
    <w:name w:val="Unresolved Mention"/>
    <w:basedOn w:val="DefaultParagraphFont"/>
    <w:uiPriority w:val="99"/>
    <w:semiHidden/>
    <w:unhideWhenUsed/>
    <w:rsid w:val="00B60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9357">
      <w:bodyDiv w:val="1"/>
      <w:marLeft w:val="0"/>
      <w:marRight w:val="0"/>
      <w:marTop w:val="0"/>
      <w:marBottom w:val="0"/>
      <w:divBdr>
        <w:top w:val="none" w:sz="0" w:space="0" w:color="auto"/>
        <w:left w:val="none" w:sz="0" w:space="0" w:color="auto"/>
        <w:bottom w:val="none" w:sz="0" w:space="0" w:color="auto"/>
        <w:right w:val="none" w:sz="0" w:space="0" w:color="auto"/>
      </w:divBdr>
    </w:div>
    <w:div w:id="340470004">
      <w:bodyDiv w:val="1"/>
      <w:marLeft w:val="0"/>
      <w:marRight w:val="0"/>
      <w:marTop w:val="0"/>
      <w:marBottom w:val="0"/>
      <w:divBdr>
        <w:top w:val="none" w:sz="0" w:space="0" w:color="auto"/>
        <w:left w:val="none" w:sz="0" w:space="0" w:color="auto"/>
        <w:bottom w:val="none" w:sz="0" w:space="0" w:color="auto"/>
        <w:right w:val="none" w:sz="0" w:space="0" w:color="auto"/>
      </w:divBdr>
    </w:div>
    <w:div w:id="385884447">
      <w:bodyDiv w:val="1"/>
      <w:marLeft w:val="0"/>
      <w:marRight w:val="0"/>
      <w:marTop w:val="0"/>
      <w:marBottom w:val="0"/>
      <w:divBdr>
        <w:top w:val="none" w:sz="0" w:space="0" w:color="auto"/>
        <w:left w:val="none" w:sz="0" w:space="0" w:color="auto"/>
        <w:bottom w:val="none" w:sz="0" w:space="0" w:color="auto"/>
        <w:right w:val="none" w:sz="0" w:space="0" w:color="auto"/>
      </w:divBdr>
    </w:div>
    <w:div w:id="566765604">
      <w:bodyDiv w:val="1"/>
      <w:marLeft w:val="0"/>
      <w:marRight w:val="0"/>
      <w:marTop w:val="0"/>
      <w:marBottom w:val="0"/>
      <w:divBdr>
        <w:top w:val="none" w:sz="0" w:space="0" w:color="auto"/>
        <w:left w:val="none" w:sz="0" w:space="0" w:color="auto"/>
        <w:bottom w:val="none" w:sz="0" w:space="0" w:color="auto"/>
        <w:right w:val="none" w:sz="0" w:space="0" w:color="auto"/>
      </w:divBdr>
    </w:div>
    <w:div w:id="583222418">
      <w:bodyDiv w:val="1"/>
      <w:marLeft w:val="0"/>
      <w:marRight w:val="0"/>
      <w:marTop w:val="0"/>
      <w:marBottom w:val="0"/>
      <w:divBdr>
        <w:top w:val="none" w:sz="0" w:space="0" w:color="auto"/>
        <w:left w:val="none" w:sz="0" w:space="0" w:color="auto"/>
        <w:bottom w:val="none" w:sz="0" w:space="0" w:color="auto"/>
        <w:right w:val="none" w:sz="0" w:space="0" w:color="auto"/>
      </w:divBdr>
    </w:div>
    <w:div w:id="618725703">
      <w:bodyDiv w:val="1"/>
      <w:marLeft w:val="0"/>
      <w:marRight w:val="0"/>
      <w:marTop w:val="0"/>
      <w:marBottom w:val="0"/>
      <w:divBdr>
        <w:top w:val="none" w:sz="0" w:space="0" w:color="auto"/>
        <w:left w:val="none" w:sz="0" w:space="0" w:color="auto"/>
        <w:bottom w:val="none" w:sz="0" w:space="0" w:color="auto"/>
        <w:right w:val="none" w:sz="0" w:space="0" w:color="auto"/>
      </w:divBdr>
    </w:div>
    <w:div w:id="947202476">
      <w:bodyDiv w:val="1"/>
      <w:marLeft w:val="0"/>
      <w:marRight w:val="0"/>
      <w:marTop w:val="0"/>
      <w:marBottom w:val="0"/>
      <w:divBdr>
        <w:top w:val="none" w:sz="0" w:space="0" w:color="auto"/>
        <w:left w:val="none" w:sz="0" w:space="0" w:color="auto"/>
        <w:bottom w:val="none" w:sz="0" w:space="0" w:color="auto"/>
        <w:right w:val="none" w:sz="0" w:space="0" w:color="auto"/>
      </w:divBdr>
    </w:div>
    <w:div w:id="1041175574">
      <w:bodyDiv w:val="1"/>
      <w:marLeft w:val="0"/>
      <w:marRight w:val="0"/>
      <w:marTop w:val="0"/>
      <w:marBottom w:val="0"/>
      <w:divBdr>
        <w:top w:val="none" w:sz="0" w:space="0" w:color="auto"/>
        <w:left w:val="none" w:sz="0" w:space="0" w:color="auto"/>
        <w:bottom w:val="none" w:sz="0" w:space="0" w:color="auto"/>
        <w:right w:val="none" w:sz="0" w:space="0" w:color="auto"/>
      </w:divBdr>
    </w:div>
    <w:div w:id="1208760504">
      <w:bodyDiv w:val="1"/>
      <w:marLeft w:val="0"/>
      <w:marRight w:val="0"/>
      <w:marTop w:val="0"/>
      <w:marBottom w:val="0"/>
      <w:divBdr>
        <w:top w:val="none" w:sz="0" w:space="0" w:color="auto"/>
        <w:left w:val="none" w:sz="0" w:space="0" w:color="auto"/>
        <w:bottom w:val="none" w:sz="0" w:space="0" w:color="auto"/>
        <w:right w:val="none" w:sz="0" w:space="0" w:color="auto"/>
      </w:divBdr>
    </w:div>
    <w:div w:id="1240483030">
      <w:bodyDiv w:val="1"/>
      <w:marLeft w:val="0"/>
      <w:marRight w:val="0"/>
      <w:marTop w:val="0"/>
      <w:marBottom w:val="0"/>
      <w:divBdr>
        <w:top w:val="none" w:sz="0" w:space="0" w:color="auto"/>
        <w:left w:val="none" w:sz="0" w:space="0" w:color="auto"/>
        <w:bottom w:val="none" w:sz="0" w:space="0" w:color="auto"/>
        <w:right w:val="none" w:sz="0" w:space="0" w:color="auto"/>
      </w:divBdr>
    </w:div>
    <w:div w:id="1330909393">
      <w:bodyDiv w:val="1"/>
      <w:marLeft w:val="0"/>
      <w:marRight w:val="0"/>
      <w:marTop w:val="0"/>
      <w:marBottom w:val="0"/>
      <w:divBdr>
        <w:top w:val="none" w:sz="0" w:space="0" w:color="auto"/>
        <w:left w:val="none" w:sz="0" w:space="0" w:color="auto"/>
        <w:bottom w:val="none" w:sz="0" w:space="0" w:color="auto"/>
        <w:right w:val="none" w:sz="0" w:space="0" w:color="auto"/>
      </w:divBdr>
    </w:div>
    <w:div w:id="1380744296">
      <w:bodyDiv w:val="1"/>
      <w:marLeft w:val="0"/>
      <w:marRight w:val="0"/>
      <w:marTop w:val="0"/>
      <w:marBottom w:val="0"/>
      <w:divBdr>
        <w:top w:val="none" w:sz="0" w:space="0" w:color="auto"/>
        <w:left w:val="none" w:sz="0" w:space="0" w:color="auto"/>
        <w:bottom w:val="none" w:sz="0" w:space="0" w:color="auto"/>
        <w:right w:val="none" w:sz="0" w:space="0" w:color="auto"/>
      </w:divBdr>
    </w:div>
    <w:div w:id="1746954200">
      <w:bodyDiv w:val="1"/>
      <w:marLeft w:val="0"/>
      <w:marRight w:val="0"/>
      <w:marTop w:val="0"/>
      <w:marBottom w:val="0"/>
      <w:divBdr>
        <w:top w:val="none" w:sz="0" w:space="0" w:color="auto"/>
        <w:left w:val="none" w:sz="0" w:space="0" w:color="auto"/>
        <w:bottom w:val="none" w:sz="0" w:space="0" w:color="auto"/>
        <w:right w:val="none" w:sz="0" w:space="0" w:color="auto"/>
      </w:divBdr>
    </w:div>
    <w:div w:id="1806503340">
      <w:bodyDiv w:val="1"/>
      <w:marLeft w:val="0"/>
      <w:marRight w:val="0"/>
      <w:marTop w:val="0"/>
      <w:marBottom w:val="0"/>
      <w:divBdr>
        <w:top w:val="none" w:sz="0" w:space="0" w:color="auto"/>
        <w:left w:val="none" w:sz="0" w:space="0" w:color="auto"/>
        <w:bottom w:val="none" w:sz="0" w:space="0" w:color="auto"/>
        <w:right w:val="none" w:sz="0" w:space="0" w:color="auto"/>
      </w:divBdr>
    </w:div>
    <w:div w:id="183024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Response Rate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Sheet1!$H$3:$I$3</c:f>
              <c:strCache>
                <c:ptCount val="2"/>
                <c:pt idx="0">
                  <c:v>Filled Questionnaire</c:v>
                </c:pt>
                <c:pt idx="1">
                  <c:v>Unfilled Questionnaire</c:v>
                </c:pt>
              </c:strCache>
            </c:strRef>
          </c:cat>
          <c:val>
            <c:numRef>
              <c:f>Sheet1!$H$4:$I$4</c:f>
              <c:numCache>
                <c:formatCode>General</c:formatCode>
                <c:ptCount val="2"/>
                <c:pt idx="0">
                  <c:v>77</c:v>
                </c:pt>
                <c:pt idx="1">
                  <c:v>13</c:v>
                </c:pt>
              </c:numCache>
            </c:numRef>
          </c:val>
          <c:extLst>
            <c:ext xmlns:c16="http://schemas.microsoft.com/office/drawing/2014/chart" uri="{C3380CC4-5D6E-409C-BE32-E72D297353CC}">
              <c16:uniqueId val="{00000000-7438-4819-A2F3-B648558203A8}"/>
            </c:ext>
          </c:extLst>
        </c:ser>
        <c:ser>
          <c:idx val="1"/>
          <c:order val="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Sheet1!$H$3:$I$3</c:f>
              <c:strCache>
                <c:ptCount val="2"/>
                <c:pt idx="0">
                  <c:v>Filled Questionnaire</c:v>
                </c:pt>
                <c:pt idx="1">
                  <c:v>Unfilled Questionnaire</c:v>
                </c:pt>
              </c:strCache>
            </c:strRef>
          </c:cat>
          <c:val>
            <c:numRef>
              <c:f>Sheet1!$H$5:$I$5</c:f>
              <c:numCache>
                <c:formatCode>0%</c:formatCode>
                <c:ptCount val="2"/>
                <c:pt idx="0">
                  <c:v>0.86</c:v>
                </c:pt>
                <c:pt idx="1">
                  <c:v>0.14000000000000001</c:v>
                </c:pt>
              </c:numCache>
            </c:numRef>
          </c:val>
          <c:extLst>
            <c:ext xmlns:c16="http://schemas.microsoft.com/office/drawing/2014/chart" uri="{C3380CC4-5D6E-409C-BE32-E72D297353CC}">
              <c16:uniqueId val="{00000001-7438-4819-A2F3-B648558203A8}"/>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7570</Words>
  <Characters>43151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WUCHERERIA BANCROFTI</dc:creator>
  <cp:keywords/>
  <dc:description/>
  <cp:lastModifiedBy>SDI 1084</cp:lastModifiedBy>
  <cp:revision>9</cp:revision>
  <dcterms:created xsi:type="dcterms:W3CDTF">2026-06-16T12:41:00Z</dcterms:created>
  <dcterms:modified xsi:type="dcterms:W3CDTF">2026-06-19T08:33:00Z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7235020b,fb6f0e1,1ee0ac16</vt:lpwstr>
  </property>
  <property fmtid="{D5CDD505-2E9C-101B-9397-08002B2CF9AE}" pid="3" name="ClassificationContentMarkingFooterFontProps">
    <vt:lpwstr>#000000,10,Arial</vt:lpwstr>
  </property>
  <property fmtid="{D5CDD505-2E9C-101B-9397-08002B2CF9AE}" pid="4" name="ClassificationContentMarkingFooterText">
    <vt:lpwstr>---Internal Use--- </vt:lpwstr>
  </property>
  <property fmtid="{D5CDD505-2E9C-101B-9397-08002B2CF9AE}" pid="5" name="MSIP_Label_0d28e344-bb15-459b-97fd-14fa06bc1052_Enabled">
    <vt:lpwstr>true</vt:lpwstr>
  </property>
  <property fmtid="{D5CDD505-2E9C-101B-9397-08002B2CF9AE}" pid="6" name="MSIP_Label_0d28e344-bb15-459b-97fd-14fa06bc1052_SetDate">
    <vt:lpwstr>2025-12-15T06:35:34Z</vt:lpwstr>
  </property>
  <property fmtid="{D5CDD505-2E9C-101B-9397-08002B2CF9AE}" pid="7" name="MSIP_Label_0d28e344-bb15-459b-97fd-14fa06bc1052_Method">
    <vt:lpwstr>Standard</vt:lpwstr>
  </property>
  <property fmtid="{D5CDD505-2E9C-101B-9397-08002B2CF9AE}" pid="8" name="MSIP_Label_0d28e344-bb15-459b-97fd-14fa06bc1052_Name">
    <vt:lpwstr>Not Protected (Internal Use)</vt:lpwstr>
  </property>
  <property fmtid="{D5CDD505-2E9C-101B-9397-08002B2CF9AE}" pid="9" name="MSIP_Label_0d28e344-bb15-459b-97fd-14fa06bc1052_SiteId">
    <vt:lpwstr>3e20ecb2-9cb0-4df1-ad7b-914e31dcdda4</vt:lpwstr>
  </property>
  <property fmtid="{D5CDD505-2E9C-101B-9397-08002B2CF9AE}" pid="10" name="MSIP_Label_0d28e344-bb15-459b-97fd-14fa06bc1052_ActionId">
    <vt:lpwstr>e1182bdf-9d86-4ee4-90f4-00a3d7f77865</vt:lpwstr>
  </property>
  <property fmtid="{D5CDD505-2E9C-101B-9397-08002B2CF9AE}" pid="11" name="MSIP_Label_0d28e344-bb15-459b-97fd-14fa06bc1052_ContentBits">
    <vt:lpwstr>2</vt:lpwstr>
  </property>
  <property fmtid="{D5CDD505-2E9C-101B-9397-08002B2CF9AE}" pid="12" name="MSIP_Label_0d28e344-bb15-459b-97fd-14fa06bc1052_Tag">
    <vt:lpwstr>10, 3, 0, 1</vt:lpwstr>
  </property>
</Properties>
</file>