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A22D" w14:textId="77777777" w:rsidR="00404EBD" w:rsidRDefault="00404EBD" w:rsidP="005E7FF5">
      <w:pPr>
        <w:pStyle w:val="NormalWeb"/>
        <w:spacing w:before="200" w:beforeAutospacing="0" w:after="0" w:afterAutospacing="0"/>
        <w:jc w:val="center"/>
        <w:rPr>
          <w:rFonts w:cs="Calibri"/>
          <w:b/>
        </w:rPr>
      </w:pPr>
      <w:r w:rsidRPr="00404EBD">
        <w:rPr>
          <w:rFonts w:cs="Calibri"/>
          <w:b/>
        </w:rPr>
        <w:t>Technical Skills Strategy and Organizational Performance in Volatile Markets: Lessons from Commercial State-Owned Corporations in Nairobi City County, Kenya</w:t>
      </w:r>
    </w:p>
    <w:p w14:paraId="21BD1ED3" w14:textId="77777777" w:rsidR="00207E2C" w:rsidRDefault="00207E2C" w:rsidP="00E31517">
      <w:pPr>
        <w:spacing w:line="240" w:lineRule="auto"/>
        <w:jc w:val="center"/>
        <w:rPr>
          <w:rFonts w:ascii="Cambria" w:hAnsi="Cambria" w:cs="Calibri"/>
          <w:color w:val="000000"/>
          <w:sz w:val="20"/>
          <w:szCs w:val="20"/>
        </w:rPr>
      </w:pPr>
    </w:p>
    <w:p w14:paraId="33A97DB3" w14:textId="654BA31B" w:rsidR="00E31517" w:rsidRPr="00E31517" w:rsidRDefault="00E31517" w:rsidP="00E31517">
      <w:pPr>
        <w:spacing w:line="240" w:lineRule="auto"/>
        <w:jc w:val="center"/>
        <w:rPr>
          <w:rFonts w:ascii="Cambria" w:hAnsi="Cambria" w:cs="Calibri"/>
          <w:color w:val="000000"/>
          <w:sz w:val="20"/>
          <w:szCs w:val="20"/>
        </w:rPr>
      </w:pPr>
      <w:r>
        <w:rPr>
          <w:rFonts w:ascii="Cambria" w:hAnsi="Cambria" w:cs="Calibri"/>
          <w:color w:val="000000"/>
          <w:sz w:val="20"/>
          <w:szCs w:val="20"/>
        </w:rPr>
        <w:t xml:space="preserve"> </w:t>
      </w:r>
    </w:p>
    <w:p w14:paraId="7BB6F61A" w14:textId="08480430" w:rsidR="00E31517" w:rsidRPr="00AD4FA9" w:rsidRDefault="00E31517" w:rsidP="005E7FF5">
      <w:pPr>
        <w:spacing w:line="240" w:lineRule="auto"/>
        <w:jc w:val="center"/>
        <w:rPr>
          <w:b/>
          <w:bCs/>
        </w:rPr>
      </w:pPr>
      <w:r>
        <w:rPr>
          <w:b/>
          <w:bCs/>
        </w:rPr>
        <w:t xml:space="preserve"> </w:t>
      </w:r>
    </w:p>
    <w:tbl>
      <w:tblPr>
        <w:tblpPr w:leftFromText="180" w:rightFromText="180" w:vertAnchor="text" w:horzAnchor="margin" w:tblpY="272"/>
        <w:tblW w:w="0" w:type="auto"/>
        <w:tblBorders>
          <w:top w:val="single" w:sz="36" w:space="0" w:color="auto"/>
          <w:bottom w:val="single" w:sz="36" w:space="0" w:color="auto"/>
          <w:insideH w:val="single" w:sz="4" w:space="0" w:color="000000"/>
          <w:insideV w:val="single" w:sz="4" w:space="0" w:color="000000"/>
        </w:tblBorders>
        <w:tblLook w:val="04A0" w:firstRow="1" w:lastRow="0" w:firstColumn="1" w:lastColumn="0" w:noHBand="0" w:noVBand="1"/>
      </w:tblPr>
      <w:tblGrid>
        <w:gridCol w:w="9198"/>
      </w:tblGrid>
      <w:tr w:rsidR="005E7FF5" w:rsidRPr="006A7EC4" w14:paraId="3F7091E7" w14:textId="77777777" w:rsidTr="008D441F">
        <w:trPr>
          <w:trHeight w:val="216"/>
        </w:trPr>
        <w:tc>
          <w:tcPr>
            <w:tcW w:w="9198" w:type="dxa"/>
            <w:tcBorders>
              <w:bottom w:val="nil"/>
            </w:tcBorders>
          </w:tcPr>
          <w:p w14:paraId="247534A0" w14:textId="77777777" w:rsidR="005E7FF5" w:rsidRPr="006A7EC4" w:rsidRDefault="005E7FF5" w:rsidP="008D441F">
            <w:pPr>
              <w:spacing w:line="240" w:lineRule="auto"/>
              <w:rPr>
                <w:b/>
              </w:rPr>
            </w:pPr>
            <w:r w:rsidRPr="006A7EC4">
              <w:rPr>
                <w:b/>
              </w:rPr>
              <w:t>ABSTRACT</w:t>
            </w:r>
          </w:p>
        </w:tc>
      </w:tr>
      <w:tr w:rsidR="005E7FF5" w:rsidRPr="006A7EC4" w14:paraId="409380E7" w14:textId="77777777" w:rsidTr="008D441F">
        <w:trPr>
          <w:trHeight w:val="3005"/>
        </w:trPr>
        <w:tc>
          <w:tcPr>
            <w:tcW w:w="9198" w:type="dxa"/>
            <w:tcBorders>
              <w:top w:val="nil"/>
              <w:bottom w:val="nil"/>
            </w:tcBorders>
          </w:tcPr>
          <w:p w14:paraId="2DA61FF2" w14:textId="77777777" w:rsidR="00E11762" w:rsidRDefault="00E11762" w:rsidP="00437A1A">
            <w:pPr>
              <w:pStyle w:val="NormalWeb"/>
            </w:pPr>
            <w:r>
              <w:t>Public-private partnerships have become an important mechanism for improving service delivery and organizational performance in commercial state-owned corporations, particularly where institutions operate under financial, technical, and operational constraints. This study examined the effect of technical skills strategy on organizational performance among commercial state-owned corporations in Nairobi City County, Kenya. The study adopted a descriptive research design and targeted 46 commercial state-owned corporations implementing public-private partnership initiatives. Purposive sampling was used to select 138 management-level respondents comprising finance managers, human resource managers, and operations managers. Primary data were collected using structured questionnaires and analyzed using descriptive and inferential statistics. Reliability testing produced a Cronbach’s alpha coefficient of 0.71, indicating acceptable internal consistency of the research instrument. The descriptive findings showed that respondents generally agreed that technical skills are important in managing public-private partnership projects, with an aggregate mean of 4.03 and standard deviation of 0.76. Correlation analysis indicated a positive and statistically significant relationship between technical skills strategy and organizational performance. Regression results further showed that technical skills strategy had a positive and statistically significant effect on organizational performance. The findings suggest that technical expertise, specialized training, experienced personnel, and skills development contribute to improved efficiency, innovation, adaptability, and project implementation. However, the study also identified gaps in specialized competencies required for complex public-private partnership models. The study concludes that technical skills strategy is an important organizational capability for enhancing performance among commercial state-owned corporations. It recommends continuous professional training, specialized capacity development, mentorship, and structured knowledge-sharing mechanisms to strengthen technical competencies and improve partnership outcomes.</w:t>
            </w:r>
          </w:p>
          <w:p w14:paraId="5ED25523" w14:textId="77777777" w:rsidR="00E11762" w:rsidRDefault="00E11762" w:rsidP="00437A1A">
            <w:pPr>
              <w:pStyle w:val="NormalWeb"/>
            </w:pPr>
          </w:p>
          <w:p w14:paraId="1DB5385A" w14:textId="592440AF" w:rsidR="003C713A" w:rsidRDefault="003C713A" w:rsidP="00437A1A">
            <w:pPr>
              <w:pStyle w:val="NormalWeb"/>
            </w:pPr>
            <w:r w:rsidRPr="003C713A">
              <w:rPr>
                <w:b/>
              </w:rPr>
              <w:t>Keywords:</w:t>
            </w:r>
            <w:r>
              <w:t xml:space="preserve"> Public-Private Partnerships, Technical Skills Strate</w:t>
            </w:r>
            <w:r w:rsidR="00437A1A">
              <w:t>gy, Organizational Performance</w:t>
            </w:r>
            <w:r w:rsidR="002A7785">
              <w:t>, Commercial State-Owned Corporations</w:t>
            </w:r>
          </w:p>
          <w:p w14:paraId="4C3FA46B" w14:textId="77777777" w:rsidR="002A7785" w:rsidRPr="003C713A" w:rsidRDefault="002A7785" w:rsidP="00437A1A">
            <w:pPr>
              <w:pStyle w:val="NormalWeb"/>
            </w:pPr>
          </w:p>
        </w:tc>
      </w:tr>
    </w:tbl>
    <w:p w14:paraId="75C4E433" w14:textId="77777777" w:rsidR="003C713A" w:rsidRPr="00B02DAC" w:rsidRDefault="005E7FF5" w:rsidP="003C713A">
      <w:pPr>
        <w:pStyle w:val="Heading2"/>
        <w:numPr>
          <w:ilvl w:val="1"/>
          <w:numId w:val="1"/>
        </w:numPr>
        <w:spacing w:before="0" w:after="0" w:line="240" w:lineRule="auto"/>
        <w:jc w:val="both"/>
        <w:rPr>
          <w:szCs w:val="24"/>
        </w:rPr>
      </w:pPr>
      <w:bookmarkStart w:id="0" w:name="_Toc284069924"/>
      <w:bookmarkStart w:id="1" w:name="_Toc284069911"/>
      <w:bookmarkStart w:id="2" w:name="_Toc272851106"/>
      <w:bookmarkStart w:id="3" w:name="_Toc379472361"/>
      <w:r w:rsidRPr="006A7EC4">
        <w:rPr>
          <w:szCs w:val="24"/>
        </w:rPr>
        <w:t>Introduction</w:t>
      </w:r>
    </w:p>
    <w:p w14:paraId="1D7360E8" w14:textId="77777777" w:rsidR="003C713A" w:rsidRDefault="003C713A" w:rsidP="003C713A">
      <w:pPr>
        <w:pStyle w:val="NormalWeb"/>
        <w:spacing w:line="360" w:lineRule="auto"/>
        <w:jc w:val="both"/>
      </w:pPr>
      <w:r>
        <w:t xml:space="preserve">Public-Private Partnerships (PPPs) have emerged globally as an important governance and management approach for improving efficiency, service delivery, and infrastructure development in both developed and developing economies. Governments increasingly collaborate with private </w:t>
      </w:r>
      <w:r>
        <w:lastRenderedPageBreak/>
        <w:t>sector actors to leverage financial resources, managerial expertise, innovation, and technical competencies necessary for enhancing organizational performance and addressing growing public service demands. In many countries, PPPs have become instrumental in improving operational effectiveness, infrastructure expansion, and institutional competitiveness</w:t>
      </w:r>
      <w:r w:rsidR="00CE6F6B">
        <w:t xml:space="preserve"> </w:t>
      </w:r>
      <w:r w:rsidR="00686711">
        <w:t>(Farquharson</w:t>
      </w:r>
      <w:r w:rsidR="00CE6F6B">
        <w:t xml:space="preserve"> </w:t>
      </w:r>
      <w:r w:rsidR="00686711">
        <w:t xml:space="preserve">et al., </w:t>
      </w:r>
      <w:r w:rsidR="00CE6F6B">
        <w:t>2011).</w:t>
      </w:r>
    </w:p>
    <w:p w14:paraId="6E5958CE" w14:textId="77777777" w:rsidR="003C713A" w:rsidRDefault="003C713A" w:rsidP="003C713A">
      <w:pPr>
        <w:pStyle w:val="NormalWeb"/>
        <w:spacing w:line="360" w:lineRule="auto"/>
        <w:jc w:val="both"/>
      </w:pPr>
      <w:r>
        <w:t>In developing economies, PPPs are particularly significant due to financial constraints, increasing population demands, rapid technological changes, and growing pressure for improved public service delivery</w:t>
      </w:r>
      <w:r w:rsidR="000E47CD">
        <w:t xml:space="preserve"> (Baker &amp; Green, 2022).</w:t>
      </w:r>
      <w:r>
        <w:t xml:space="preserve"> Governments have increasingly adopted PPP frameworks as strategic mechanisms for mobilizing private sector expertise and enhancing efficiency within public institutions. According to the World Bank (2022), PPP arrangements have significantly contributed to infrastructure development, operational efficiency, and service accessibility across transport, health, agriculture, energy, and communication sectors.</w:t>
      </w:r>
    </w:p>
    <w:p w14:paraId="74B0BD56" w14:textId="77777777" w:rsidR="003C713A" w:rsidRDefault="003C713A" w:rsidP="003C713A">
      <w:pPr>
        <w:pStyle w:val="NormalWeb"/>
        <w:spacing w:line="360" w:lineRule="auto"/>
        <w:jc w:val="both"/>
      </w:pPr>
      <w:r>
        <w:t>In Kenya, PPPs have gained considerable policy attention as part of broader public sector reforms aimed at improving organizational performance and promoting sustainable economic development</w:t>
      </w:r>
      <w:r w:rsidR="000E47CD">
        <w:t xml:space="preserve"> (Eze &amp; Abimbola, 2023).</w:t>
      </w:r>
      <w:r>
        <w:t xml:space="preserve"> The Public Private Partnership Act of Kenya provides a legal framework guiding collaboration between public institutions and private sector organizations in project financing, implementation, and management. Commercial state-owned corporations have increasingly adopted PPP arrangements to enhance operational performance, technological advancement, innovation, and service delivery.</w:t>
      </w:r>
    </w:p>
    <w:p w14:paraId="3B5C78AA" w14:textId="77777777" w:rsidR="003C713A" w:rsidRDefault="003C713A" w:rsidP="003C713A">
      <w:pPr>
        <w:pStyle w:val="NormalWeb"/>
        <w:spacing w:line="360" w:lineRule="auto"/>
        <w:jc w:val="both"/>
      </w:pPr>
      <w:r>
        <w:t>Despite the growing adoption of PPPs, many commercial state-owned corporations in Kenya continue to experience implementation challenges associated with limited technical capacity, inadequate expertise, and insufficient specialized skills. Technical competencies remain essential in managing complex PPP arrangements involving project planning, contract administration, technological integration, monitoring, and operational management</w:t>
      </w:r>
      <w:r w:rsidR="00627ED9">
        <w:t xml:space="preserve"> (Ngugi &amp; Wanjohi, 2021).</w:t>
      </w:r>
      <w:r>
        <w:t xml:space="preserve"> Inadequate technical expertise often contributes to project delays, inefficiencies, poor decision-making, and underperformance within PPP initiatives.</w:t>
      </w:r>
    </w:p>
    <w:p w14:paraId="658DE54D" w14:textId="77777777" w:rsidR="003C713A" w:rsidRDefault="003C713A" w:rsidP="003C713A">
      <w:pPr>
        <w:pStyle w:val="NormalWeb"/>
        <w:spacing w:line="360" w:lineRule="auto"/>
        <w:jc w:val="both"/>
      </w:pPr>
      <w:r>
        <w:t xml:space="preserve">Existing empirical studies have emphasized the importance of technical skills in enhancing the effectiveness of PPP projects. Martins and Cruz (2023) observed that technical expertise </w:t>
      </w:r>
      <w:r>
        <w:lastRenderedPageBreak/>
        <w:t>significantly contributes to timely project completion and cost management within PPP infrastructure projects. Similarly, Kariuki and Mwangi (2022) established that technical competencies improve operational efficiency and project sustainability within Kenya’s energy sector PPP projects. However, most previous studies have focused on infrastructure sectors and general project outcomes while giving limited attention to commercial state-owned corporations in Kenya.</w:t>
      </w:r>
    </w:p>
    <w:p w14:paraId="0FA2A91F" w14:textId="77777777" w:rsidR="005E7FF5" w:rsidRPr="000E030B" w:rsidRDefault="003C713A" w:rsidP="00B02DAC">
      <w:pPr>
        <w:pStyle w:val="NormalWeb"/>
        <w:spacing w:line="360" w:lineRule="auto"/>
        <w:jc w:val="both"/>
      </w:pPr>
      <w:r>
        <w:t>This study therefore sought to investigate the influence of technical skills strategy on organizational performance among commercial state-owned corporations in Nairobi City County, Kenya. The study contributes to existing literature by providing empirical evidence on the strategic role of technical competencies in enhancing organizational performance within PPP arrangements operating in volatile and dynamic environments.</w:t>
      </w:r>
    </w:p>
    <w:p w14:paraId="6E3EBE2F" w14:textId="77777777" w:rsidR="003C713A" w:rsidRPr="00B02DAC" w:rsidRDefault="00B02DAC" w:rsidP="00B02DAC">
      <w:pPr>
        <w:pStyle w:val="Heading2"/>
      </w:pPr>
      <w:bookmarkStart w:id="4" w:name="_Toc441560509"/>
      <w:bookmarkStart w:id="5" w:name="_Toc474764632"/>
      <w:bookmarkStart w:id="6" w:name="_Toc509581255"/>
      <w:bookmarkStart w:id="7" w:name="_Toc510883794"/>
      <w:bookmarkEnd w:id="0"/>
      <w:r>
        <w:t xml:space="preserve">1.1 </w:t>
      </w:r>
      <w:r w:rsidR="005E7FF5" w:rsidRPr="00B6434A">
        <w:t>Statement of the Problem</w:t>
      </w:r>
    </w:p>
    <w:p w14:paraId="78130C8E" w14:textId="77777777" w:rsidR="003C713A" w:rsidRDefault="003C713A" w:rsidP="003C713A">
      <w:pPr>
        <w:pStyle w:val="NormalWeb"/>
        <w:spacing w:line="360" w:lineRule="auto"/>
        <w:jc w:val="both"/>
      </w:pPr>
      <w:r>
        <w:t>Commercial state-owned corporations in Kenya operate within increasingly volatile and competitive environments characterized by rapid technological changes, financial constraints, rising public expectations, and operational inefficiencies</w:t>
      </w:r>
      <w:r w:rsidR="00A60176">
        <w:t xml:space="preserve"> (UNESCAP, 2019)</w:t>
      </w:r>
      <w:r>
        <w:t>. To address these challenges, many corporations have adopted Public-Private Partnership (PPP) strategies aimed at enhancing service delivery, innovation, infrastructure development, and organizational performance. Despite these efforts, several commercial state-owned corporations continue to experience delays in project implementation, operational inefficiencies, poor project coordination, and underperformance in PPP initiatives</w:t>
      </w:r>
      <w:r w:rsidR="00A60176">
        <w:t xml:space="preserve"> (Ngugi &amp; Wanjohi, 2021).</w:t>
      </w:r>
    </w:p>
    <w:p w14:paraId="0DD58A9E" w14:textId="77777777" w:rsidR="003C713A" w:rsidRDefault="003C713A" w:rsidP="003C713A">
      <w:pPr>
        <w:pStyle w:val="NormalWeb"/>
        <w:spacing w:line="360" w:lineRule="auto"/>
        <w:jc w:val="both"/>
      </w:pPr>
      <w:r>
        <w:t>One of the major challenges affecting the success of PPP projects is inadequate technical capacity and limited specialized expertise required to manage complex partnership arrangements. Effective PPP implementation requires skilled personnel capable of handling project management, contract administration, technological integration, monitoring, risk management, and stakeholder coordination</w:t>
      </w:r>
      <w:r w:rsidR="00C8550D">
        <w:t xml:space="preserve"> (Kiruja &amp; Mwaura, 2015).</w:t>
      </w:r>
      <w:r>
        <w:t xml:space="preserve"> However, many public institutions continue to experience skills gaps, inadequate technical training, and limited professional development opportunities, which negatively affect organizational performance.</w:t>
      </w:r>
    </w:p>
    <w:p w14:paraId="54337995" w14:textId="77777777" w:rsidR="003C713A" w:rsidRDefault="003C713A" w:rsidP="003C713A">
      <w:pPr>
        <w:pStyle w:val="NormalWeb"/>
        <w:spacing w:line="360" w:lineRule="auto"/>
        <w:jc w:val="both"/>
      </w:pPr>
      <w:r>
        <w:lastRenderedPageBreak/>
        <w:t>Previous empirical studies have demonstrated the importance of technical competencies in enhancing PPP project outcomes. Martins and Cruz (2023) found that technical expertise contributes significantly to successful project completion and operational efficiency in infrastructure projects</w:t>
      </w:r>
      <w:r w:rsidR="002200F0">
        <w:t xml:space="preserve">. Similarly, Farquharson et al., </w:t>
      </w:r>
      <w:r>
        <w:t>(2011) established that inadequate technical skills remain one of the leading causes of PPP underperformance in developing countries. However, existing studies have largely focused on infrastructure projects and sector-specific contexts while providing limited evidence on commercial state-owned corporations in Kenya.</w:t>
      </w:r>
    </w:p>
    <w:p w14:paraId="55CC2D15" w14:textId="77777777" w:rsidR="005E7FF5" w:rsidRPr="00B6434A" w:rsidRDefault="003C713A" w:rsidP="003C713A">
      <w:pPr>
        <w:pStyle w:val="NormalWeb"/>
        <w:spacing w:line="360" w:lineRule="auto"/>
        <w:jc w:val="both"/>
      </w:pPr>
      <w:r>
        <w:t>Further, most studies have concentrated on general PPP outcomes without specifically examining how technical skills strategy influences organizational performance within commercial state-owned corporations operating in volatile markets. This creates a contextual and empirical gap that necessitated the current study. Therefore, this study sought to investigate the influence of technical skills strategy on organizational performance among commercial state-owned corporations in Nairobi City County, Kenya.</w:t>
      </w:r>
    </w:p>
    <w:p w14:paraId="14EA644F" w14:textId="77777777" w:rsidR="005E7FF5" w:rsidRPr="00B02DAC" w:rsidRDefault="00B02DAC" w:rsidP="00B02DAC">
      <w:pPr>
        <w:pStyle w:val="Heading2"/>
      </w:pPr>
      <w:r>
        <w:t xml:space="preserve">1.2 </w:t>
      </w:r>
      <w:r w:rsidRPr="00B02DAC">
        <w:t>Research Objective</w:t>
      </w:r>
    </w:p>
    <w:p w14:paraId="7F16F0D4" w14:textId="77777777" w:rsidR="005E7FF5" w:rsidRPr="00CC1036" w:rsidRDefault="003C713A" w:rsidP="00CC1036">
      <w:r>
        <w:t>To determine the effect of technical skills strategy on organizational performance among commercial state-owned corporations in Nairobi City County, Kenya.</w:t>
      </w:r>
    </w:p>
    <w:p w14:paraId="2E21F5D2" w14:textId="77777777" w:rsidR="005E7FF5" w:rsidRDefault="005E7FF5" w:rsidP="00B02DAC">
      <w:pPr>
        <w:pStyle w:val="Heading2"/>
        <w:rPr>
          <w:lang w:val="en-US"/>
        </w:rPr>
      </w:pPr>
      <w:r w:rsidRPr="006A7EC4">
        <w:rPr>
          <w:lang w:val="en-US"/>
        </w:rPr>
        <w:t>2.</w:t>
      </w:r>
      <w:bookmarkEnd w:id="4"/>
      <w:bookmarkEnd w:id="5"/>
      <w:bookmarkEnd w:id="6"/>
      <w:bookmarkEnd w:id="7"/>
      <w:r w:rsidRPr="006A7EC4">
        <w:rPr>
          <w:lang w:val="en-US"/>
        </w:rPr>
        <w:t xml:space="preserve">0 Literature Review </w:t>
      </w:r>
    </w:p>
    <w:p w14:paraId="67E0360E" w14:textId="77777777" w:rsidR="00B02DAC" w:rsidRPr="00B02DAC" w:rsidRDefault="00B02DAC" w:rsidP="00B02DAC">
      <w:pPr>
        <w:jc w:val="both"/>
        <w:rPr>
          <w:lang w:val="en-US"/>
        </w:rPr>
      </w:pPr>
      <w:r>
        <w:t>This section reviews both theoretical and empirical literature related to the influence of technical skills strategy on organizational performance within Public-Private Partnership (PPP) arrangements. The review examines relevant theories underpinning the study, previous empirical studies on technical competencies and organizational performance, and identifies existing knowledge gaps. The section also presents the conceptual framework illustrating the relationship between technical skills strategy and organizational performance among commercial state-owned corporations in Nairobi City County, Kenya.</w:t>
      </w:r>
    </w:p>
    <w:p w14:paraId="1F869CD7" w14:textId="77777777" w:rsidR="00B02DAC" w:rsidRPr="00B02DAC" w:rsidRDefault="005E7FF5" w:rsidP="00B02DAC">
      <w:pPr>
        <w:pStyle w:val="Heading2"/>
        <w:rPr>
          <w:szCs w:val="24"/>
          <w:lang w:val="en-US"/>
        </w:rPr>
      </w:pPr>
      <w:r>
        <w:rPr>
          <w:lang w:val="en-US"/>
        </w:rPr>
        <w:lastRenderedPageBreak/>
        <w:t>2.1 Theoretical Literature Review</w:t>
      </w:r>
    </w:p>
    <w:p w14:paraId="0A3BB136" w14:textId="77777777" w:rsidR="00B02DAC" w:rsidRDefault="00B02DAC" w:rsidP="00B02DAC">
      <w:pPr>
        <w:pStyle w:val="Heading3"/>
      </w:pPr>
      <w:r>
        <w:t>2.1.1 Resource Dependence Theory</w:t>
      </w:r>
    </w:p>
    <w:p w14:paraId="2F0A1493" w14:textId="77777777" w:rsidR="00B02DAC" w:rsidRDefault="00B02DAC" w:rsidP="00B02DAC">
      <w:pPr>
        <w:pStyle w:val="NormalWeb"/>
        <w:spacing w:line="360" w:lineRule="auto"/>
        <w:jc w:val="both"/>
      </w:pPr>
      <w:r>
        <w:t xml:space="preserve">The Resource Dependence Theory was developed by Pfeffer and </w:t>
      </w:r>
      <w:proofErr w:type="spellStart"/>
      <w:r>
        <w:t>Salancik</w:t>
      </w:r>
      <w:proofErr w:type="spellEnd"/>
      <w:r>
        <w:t xml:space="preserve"> (1978) and explains that organizations depend on external resources for survival, growth, and sustainability. According to the theory, organizations seek strategic partnerships and collaborations to acquire critical resources that may not be internally available. These resources may include financial capital, technical expertise, information, technology, and managerial competencies.</w:t>
      </w:r>
    </w:p>
    <w:p w14:paraId="30C40878" w14:textId="77777777" w:rsidR="00B02DAC" w:rsidRDefault="00B02DAC" w:rsidP="00B02DAC">
      <w:pPr>
        <w:pStyle w:val="NormalWeb"/>
        <w:spacing w:line="360" w:lineRule="auto"/>
        <w:jc w:val="both"/>
      </w:pPr>
      <w:r>
        <w:t>The theory is relevant to this study because Public-Private Partnerships (PPPs) enable commercial state-owned corporations to access technical skills and specialized competencies from private sector partners. Through PPP arrangements, organizations are able to strengthen innovation, operational efficiency, and project implementation capacity. Technical expertise therefore becomes a strategic resource that contributes to improved organizational performance. The theory further supports the argument that organizations with strong technical capabilities are better positioned to manage dynamic operational environments and achieve sustainable performance outcomes.</w:t>
      </w:r>
    </w:p>
    <w:p w14:paraId="6B85BEDB" w14:textId="77777777" w:rsidR="00B02DAC" w:rsidRDefault="00B02DAC" w:rsidP="00B02DAC">
      <w:pPr>
        <w:pStyle w:val="Heading3"/>
      </w:pPr>
      <w:r>
        <w:t>2.1.2 Institutional Theory</w:t>
      </w:r>
    </w:p>
    <w:p w14:paraId="04F7BA8B" w14:textId="77777777" w:rsidR="00B02DAC" w:rsidRDefault="00B02DAC" w:rsidP="00B02DAC">
      <w:pPr>
        <w:pStyle w:val="NormalWeb"/>
        <w:spacing w:line="360" w:lineRule="auto"/>
        <w:jc w:val="both"/>
      </w:pPr>
      <w:r>
        <w:t>Institutional Theory was advanced by Meyer and Rowan (1977) and later expanded by DiMaggio and Powell (1983). The theory argues that organizations adopt structures, systems, and practices that are considered legitimate and acceptable within their institutional environment. Organizations are therefore influenced by government policies, professional standards, stakeholder expectations, and industry norms.</w:t>
      </w:r>
    </w:p>
    <w:p w14:paraId="2EBC1806" w14:textId="77777777" w:rsidR="00B02DAC" w:rsidRDefault="00B02DAC" w:rsidP="00B02DAC">
      <w:pPr>
        <w:pStyle w:val="NormalWeb"/>
        <w:spacing w:line="360" w:lineRule="auto"/>
        <w:jc w:val="both"/>
      </w:pPr>
      <w:r>
        <w:t xml:space="preserve">The theory is applicable to this study because commercial state-owned corporations operate within regulatory and policy environments that encourage the adoption of PPP strategies to enhance organizational effectiveness. Institutions are increasingly expected to embrace technical competence, innovation, and strategic collaborations to remain competitive and responsive to public expectations. Consequently, organizations invest in technical skills development and </w:t>
      </w:r>
      <w:r>
        <w:lastRenderedPageBreak/>
        <w:t>professional training to align with institutional requirements and improve operational performance.</w:t>
      </w:r>
    </w:p>
    <w:p w14:paraId="00F27A7F" w14:textId="77777777" w:rsidR="00B02DAC" w:rsidRDefault="00B02DAC" w:rsidP="00B02DAC">
      <w:pPr>
        <w:pStyle w:val="Heading3"/>
      </w:pPr>
      <w:r>
        <w:t>2.1.3 Balanced Scorecard Theory</w:t>
      </w:r>
    </w:p>
    <w:p w14:paraId="71520538" w14:textId="77777777" w:rsidR="00B02DAC" w:rsidRDefault="00B02DAC" w:rsidP="00B02DAC">
      <w:pPr>
        <w:pStyle w:val="NormalWeb"/>
        <w:spacing w:line="360" w:lineRule="auto"/>
        <w:jc w:val="both"/>
      </w:pPr>
      <w:r>
        <w:t>The Balanced Scorecard Theory was developed by Kaplan and Norton (1992) as a strategic management framework for measuring organizational performance beyond financial indicators. The theory proposes that organizational performance should be evaluated using multiple dimensions including financial performance, internal business processes, customer satisfaction, innovation, and learning and growth.</w:t>
      </w:r>
    </w:p>
    <w:p w14:paraId="729F2031" w14:textId="77777777" w:rsidR="00B02DAC" w:rsidRDefault="00B02DAC" w:rsidP="00B02DAC">
      <w:pPr>
        <w:pStyle w:val="NormalWeb"/>
        <w:spacing w:line="360" w:lineRule="auto"/>
        <w:jc w:val="both"/>
      </w:pPr>
      <w:r>
        <w:t>The theory is relevant to this study because technical skills strategy contributes directly to several organizational performance dimensions such as operational efficiency, innovation, service quality, and adaptability. Technical competencies enhance employees’ ability to manage PPP projects effectively, improve decision-making processes, and facilitate organizational learning and continuous improvement. The Balanced Scorecard Theory therefore provides an appropriate framework for evaluating the contribution of technical skills to organizational performance within commercial state-owned corporations.</w:t>
      </w:r>
    </w:p>
    <w:p w14:paraId="5DA2DDED" w14:textId="77777777" w:rsidR="00B02DAC" w:rsidRDefault="00B02DAC" w:rsidP="00B02DAC">
      <w:pPr>
        <w:pStyle w:val="Heading2"/>
      </w:pPr>
      <w:r>
        <w:t>2.2 Empirical Literature Review</w:t>
      </w:r>
    </w:p>
    <w:p w14:paraId="4C28BD1D" w14:textId="77777777" w:rsidR="00B02DAC" w:rsidRDefault="00B02DAC" w:rsidP="00B02DAC">
      <w:pPr>
        <w:pStyle w:val="NormalWeb"/>
        <w:spacing w:line="360" w:lineRule="auto"/>
        <w:jc w:val="both"/>
      </w:pPr>
      <w:r>
        <w:t>Martins and Cruz (2023) examined the influence of technical expertise on Public-Private Partnership project outcomes within the European Union. The study established that technical competencies were critical in ensuring timely project completion, budget compliance, and operational efficiency. The authors concluded that organizations with highly skilled technical teams experienced fewer implementation challenges and achieved better project outcomes. However, the study focused primarily on infrastructure projects within developed economies, creating a contextual gap regarding commercial state-owned corporations in developing countries such as Kenya.</w:t>
      </w:r>
    </w:p>
    <w:p w14:paraId="51EBF094" w14:textId="77777777" w:rsidR="00B02DAC" w:rsidRDefault="00B02DAC" w:rsidP="00B02DAC">
      <w:pPr>
        <w:pStyle w:val="NormalWeb"/>
        <w:spacing w:line="360" w:lineRule="auto"/>
        <w:jc w:val="both"/>
      </w:pPr>
      <w:r>
        <w:t xml:space="preserve">Baker and Green (2022) investigated the role of technical competence in large infrastructure projects globally. Their findings revealed that project management skills, engineering expertise, and technological capabilities significantly influenced project success and organizational </w:t>
      </w:r>
      <w:r>
        <w:lastRenderedPageBreak/>
        <w:t>effectiveness. The study emphasized the importance of continuous professional development and technical training in enhancing operational performance. Nevertheless, the study concentrated on global infrastructure projects without specifically addressing state-owned corporations operating within volatile market environments.</w:t>
      </w:r>
    </w:p>
    <w:p w14:paraId="63793EF2" w14:textId="77777777" w:rsidR="00B02DAC" w:rsidRDefault="00B02DAC" w:rsidP="00B02DAC">
      <w:pPr>
        <w:pStyle w:val="NormalWeb"/>
        <w:spacing w:line="360" w:lineRule="auto"/>
        <w:jc w:val="both"/>
      </w:pPr>
      <w:r>
        <w:t>Eze and Abimbola (2023) studied the role of technical skills in PPP projects in Nigeria and South Africa. The findings demonstrated that technical deficiencies contributed to project delays, budget overruns, and operational inefficiencies. The researchers further established that organizations with stronger technical capacities experienced improved adaptability and innovation in project implementation. However, the study focused on general PPP projects and did not specifically examine commercial state-owned corporations.</w:t>
      </w:r>
    </w:p>
    <w:p w14:paraId="3D70BA4F" w14:textId="77777777" w:rsidR="00B02DAC" w:rsidRDefault="00B02DAC" w:rsidP="00B02DAC">
      <w:pPr>
        <w:pStyle w:val="NormalWeb"/>
        <w:spacing w:line="360" w:lineRule="auto"/>
        <w:jc w:val="both"/>
      </w:pPr>
      <w:r>
        <w:t>In Kenya, Kariuki and Mwangi (2022) explored the influence of technical expertise on energy sector PPP projects. The study concluded that technical skills significantly contributed to the achievement of project objectives and enhanced operational sustainability. The authors emphasized the importance of specialized training and knowledge transfer in strengthening PPP implementation. However, the study was limited to the energy sector and did not address other commercial state-owned corporations operating under different institutional settings.</w:t>
      </w:r>
    </w:p>
    <w:p w14:paraId="28A82DDC" w14:textId="77777777" w:rsidR="00B02DAC" w:rsidRDefault="00B02DAC" w:rsidP="00B02DAC">
      <w:pPr>
        <w:pStyle w:val="NormalWeb"/>
        <w:spacing w:line="360" w:lineRule="auto"/>
        <w:jc w:val="both"/>
      </w:pPr>
      <w:r>
        <w:t>Similarly, Ngugi and Wanjohi (2021) investigated the role of engineering skills in transport sector PPP projects in Kenya. Their findings indicated that technical competencies positively influenced project implementation efficiency, innovation, and organizational effectiveness. The study further established that organizations with skilled personnel experienced fewer operational disruptions and improved service delivery outcomes. Nonetheless, the study focused mainly on transport infrastructure and did not comprehensively examine the broader organizational performance implications within commercial state-owned corporations.</w:t>
      </w:r>
    </w:p>
    <w:p w14:paraId="56F41D7F" w14:textId="77777777" w:rsidR="00B02DAC" w:rsidRDefault="00B02DAC" w:rsidP="00B02DAC">
      <w:pPr>
        <w:pStyle w:val="NormalWeb"/>
        <w:spacing w:line="360" w:lineRule="auto"/>
        <w:jc w:val="both"/>
      </w:pPr>
      <w:r>
        <w:t xml:space="preserve">Overall, the reviewed literature demonstrates that technical skills constitute a critical determinant of successful PPP implementation and organizational performance. However, most previous studies have concentrated on infrastructure sectors and project-specific outcomes while giving limited attention to commercial state-owned corporations operating in volatile markets within Kenya. This study therefore sought to bridge the existing contextual and empirical gaps by </w:t>
      </w:r>
      <w:r>
        <w:lastRenderedPageBreak/>
        <w:t>examining the influence of technical skills strategy on organizational performance among commercial state-owned corporations in Nairobi City County, Kenya.</w:t>
      </w:r>
    </w:p>
    <w:p w14:paraId="6E1C8366" w14:textId="77777777" w:rsidR="00B02DAC" w:rsidRDefault="00B02DAC" w:rsidP="00325523">
      <w:pPr>
        <w:pStyle w:val="Heading2"/>
      </w:pPr>
      <w:r>
        <w:t>2.3 Conceptual Framework</w:t>
      </w:r>
    </w:p>
    <w:p w14:paraId="56E9E055" w14:textId="77777777" w:rsidR="00325523" w:rsidRDefault="00325523" w:rsidP="00203EF7">
      <w:pPr>
        <w:contextualSpacing/>
        <w:jc w:val="both"/>
      </w:pPr>
      <w:r>
        <w:t>Figure 1 shows the study's conceptual framework which shows the interrelation between the independent variable and the dependent variable.</w:t>
      </w:r>
    </w:p>
    <w:p w14:paraId="654FF584" w14:textId="77777777" w:rsidR="005E7FF5" w:rsidRDefault="005E7FF5" w:rsidP="005E7FF5">
      <w:pPr>
        <w:spacing w:line="240" w:lineRule="auto"/>
        <w:contextualSpacing/>
        <w:jc w:val="both"/>
      </w:pPr>
      <w:bookmarkStart w:id="8" w:name="_Toc417168788"/>
      <w:bookmarkStart w:id="9" w:name="_Toc404683831"/>
      <w:bookmarkStart w:id="10" w:name="_Toc406967062"/>
      <w:bookmarkStart w:id="11" w:name="_Toc284069927"/>
      <w:r>
        <w:rPr>
          <w:noProof/>
          <w:lang w:val="en-US" w:eastAsia="en-US"/>
        </w:rPr>
        <mc:AlternateContent>
          <mc:Choice Requires="wpc">
            <w:drawing>
              <wp:anchor distT="0" distB="0" distL="114300" distR="114300" simplePos="0" relativeHeight="251659264" behindDoc="0" locked="0" layoutInCell="1" allowOverlap="1" wp14:anchorId="07C43F0A" wp14:editId="0EB30567">
                <wp:simplePos x="0" y="0"/>
                <wp:positionH relativeFrom="character">
                  <wp:posOffset>-273050</wp:posOffset>
                </wp:positionH>
                <wp:positionV relativeFrom="line">
                  <wp:posOffset>209550</wp:posOffset>
                </wp:positionV>
                <wp:extent cx="6410325" cy="5905500"/>
                <wp:effectExtent l="0" t="0" r="28575" b="1905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1" name="Rectangle 4"/>
                        <wps:cNvSpPr>
                          <a:spLocks noChangeArrowheads="1"/>
                        </wps:cNvSpPr>
                        <wps:spPr bwMode="auto">
                          <a:xfrm>
                            <a:off x="260350" y="369013"/>
                            <a:ext cx="2113691" cy="1252220"/>
                          </a:xfrm>
                          <a:prstGeom prst="rect">
                            <a:avLst/>
                          </a:prstGeom>
                          <a:solidFill>
                            <a:srgbClr val="FFFFFF"/>
                          </a:solidFill>
                          <a:ln w="9525">
                            <a:solidFill>
                              <a:srgbClr val="000000"/>
                            </a:solidFill>
                            <a:miter lim="800000"/>
                          </a:ln>
                        </wps:spPr>
                        <wps:txbx>
                          <w:txbxContent>
                            <w:p w14:paraId="0C4558B8" w14:textId="77777777" w:rsidR="005E7FF5" w:rsidRDefault="005E7FF5" w:rsidP="005E7FF5">
                              <w:pPr>
                                <w:spacing w:line="240" w:lineRule="auto"/>
                              </w:pPr>
                              <w:r>
                                <w:rPr>
                                  <w:b/>
                                </w:rPr>
                                <w:t xml:space="preserve">Technical Skills strategy </w:t>
                              </w:r>
                            </w:p>
                            <w:p w14:paraId="5B6936D3"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Technical expertise</w:t>
                              </w:r>
                            </w:p>
                            <w:p w14:paraId="6E692E64"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Experienced personnel</w:t>
                              </w:r>
                            </w:p>
                            <w:p w14:paraId="5425A83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Competencies</w:t>
                              </w:r>
                            </w:p>
                            <w:p w14:paraId="43B22F0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Specialized training</w:t>
                              </w:r>
                            </w:p>
                            <w:p w14:paraId="25C1EC9E"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Skills development</w:t>
                              </w:r>
                            </w:p>
                            <w:p w14:paraId="1B9F262B" w14:textId="77777777" w:rsidR="005E7FF5" w:rsidRDefault="005E7FF5" w:rsidP="005E7FF5">
                              <w:pPr>
                                <w:pStyle w:val="NoSpacing"/>
                              </w:pPr>
                            </w:p>
                            <w:p w14:paraId="4387FF03" w14:textId="77777777" w:rsidR="005E7FF5" w:rsidRDefault="005E7FF5" w:rsidP="005E7FF5">
                              <w:pPr>
                                <w:spacing w:line="240" w:lineRule="auto"/>
                              </w:pPr>
                            </w:p>
                            <w:p w14:paraId="534EE331" w14:textId="77777777" w:rsidR="005E7FF5" w:rsidRDefault="005E7FF5" w:rsidP="005E7FF5">
                              <w:pPr>
                                <w:rPr>
                                  <w:b/>
                                </w:rPr>
                              </w:pPr>
                            </w:p>
                          </w:txbxContent>
                        </wps:txbx>
                        <wps:bodyPr rot="0" vert="horz" wrap="square" lIns="65878" tIns="32938" rIns="65878" bIns="32938" anchor="t" anchorCtr="0" upright="1">
                          <a:noAutofit/>
                        </wps:bodyPr>
                      </wps:wsp>
                      <wps:wsp>
                        <wps:cNvPr id="2" name="Rectangle 5"/>
                        <wps:cNvSpPr>
                          <a:spLocks noChangeArrowheads="1"/>
                        </wps:cNvSpPr>
                        <wps:spPr bwMode="auto">
                          <a:xfrm>
                            <a:off x="260350" y="1727912"/>
                            <a:ext cx="2113690" cy="1524000"/>
                          </a:xfrm>
                          <a:prstGeom prst="rect">
                            <a:avLst/>
                          </a:prstGeom>
                          <a:solidFill>
                            <a:srgbClr val="FFFFFF"/>
                          </a:solidFill>
                          <a:ln w="9525">
                            <a:solidFill>
                              <a:srgbClr val="000000"/>
                            </a:solidFill>
                            <a:miter lim="800000"/>
                          </a:ln>
                        </wps:spPr>
                        <wps:txbx>
                          <w:txbxContent>
                            <w:p w14:paraId="73C15353" w14:textId="77777777" w:rsidR="005E7FF5" w:rsidRDefault="005E7FF5" w:rsidP="005E7FF5">
                              <w:pPr>
                                <w:spacing w:line="240" w:lineRule="auto"/>
                                <w:rPr>
                                  <w:b/>
                                </w:rPr>
                              </w:pPr>
                              <w:r>
                                <w:rPr>
                                  <w:b/>
                                </w:rPr>
                                <w:t xml:space="preserve">Financial Contribution strategy </w:t>
                              </w:r>
                            </w:p>
                            <w:p w14:paraId="5AA698C7" w14:textId="77777777" w:rsidR="005E7FF5" w:rsidRDefault="005E7FF5" w:rsidP="005E7FF5">
                              <w:pPr>
                                <w:numPr>
                                  <w:ilvl w:val="0"/>
                                  <w:numId w:val="8"/>
                                </w:numPr>
                                <w:spacing w:line="240" w:lineRule="auto"/>
                              </w:pPr>
                              <w:r>
                                <w:t>Feasibility analysis</w:t>
                              </w:r>
                            </w:p>
                            <w:p w14:paraId="443FED6C" w14:textId="77777777" w:rsidR="005E7FF5" w:rsidRDefault="005E7FF5" w:rsidP="005E7FF5">
                              <w:pPr>
                                <w:numPr>
                                  <w:ilvl w:val="0"/>
                                  <w:numId w:val="8"/>
                                </w:numPr>
                                <w:spacing w:line="240" w:lineRule="auto"/>
                              </w:pPr>
                              <w:r>
                                <w:t>Budget requirements</w:t>
                              </w:r>
                            </w:p>
                            <w:p w14:paraId="63842DFC" w14:textId="77777777" w:rsidR="005E7FF5" w:rsidRDefault="005E7FF5" w:rsidP="005E7FF5">
                              <w:pPr>
                                <w:numPr>
                                  <w:ilvl w:val="0"/>
                                  <w:numId w:val="8"/>
                                </w:numPr>
                                <w:spacing w:line="240" w:lineRule="auto"/>
                              </w:pPr>
                              <w:r>
                                <w:t xml:space="preserve">Sufficient leverage </w:t>
                              </w:r>
                            </w:p>
                            <w:p w14:paraId="60E51002" w14:textId="77777777" w:rsidR="005E7FF5" w:rsidRDefault="005E7FF5" w:rsidP="005E7FF5">
                              <w:pPr>
                                <w:numPr>
                                  <w:ilvl w:val="0"/>
                                  <w:numId w:val="8"/>
                                </w:numPr>
                                <w:spacing w:line="240" w:lineRule="auto"/>
                              </w:pPr>
                              <w:r>
                                <w:t xml:space="preserve">Running costs </w:t>
                              </w:r>
                            </w:p>
                            <w:p w14:paraId="4EA41968" w14:textId="77777777" w:rsidR="005E7FF5" w:rsidRDefault="005E7FF5" w:rsidP="005E7FF5">
                              <w:pPr>
                                <w:numPr>
                                  <w:ilvl w:val="0"/>
                                  <w:numId w:val="8"/>
                                </w:numPr>
                                <w:spacing w:line="240" w:lineRule="auto"/>
                              </w:pPr>
                              <w:r>
                                <w:t>Employee qualification assessment</w:t>
                              </w:r>
                            </w:p>
                            <w:p w14:paraId="086F8E37" w14:textId="77777777" w:rsidR="005E7FF5" w:rsidRDefault="005E7FF5" w:rsidP="005E7FF5"/>
                          </w:txbxContent>
                        </wps:txbx>
                        <wps:bodyPr rot="0" vert="horz" wrap="square" lIns="65878" tIns="32938" rIns="65878" bIns="32938" anchor="t" anchorCtr="0" upright="1">
                          <a:noAutofit/>
                        </wps:bodyPr>
                      </wps:wsp>
                      <wps:wsp>
                        <wps:cNvPr id="3" name="Rectangle 6"/>
                        <wps:cNvSpPr>
                          <a:spLocks noChangeArrowheads="1"/>
                        </wps:cNvSpPr>
                        <wps:spPr bwMode="auto">
                          <a:xfrm>
                            <a:off x="252629" y="4718762"/>
                            <a:ext cx="2113690" cy="1123238"/>
                          </a:xfrm>
                          <a:prstGeom prst="rect">
                            <a:avLst/>
                          </a:prstGeom>
                          <a:solidFill>
                            <a:srgbClr val="FFFFFF"/>
                          </a:solidFill>
                          <a:ln w="9525">
                            <a:solidFill>
                              <a:srgbClr val="000000"/>
                            </a:solidFill>
                            <a:miter lim="800000"/>
                          </a:ln>
                        </wps:spPr>
                        <wps:txbx>
                          <w:txbxContent>
                            <w:p w14:paraId="7B2302B7" w14:textId="77777777" w:rsidR="005E7FF5" w:rsidRDefault="005E7FF5" w:rsidP="005E7FF5">
                              <w:pPr>
                                <w:spacing w:line="240" w:lineRule="auto"/>
                                <w:rPr>
                                  <w:b/>
                                </w:rPr>
                              </w:pPr>
                              <w:r>
                                <w:rPr>
                                  <w:b/>
                                </w:rPr>
                                <w:t xml:space="preserve">Accountability strategy </w:t>
                              </w:r>
                            </w:p>
                            <w:p w14:paraId="092C24AA" w14:textId="77777777" w:rsidR="005E7FF5" w:rsidRDefault="005E7FF5" w:rsidP="005E7FF5">
                              <w:pPr>
                                <w:numPr>
                                  <w:ilvl w:val="0"/>
                                  <w:numId w:val="9"/>
                                </w:numPr>
                                <w:spacing w:line="240" w:lineRule="auto"/>
                              </w:pPr>
                              <w:r>
                                <w:t xml:space="preserve">Transparency </w:t>
                              </w:r>
                            </w:p>
                            <w:p w14:paraId="7D873CBC" w14:textId="77777777" w:rsidR="005E7FF5" w:rsidRDefault="005E7FF5" w:rsidP="005E7FF5">
                              <w:pPr>
                                <w:numPr>
                                  <w:ilvl w:val="0"/>
                                  <w:numId w:val="9"/>
                                </w:numPr>
                                <w:spacing w:line="240" w:lineRule="auto"/>
                              </w:pPr>
                              <w:r>
                                <w:t>Information timeliness</w:t>
                              </w:r>
                            </w:p>
                            <w:p w14:paraId="4831F43A" w14:textId="77777777" w:rsidR="005E7FF5" w:rsidRDefault="005E7FF5" w:rsidP="005E7FF5">
                              <w:pPr>
                                <w:numPr>
                                  <w:ilvl w:val="0"/>
                                  <w:numId w:val="9"/>
                                </w:numPr>
                                <w:spacing w:line="240" w:lineRule="auto"/>
                              </w:pPr>
                              <w:r>
                                <w:t>Reliability</w:t>
                              </w:r>
                            </w:p>
                            <w:p w14:paraId="3F733FB2" w14:textId="77777777" w:rsidR="005E7FF5" w:rsidRDefault="005E7FF5" w:rsidP="005E7FF5">
                              <w:pPr>
                                <w:numPr>
                                  <w:ilvl w:val="0"/>
                                  <w:numId w:val="9"/>
                                </w:numPr>
                                <w:spacing w:line="240" w:lineRule="auto"/>
                              </w:pPr>
                              <w:r>
                                <w:t>Financial reporting</w:t>
                              </w:r>
                            </w:p>
                            <w:p w14:paraId="435F5559" w14:textId="77777777" w:rsidR="005E7FF5" w:rsidRDefault="005E7FF5" w:rsidP="005E7FF5">
                              <w:pPr>
                                <w:spacing w:line="240" w:lineRule="auto"/>
                                <w:ind w:left="720"/>
                              </w:pPr>
                            </w:p>
                          </w:txbxContent>
                        </wps:txbx>
                        <wps:bodyPr rot="0" vert="horz" wrap="square" lIns="65878" tIns="32938" rIns="65878" bIns="32938" anchor="t" anchorCtr="0" upright="1">
                          <a:noAutofit/>
                        </wps:bodyPr>
                      </wps:wsp>
                      <wps:wsp>
                        <wps:cNvPr id="4" name="Rectangle 7"/>
                        <wps:cNvSpPr>
                          <a:spLocks noChangeArrowheads="1"/>
                        </wps:cNvSpPr>
                        <wps:spPr bwMode="auto">
                          <a:xfrm>
                            <a:off x="260350" y="3345257"/>
                            <a:ext cx="2113691" cy="1207693"/>
                          </a:xfrm>
                          <a:prstGeom prst="rect">
                            <a:avLst/>
                          </a:prstGeom>
                          <a:solidFill>
                            <a:srgbClr val="FFFFFF"/>
                          </a:solidFill>
                          <a:ln w="9525">
                            <a:solidFill>
                              <a:srgbClr val="000000"/>
                            </a:solidFill>
                            <a:miter lim="800000"/>
                          </a:ln>
                        </wps:spPr>
                        <wps:txbx>
                          <w:txbxContent>
                            <w:p w14:paraId="08E45B93" w14:textId="77777777" w:rsidR="005E7FF5" w:rsidRDefault="005E7FF5" w:rsidP="005E7FF5">
                              <w:pPr>
                                <w:rPr>
                                  <w:b/>
                                </w:rPr>
                              </w:pPr>
                              <w:r>
                                <w:rPr>
                                  <w:b/>
                                </w:rPr>
                                <w:t>Risk Mitigation strategy</w:t>
                              </w:r>
                            </w:p>
                            <w:p w14:paraId="3B99CC93" w14:textId="77777777" w:rsidR="005E7FF5" w:rsidRDefault="005E7FF5" w:rsidP="005E7FF5">
                              <w:pPr>
                                <w:numPr>
                                  <w:ilvl w:val="0"/>
                                  <w:numId w:val="10"/>
                                </w:numPr>
                                <w:spacing w:line="240" w:lineRule="auto"/>
                              </w:pPr>
                              <w:r>
                                <w:t>Risk analysis</w:t>
                              </w:r>
                            </w:p>
                            <w:p w14:paraId="164A09C2" w14:textId="77777777" w:rsidR="005E7FF5" w:rsidRDefault="005E7FF5" w:rsidP="005E7FF5">
                              <w:pPr>
                                <w:numPr>
                                  <w:ilvl w:val="0"/>
                                  <w:numId w:val="10"/>
                                </w:numPr>
                                <w:spacing w:line="240" w:lineRule="auto"/>
                              </w:pPr>
                              <w:r>
                                <w:t>Appropriate risk allocation</w:t>
                              </w:r>
                            </w:p>
                            <w:p w14:paraId="31650F99" w14:textId="77777777" w:rsidR="005E7FF5" w:rsidRDefault="005E7FF5" w:rsidP="005E7FF5">
                              <w:pPr>
                                <w:numPr>
                                  <w:ilvl w:val="0"/>
                                  <w:numId w:val="10"/>
                                </w:numPr>
                                <w:spacing w:line="240" w:lineRule="auto"/>
                              </w:pPr>
                              <w:r>
                                <w:t>Contingent measures</w:t>
                              </w:r>
                            </w:p>
                            <w:p w14:paraId="0D143C4C" w14:textId="77777777" w:rsidR="005E7FF5" w:rsidRDefault="005E7FF5" w:rsidP="005E7FF5">
                              <w:pPr>
                                <w:spacing w:line="240" w:lineRule="auto"/>
                              </w:pPr>
                            </w:p>
                            <w:p w14:paraId="5C59EFAC" w14:textId="77777777" w:rsidR="005E7FF5" w:rsidRDefault="005E7FF5" w:rsidP="005E7FF5">
                              <w:pPr>
                                <w:spacing w:line="240" w:lineRule="auto"/>
                              </w:pPr>
                            </w:p>
                          </w:txbxContent>
                        </wps:txbx>
                        <wps:bodyPr rot="0" vert="horz" wrap="square" lIns="65878" tIns="32938" rIns="65878" bIns="32938" anchor="t" anchorCtr="0" upright="1">
                          <a:noAutofit/>
                        </wps:bodyPr>
                      </wps:wsp>
                      <wps:wsp>
                        <wps:cNvPr id="5" name="Rectangle 8"/>
                        <wps:cNvSpPr>
                          <a:spLocks noChangeArrowheads="1"/>
                        </wps:cNvSpPr>
                        <wps:spPr bwMode="auto">
                          <a:xfrm>
                            <a:off x="3748180" y="1281507"/>
                            <a:ext cx="1943100" cy="2337993"/>
                          </a:xfrm>
                          <a:prstGeom prst="rect">
                            <a:avLst/>
                          </a:prstGeom>
                          <a:solidFill>
                            <a:srgbClr val="FFFFFF"/>
                          </a:solidFill>
                          <a:ln w="9525">
                            <a:solidFill>
                              <a:srgbClr val="000000"/>
                            </a:solidFill>
                            <a:miter lim="800000"/>
                          </a:ln>
                        </wps:spPr>
                        <wps:txbx>
                          <w:txbxContent>
                            <w:p w14:paraId="6EAE94C7" w14:textId="77777777" w:rsidR="005E7FF5" w:rsidRDefault="005E7FF5" w:rsidP="005E7FF5">
                              <w:pPr>
                                <w:rPr>
                                  <w:b/>
                                </w:rPr>
                              </w:pPr>
                              <w:r>
                                <w:rPr>
                                  <w:b/>
                                </w:rPr>
                                <w:t>Performance in commercial state-owned corporations</w:t>
                              </w:r>
                            </w:p>
                            <w:p w14:paraId="3A8E7D19" w14:textId="77777777" w:rsidR="005E7FF5" w:rsidRDefault="005E7FF5" w:rsidP="005E7FF5">
                              <w:pPr>
                                <w:numPr>
                                  <w:ilvl w:val="0"/>
                                  <w:numId w:val="11"/>
                                </w:numPr>
                                <w:spacing w:line="240" w:lineRule="auto"/>
                              </w:pPr>
                              <w:r>
                                <w:t xml:space="preserve">Accessibility of services </w:t>
                              </w:r>
                            </w:p>
                            <w:p w14:paraId="0761EF31" w14:textId="77777777" w:rsidR="005E7FF5" w:rsidRDefault="005E7FF5" w:rsidP="005E7FF5">
                              <w:pPr>
                                <w:numPr>
                                  <w:ilvl w:val="0"/>
                                  <w:numId w:val="11"/>
                                </w:numPr>
                                <w:spacing w:line="240" w:lineRule="auto"/>
                              </w:pPr>
                              <w:r>
                                <w:t xml:space="preserve">Efficiency of services </w:t>
                              </w:r>
                            </w:p>
                            <w:p w14:paraId="5321ECBD" w14:textId="77777777" w:rsidR="005E7FF5" w:rsidRDefault="005E7FF5" w:rsidP="005E7FF5">
                              <w:pPr>
                                <w:numPr>
                                  <w:ilvl w:val="0"/>
                                  <w:numId w:val="11"/>
                                </w:numPr>
                                <w:spacing w:line="240" w:lineRule="auto"/>
                                <w:rPr>
                                  <w:b/>
                                </w:rPr>
                              </w:pPr>
                              <w:r>
                                <w:t>Citizen satisfaction</w:t>
                              </w:r>
                            </w:p>
                          </w:txbxContent>
                        </wps:txbx>
                        <wps:bodyPr rot="0" vert="horz" wrap="square" lIns="65878" tIns="32938" rIns="65878" bIns="32938" anchor="t" anchorCtr="0" upright="1">
                          <a:noAutofit/>
                        </wps:bodyPr>
                      </wps:wsp>
                      <wps:wsp>
                        <wps:cNvPr id="6" name="Line 9"/>
                        <wps:cNvCnPr>
                          <a:cxnSpLocks noChangeShapeType="1"/>
                        </wps:cNvCnPr>
                        <wps:spPr bwMode="auto">
                          <a:xfrm flipH="1">
                            <a:off x="2693979" y="985992"/>
                            <a:ext cx="7721" cy="4393170"/>
                          </a:xfrm>
                          <a:prstGeom prst="line">
                            <a:avLst/>
                          </a:prstGeom>
                          <a:noFill/>
                          <a:ln w="9525">
                            <a:solidFill>
                              <a:srgbClr val="000000"/>
                            </a:solidFill>
                            <a:round/>
                          </a:ln>
                        </wps:spPr>
                        <wps:bodyPr/>
                      </wps:wsp>
                      <wps:wsp>
                        <wps:cNvPr id="11" name="Line 14"/>
                        <wps:cNvCnPr>
                          <a:cxnSpLocks noChangeShapeType="1"/>
                        </wps:cNvCnPr>
                        <wps:spPr bwMode="auto">
                          <a:xfrm>
                            <a:off x="2693979" y="2616277"/>
                            <a:ext cx="1046480" cy="635"/>
                          </a:xfrm>
                          <a:prstGeom prst="line">
                            <a:avLst/>
                          </a:prstGeom>
                          <a:noFill/>
                          <a:ln w="9525">
                            <a:solidFill>
                              <a:srgbClr val="000000"/>
                            </a:solidFill>
                            <a:round/>
                            <a:tailEnd type="triangle" w="med" len="med"/>
                          </a:ln>
                        </wps:spPr>
                        <wps:bodyPr/>
                      </wps:wsp>
                      <wps:wsp>
                        <wps:cNvPr id="12" name="Text Box 15"/>
                        <wps:cNvSpPr txBox="1">
                          <a:spLocks noChangeArrowheads="1"/>
                        </wps:cNvSpPr>
                        <wps:spPr bwMode="auto">
                          <a:xfrm>
                            <a:off x="500155" y="35999"/>
                            <a:ext cx="1632585" cy="279673"/>
                          </a:xfrm>
                          <a:prstGeom prst="rect">
                            <a:avLst/>
                          </a:prstGeom>
                          <a:solidFill>
                            <a:srgbClr val="FFFFFF"/>
                          </a:solidFill>
                          <a:ln>
                            <a:noFill/>
                          </a:ln>
                        </wps:spPr>
                        <wps:txbx>
                          <w:txbxContent>
                            <w:p w14:paraId="79955284" w14:textId="77777777" w:rsidR="005E7FF5" w:rsidRDefault="005E7FF5" w:rsidP="005E7FF5">
                              <w:pPr>
                                <w:rPr>
                                  <w:b/>
                                </w:rPr>
                              </w:pPr>
                              <w:r>
                                <w:rPr>
                                  <w:b/>
                                </w:rPr>
                                <w:t>Independent Variables</w:t>
                              </w:r>
                            </w:p>
                          </w:txbxContent>
                        </wps:txbx>
                        <wps:bodyPr rot="0" vert="horz" wrap="square" lIns="65878" tIns="32938" rIns="65878" bIns="32938" anchor="t" anchorCtr="0" upright="1">
                          <a:noAutofit/>
                        </wps:bodyPr>
                      </wps:wsp>
                      <wps:wsp>
                        <wps:cNvPr id="13" name="Rectangle 16"/>
                        <wps:cNvSpPr>
                          <a:spLocks noChangeArrowheads="1"/>
                        </wps:cNvSpPr>
                        <wps:spPr bwMode="auto">
                          <a:xfrm>
                            <a:off x="3689125" y="35999"/>
                            <a:ext cx="1912620" cy="401955"/>
                          </a:xfrm>
                          <a:prstGeom prst="rect">
                            <a:avLst/>
                          </a:prstGeom>
                          <a:solidFill>
                            <a:srgbClr val="FFFFFF"/>
                          </a:solidFill>
                          <a:ln>
                            <a:noFill/>
                          </a:ln>
                        </wps:spPr>
                        <wps:txbx>
                          <w:txbxContent>
                            <w:p w14:paraId="330BB5F4" w14:textId="77777777" w:rsidR="005E7FF5" w:rsidRDefault="005E7FF5" w:rsidP="005E7FF5">
                              <w:pPr>
                                <w:rPr>
                                  <w:b/>
                                </w:rPr>
                              </w:pPr>
                              <w:r>
                                <w:rPr>
                                  <w:b/>
                                </w:rPr>
                                <w:t>Dependent Variables</w:t>
                              </w:r>
                            </w:p>
                          </w:txbxContent>
                        </wps:txbx>
                        <wps:bodyPr rot="0" vert="horz" wrap="square" lIns="65878" tIns="32938" rIns="65878" bIns="32938" anchor="t" anchorCtr="0" upright="1">
                          <a:noAutofit/>
                        </wps:bodyPr>
                      </wps:wsp>
                      <wps:wsp>
                        <wps:cNvPr id="10" name="Straight Connector 10"/>
                        <wps:cNvCnPr/>
                        <wps:spPr>
                          <a:xfrm>
                            <a:off x="2366319" y="2324889"/>
                            <a:ext cx="327660" cy="3604"/>
                          </a:xfrm>
                          <a:prstGeom prst="line">
                            <a:avLst/>
                          </a:prstGeom>
                          <a:ln/>
                        </wps:spPr>
                        <wps:style>
                          <a:lnRef idx="3">
                            <a:schemeClr val="dk1"/>
                          </a:lnRef>
                          <a:fillRef idx="0">
                            <a:schemeClr val="dk1"/>
                          </a:fillRef>
                          <a:effectRef idx="2">
                            <a:schemeClr val="dk1"/>
                          </a:effectRef>
                          <a:fontRef idx="minor">
                            <a:schemeClr val="tx1"/>
                          </a:fontRef>
                        </wps:style>
                        <wps:bodyPr/>
                      </wps:wsp>
                      <wps:wsp>
                        <wps:cNvPr id="15" name="Straight Connector 15"/>
                        <wps:cNvCnPr>
                          <a:stCxn id="4" idx="3"/>
                        </wps:cNvCnPr>
                        <wps:spPr>
                          <a:xfrm>
                            <a:off x="2374041" y="3949104"/>
                            <a:ext cx="319938" cy="0"/>
                          </a:xfrm>
                          <a:prstGeom prst="line">
                            <a:avLst/>
                          </a:prstGeom>
                        </wps:spPr>
                        <wps:style>
                          <a:lnRef idx="3">
                            <a:schemeClr val="dk1"/>
                          </a:lnRef>
                          <a:fillRef idx="0">
                            <a:schemeClr val="dk1"/>
                          </a:fillRef>
                          <a:effectRef idx="2">
                            <a:schemeClr val="dk1"/>
                          </a:effectRef>
                          <a:fontRef idx="minor">
                            <a:schemeClr val="tx1"/>
                          </a:fontRef>
                        </wps:style>
                        <wps:bodyPr/>
                      </wps:wsp>
                      <wps:wsp>
                        <wps:cNvPr id="18" name="Straight Connector 18"/>
                        <wps:cNvCnPr>
                          <a:stCxn id="1" idx="3"/>
                        </wps:cNvCnPr>
                        <wps:spPr>
                          <a:xfrm>
                            <a:off x="2374041" y="995123"/>
                            <a:ext cx="327659"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flipH="1" flipV="1">
                            <a:off x="2358599" y="5371096"/>
                            <a:ext cx="335380" cy="8066"/>
                          </a:xfrm>
                          <a:prstGeom prst="line">
                            <a:avLst/>
                          </a:prstGeom>
                        </wps:spPr>
                        <wps:style>
                          <a:lnRef idx="3">
                            <a:schemeClr val="dk1"/>
                          </a:lnRef>
                          <a:fillRef idx="0">
                            <a:schemeClr val="dk1"/>
                          </a:fillRef>
                          <a:effectRef idx="2">
                            <a:schemeClr val="dk1"/>
                          </a:effectRef>
                          <a:fontRef idx="minor">
                            <a:schemeClr val="tx1"/>
                          </a:fontRef>
                        </wps:style>
                        <wps:bodyPr/>
                      </wps:wsp>
                    </wpc:wpc>
                  </a:graphicData>
                </a:graphic>
                <wp14:sizeRelV relativeFrom="margin">
                  <wp14:pctHeight>0</wp14:pctHeight>
                </wp14:sizeRelV>
              </wp:anchor>
            </w:drawing>
          </mc:Choice>
          <mc:Fallback>
            <w:pict>
              <v:group w14:anchorId="07C43F0A" id="Canvas 17" o:spid="_x0000_s1026" editas="canvas" style="position:absolute;margin-left:-21.5pt;margin-top:16.5pt;width:504.75pt;height:465pt;z-index:251659264;mso-position-horizontal-relative:char;mso-position-vertical-relative:line;mso-height-relative:margin" coordsize="64103,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03;height:59055;visibility:visible;mso-wrap-style:square" stroked="t" strokecolor="black [3213]">
                  <v:fill o:detectmouseclick="t"/>
                  <v:path o:connecttype="none"/>
                </v:shape>
                <v:rect id="Rectangle 4" o:spid="_x0000_s1028" style="position:absolute;left:2603;top:3690;width:21137;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">
                  <v:textbox inset="1.82994mm,.91494mm,1.82994mm,.91494mm">
                    <w:txbxContent>
                      <w:p w14:paraId="0C4558B8" w14:textId="77777777" w:rsidR="005E7FF5" w:rsidRDefault="005E7FF5" w:rsidP="005E7FF5">
                        <w:pPr>
                          <w:spacing w:line="240" w:lineRule="auto"/>
                        </w:pPr>
                        <w:r>
                          <w:rPr>
                            <w:b/>
                          </w:rPr>
                          <w:t xml:space="preserve">Technical Skills strategy </w:t>
                        </w:r>
                      </w:p>
                      <w:p w14:paraId="5B6936D3"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Technical expertise</w:t>
                        </w:r>
                      </w:p>
                      <w:p w14:paraId="6E692E64"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Experienced personnel</w:t>
                        </w:r>
                      </w:p>
                      <w:p w14:paraId="5425A83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Competencies</w:t>
                        </w:r>
                      </w:p>
                      <w:p w14:paraId="43B22F0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Specialized training</w:t>
                        </w:r>
                      </w:p>
                      <w:p w14:paraId="25C1EC9E"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Skills development</w:t>
                        </w:r>
                      </w:p>
                      <w:p w14:paraId="1B9F262B" w14:textId="77777777" w:rsidR="005E7FF5" w:rsidRDefault="005E7FF5" w:rsidP="005E7FF5">
                        <w:pPr>
                          <w:pStyle w:val="NoSpacing"/>
                        </w:pPr>
                      </w:p>
                      <w:p w14:paraId="4387FF03" w14:textId="77777777" w:rsidR="005E7FF5" w:rsidRDefault="005E7FF5" w:rsidP="005E7FF5">
                        <w:pPr>
                          <w:spacing w:line="240" w:lineRule="auto"/>
                        </w:pPr>
                      </w:p>
                      <w:p w14:paraId="534EE331" w14:textId="77777777" w:rsidR="005E7FF5" w:rsidRDefault="005E7FF5" w:rsidP="005E7FF5">
                        <w:pPr>
                          <w:rPr>
                            <w:b/>
                          </w:rPr>
                        </w:pPr>
                      </w:p>
                    </w:txbxContent>
                  </v:textbox>
                </v:rect>
                <v:rect id="Rectangle 5" o:spid="_x0000_s1029" style="position:absolute;left:2603;top:17279;width:21137;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">
                  <v:textbox inset="1.82994mm,.91494mm,1.82994mm,.91494mm">
                    <w:txbxContent>
                      <w:p w14:paraId="73C15353" w14:textId="77777777" w:rsidR="005E7FF5" w:rsidRDefault="005E7FF5" w:rsidP="005E7FF5">
                        <w:pPr>
                          <w:spacing w:line="240" w:lineRule="auto"/>
                          <w:rPr>
                            <w:b/>
                          </w:rPr>
                        </w:pPr>
                        <w:r>
                          <w:rPr>
                            <w:b/>
                          </w:rPr>
                          <w:t xml:space="preserve">Financial Contribution strategy </w:t>
                        </w:r>
                      </w:p>
                      <w:p w14:paraId="5AA698C7" w14:textId="77777777" w:rsidR="005E7FF5" w:rsidRDefault="005E7FF5" w:rsidP="005E7FF5">
                        <w:pPr>
                          <w:numPr>
                            <w:ilvl w:val="0"/>
                            <w:numId w:val="8"/>
                          </w:numPr>
                          <w:spacing w:line="240" w:lineRule="auto"/>
                        </w:pPr>
                        <w:r>
                          <w:t>Feasibility analysis</w:t>
                        </w:r>
                      </w:p>
                      <w:p w14:paraId="443FED6C" w14:textId="77777777" w:rsidR="005E7FF5" w:rsidRDefault="005E7FF5" w:rsidP="005E7FF5">
                        <w:pPr>
                          <w:numPr>
                            <w:ilvl w:val="0"/>
                            <w:numId w:val="8"/>
                          </w:numPr>
                          <w:spacing w:line="240" w:lineRule="auto"/>
                        </w:pPr>
                        <w:r>
                          <w:t>Budget requirements</w:t>
                        </w:r>
                      </w:p>
                      <w:p w14:paraId="63842DFC" w14:textId="77777777" w:rsidR="005E7FF5" w:rsidRDefault="005E7FF5" w:rsidP="005E7FF5">
                        <w:pPr>
                          <w:numPr>
                            <w:ilvl w:val="0"/>
                            <w:numId w:val="8"/>
                          </w:numPr>
                          <w:spacing w:line="240" w:lineRule="auto"/>
                        </w:pPr>
                        <w:r>
                          <w:t xml:space="preserve">Sufficient leverage </w:t>
                        </w:r>
                      </w:p>
                      <w:p w14:paraId="60E51002" w14:textId="77777777" w:rsidR="005E7FF5" w:rsidRDefault="005E7FF5" w:rsidP="005E7FF5">
                        <w:pPr>
                          <w:numPr>
                            <w:ilvl w:val="0"/>
                            <w:numId w:val="8"/>
                          </w:numPr>
                          <w:spacing w:line="240" w:lineRule="auto"/>
                        </w:pPr>
                        <w:r>
                          <w:t xml:space="preserve">Running costs </w:t>
                        </w:r>
                      </w:p>
                      <w:p w14:paraId="4EA41968" w14:textId="77777777" w:rsidR="005E7FF5" w:rsidRDefault="005E7FF5" w:rsidP="005E7FF5">
                        <w:pPr>
                          <w:numPr>
                            <w:ilvl w:val="0"/>
                            <w:numId w:val="8"/>
                          </w:numPr>
                          <w:spacing w:line="240" w:lineRule="auto"/>
                        </w:pPr>
                        <w:r>
                          <w:t>Employee qualification assessment</w:t>
                        </w:r>
                      </w:p>
                      <w:p w14:paraId="086F8E37" w14:textId="77777777" w:rsidR="005E7FF5" w:rsidRDefault="005E7FF5" w:rsidP="005E7FF5"/>
                    </w:txbxContent>
                  </v:textbox>
                </v:rect>
                <v:rect id="Rectangle 6" o:spid="_x0000_s1030" style="position:absolute;left:2526;top:47187;width:21137;height:1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">
                  <v:textbox inset="1.82994mm,.91494mm,1.82994mm,.91494mm">
                    <w:txbxContent>
                      <w:p w14:paraId="7B2302B7" w14:textId="77777777" w:rsidR="005E7FF5" w:rsidRDefault="005E7FF5" w:rsidP="005E7FF5">
                        <w:pPr>
                          <w:spacing w:line="240" w:lineRule="auto"/>
                          <w:rPr>
                            <w:b/>
                          </w:rPr>
                        </w:pPr>
                        <w:r>
                          <w:rPr>
                            <w:b/>
                          </w:rPr>
                          <w:t xml:space="preserve">Accountability strategy </w:t>
                        </w:r>
                      </w:p>
                      <w:p w14:paraId="092C24AA" w14:textId="77777777" w:rsidR="005E7FF5" w:rsidRDefault="005E7FF5" w:rsidP="005E7FF5">
                        <w:pPr>
                          <w:numPr>
                            <w:ilvl w:val="0"/>
                            <w:numId w:val="9"/>
                          </w:numPr>
                          <w:spacing w:line="240" w:lineRule="auto"/>
                        </w:pPr>
                        <w:r>
                          <w:t xml:space="preserve">Transparency </w:t>
                        </w:r>
                      </w:p>
                      <w:p w14:paraId="7D873CBC" w14:textId="77777777" w:rsidR="005E7FF5" w:rsidRDefault="005E7FF5" w:rsidP="005E7FF5">
                        <w:pPr>
                          <w:numPr>
                            <w:ilvl w:val="0"/>
                            <w:numId w:val="9"/>
                          </w:numPr>
                          <w:spacing w:line="240" w:lineRule="auto"/>
                        </w:pPr>
                        <w:r>
                          <w:t>Information timeliness</w:t>
                        </w:r>
                      </w:p>
                      <w:p w14:paraId="4831F43A" w14:textId="77777777" w:rsidR="005E7FF5" w:rsidRDefault="005E7FF5" w:rsidP="005E7FF5">
                        <w:pPr>
                          <w:numPr>
                            <w:ilvl w:val="0"/>
                            <w:numId w:val="9"/>
                          </w:numPr>
                          <w:spacing w:line="240" w:lineRule="auto"/>
                        </w:pPr>
                        <w:r>
                          <w:t>Reliability</w:t>
                        </w:r>
                      </w:p>
                      <w:p w14:paraId="3F733FB2" w14:textId="77777777" w:rsidR="005E7FF5" w:rsidRDefault="005E7FF5" w:rsidP="005E7FF5">
                        <w:pPr>
                          <w:numPr>
                            <w:ilvl w:val="0"/>
                            <w:numId w:val="9"/>
                          </w:numPr>
                          <w:spacing w:line="240" w:lineRule="auto"/>
                        </w:pPr>
                        <w:r>
                          <w:t>Financial reporting</w:t>
                        </w:r>
                      </w:p>
                      <w:p w14:paraId="435F5559" w14:textId="77777777" w:rsidR="005E7FF5" w:rsidRDefault="005E7FF5" w:rsidP="005E7FF5">
                        <w:pPr>
                          <w:spacing w:line="240" w:lineRule="auto"/>
                          <w:ind w:left="720"/>
                        </w:pPr>
                      </w:p>
                    </w:txbxContent>
                  </v:textbox>
                </v:rect>
                <v:rect id="Rectangle 7" o:spid="_x0000_s1031" style="position:absolute;left:2603;top:33452;width:21137;height:1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">
                  <v:textbox inset="1.82994mm,.91494mm,1.82994mm,.91494mm">
                    <w:txbxContent>
                      <w:p w14:paraId="08E45B93" w14:textId="77777777" w:rsidR="005E7FF5" w:rsidRDefault="005E7FF5" w:rsidP="005E7FF5">
                        <w:pPr>
                          <w:rPr>
                            <w:b/>
                          </w:rPr>
                        </w:pPr>
                        <w:r>
                          <w:rPr>
                            <w:b/>
                          </w:rPr>
                          <w:t>Risk Mitigation strategy</w:t>
                        </w:r>
                      </w:p>
                      <w:p w14:paraId="3B99CC93" w14:textId="77777777" w:rsidR="005E7FF5" w:rsidRDefault="005E7FF5" w:rsidP="005E7FF5">
                        <w:pPr>
                          <w:numPr>
                            <w:ilvl w:val="0"/>
                            <w:numId w:val="10"/>
                          </w:numPr>
                          <w:spacing w:line="240" w:lineRule="auto"/>
                        </w:pPr>
                        <w:r>
                          <w:t>Risk analysis</w:t>
                        </w:r>
                      </w:p>
                      <w:p w14:paraId="164A09C2" w14:textId="77777777" w:rsidR="005E7FF5" w:rsidRDefault="005E7FF5" w:rsidP="005E7FF5">
                        <w:pPr>
                          <w:numPr>
                            <w:ilvl w:val="0"/>
                            <w:numId w:val="10"/>
                          </w:numPr>
                          <w:spacing w:line="240" w:lineRule="auto"/>
                        </w:pPr>
                        <w:r>
                          <w:t>Appropriate risk allocation</w:t>
                        </w:r>
                      </w:p>
                      <w:p w14:paraId="31650F99" w14:textId="77777777" w:rsidR="005E7FF5" w:rsidRDefault="005E7FF5" w:rsidP="005E7FF5">
                        <w:pPr>
                          <w:numPr>
                            <w:ilvl w:val="0"/>
                            <w:numId w:val="10"/>
                          </w:numPr>
                          <w:spacing w:line="240" w:lineRule="auto"/>
                        </w:pPr>
                        <w:r>
                          <w:t>Contingent measures</w:t>
                        </w:r>
                      </w:p>
                      <w:p w14:paraId="0D143C4C" w14:textId="77777777" w:rsidR="005E7FF5" w:rsidRDefault="005E7FF5" w:rsidP="005E7FF5">
                        <w:pPr>
                          <w:spacing w:line="240" w:lineRule="auto"/>
                        </w:pPr>
                      </w:p>
                      <w:p w14:paraId="5C59EFAC" w14:textId="77777777" w:rsidR="005E7FF5" w:rsidRDefault="005E7FF5" w:rsidP="005E7FF5">
                        <w:pPr>
                          <w:spacing w:line="240" w:lineRule="auto"/>
                        </w:pPr>
                      </w:p>
                    </w:txbxContent>
                  </v:textbox>
                </v:rect>
                <v:rect id="Rectangle 8" o:spid="_x0000_s1032" style="position:absolute;left:37481;top:12815;width:19431;height:2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">
                  <v:textbox inset="1.82994mm,.91494mm,1.82994mm,.91494mm">
                    <w:txbxContent>
                      <w:p w14:paraId="6EAE94C7" w14:textId="77777777" w:rsidR="005E7FF5" w:rsidRDefault="005E7FF5" w:rsidP="005E7FF5">
                        <w:pPr>
                          <w:rPr>
                            <w:b/>
                          </w:rPr>
                        </w:pPr>
                        <w:r>
                          <w:rPr>
                            <w:b/>
                          </w:rPr>
                          <w:t>Performance in commercial state-owned corporations</w:t>
                        </w:r>
                      </w:p>
                      <w:p w14:paraId="3A8E7D19" w14:textId="77777777" w:rsidR="005E7FF5" w:rsidRDefault="005E7FF5" w:rsidP="005E7FF5">
                        <w:pPr>
                          <w:numPr>
                            <w:ilvl w:val="0"/>
                            <w:numId w:val="11"/>
                          </w:numPr>
                          <w:spacing w:line="240" w:lineRule="auto"/>
                        </w:pPr>
                        <w:r>
                          <w:t xml:space="preserve">Accessibility of services </w:t>
                        </w:r>
                      </w:p>
                      <w:p w14:paraId="0761EF31" w14:textId="77777777" w:rsidR="005E7FF5" w:rsidRDefault="005E7FF5" w:rsidP="005E7FF5">
                        <w:pPr>
                          <w:numPr>
                            <w:ilvl w:val="0"/>
                            <w:numId w:val="11"/>
                          </w:numPr>
                          <w:spacing w:line="240" w:lineRule="auto"/>
                        </w:pPr>
                        <w:r>
                          <w:t xml:space="preserve">Efficiency of services </w:t>
                        </w:r>
                      </w:p>
                      <w:p w14:paraId="5321ECBD" w14:textId="77777777" w:rsidR="005E7FF5" w:rsidRDefault="005E7FF5" w:rsidP="005E7FF5">
                        <w:pPr>
                          <w:numPr>
                            <w:ilvl w:val="0"/>
                            <w:numId w:val="11"/>
                          </w:numPr>
                          <w:spacing w:line="240" w:lineRule="auto"/>
                          <w:rPr>
                            <w:b/>
                          </w:rPr>
                        </w:pPr>
                        <w:r>
                          <w:t>Citizen satisfaction</w:t>
                        </w:r>
                      </w:p>
                    </w:txbxContent>
                  </v:textbox>
                </v:rect>
                <v:line id="Line 9" o:spid="_x0000_s1033" style="position:absolute;flip:x;visibility:visible;mso-wrap-style:square" from="26939,9859" to="27017,5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4" o:spid="_x0000_s1034" style="position:absolute;visibility:visible;mso-wrap-style:square" from="26939,26162" to="37404,2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15" o:spid="_x0000_s1035" type="#_x0000_t202" style="position:absolute;left:5001;top:359;width:16326;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" stroked="f">
                  <v:textbox inset="1.82994mm,.91494mm,1.82994mm,.91494mm">
                    <w:txbxContent>
                      <w:p w14:paraId="79955284" w14:textId="77777777" w:rsidR="005E7FF5" w:rsidRDefault="005E7FF5" w:rsidP="005E7FF5">
                        <w:pPr>
                          <w:rPr>
                            <w:b/>
                          </w:rPr>
                        </w:pPr>
                        <w:r>
                          <w:rPr>
                            <w:b/>
                          </w:rPr>
                          <w:t>Independent Variables</w:t>
                        </w:r>
                      </w:p>
                    </w:txbxContent>
                  </v:textbox>
                </v:shape>
                <v:rect id="Rectangle 16" o:spid="_x0000_s1036" style="position:absolute;left:36891;top:359;width:19126;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" stroked="f">
                  <v:textbox inset="1.82994mm,.91494mm,1.82994mm,.91494mm">
                    <w:txbxContent>
                      <w:p w14:paraId="330BB5F4" w14:textId="77777777" w:rsidR="005E7FF5" w:rsidRDefault="005E7FF5" w:rsidP="005E7FF5">
                        <w:pPr>
                          <w:rPr>
                            <w:b/>
                          </w:rPr>
                        </w:pPr>
                        <w:r>
                          <w:rPr>
                            <w:b/>
                          </w:rPr>
                          <w:t>Dependent Variables</w:t>
                        </w:r>
                      </w:p>
                    </w:txbxContent>
                  </v:textbox>
                </v:rect>
                <v:line id="Straight Connector 10" o:spid="_x0000_s1037" style="position:absolute;visibility:visible;mso-wrap-style:square" from="23663,23248" to="26939,2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line id="Straight Connector 15" o:spid="_x0000_s1038" style="position:absolute;visibility:visible;mso-wrap-style:square" from="23740,39491" to="26939,3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9G8wwAAANsAAAAPAAAAZHJzL2Rvd25yZXYueG1sRE9Na8JA&#10;EL0L/Q/LFLzpxo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elfRvMMAAADbAAAADwAA&#10;AAAAAAAAAAAAAAAHAgAAZHJzL2Rvd25yZXYueG1sUEsFBgAAAAADAAMAtwAAAPcCAAAAAA==&#10;" strokecolor="black [3200]" strokeweight="1.5pt">
                  <v:stroke joinstyle="miter"/>
                </v:line>
                <v:line id="Straight Connector 18" o:spid="_x0000_s1039" style="position:absolute;visibility:visible;mso-wrap-style:square" from="23740,9951" to="27017,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" strokecolor="black [3200]" strokeweight="1.5pt">
                  <v:stroke joinstyle="miter"/>
                </v:line>
                <v:line id="Straight Connector 19" o:spid="_x0000_s1040" style="position:absolute;flip:x y;visibility:visible;mso-wrap-style:square" from="23585,53710" to="26939,5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" strokecolor="black [3200]" strokeweight="1.5pt">
                  <v:stroke joinstyle="miter"/>
                </v:line>
                <w10:wrap anchory="line"/>
              </v:group>
            </w:pict>
          </mc:Fallback>
        </mc:AlternateContent>
      </w:r>
    </w:p>
    <w:p w14:paraId="478AC496" w14:textId="77777777" w:rsidR="005E7FF5" w:rsidRDefault="005E7FF5" w:rsidP="005E7FF5">
      <w:pPr>
        <w:spacing w:before="240" w:after="120" w:line="276" w:lineRule="auto"/>
        <w:ind w:left="5760" w:firstLine="720"/>
        <w:rPr>
          <w:lang w:eastAsia="en-US"/>
        </w:rPr>
      </w:pPr>
    </w:p>
    <w:p w14:paraId="31A47D18" w14:textId="77777777" w:rsidR="005E7FF5" w:rsidRDefault="005E7FF5" w:rsidP="005E7FF5">
      <w:pPr>
        <w:tabs>
          <w:tab w:val="left" w:pos="5207"/>
        </w:tabs>
        <w:spacing w:before="240" w:after="120"/>
        <w:rPr>
          <w:lang w:eastAsia="en-US"/>
        </w:rPr>
      </w:pPr>
    </w:p>
    <w:p w14:paraId="0E5FC9F4" w14:textId="77777777" w:rsidR="005E7FF5" w:rsidRDefault="005E7FF5" w:rsidP="005E7FF5">
      <w:pPr>
        <w:tabs>
          <w:tab w:val="left" w:pos="5207"/>
        </w:tabs>
        <w:spacing w:before="240" w:after="120"/>
        <w:rPr>
          <w:lang w:eastAsia="en-US"/>
        </w:rPr>
      </w:pPr>
    </w:p>
    <w:p w14:paraId="0BD34D04" w14:textId="77777777" w:rsidR="005E7FF5" w:rsidRDefault="005E7FF5" w:rsidP="005E7FF5">
      <w:pPr>
        <w:tabs>
          <w:tab w:val="left" w:pos="5207"/>
        </w:tabs>
        <w:spacing w:before="240" w:after="120"/>
        <w:ind w:firstLine="720"/>
        <w:rPr>
          <w:lang w:eastAsia="en-US"/>
        </w:rPr>
      </w:pPr>
      <w:bookmarkStart w:id="12" w:name="_1egqt2p" w:colFirst="0" w:colLast="0"/>
      <w:bookmarkEnd w:id="12"/>
    </w:p>
    <w:p w14:paraId="443E4ED8" w14:textId="77777777" w:rsidR="005E7FF5" w:rsidRDefault="005E7FF5" w:rsidP="005E7FF5">
      <w:pPr>
        <w:tabs>
          <w:tab w:val="left" w:pos="5207"/>
        </w:tabs>
        <w:spacing w:before="240" w:after="120"/>
        <w:ind w:firstLine="720"/>
        <w:rPr>
          <w:lang w:eastAsia="en-US"/>
        </w:rPr>
      </w:pPr>
    </w:p>
    <w:p w14:paraId="25639DBF" w14:textId="77777777" w:rsidR="005E7FF5" w:rsidRDefault="005E7FF5" w:rsidP="005E7FF5">
      <w:pPr>
        <w:tabs>
          <w:tab w:val="left" w:pos="5207"/>
        </w:tabs>
        <w:spacing w:before="240" w:after="120"/>
        <w:ind w:firstLine="720"/>
        <w:rPr>
          <w:lang w:eastAsia="en-US"/>
        </w:rPr>
      </w:pPr>
    </w:p>
    <w:p w14:paraId="79A763BA" w14:textId="77777777" w:rsidR="005E7FF5" w:rsidRDefault="005E7FF5" w:rsidP="005E7FF5">
      <w:pPr>
        <w:tabs>
          <w:tab w:val="left" w:pos="5207"/>
        </w:tabs>
        <w:spacing w:before="240" w:after="120"/>
        <w:ind w:firstLine="720"/>
        <w:rPr>
          <w:lang w:eastAsia="en-US"/>
        </w:rPr>
      </w:pPr>
    </w:p>
    <w:p w14:paraId="25A9D161" w14:textId="77777777" w:rsidR="005E7FF5" w:rsidRDefault="005E7FF5" w:rsidP="005E7FF5">
      <w:pPr>
        <w:tabs>
          <w:tab w:val="left" w:pos="5207"/>
        </w:tabs>
        <w:spacing w:before="240" w:after="120"/>
        <w:ind w:firstLine="720"/>
        <w:rPr>
          <w:lang w:eastAsia="en-US"/>
        </w:rPr>
      </w:pPr>
    </w:p>
    <w:p w14:paraId="7ED244FC" w14:textId="77777777" w:rsidR="005E7FF5" w:rsidRDefault="005E7FF5" w:rsidP="005E7FF5">
      <w:pPr>
        <w:tabs>
          <w:tab w:val="left" w:pos="5207"/>
        </w:tabs>
        <w:spacing w:before="240" w:after="120"/>
        <w:ind w:firstLine="720"/>
        <w:rPr>
          <w:lang w:eastAsia="en-US"/>
        </w:rPr>
      </w:pPr>
    </w:p>
    <w:p w14:paraId="63AD7413" w14:textId="77777777" w:rsidR="005E7FF5" w:rsidRDefault="005E7FF5" w:rsidP="005E7FF5">
      <w:pPr>
        <w:tabs>
          <w:tab w:val="left" w:pos="5207"/>
        </w:tabs>
        <w:spacing w:before="240" w:after="120"/>
        <w:ind w:firstLine="720"/>
        <w:rPr>
          <w:lang w:eastAsia="en-US"/>
        </w:rPr>
      </w:pPr>
    </w:p>
    <w:p w14:paraId="104AF8E9" w14:textId="77777777" w:rsidR="005E7FF5" w:rsidRDefault="005E7FF5" w:rsidP="005E7FF5">
      <w:pPr>
        <w:tabs>
          <w:tab w:val="left" w:pos="5207"/>
        </w:tabs>
        <w:spacing w:before="240" w:after="120"/>
        <w:ind w:firstLine="720"/>
        <w:rPr>
          <w:lang w:eastAsia="en-US"/>
        </w:rPr>
      </w:pPr>
    </w:p>
    <w:p w14:paraId="273BCDB9" w14:textId="77777777" w:rsidR="005E7FF5" w:rsidRDefault="005E7FF5" w:rsidP="005E7FF5">
      <w:pPr>
        <w:tabs>
          <w:tab w:val="left" w:pos="5207"/>
        </w:tabs>
        <w:spacing w:before="240" w:after="120"/>
        <w:ind w:firstLine="720"/>
        <w:rPr>
          <w:lang w:eastAsia="en-US"/>
        </w:rPr>
      </w:pPr>
    </w:p>
    <w:p w14:paraId="3C500C32" w14:textId="77777777" w:rsidR="005E7FF5" w:rsidRDefault="005E7FF5" w:rsidP="005E7FF5">
      <w:pPr>
        <w:tabs>
          <w:tab w:val="left" w:pos="5207"/>
        </w:tabs>
        <w:spacing w:before="240" w:after="120"/>
        <w:ind w:firstLine="720"/>
        <w:rPr>
          <w:lang w:eastAsia="en-US"/>
        </w:rPr>
      </w:pPr>
    </w:p>
    <w:p w14:paraId="65F0B9C5" w14:textId="77777777" w:rsidR="005E7FF5" w:rsidRDefault="005E7FF5" w:rsidP="005E7FF5">
      <w:pPr>
        <w:tabs>
          <w:tab w:val="left" w:pos="5207"/>
        </w:tabs>
        <w:spacing w:before="240" w:after="120"/>
        <w:ind w:firstLine="720"/>
        <w:rPr>
          <w:lang w:eastAsia="en-US"/>
        </w:rPr>
      </w:pPr>
    </w:p>
    <w:p w14:paraId="5F13B213" w14:textId="77777777" w:rsidR="005E7FF5" w:rsidRDefault="005E7FF5" w:rsidP="005E7FF5">
      <w:pPr>
        <w:spacing w:line="240" w:lineRule="auto"/>
        <w:contextualSpacing/>
        <w:jc w:val="both"/>
      </w:pPr>
    </w:p>
    <w:p w14:paraId="11A3783E" w14:textId="77777777" w:rsidR="005E7FF5" w:rsidRDefault="005E7FF5" w:rsidP="005E7FF5">
      <w:pPr>
        <w:spacing w:line="240" w:lineRule="auto"/>
        <w:contextualSpacing/>
        <w:jc w:val="both"/>
      </w:pPr>
    </w:p>
    <w:p w14:paraId="4748A73C" w14:textId="77777777" w:rsidR="00325523" w:rsidRDefault="005E7FF5" w:rsidP="00325523">
      <w:pPr>
        <w:pStyle w:val="Caption"/>
        <w:rPr>
          <w:szCs w:val="24"/>
        </w:rPr>
      </w:pPr>
      <w:bookmarkStart w:id="13" w:name="_Toc194656219"/>
      <w:bookmarkStart w:id="14" w:name="_Toc194664169"/>
      <w:bookmarkStart w:id="15" w:name="_Toc417168798"/>
      <w:bookmarkStart w:id="16" w:name="_Toc276358456"/>
      <w:bookmarkStart w:id="17" w:name="_Toc251599766"/>
      <w:bookmarkStart w:id="18" w:name="_Toc283582613"/>
      <w:bookmarkStart w:id="19" w:name="_Toc288678936"/>
      <w:bookmarkEnd w:id="8"/>
      <w:r>
        <w:t xml:space="preserve">Figure </w:t>
      </w:r>
      <w:fldSimple w:instr=" SEQ Figure \* ARABIC ">
        <w:r>
          <w:rPr>
            <w:noProof/>
          </w:rPr>
          <w:t>1</w:t>
        </w:r>
      </w:fldSimple>
      <w:r w:rsidRPr="00A33FFA">
        <w:rPr>
          <w:szCs w:val="24"/>
        </w:rPr>
        <w:t>: Conceptual Framework</w:t>
      </w:r>
      <w:bookmarkEnd w:id="13"/>
      <w:bookmarkEnd w:id="14"/>
    </w:p>
    <w:p w14:paraId="494471ED" w14:textId="77777777" w:rsidR="005E7FF5" w:rsidRPr="00325523" w:rsidRDefault="00325523" w:rsidP="00325523">
      <w:pPr>
        <w:pStyle w:val="NormalWeb"/>
        <w:spacing w:line="360" w:lineRule="auto"/>
        <w:jc w:val="both"/>
      </w:pPr>
      <w:r>
        <w:lastRenderedPageBreak/>
        <w:t xml:space="preserve">The </w:t>
      </w:r>
      <w:r w:rsidR="00404EBD">
        <w:t>-</w:t>
      </w:r>
      <w:r>
        <w:t>conceptual framework illustrates the relationship between technical skills strategy as the independent variable and organizational performance as the dependent variable. Technical skills strategy was measured through indicators such as employee expertise, technical training, professional competencies, innovation capability, and technical capacity development. Organizational performance was measured using indicators including operational efficiency, service delivery, innovation, adaptability, and project implementation effectiveness.</w:t>
      </w:r>
      <w:r w:rsidR="005E7FF5" w:rsidRPr="00A33FFA">
        <w:t xml:space="preserve">          </w:t>
      </w:r>
    </w:p>
    <w:p w14:paraId="61D375BA" w14:textId="77777777" w:rsidR="005E7FF5" w:rsidRDefault="005E7FF5" w:rsidP="005E7FF5">
      <w:pPr>
        <w:pStyle w:val="Heading2"/>
        <w:spacing w:before="0" w:after="0" w:line="240" w:lineRule="auto"/>
        <w:jc w:val="both"/>
        <w:rPr>
          <w:szCs w:val="24"/>
        </w:rPr>
      </w:pPr>
      <w:r>
        <w:rPr>
          <w:szCs w:val="24"/>
        </w:rPr>
        <w:t>3</w:t>
      </w:r>
      <w:r w:rsidRPr="006A7EC4">
        <w:rPr>
          <w:szCs w:val="24"/>
        </w:rPr>
        <w:t>.0 Research Methodology</w:t>
      </w:r>
      <w:bookmarkEnd w:id="9"/>
      <w:bookmarkEnd w:id="10"/>
      <w:bookmarkEnd w:id="15"/>
      <w:bookmarkEnd w:id="16"/>
      <w:bookmarkEnd w:id="17"/>
      <w:bookmarkEnd w:id="18"/>
      <w:bookmarkEnd w:id="19"/>
    </w:p>
    <w:p w14:paraId="0858383D" w14:textId="67AE1B0F" w:rsidR="00325523" w:rsidRDefault="00325523" w:rsidP="00325523">
      <w:pPr>
        <w:pStyle w:val="Heading2"/>
        <w:rPr>
          <w:sz w:val="36"/>
          <w:szCs w:val="36"/>
        </w:rPr>
      </w:pPr>
    </w:p>
    <w:p w14:paraId="3B724391" w14:textId="77777777" w:rsidR="00325523" w:rsidRDefault="00325523" w:rsidP="00325523">
      <w:pPr>
        <w:pStyle w:val="NormalWeb"/>
        <w:spacing w:line="360" w:lineRule="auto"/>
        <w:jc w:val="both"/>
      </w:pPr>
      <w:r>
        <w:t>The study adopted a descriptive research design to examine the influence of public-private partnership technical skills strategy on organizational performance among commercial state-owned corporations in Nairobi City County, Kenya. A descriptive design was considered appropriate because it enabled the researcher to systematically collect and analyze quantitative and qualitative data concerning existing organizational practices and relationships without manipulating the study variables.</w:t>
      </w:r>
    </w:p>
    <w:p w14:paraId="2996EF7D" w14:textId="77777777" w:rsidR="00A75B7C" w:rsidRDefault="00325523" w:rsidP="00325523">
      <w:pPr>
        <w:pStyle w:val="NormalWeb"/>
        <w:spacing w:line="360" w:lineRule="auto"/>
        <w:jc w:val="both"/>
      </w:pPr>
      <w:r>
        <w:t>The target population comprised 46 commercial state-owned corporations operating within Nairobi City County and actively engaged in Public-Private Partnership (PPP) initiatives. These corporations operate across various sectors including transport, finance, agriculture, industrial development, education, and infrastructure. The study specifically targeted managerial employees because of their strategic involvement in PPP implementation and organizational decision-making processes.</w:t>
      </w:r>
    </w:p>
    <w:p w14:paraId="1E6E51C6" w14:textId="77777777" w:rsidR="00325523" w:rsidRDefault="00325523" w:rsidP="00325523">
      <w:pPr>
        <w:pStyle w:val="NormalWeb"/>
        <w:spacing w:line="360" w:lineRule="auto"/>
        <w:jc w:val="both"/>
      </w:pPr>
      <w:r>
        <w:t>Purposive sampling was employed to select respondents from the participating corporations. Three management-level officers were selected from each corporation, namely finance managers, human resource managers, and operations managers. These categories of respondents were considered appropriate due to their understanding of organizational strategy, operational performance, and PPP implementation processes. The resulting sample size comprised 138 respondents.</w:t>
      </w:r>
    </w:p>
    <w:p w14:paraId="0943D7B9" w14:textId="77777777" w:rsidR="00325523" w:rsidRDefault="00325523" w:rsidP="00325523">
      <w:pPr>
        <w:pStyle w:val="NormalWeb"/>
        <w:spacing w:line="360" w:lineRule="auto"/>
        <w:jc w:val="both"/>
      </w:pPr>
      <w:r>
        <w:t xml:space="preserve">Primary data were collected using structured questionnaires consisting of both closed-ended and open-ended questions. The questionnaire was organized into sections covering demographic </w:t>
      </w:r>
      <w:r>
        <w:lastRenderedPageBreak/>
        <w:t>information, technical skills strategy, and organizational performance indicators. Closed-ended questions utilized a five-point Likert scale to measure respondents’ perceptions regarding the extent to which technical skills strategy influenced organizational performance.</w:t>
      </w:r>
    </w:p>
    <w:p w14:paraId="0AB78FEE" w14:textId="77777777" w:rsidR="00325523" w:rsidRDefault="00325523" w:rsidP="00325523">
      <w:pPr>
        <w:pStyle w:val="NormalWeb"/>
        <w:spacing w:line="360" w:lineRule="auto"/>
        <w:jc w:val="both"/>
      </w:pPr>
      <w:r>
        <w:t>Prior to the main data collection exercise, a pilot study was conducted among management staff drawn from two state corporations under the Ministry of Lands. Reliability of the research instrument was assessed using Cronbach’s Alpha coefficient, where a reliability coefficient of 0.71 was achieved, indicating acceptable internal consistency of the instrument.</w:t>
      </w:r>
    </w:p>
    <w:p w14:paraId="3F194805" w14:textId="77777777" w:rsidR="00325523" w:rsidRDefault="00325523" w:rsidP="00325523">
      <w:pPr>
        <w:pStyle w:val="NormalWeb"/>
        <w:spacing w:line="360" w:lineRule="auto"/>
        <w:jc w:val="both"/>
      </w:pPr>
      <w:r>
        <w:t>Data analysis was conducted using the Statistical Package for Social Sciences (SPSS). Descriptive statistics including frequencies, percentages, means, and standard deviations were used to summarize the data. Inferential statistics, particularly correlation and regression analysis, were employed to determine the relationship between technical skills strategy and organizational performance. The regression model used in the study was expressed as:</w:t>
      </w:r>
    </w:p>
    <w:p w14:paraId="47ECC840" w14:textId="77777777" w:rsidR="00325523" w:rsidRDefault="00325523" w:rsidP="00325523">
      <w:pPr>
        <w:pStyle w:val="NormalWeb"/>
        <w:spacing w:line="360" w:lineRule="auto"/>
      </w:pPr>
      <w:r>
        <w:t>Y = α + β1X1 + ε</w:t>
      </w:r>
    </w:p>
    <w:p w14:paraId="61CB1052" w14:textId="77777777" w:rsidR="00325523" w:rsidRDefault="00325523" w:rsidP="00325523">
      <w:pPr>
        <w:pStyle w:val="NormalWeb"/>
        <w:spacing w:line="360" w:lineRule="auto"/>
      </w:pPr>
      <w:r>
        <w:t>Where:</w:t>
      </w:r>
      <w:r>
        <w:br/>
        <w:t>Y = Organizational Performance</w:t>
      </w:r>
      <w:r>
        <w:br/>
        <w:t>X1 = Technical Skills Strategy</w:t>
      </w:r>
      <w:r>
        <w:br/>
        <w:t>α = Constant</w:t>
      </w:r>
      <w:r>
        <w:br/>
        <w:t>β1 = Regression Coefficient</w:t>
      </w:r>
      <w:r>
        <w:br/>
        <w:t>ε = Error Term</w:t>
      </w:r>
    </w:p>
    <w:p w14:paraId="463E0829" w14:textId="77777777" w:rsidR="005E7FF5" w:rsidRDefault="00325523" w:rsidP="00325523">
      <w:pPr>
        <w:pStyle w:val="NormalWeb"/>
        <w:spacing w:line="360" w:lineRule="auto"/>
        <w:jc w:val="both"/>
      </w:pPr>
      <w:r>
        <w:t>Ethical considerations were observed throughout the study. Approval to conduct the study was obtained from Kenyatta University and the National Commission for Science, Technology and Innovation (NACOSTI). Participation was voluntary, and respondents were assured of confidentiality and anonymity. The collected data were used strictly for academic purposes.</w:t>
      </w:r>
    </w:p>
    <w:p w14:paraId="54CBD5B9" w14:textId="77777777" w:rsidR="00325523" w:rsidRPr="006A7EC4" w:rsidRDefault="00325523" w:rsidP="00325523">
      <w:pPr>
        <w:pStyle w:val="NormalWeb"/>
        <w:spacing w:line="360" w:lineRule="auto"/>
        <w:jc w:val="both"/>
      </w:pPr>
    </w:p>
    <w:p w14:paraId="2AD30954" w14:textId="77777777" w:rsidR="005E7FF5" w:rsidRPr="00490638" w:rsidRDefault="005E7FF5" w:rsidP="00490638">
      <w:pPr>
        <w:pStyle w:val="Heading2"/>
        <w:spacing w:before="0" w:after="0"/>
        <w:jc w:val="both"/>
        <w:rPr>
          <w:szCs w:val="24"/>
        </w:rPr>
      </w:pPr>
      <w:bookmarkStart w:id="20" w:name="_Toc417168820"/>
      <w:bookmarkStart w:id="21" w:name="_Toc283567924"/>
      <w:bookmarkStart w:id="22" w:name="_Toc284069935"/>
      <w:bookmarkEnd w:id="11"/>
      <w:r w:rsidRPr="006A7EC4">
        <w:rPr>
          <w:szCs w:val="24"/>
        </w:rPr>
        <w:lastRenderedPageBreak/>
        <w:t>4.0 Results and Discussion</w:t>
      </w:r>
      <w:bookmarkStart w:id="23" w:name="_Toc404683853"/>
      <w:bookmarkStart w:id="24" w:name="_Toc406967083"/>
      <w:bookmarkStart w:id="25" w:name="_Toc413066773"/>
      <w:bookmarkStart w:id="26" w:name="_Toc413330429"/>
      <w:bookmarkEnd w:id="20"/>
    </w:p>
    <w:p w14:paraId="7D199D4D" w14:textId="77777777" w:rsidR="005E7FF5" w:rsidRPr="006A7EC4" w:rsidRDefault="005E7FF5" w:rsidP="00490638">
      <w:pPr>
        <w:pStyle w:val="Heading2"/>
        <w:spacing w:before="0" w:after="0"/>
        <w:jc w:val="both"/>
        <w:rPr>
          <w:szCs w:val="24"/>
        </w:rPr>
      </w:pPr>
      <w:r w:rsidRPr="006A7EC4">
        <w:rPr>
          <w:szCs w:val="24"/>
        </w:rPr>
        <w:t xml:space="preserve">4.1 </w:t>
      </w:r>
      <w:r w:rsidRPr="00476DA1">
        <w:t>Descriptive statistics</w:t>
      </w:r>
      <w:r w:rsidRPr="00476DA1">
        <w:rPr>
          <w:b w:val="0"/>
        </w:rPr>
        <w:t xml:space="preserve"> </w:t>
      </w:r>
    </w:p>
    <w:bookmarkEnd w:id="23"/>
    <w:bookmarkEnd w:id="24"/>
    <w:bookmarkEnd w:id="25"/>
    <w:bookmarkEnd w:id="26"/>
    <w:p w14:paraId="5AB47F3E" w14:textId="77777777" w:rsidR="00325523" w:rsidRDefault="00325523" w:rsidP="00325523">
      <w:pPr>
        <w:pStyle w:val="NormalWeb"/>
        <w:spacing w:line="480" w:lineRule="auto"/>
        <w:jc w:val="both"/>
      </w:pPr>
      <w:r>
        <w:t>The study sought to investigate the influence of technical skills strategy on organizational performance among commercial state-owned corporations in Nairobi City County, Kenya. Respondents were asked to indicate their level of agreement with statements relating to technical skills within PPP operations on a five-point Likert scale ranging from 1 = Strongly Disagree to 5 = Strongly Agree. Re</w:t>
      </w:r>
      <w:r w:rsidR="00A10354">
        <w:t>sults are presented in Table 1</w:t>
      </w:r>
      <w:r>
        <w:t>.</w:t>
      </w:r>
    </w:p>
    <w:p w14:paraId="5982597E" w14:textId="77777777" w:rsidR="00325523" w:rsidRDefault="00A10354" w:rsidP="00325523">
      <w:pPr>
        <w:pStyle w:val="Caption"/>
        <w:keepNext/>
        <w:rPr>
          <w:b w:val="0"/>
          <w:i/>
          <w:color w:val="000000" w:themeColor="text1"/>
          <w:szCs w:val="24"/>
        </w:rPr>
      </w:pPr>
      <w:bookmarkStart w:id="27" w:name="_Toc228441625"/>
      <w:r>
        <w:rPr>
          <w:color w:val="000000" w:themeColor="text1"/>
          <w:szCs w:val="24"/>
        </w:rPr>
        <w:t>Table 1</w:t>
      </w:r>
      <w:r w:rsidR="00325523">
        <w:rPr>
          <w:color w:val="000000" w:themeColor="text1"/>
          <w:szCs w:val="24"/>
        </w:rPr>
        <w:t>: Respondents' Agreement with Technical Skills Statements</w:t>
      </w:r>
      <w:bookmarkEnd w:id="27"/>
    </w:p>
    <w:tbl>
      <w:tblPr>
        <w:tblW w:w="909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7"/>
        <w:gridCol w:w="913"/>
        <w:gridCol w:w="1957"/>
      </w:tblGrid>
      <w:tr w:rsidR="00325523" w14:paraId="349573CB" w14:textId="77777777" w:rsidTr="00ED28F9">
        <w:trPr>
          <w:trHeight w:val="793"/>
          <w:tblHeader/>
          <w:tblCellSpacing w:w="15" w:type="dxa"/>
        </w:trPr>
        <w:tc>
          <w:tcPr>
            <w:tcW w:w="0" w:type="auto"/>
            <w:vAlign w:val="center"/>
          </w:tcPr>
          <w:p w14:paraId="78B02D28" w14:textId="77777777" w:rsidR="00325523" w:rsidRDefault="00325523" w:rsidP="00ED28F9">
            <w:pPr>
              <w:spacing w:line="240" w:lineRule="auto"/>
              <w:jc w:val="center"/>
              <w:rPr>
                <w:b/>
                <w:bCs/>
              </w:rPr>
            </w:pPr>
            <w:r>
              <w:rPr>
                <w:rStyle w:val="Strong"/>
              </w:rPr>
              <w:t>Statement</w:t>
            </w:r>
          </w:p>
        </w:tc>
        <w:tc>
          <w:tcPr>
            <w:tcW w:w="883" w:type="dxa"/>
            <w:vAlign w:val="center"/>
          </w:tcPr>
          <w:p w14:paraId="19C15770" w14:textId="77777777" w:rsidR="00325523" w:rsidRDefault="00325523" w:rsidP="00ED28F9">
            <w:pPr>
              <w:spacing w:line="240" w:lineRule="auto"/>
              <w:jc w:val="center"/>
              <w:rPr>
                <w:b/>
                <w:bCs/>
              </w:rPr>
            </w:pPr>
            <w:r>
              <w:rPr>
                <w:rStyle w:val="Strong"/>
              </w:rPr>
              <w:t>Mean</w:t>
            </w:r>
          </w:p>
        </w:tc>
        <w:tc>
          <w:tcPr>
            <w:tcW w:w="1912" w:type="dxa"/>
            <w:vAlign w:val="center"/>
          </w:tcPr>
          <w:p w14:paraId="29441990" w14:textId="77777777" w:rsidR="00325523" w:rsidRDefault="00325523" w:rsidP="00ED28F9">
            <w:pPr>
              <w:spacing w:line="240" w:lineRule="auto"/>
              <w:jc w:val="center"/>
              <w:rPr>
                <w:b/>
                <w:bCs/>
              </w:rPr>
            </w:pPr>
            <w:r>
              <w:rPr>
                <w:rStyle w:val="Strong"/>
              </w:rPr>
              <w:t>Standard Deviation (SD)</w:t>
            </w:r>
          </w:p>
        </w:tc>
      </w:tr>
      <w:tr w:rsidR="00325523" w14:paraId="07BC9BE6" w14:textId="77777777" w:rsidTr="00ED28F9">
        <w:trPr>
          <w:trHeight w:val="793"/>
          <w:tblCellSpacing w:w="15" w:type="dxa"/>
        </w:trPr>
        <w:tc>
          <w:tcPr>
            <w:tcW w:w="0" w:type="auto"/>
            <w:vAlign w:val="center"/>
          </w:tcPr>
          <w:p w14:paraId="6487FB5A" w14:textId="77777777" w:rsidR="00325523" w:rsidRDefault="00325523" w:rsidP="00ED28F9">
            <w:pPr>
              <w:spacing w:line="240" w:lineRule="auto"/>
            </w:pPr>
            <w:r>
              <w:t>Staff possess relevant technical skills to manage PPP projects effectively.</w:t>
            </w:r>
          </w:p>
        </w:tc>
        <w:tc>
          <w:tcPr>
            <w:tcW w:w="883" w:type="dxa"/>
            <w:vAlign w:val="center"/>
          </w:tcPr>
          <w:p w14:paraId="4FC285E9" w14:textId="77777777" w:rsidR="00325523" w:rsidRDefault="00325523" w:rsidP="00ED28F9">
            <w:pPr>
              <w:spacing w:line="240" w:lineRule="auto"/>
            </w:pPr>
            <w:r>
              <w:t>4.28</w:t>
            </w:r>
          </w:p>
        </w:tc>
        <w:tc>
          <w:tcPr>
            <w:tcW w:w="1912" w:type="dxa"/>
            <w:vAlign w:val="center"/>
          </w:tcPr>
          <w:p w14:paraId="749809CB" w14:textId="77777777" w:rsidR="00325523" w:rsidRDefault="00325523" w:rsidP="00ED28F9">
            <w:pPr>
              <w:spacing w:line="240" w:lineRule="auto"/>
            </w:pPr>
            <w:r>
              <w:t>0.63</w:t>
            </w:r>
          </w:p>
        </w:tc>
      </w:tr>
      <w:tr w:rsidR="00325523" w14:paraId="7C7EC3E0" w14:textId="77777777" w:rsidTr="00ED28F9">
        <w:trPr>
          <w:trHeight w:val="793"/>
          <w:tblCellSpacing w:w="15" w:type="dxa"/>
        </w:trPr>
        <w:tc>
          <w:tcPr>
            <w:tcW w:w="0" w:type="auto"/>
            <w:vAlign w:val="center"/>
          </w:tcPr>
          <w:p w14:paraId="69B57070" w14:textId="77777777" w:rsidR="00325523" w:rsidRDefault="00325523" w:rsidP="00ED28F9">
            <w:pPr>
              <w:spacing w:line="240" w:lineRule="auto"/>
            </w:pPr>
            <w:r>
              <w:t>Staff regularly receive training to upgrade their technical competencies.</w:t>
            </w:r>
          </w:p>
        </w:tc>
        <w:tc>
          <w:tcPr>
            <w:tcW w:w="883" w:type="dxa"/>
            <w:vAlign w:val="center"/>
          </w:tcPr>
          <w:p w14:paraId="70A76721" w14:textId="77777777" w:rsidR="00325523" w:rsidRDefault="00325523" w:rsidP="00ED28F9">
            <w:pPr>
              <w:spacing w:line="240" w:lineRule="auto"/>
            </w:pPr>
            <w:r>
              <w:t>4.01</w:t>
            </w:r>
          </w:p>
        </w:tc>
        <w:tc>
          <w:tcPr>
            <w:tcW w:w="1912" w:type="dxa"/>
            <w:vAlign w:val="center"/>
          </w:tcPr>
          <w:p w14:paraId="612C5326" w14:textId="77777777" w:rsidR="00325523" w:rsidRDefault="00325523" w:rsidP="00ED28F9">
            <w:pPr>
              <w:spacing w:line="240" w:lineRule="auto"/>
            </w:pPr>
            <w:r>
              <w:t>0.72</w:t>
            </w:r>
          </w:p>
        </w:tc>
      </w:tr>
      <w:tr w:rsidR="00325523" w14:paraId="51460946" w14:textId="77777777" w:rsidTr="00ED28F9">
        <w:trPr>
          <w:trHeight w:val="793"/>
          <w:tblCellSpacing w:w="15" w:type="dxa"/>
        </w:trPr>
        <w:tc>
          <w:tcPr>
            <w:tcW w:w="0" w:type="auto"/>
            <w:vAlign w:val="center"/>
          </w:tcPr>
          <w:p w14:paraId="262D57DF" w14:textId="77777777" w:rsidR="00325523" w:rsidRDefault="00325523" w:rsidP="00ED28F9">
            <w:pPr>
              <w:spacing w:line="240" w:lineRule="auto"/>
            </w:pPr>
            <w:r>
              <w:t>Lack of technical skills has previously hampered PPP project delivery.</w:t>
            </w:r>
          </w:p>
        </w:tc>
        <w:tc>
          <w:tcPr>
            <w:tcW w:w="883" w:type="dxa"/>
            <w:vAlign w:val="center"/>
          </w:tcPr>
          <w:p w14:paraId="3490C447" w14:textId="77777777" w:rsidR="00325523" w:rsidRDefault="00325523" w:rsidP="00ED28F9">
            <w:pPr>
              <w:spacing w:line="240" w:lineRule="auto"/>
            </w:pPr>
            <w:r>
              <w:t>3.89</w:t>
            </w:r>
          </w:p>
        </w:tc>
        <w:tc>
          <w:tcPr>
            <w:tcW w:w="1912" w:type="dxa"/>
            <w:vAlign w:val="center"/>
          </w:tcPr>
          <w:p w14:paraId="30C6AF76" w14:textId="77777777" w:rsidR="00325523" w:rsidRDefault="00325523" w:rsidP="00ED28F9">
            <w:pPr>
              <w:spacing w:line="240" w:lineRule="auto"/>
            </w:pPr>
            <w:r>
              <w:t>0.91</w:t>
            </w:r>
          </w:p>
        </w:tc>
      </w:tr>
      <w:tr w:rsidR="00325523" w14:paraId="1A47CBB2" w14:textId="77777777" w:rsidTr="00ED28F9">
        <w:trPr>
          <w:trHeight w:val="793"/>
          <w:tblCellSpacing w:w="15" w:type="dxa"/>
        </w:trPr>
        <w:tc>
          <w:tcPr>
            <w:tcW w:w="0" w:type="auto"/>
            <w:vAlign w:val="center"/>
          </w:tcPr>
          <w:p w14:paraId="06DEA03E" w14:textId="77777777" w:rsidR="00325523" w:rsidRDefault="00325523" w:rsidP="00ED28F9">
            <w:pPr>
              <w:spacing w:line="240" w:lineRule="auto"/>
            </w:pPr>
            <w:r>
              <w:t>Technical expertise enhances innovation and adaptability in PPP operations.</w:t>
            </w:r>
          </w:p>
        </w:tc>
        <w:tc>
          <w:tcPr>
            <w:tcW w:w="883" w:type="dxa"/>
            <w:vAlign w:val="center"/>
          </w:tcPr>
          <w:p w14:paraId="25B62DE3" w14:textId="77777777" w:rsidR="00325523" w:rsidRDefault="00325523" w:rsidP="00ED28F9">
            <w:pPr>
              <w:spacing w:line="240" w:lineRule="auto"/>
            </w:pPr>
            <w:r>
              <w:t>4.22</w:t>
            </w:r>
          </w:p>
        </w:tc>
        <w:tc>
          <w:tcPr>
            <w:tcW w:w="1912" w:type="dxa"/>
            <w:vAlign w:val="center"/>
          </w:tcPr>
          <w:p w14:paraId="590B1C41" w14:textId="77777777" w:rsidR="00325523" w:rsidRDefault="00325523" w:rsidP="00ED28F9">
            <w:pPr>
              <w:spacing w:line="240" w:lineRule="auto"/>
            </w:pPr>
            <w:r>
              <w:t>0.68</w:t>
            </w:r>
          </w:p>
        </w:tc>
      </w:tr>
      <w:tr w:rsidR="00325523" w14:paraId="562B1724" w14:textId="77777777" w:rsidTr="00ED28F9">
        <w:trPr>
          <w:trHeight w:val="793"/>
          <w:tblCellSpacing w:w="15" w:type="dxa"/>
        </w:trPr>
        <w:tc>
          <w:tcPr>
            <w:tcW w:w="0" w:type="auto"/>
            <w:vAlign w:val="center"/>
          </w:tcPr>
          <w:p w14:paraId="4F5E3C96" w14:textId="77777777" w:rsidR="00325523" w:rsidRDefault="00325523" w:rsidP="00ED28F9">
            <w:pPr>
              <w:spacing w:line="240" w:lineRule="auto"/>
            </w:pPr>
            <w:r>
              <w:t>There is a skills gap that affects the implementation of complex PPP models.</w:t>
            </w:r>
          </w:p>
        </w:tc>
        <w:tc>
          <w:tcPr>
            <w:tcW w:w="883" w:type="dxa"/>
            <w:vAlign w:val="center"/>
          </w:tcPr>
          <w:p w14:paraId="6D4726EC" w14:textId="77777777" w:rsidR="00325523" w:rsidRDefault="00325523" w:rsidP="00ED28F9">
            <w:pPr>
              <w:spacing w:line="240" w:lineRule="auto"/>
            </w:pPr>
            <w:r>
              <w:t>3.76</w:t>
            </w:r>
          </w:p>
        </w:tc>
        <w:tc>
          <w:tcPr>
            <w:tcW w:w="1912" w:type="dxa"/>
            <w:vAlign w:val="center"/>
          </w:tcPr>
          <w:p w14:paraId="5DAD232B" w14:textId="77777777" w:rsidR="00325523" w:rsidRDefault="00325523" w:rsidP="00ED28F9">
            <w:pPr>
              <w:spacing w:line="240" w:lineRule="auto"/>
            </w:pPr>
            <w:r>
              <w:t>0.85</w:t>
            </w:r>
          </w:p>
        </w:tc>
      </w:tr>
      <w:tr w:rsidR="00325523" w14:paraId="0696FCE1" w14:textId="77777777" w:rsidTr="00ED28F9">
        <w:trPr>
          <w:trHeight w:val="793"/>
          <w:tblCellSpacing w:w="15" w:type="dxa"/>
        </w:trPr>
        <w:tc>
          <w:tcPr>
            <w:tcW w:w="0" w:type="auto"/>
            <w:vAlign w:val="center"/>
          </w:tcPr>
          <w:p w14:paraId="4E2396D8" w14:textId="77777777" w:rsidR="00325523" w:rsidRDefault="00325523" w:rsidP="00ED28F9">
            <w:pPr>
              <w:spacing w:line="240" w:lineRule="auto"/>
              <w:rPr>
                <w:b/>
              </w:rPr>
            </w:pPr>
            <w:r>
              <w:rPr>
                <w:b/>
              </w:rPr>
              <w:t>Aggregate Mean</w:t>
            </w:r>
          </w:p>
        </w:tc>
        <w:tc>
          <w:tcPr>
            <w:tcW w:w="883" w:type="dxa"/>
            <w:vAlign w:val="center"/>
          </w:tcPr>
          <w:p w14:paraId="465EC358" w14:textId="77777777" w:rsidR="00325523" w:rsidRDefault="00325523" w:rsidP="00ED28F9">
            <w:pPr>
              <w:spacing w:line="240" w:lineRule="auto"/>
              <w:rPr>
                <w:b/>
              </w:rPr>
            </w:pPr>
            <w:r>
              <w:rPr>
                <w:b/>
              </w:rPr>
              <w:t>4.03</w:t>
            </w:r>
          </w:p>
        </w:tc>
        <w:tc>
          <w:tcPr>
            <w:tcW w:w="1912" w:type="dxa"/>
            <w:vAlign w:val="center"/>
          </w:tcPr>
          <w:p w14:paraId="3C78EFDE" w14:textId="77777777" w:rsidR="00325523" w:rsidRDefault="00325523" w:rsidP="00ED28F9">
            <w:pPr>
              <w:spacing w:line="240" w:lineRule="auto"/>
              <w:rPr>
                <w:b/>
              </w:rPr>
            </w:pPr>
            <w:r>
              <w:rPr>
                <w:b/>
              </w:rPr>
              <w:t>0.76</w:t>
            </w:r>
          </w:p>
        </w:tc>
      </w:tr>
    </w:tbl>
    <w:p w14:paraId="6970066C" w14:textId="77777777" w:rsidR="005E7FF5" w:rsidRDefault="00325523" w:rsidP="00325523">
      <w:pPr>
        <w:pStyle w:val="NormalWeb"/>
        <w:spacing w:line="360" w:lineRule="auto"/>
        <w:jc w:val="both"/>
        <w:rPr>
          <w:b/>
        </w:rPr>
      </w:pPr>
      <w:r>
        <w:rPr>
          <w:b/>
        </w:rPr>
        <w:t>Source: Research Data (2026)</w:t>
      </w:r>
    </w:p>
    <w:p w14:paraId="09B35067" w14:textId="77777777" w:rsidR="00A10354" w:rsidRDefault="00A10354" w:rsidP="00A10354">
      <w:pPr>
        <w:pStyle w:val="isselectedend"/>
        <w:spacing w:line="360" w:lineRule="auto"/>
        <w:jc w:val="both"/>
      </w:pPr>
      <w:r>
        <w:t xml:space="preserve">The findings revealed a high level of agreement regarding the importance of technical skills in enhancing organizational performance, as indicated by an aggregate mean score of 4.03 and a standard deviation of 0.76. Respondents strongly agreed that staff possessed relevant technical </w:t>
      </w:r>
      <w:r>
        <w:lastRenderedPageBreak/>
        <w:t>skills necessary for managing PPP projects effectively (Mean = 4.28, SD = 0.63). Similarly, respondents agreed that technical expertise enhances innovation and adaptability within PPP operations (Mean = 4.22, SD = 0.68).</w:t>
      </w:r>
    </w:p>
    <w:p w14:paraId="3F2039DD" w14:textId="77777777" w:rsidR="00A10354" w:rsidRDefault="00A10354" w:rsidP="00A10354">
      <w:pPr>
        <w:pStyle w:val="isselectedend"/>
        <w:spacing w:line="360" w:lineRule="auto"/>
        <w:jc w:val="both"/>
      </w:pPr>
      <w:r>
        <w:t>The findings further indicated that organizations regularly invest in employee training and capacity development programs (Mean = 4.01, SD = 0.72). However, respondents also acknowledged the existence of skills gaps affecting the implementation of complex PPP models (Mean = 3.76, SD = 0.85), suggesting the need for specialized technical training and continuous professional development.</w:t>
      </w:r>
    </w:p>
    <w:p w14:paraId="5258A0D6" w14:textId="77777777" w:rsidR="00A10354" w:rsidRPr="00A10354" w:rsidRDefault="00A10354" w:rsidP="00325523">
      <w:pPr>
        <w:pStyle w:val="NormalWeb"/>
        <w:spacing w:line="360" w:lineRule="auto"/>
        <w:jc w:val="both"/>
      </w:pPr>
      <w:r>
        <w:t>These findings support the argument by Khanom (2010) that technical competence is essential for effective PPP management, particularly in infrastructure-intensive sectors. Similarly, Farquharson et al. (2011) observed that inadequate technical and managerial expertise remains one of the leading causes of PPP underperformance in developing economies. The findings are also consistent with the Resource Dependence Theory, which emphasizes the importance of securing and effectively utilizing strategic organizational resources such as human capital and technical expertise.</w:t>
      </w:r>
    </w:p>
    <w:p w14:paraId="2D1F0B82" w14:textId="77777777" w:rsidR="005E7FF5" w:rsidRPr="00CB0706" w:rsidRDefault="005E7FF5" w:rsidP="005E7FF5">
      <w:pPr>
        <w:pStyle w:val="Heading2"/>
        <w:spacing w:line="240" w:lineRule="auto"/>
        <w:jc w:val="both"/>
      </w:pPr>
      <w:bookmarkStart w:id="28" w:name="_Toc36616766"/>
      <w:bookmarkStart w:id="29" w:name="_Toc44319692"/>
      <w:bookmarkStart w:id="30" w:name="_Toc52989541"/>
      <w:bookmarkStart w:id="31" w:name="_Toc56695976"/>
      <w:bookmarkStart w:id="32" w:name="_Toc71702211"/>
      <w:bookmarkStart w:id="33" w:name="_Toc72832610"/>
      <w:bookmarkStart w:id="34" w:name="_Toc72848388"/>
      <w:bookmarkStart w:id="35" w:name="_Toc78797767"/>
      <w:bookmarkStart w:id="36" w:name="_Toc82343792"/>
      <w:bookmarkStart w:id="37" w:name="_Toc86935496"/>
      <w:bookmarkStart w:id="38" w:name="_Toc87093389"/>
      <w:bookmarkStart w:id="39" w:name="_Toc119320371"/>
      <w:bookmarkStart w:id="40" w:name="_Toc195963356"/>
      <w:r>
        <w:t>4.5</w:t>
      </w:r>
      <w:r w:rsidRPr="00CB0706">
        <w:t xml:space="preserve"> </w:t>
      </w:r>
      <w:bookmarkEnd w:id="28"/>
      <w:bookmarkEnd w:id="29"/>
      <w:bookmarkEnd w:id="30"/>
      <w:bookmarkEnd w:id="31"/>
      <w:bookmarkEnd w:id="32"/>
      <w:bookmarkEnd w:id="33"/>
      <w:bookmarkEnd w:id="34"/>
      <w:bookmarkEnd w:id="35"/>
      <w:bookmarkEnd w:id="36"/>
      <w:bookmarkEnd w:id="37"/>
      <w:bookmarkEnd w:id="38"/>
      <w:r>
        <w:t>Correlation Analysis</w:t>
      </w:r>
      <w:bookmarkEnd w:id="39"/>
      <w:bookmarkEnd w:id="40"/>
    </w:p>
    <w:p w14:paraId="1B0944EF" w14:textId="77777777" w:rsidR="00A10354" w:rsidRDefault="00A10354" w:rsidP="00A10354">
      <w:pPr>
        <w:pStyle w:val="NormalWeb"/>
        <w:spacing w:line="360" w:lineRule="auto"/>
        <w:jc w:val="both"/>
      </w:pPr>
      <w:r>
        <w:t xml:space="preserve">Analysis was performed through Pearson correlation to determine whether the relationship between technical skills and organizational was strong enough and its direction. Table 2 are the results. </w:t>
      </w:r>
    </w:p>
    <w:tbl>
      <w:tblPr>
        <w:tblpPr w:leftFromText="180" w:rightFromText="180" w:vertAnchor="text" w:horzAnchor="margin" w:tblpY="500"/>
        <w:tblW w:w="871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81"/>
        <w:gridCol w:w="3367"/>
        <w:gridCol w:w="1971"/>
      </w:tblGrid>
      <w:tr w:rsidR="00A10354" w14:paraId="5B7AD730" w14:textId="77777777" w:rsidTr="00A10354">
        <w:trPr>
          <w:trHeight w:val="620"/>
          <w:tblCellSpacing w:w="15" w:type="dxa"/>
        </w:trPr>
        <w:tc>
          <w:tcPr>
            <w:tcW w:w="0" w:type="auto"/>
            <w:vAlign w:val="center"/>
            <w:hideMark/>
          </w:tcPr>
          <w:p w14:paraId="4DA63BF9" w14:textId="77777777" w:rsidR="00A10354" w:rsidRDefault="00A10354" w:rsidP="00A10354">
            <w:r>
              <w:t>Variables</w:t>
            </w:r>
          </w:p>
        </w:tc>
        <w:tc>
          <w:tcPr>
            <w:tcW w:w="0" w:type="auto"/>
            <w:vAlign w:val="center"/>
            <w:hideMark/>
          </w:tcPr>
          <w:p w14:paraId="7D578D4E" w14:textId="77777777" w:rsidR="00A10354" w:rsidRDefault="00A10354" w:rsidP="00A10354">
            <w:r>
              <w:t>Organizational Performance</w:t>
            </w:r>
          </w:p>
        </w:tc>
        <w:tc>
          <w:tcPr>
            <w:tcW w:w="0" w:type="auto"/>
            <w:vAlign w:val="center"/>
            <w:hideMark/>
          </w:tcPr>
          <w:p w14:paraId="22D4DEFA" w14:textId="77777777" w:rsidR="00A10354" w:rsidRDefault="00A10354" w:rsidP="00A10354">
            <w:r>
              <w:t>Technical Skills</w:t>
            </w:r>
          </w:p>
        </w:tc>
      </w:tr>
      <w:tr w:rsidR="00A10354" w14:paraId="6AB456B1" w14:textId="77777777" w:rsidTr="00A10354">
        <w:trPr>
          <w:trHeight w:val="620"/>
          <w:tblCellSpacing w:w="15" w:type="dxa"/>
        </w:trPr>
        <w:tc>
          <w:tcPr>
            <w:tcW w:w="0" w:type="auto"/>
            <w:vAlign w:val="center"/>
            <w:hideMark/>
          </w:tcPr>
          <w:p w14:paraId="129E3963" w14:textId="77777777" w:rsidR="00A10354" w:rsidRDefault="00A10354" w:rsidP="00A10354">
            <w:r>
              <w:t>Organizational Performance</w:t>
            </w:r>
          </w:p>
        </w:tc>
        <w:tc>
          <w:tcPr>
            <w:tcW w:w="0" w:type="auto"/>
            <w:vAlign w:val="center"/>
            <w:hideMark/>
          </w:tcPr>
          <w:p w14:paraId="5B0C427C" w14:textId="77777777" w:rsidR="00A10354" w:rsidRDefault="00A10354" w:rsidP="00A10354">
            <w:r>
              <w:t>1.000</w:t>
            </w:r>
          </w:p>
        </w:tc>
        <w:tc>
          <w:tcPr>
            <w:tcW w:w="0" w:type="auto"/>
            <w:vAlign w:val="center"/>
            <w:hideMark/>
          </w:tcPr>
          <w:p w14:paraId="005F7FBE" w14:textId="77777777" w:rsidR="00A10354" w:rsidRDefault="00A10354" w:rsidP="00A10354"/>
        </w:tc>
      </w:tr>
      <w:tr w:rsidR="00A10354" w14:paraId="2AA5E4A1" w14:textId="77777777" w:rsidTr="00A10354">
        <w:trPr>
          <w:trHeight w:val="620"/>
          <w:tblCellSpacing w:w="15" w:type="dxa"/>
        </w:trPr>
        <w:tc>
          <w:tcPr>
            <w:tcW w:w="0" w:type="auto"/>
            <w:vAlign w:val="center"/>
            <w:hideMark/>
          </w:tcPr>
          <w:p w14:paraId="236EA6C3" w14:textId="77777777" w:rsidR="00A10354" w:rsidRDefault="00A10354" w:rsidP="00A10354">
            <w:r>
              <w:t>Technical Skills</w:t>
            </w:r>
          </w:p>
        </w:tc>
        <w:tc>
          <w:tcPr>
            <w:tcW w:w="0" w:type="auto"/>
            <w:vAlign w:val="center"/>
            <w:hideMark/>
          </w:tcPr>
          <w:p w14:paraId="67003C43" w14:textId="77777777" w:rsidR="00A10354" w:rsidRDefault="00A10354" w:rsidP="00A10354">
            <w:r>
              <w:t>0.641**</w:t>
            </w:r>
          </w:p>
        </w:tc>
        <w:tc>
          <w:tcPr>
            <w:tcW w:w="0" w:type="auto"/>
            <w:vAlign w:val="center"/>
            <w:hideMark/>
          </w:tcPr>
          <w:p w14:paraId="0F14C3BD" w14:textId="77777777" w:rsidR="00A10354" w:rsidRDefault="00A10354" w:rsidP="00A10354">
            <w:r>
              <w:t>1.000</w:t>
            </w:r>
          </w:p>
        </w:tc>
      </w:tr>
    </w:tbl>
    <w:p w14:paraId="3940CC74" w14:textId="77777777" w:rsidR="00A10354" w:rsidRPr="00100FCF" w:rsidRDefault="00A10354" w:rsidP="00A10354">
      <w:pPr>
        <w:pStyle w:val="NormalWeb"/>
        <w:spacing w:line="480" w:lineRule="auto"/>
        <w:jc w:val="both"/>
        <w:rPr>
          <w:b/>
        </w:rPr>
      </w:pPr>
      <w:r w:rsidRPr="00100FCF">
        <w:rPr>
          <w:b/>
        </w:rPr>
        <w:t xml:space="preserve">Table </w:t>
      </w:r>
      <w:r w:rsidR="00100FCF" w:rsidRPr="00100FCF">
        <w:rPr>
          <w:b/>
        </w:rPr>
        <w:t>2</w:t>
      </w:r>
      <w:r w:rsidRPr="00100FCF">
        <w:rPr>
          <w:b/>
        </w:rPr>
        <w:t>: Correlation Analysis</w:t>
      </w:r>
    </w:p>
    <w:p w14:paraId="05F0616D" w14:textId="77777777" w:rsidR="00A10354" w:rsidRDefault="00A10354" w:rsidP="00A10354">
      <w:pPr>
        <w:pStyle w:val="isselectedend"/>
      </w:pPr>
      <w:r>
        <w:rPr>
          <w:rStyle w:val="Strong"/>
        </w:rPr>
        <w:t>Correlation is significant at the 0.01 level (2-tailed)</w:t>
      </w:r>
    </w:p>
    <w:p w14:paraId="71D6398F" w14:textId="77777777" w:rsidR="00A10354" w:rsidRDefault="00A10354" w:rsidP="00A10354">
      <w:pPr>
        <w:pStyle w:val="isselectedend"/>
      </w:pPr>
      <w:r>
        <w:t>Source: Research Data (2026)</w:t>
      </w:r>
    </w:p>
    <w:p w14:paraId="426B0E2C" w14:textId="77777777" w:rsidR="00A10354" w:rsidRPr="00561C65" w:rsidRDefault="00A10354" w:rsidP="00561C65">
      <w:pPr>
        <w:pStyle w:val="NormalWeb"/>
        <w:spacing w:line="360" w:lineRule="auto"/>
        <w:jc w:val="both"/>
      </w:pPr>
      <w:r>
        <w:lastRenderedPageBreak/>
        <w:t>Pearson correlation analysis revealed a strong positive and statistically significant relationship between technical skills strategy and organizational performance (r = 0.641, p &lt; 0.01). This implies that improvements in technical competencies among employees are associated with enhanced organizational performance within commercial state-owned corporations implementing PPP projects.</w:t>
      </w:r>
    </w:p>
    <w:p w14:paraId="200B8521" w14:textId="77777777" w:rsidR="005E7FF5" w:rsidRDefault="005E7FF5" w:rsidP="00A522FF">
      <w:pPr>
        <w:pStyle w:val="Heading2"/>
        <w:spacing w:before="0" w:after="0"/>
        <w:jc w:val="both"/>
        <w:rPr>
          <w:szCs w:val="24"/>
        </w:rPr>
      </w:pPr>
      <w:bookmarkStart w:id="41" w:name="_Toc417168851"/>
      <w:bookmarkStart w:id="42" w:name="_Toc400459276"/>
      <w:bookmarkStart w:id="43" w:name="_Toc404683866"/>
      <w:bookmarkStart w:id="44" w:name="_Toc406967096"/>
      <w:r w:rsidRPr="006A7EC4">
        <w:rPr>
          <w:szCs w:val="24"/>
        </w:rPr>
        <w:t>4.2 Test of Hypothesis</w:t>
      </w:r>
      <w:bookmarkEnd w:id="41"/>
    </w:p>
    <w:p w14:paraId="74FEFFFA" w14:textId="77777777" w:rsidR="00561C65" w:rsidRPr="00A522FF" w:rsidRDefault="00561C65" w:rsidP="00A522FF">
      <w:pPr>
        <w:rPr>
          <w:b/>
          <w:sz w:val="27"/>
          <w:szCs w:val="27"/>
        </w:rPr>
      </w:pPr>
      <w:r w:rsidRPr="00A522FF">
        <w:rPr>
          <w:b/>
        </w:rPr>
        <w:t xml:space="preserve">Table </w:t>
      </w:r>
      <w:r w:rsidR="00100FCF">
        <w:rPr>
          <w:b/>
        </w:rPr>
        <w:t>3</w:t>
      </w:r>
      <w:r w:rsidRPr="00A522FF">
        <w:rPr>
          <w:b/>
        </w:rPr>
        <w:t>: Model Summary</w:t>
      </w:r>
    </w:p>
    <w:tbl>
      <w:tblPr>
        <w:tblW w:w="651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5"/>
        <w:gridCol w:w="619"/>
        <w:gridCol w:w="978"/>
        <w:gridCol w:w="1936"/>
        <w:gridCol w:w="2254"/>
      </w:tblGrid>
      <w:tr w:rsidR="00561C65" w14:paraId="3A05450E" w14:textId="77777777" w:rsidTr="00A522FF">
        <w:trPr>
          <w:trHeight w:val="953"/>
          <w:tblCellSpacing w:w="15" w:type="dxa"/>
        </w:trPr>
        <w:tc>
          <w:tcPr>
            <w:tcW w:w="0" w:type="auto"/>
            <w:vAlign w:val="center"/>
            <w:hideMark/>
          </w:tcPr>
          <w:p w14:paraId="75AF147A" w14:textId="77777777" w:rsidR="00561C65" w:rsidRDefault="00561C65">
            <w:r>
              <w:t>Model</w:t>
            </w:r>
          </w:p>
        </w:tc>
        <w:tc>
          <w:tcPr>
            <w:tcW w:w="0" w:type="auto"/>
            <w:vAlign w:val="center"/>
            <w:hideMark/>
          </w:tcPr>
          <w:p w14:paraId="58B1737F" w14:textId="77777777" w:rsidR="00561C65" w:rsidRDefault="00561C65">
            <w:r>
              <w:t>R</w:t>
            </w:r>
          </w:p>
        </w:tc>
        <w:tc>
          <w:tcPr>
            <w:tcW w:w="0" w:type="auto"/>
            <w:vAlign w:val="center"/>
            <w:hideMark/>
          </w:tcPr>
          <w:p w14:paraId="2AA8AD9F" w14:textId="77777777" w:rsidR="00561C65" w:rsidRDefault="00561C65">
            <w:r>
              <w:t>R Square</w:t>
            </w:r>
          </w:p>
        </w:tc>
        <w:tc>
          <w:tcPr>
            <w:tcW w:w="0" w:type="auto"/>
            <w:vAlign w:val="center"/>
            <w:hideMark/>
          </w:tcPr>
          <w:p w14:paraId="2419887A" w14:textId="77777777" w:rsidR="00561C65" w:rsidRDefault="00561C65">
            <w:r>
              <w:t>Adjusted R Square</w:t>
            </w:r>
          </w:p>
        </w:tc>
        <w:tc>
          <w:tcPr>
            <w:tcW w:w="0" w:type="auto"/>
            <w:vAlign w:val="center"/>
            <w:hideMark/>
          </w:tcPr>
          <w:p w14:paraId="02957063" w14:textId="77777777" w:rsidR="00561C65" w:rsidRDefault="00561C65">
            <w:r>
              <w:t>Std. Error of Estimate</w:t>
            </w:r>
          </w:p>
        </w:tc>
      </w:tr>
      <w:tr w:rsidR="00561C65" w14:paraId="747562B4" w14:textId="77777777" w:rsidTr="00A522FF">
        <w:trPr>
          <w:trHeight w:val="953"/>
          <w:tblCellSpacing w:w="15" w:type="dxa"/>
        </w:trPr>
        <w:tc>
          <w:tcPr>
            <w:tcW w:w="0" w:type="auto"/>
            <w:vAlign w:val="center"/>
            <w:hideMark/>
          </w:tcPr>
          <w:p w14:paraId="773701AD" w14:textId="77777777" w:rsidR="00561C65" w:rsidRDefault="00561C65">
            <w:r>
              <w:t>1</w:t>
            </w:r>
          </w:p>
        </w:tc>
        <w:tc>
          <w:tcPr>
            <w:tcW w:w="0" w:type="auto"/>
            <w:vAlign w:val="center"/>
            <w:hideMark/>
          </w:tcPr>
          <w:p w14:paraId="144847A8" w14:textId="77777777" w:rsidR="00561C65" w:rsidRDefault="00561C65">
            <w:r>
              <w:t>0.782</w:t>
            </w:r>
          </w:p>
        </w:tc>
        <w:tc>
          <w:tcPr>
            <w:tcW w:w="0" w:type="auto"/>
            <w:vAlign w:val="center"/>
            <w:hideMark/>
          </w:tcPr>
          <w:p w14:paraId="33F1AA9C" w14:textId="77777777" w:rsidR="00561C65" w:rsidRDefault="00561C65">
            <w:r>
              <w:t>0.612</w:t>
            </w:r>
          </w:p>
        </w:tc>
        <w:tc>
          <w:tcPr>
            <w:tcW w:w="0" w:type="auto"/>
            <w:vAlign w:val="center"/>
            <w:hideMark/>
          </w:tcPr>
          <w:p w14:paraId="592AED73" w14:textId="77777777" w:rsidR="00561C65" w:rsidRDefault="00561C65">
            <w:r>
              <w:t>0.598</w:t>
            </w:r>
          </w:p>
        </w:tc>
        <w:tc>
          <w:tcPr>
            <w:tcW w:w="0" w:type="auto"/>
            <w:vAlign w:val="center"/>
            <w:hideMark/>
          </w:tcPr>
          <w:p w14:paraId="5EE43941" w14:textId="77777777" w:rsidR="00561C65" w:rsidRDefault="00561C65">
            <w:r>
              <w:t>0.431</w:t>
            </w:r>
          </w:p>
        </w:tc>
      </w:tr>
    </w:tbl>
    <w:p w14:paraId="56588967" w14:textId="77777777" w:rsidR="00561C65" w:rsidRDefault="00561C65" w:rsidP="00561C65">
      <w:pPr>
        <w:pStyle w:val="isselectedend"/>
      </w:pPr>
      <w:r>
        <w:t>Source: Research Data (2026)</w:t>
      </w:r>
    </w:p>
    <w:p w14:paraId="1D9C118E" w14:textId="77777777" w:rsidR="00A522FF" w:rsidRDefault="00561C65" w:rsidP="00A522FF">
      <w:pPr>
        <w:pStyle w:val="NormalWeb"/>
        <w:spacing w:line="360" w:lineRule="auto"/>
        <w:jc w:val="both"/>
      </w:pPr>
      <w:r>
        <w:t>The model summary revealed an adjusted R² value of 0.598, indicating that approximately 59.8% of the variation in organizational performance could be explained by the predictor variables included in the study.</w:t>
      </w:r>
      <w:bookmarkEnd w:id="42"/>
      <w:bookmarkEnd w:id="43"/>
      <w:bookmarkEnd w:id="44"/>
    </w:p>
    <w:p w14:paraId="075A45F6" w14:textId="77777777" w:rsidR="00A522FF" w:rsidRPr="00A522FF" w:rsidRDefault="00100FCF" w:rsidP="00A522FF">
      <w:pPr>
        <w:pStyle w:val="NormalWeb"/>
        <w:spacing w:line="360" w:lineRule="auto"/>
        <w:jc w:val="both"/>
        <w:rPr>
          <w:b/>
        </w:rPr>
      </w:pPr>
      <w:r>
        <w:rPr>
          <w:b/>
        </w:rPr>
        <w:t>Table 4</w:t>
      </w:r>
      <w:r w:rsidR="00A522FF" w:rsidRPr="00A522FF">
        <w:rPr>
          <w:b/>
        </w:rPr>
        <w:t>: Regression Coefficients</w:t>
      </w:r>
    </w:p>
    <w:tbl>
      <w:tblPr>
        <w:tblW w:w="729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10"/>
        <w:gridCol w:w="1461"/>
        <w:gridCol w:w="1258"/>
        <w:gridCol w:w="1367"/>
      </w:tblGrid>
      <w:tr w:rsidR="00A522FF" w14:paraId="0381137E" w14:textId="77777777" w:rsidTr="00A522FF">
        <w:trPr>
          <w:trHeight w:val="616"/>
          <w:tblCellSpacing w:w="15" w:type="dxa"/>
        </w:trPr>
        <w:tc>
          <w:tcPr>
            <w:tcW w:w="0" w:type="auto"/>
            <w:vAlign w:val="center"/>
            <w:hideMark/>
          </w:tcPr>
          <w:p w14:paraId="2D3AABE3" w14:textId="77777777" w:rsidR="00A522FF" w:rsidRDefault="00A522FF">
            <w:r>
              <w:t>Predictor Variable</w:t>
            </w:r>
          </w:p>
        </w:tc>
        <w:tc>
          <w:tcPr>
            <w:tcW w:w="0" w:type="auto"/>
            <w:vAlign w:val="center"/>
            <w:hideMark/>
          </w:tcPr>
          <w:p w14:paraId="3EE0DBD0" w14:textId="77777777" w:rsidR="00A522FF" w:rsidRDefault="00A522FF">
            <w:r>
              <w:t>Beta (β)</w:t>
            </w:r>
          </w:p>
        </w:tc>
        <w:tc>
          <w:tcPr>
            <w:tcW w:w="0" w:type="auto"/>
            <w:vAlign w:val="center"/>
            <w:hideMark/>
          </w:tcPr>
          <w:p w14:paraId="535D84D1" w14:textId="77777777" w:rsidR="00A522FF" w:rsidRDefault="00A522FF">
            <w:r>
              <w:t>t-value</w:t>
            </w:r>
          </w:p>
        </w:tc>
        <w:tc>
          <w:tcPr>
            <w:tcW w:w="0" w:type="auto"/>
            <w:vAlign w:val="center"/>
            <w:hideMark/>
          </w:tcPr>
          <w:p w14:paraId="45BD1FFD" w14:textId="77777777" w:rsidR="00A522FF" w:rsidRDefault="00A522FF">
            <w:r>
              <w:t>p-value</w:t>
            </w:r>
          </w:p>
        </w:tc>
      </w:tr>
      <w:tr w:rsidR="00A522FF" w14:paraId="472CA2ED" w14:textId="77777777" w:rsidTr="00A522FF">
        <w:trPr>
          <w:trHeight w:val="616"/>
          <w:tblCellSpacing w:w="15" w:type="dxa"/>
        </w:trPr>
        <w:tc>
          <w:tcPr>
            <w:tcW w:w="0" w:type="auto"/>
            <w:vAlign w:val="center"/>
            <w:hideMark/>
          </w:tcPr>
          <w:p w14:paraId="09D56F71" w14:textId="77777777" w:rsidR="00A522FF" w:rsidRDefault="00A522FF">
            <w:r>
              <w:t>Technical Skills</w:t>
            </w:r>
          </w:p>
        </w:tc>
        <w:tc>
          <w:tcPr>
            <w:tcW w:w="0" w:type="auto"/>
            <w:vAlign w:val="center"/>
            <w:hideMark/>
          </w:tcPr>
          <w:p w14:paraId="5C20EB09" w14:textId="77777777" w:rsidR="00A522FF" w:rsidRDefault="00A522FF">
            <w:r>
              <w:t>0.241</w:t>
            </w:r>
          </w:p>
        </w:tc>
        <w:tc>
          <w:tcPr>
            <w:tcW w:w="0" w:type="auto"/>
            <w:vAlign w:val="center"/>
            <w:hideMark/>
          </w:tcPr>
          <w:p w14:paraId="75E59FD1" w14:textId="77777777" w:rsidR="00A522FF" w:rsidRDefault="00A522FF">
            <w:r>
              <w:t>3.265</w:t>
            </w:r>
          </w:p>
        </w:tc>
        <w:tc>
          <w:tcPr>
            <w:tcW w:w="0" w:type="auto"/>
            <w:vAlign w:val="center"/>
            <w:hideMark/>
          </w:tcPr>
          <w:p w14:paraId="0531162E" w14:textId="77777777" w:rsidR="00A522FF" w:rsidRDefault="00A522FF">
            <w:r>
              <w:t>0.001</w:t>
            </w:r>
          </w:p>
        </w:tc>
      </w:tr>
    </w:tbl>
    <w:p w14:paraId="16732B20" w14:textId="77777777" w:rsidR="00A522FF" w:rsidRDefault="00A522FF" w:rsidP="00A522FF">
      <w:pPr>
        <w:pStyle w:val="isselectedend"/>
      </w:pPr>
      <w:r>
        <w:t>Source: Research Data (2026)</w:t>
      </w:r>
    </w:p>
    <w:p w14:paraId="5B4A39F9" w14:textId="77777777" w:rsidR="00A522FF" w:rsidRDefault="00A522FF" w:rsidP="00A522FF">
      <w:pPr>
        <w:pStyle w:val="isselectedend"/>
        <w:spacing w:line="360" w:lineRule="auto"/>
        <w:jc w:val="both"/>
      </w:pPr>
      <w:r>
        <w:t>The regression coefficients demonstrated that technical skills strategy had a positive and statistically significant effect on organizational performance (β = 0.241, p = 0.001). The findings imply that improving technical competencies among staff contributes significantly to enhanced organizational efficiency, innovation, adaptability, and project execution within PPP arrangements.</w:t>
      </w:r>
    </w:p>
    <w:p w14:paraId="499EED02" w14:textId="77777777" w:rsidR="00D42FA7" w:rsidRDefault="00A522FF" w:rsidP="00D42FA7">
      <w:pPr>
        <w:pStyle w:val="isselectedend"/>
        <w:spacing w:line="360" w:lineRule="auto"/>
        <w:jc w:val="both"/>
      </w:pPr>
      <w:r>
        <w:lastRenderedPageBreak/>
        <w:t>The null hypothesis stating that technical skills strategy has no statistically significant effect on organizational performance was therefore rejected.</w:t>
      </w:r>
    </w:p>
    <w:p w14:paraId="70F7409D" w14:textId="77777777" w:rsidR="00D42FA7" w:rsidRDefault="00A522FF" w:rsidP="00D42FA7">
      <w:pPr>
        <w:pStyle w:val="isselectedend"/>
        <w:spacing w:line="360" w:lineRule="auto"/>
        <w:jc w:val="both"/>
      </w:pPr>
      <w:r>
        <w:t>Qualitative findings reinforced the quantitative results by demonst</w:t>
      </w:r>
      <w:r w:rsidR="00D42FA7">
        <w:t xml:space="preserve">rating that technical skills </w:t>
      </w:r>
      <w:proofErr w:type="gramStart"/>
      <w:r>
        <w:t>plays</w:t>
      </w:r>
      <w:proofErr w:type="gramEnd"/>
      <w:r>
        <w:t xml:space="preserve"> a vital role in improving organizational performance. </w:t>
      </w:r>
      <w:r w:rsidR="00D42FA7">
        <w:t xml:space="preserve">Respondents indicated that organizations enhance employee competencies through regular training, workshops, benchmarking activities, mentorship programs, and collaboration with consultants and private sector experts. The respondents noted that technical expertise improves efficiency, innovation, project implementation, and decision-making in PPP operations. However, respondents also identified challenges such as inadequate specialized training, limited training budgets, shortage of highly skilled personnel, and rapid technological changes which sometimes affect effective implementation of complex PPP projects. One respondent stated that, </w:t>
      </w:r>
    </w:p>
    <w:p w14:paraId="5876AD89" w14:textId="77777777" w:rsidR="00D42FA7" w:rsidRDefault="00D42FA7" w:rsidP="00D42FA7">
      <w:pPr>
        <w:pStyle w:val="NormalWeb"/>
        <w:spacing w:line="480" w:lineRule="auto"/>
        <w:jc w:val="both"/>
      </w:pPr>
      <w:r>
        <w:rPr>
          <w:rStyle w:val="Emphasis"/>
        </w:rPr>
        <w:t>“The organization regularly conducts training and involves experts in PPP implementation to improve employee competencies.”</w:t>
      </w:r>
      <w:r>
        <w:t xml:space="preserve"> </w:t>
      </w:r>
    </w:p>
    <w:p w14:paraId="5BEC4D30" w14:textId="77777777" w:rsidR="00D42FA7" w:rsidRDefault="00D42FA7" w:rsidP="00D42FA7">
      <w:pPr>
        <w:pStyle w:val="NormalWeb"/>
        <w:spacing w:line="480" w:lineRule="auto"/>
        <w:jc w:val="both"/>
        <w:rPr>
          <w:rStyle w:val="Emphasis"/>
        </w:rPr>
      </w:pPr>
      <w:r>
        <w:t xml:space="preserve">Another respondent observed that, </w:t>
      </w:r>
      <w:r>
        <w:rPr>
          <w:rStyle w:val="Emphasis"/>
        </w:rPr>
        <w:t>“Limited specialized skills and inadequate training budgets sometimes affect effective implementation of PPP projects.”</w:t>
      </w:r>
    </w:p>
    <w:p w14:paraId="135A2446" w14:textId="77777777" w:rsidR="00D42FA7" w:rsidRDefault="00D42FA7" w:rsidP="00D42FA7">
      <w:pPr>
        <w:pStyle w:val="NormalWeb"/>
        <w:spacing w:line="480" w:lineRule="auto"/>
        <w:jc w:val="both"/>
      </w:pPr>
      <w:r>
        <w:t xml:space="preserve"> A further respondent noted that, </w:t>
      </w:r>
      <w:r>
        <w:rPr>
          <w:rStyle w:val="Emphasis"/>
        </w:rPr>
        <w:t>“Technical knowledge sharing and benchmarking have helped improve staff capabilities in managing PPP projects.”</w:t>
      </w:r>
      <w:r>
        <w:t xml:space="preserve"> </w:t>
      </w:r>
    </w:p>
    <w:p w14:paraId="042E523F" w14:textId="77777777" w:rsidR="00A522FF" w:rsidRPr="00A522FF" w:rsidRDefault="00D42FA7" w:rsidP="00741D95">
      <w:pPr>
        <w:pStyle w:val="NormalWeb"/>
        <w:spacing w:line="480" w:lineRule="auto"/>
        <w:jc w:val="both"/>
      </w:pPr>
      <w:r>
        <w:t xml:space="preserve">These findings support the quantitative results which showed that technical skills positively influence organizational performance. The findings are consistent with Khanom (2010), who emphasized the importance of technical expertise in managing PPP projects effectively. </w:t>
      </w:r>
    </w:p>
    <w:p w14:paraId="0015F2F0" w14:textId="77777777" w:rsidR="00A522FF" w:rsidRPr="002E29F9" w:rsidRDefault="005E7FF5" w:rsidP="002E29F9">
      <w:pPr>
        <w:pStyle w:val="Heading2"/>
        <w:spacing w:before="0" w:after="0" w:line="240" w:lineRule="auto"/>
        <w:jc w:val="both"/>
        <w:rPr>
          <w:szCs w:val="24"/>
        </w:rPr>
      </w:pPr>
      <w:bookmarkStart w:id="45" w:name="_Toc404683878"/>
      <w:bookmarkStart w:id="46" w:name="_Toc412814824"/>
      <w:bookmarkStart w:id="47" w:name="_Toc417168873"/>
      <w:r w:rsidRPr="006A7EC4">
        <w:rPr>
          <w:szCs w:val="24"/>
        </w:rPr>
        <w:t>5.0 Conclusion</w:t>
      </w:r>
      <w:bookmarkEnd w:id="45"/>
      <w:bookmarkEnd w:id="46"/>
      <w:bookmarkEnd w:id="47"/>
      <w:r w:rsidRPr="006A7EC4">
        <w:rPr>
          <w:szCs w:val="24"/>
        </w:rPr>
        <w:t xml:space="preserve"> </w:t>
      </w:r>
    </w:p>
    <w:p w14:paraId="2654D42E" w14:textId="77777777" w:rsidR="00C21FFB" w:rsidRPr="00C21FFB" w:rsidRDefault="00C21FFB" w:rsidP="00C21FFB">
      <w:pPr>
        <w:spacing w:before="100" w:beforeAutospacing="1" w:after="100" w:afterAutospacing="1" w:line="240" w:lineRule="auto"/>
        <w:rPr>
          <w:lang w:val="en-US" w:eastAsia="en-US" w:bidi="bn-IN"/>
        </w:rPr>
      </w:pPr>
      <w:r w:rsidRPr="00C21FFB">
        <w:rPr>
          <w:lang w:val="en-US" w:eastAsia="en-US" w:bidi="bn-IN"/>
        </w:rPr>
        <w:t>The study concluded that technical skills strategy plays a significant role in organizational performance among commercial state-owned corporations in Nairobi City County, Kenya. The findings showed that technical competencies support effective implementation of public-private partnership initiatives by improving operational efficiency, innovation, adaptability, decision-</w:t>
      </w:r>
      <w:r w:rsidRPr="00C21FFB">
        <w:rPr>
          <w:lang w:val="en-US" w:eastAsia="en-US" w:bidi="bn-IN"/>
        </w:rPr>
        <w:lastRenderedPageBreak/>
        <w:t>making, and project execution. Employees with relevant technical expertise are better positioned to manage project planning, contract administration, technological integration, monitoring, and risk-related activities within complex partnership arrangements. The study further established that training, mentorship, benchmarking, and collaboration with technical experts contribute to improved staff capacity and organizational performance. However, the findings also revealed that some corporations still experience gaps in specialized competencies required to manage advanced public-private partnership models. These gaps may limit the ability of organizations to respond effectively to complex operational and market conditions. The study therefore concludes that technical skills should be treated as a strategic organizational resource rather than a routine human resource function. Strengthening technical capacity through structured training, professional development, and knowledge transfer can enhance the ability of commercial state-owned corporations to achieve improved service delivery and sustainable performance outcomes.</w:t>
      </w:r>
    </w:p>
    <w:p w14:paraId="0731983B" w14:textId="01C965D9" w:rsidR="005E7FF5" w:rsidRDefault="005E7FF5" w:rsidP="00E87969">
      <w:pPr>
        <w:pStyle w:val="NormalWeb"/>
        <w:spacing w:line="360" w:lineRule="auto"/>
        <w:jc w:val="both"/>
      </w:pPr>
    </w:p>
    <w:p w14:paraId="14A9B56D" w14:textId="77777777" w:rsidR="005E7FF5" w:rsidRDefault="005E7FF5" w:rsidP="005E7FF5">
      <w:pPr>
        <w:pStyle w:val="Heading2"/>
        <w:spacing w:before="0" w:after="0" w:line="240" w:lineRule="auto"/>
        <w:jc w:val="both"/>
        <w:rPr>
          <w:szCs w:val="24"/>
        </w:rPr>
      </w:pPr>
      <w:r>
        <w:rPr>
          <w:szCs w:val="24"/>
        </w:rPr>
        <w:t>6.0 Recommendations</w:t>
      </w:r>
    </w:p>
    <w:p w14:paraId="4DA1CD98" w14:textId="77777777" w:rsidR="005E7FF5" w:rsidRDefault="00E87969" w:rsidP="00E87969">
      <w:pPr>
        <w:pStyle w:val="isselectedend"/>
        <w:spacing w:line="360" w:lineRule="auto"/>
        <w:jc w:val="both"/>
      </w:pPr>
      <w:r>
        <w:t>The study recommends that commercial state-owned corporations strengthen technical capacity through continuous professional training, specialized PPP certification programs, mentorship initiatives, and structured knowledge transfer mechanisms. Organizations should also establish strategic partnerships with private sector experts and professional institutions to facilitate technical skills development and enhance innovation within PPP operations. Further, management should allocate adequate resources toward technical training and capacity development to address existing skills gaps, particularly in complex PPP implementation areas such as contract management, risk assessment, project financing, and technological integration.</w:t>
      </w:r>
    </w:p>
    <w:p w14:paraId="70E6D393" w14:textId="77777777" w:rsidR="00C21FFB" w:rsidRDefault="00C21FFB" w:rsidP="00E87969">
      <w:pPr>
        <w:pStyle w:val="isselectedend"/>
        <w:spacing w:line="360" w:lineRule="auto"/>
        <w:jc w:val="both"/>
      </w:pPr>
    </w:p>
    <w:p w14:paraId="5A33BD79" w14:textId="77777777" w:rsidR="00C21FFB" w:rsidRDefault="00C21FFB" w:rsidP="00C21FFB">
      <w:pPr>
        <w:pStyle w:val="isselectedend"/>
      </w:pPr>
      <w:r>
        <w:rPr>
          <w:rStyle w:val="Strong"/>
          <w:rFonts w:eastAsiaTheme="majorEastAsia"/>
        </w:rPr>
        <w:t>Limitation</w:t>
      </w:r>
    </w:p>
    <w:p w14:paraId="0DF8B68F" w14:textId="77777777" w:rsidR="00C21FFB" w:rsidRDefault="00C21FFB" w:rsidP="00C21FFB">
      <w:pPr>
        <w:pStyle w:val="NormalWeb"/>
      </w:pPr>
      <w:r>
        <w:t xml:space="preserve">The study was limited to commercial state-owned corporations operating within Nairobi City County, Kenya, and therefore the findings may not be fully generalizable to all public institutions or state-owned corporations in other regions. The study focused specifically on technical skills strategy and organizational performance within public-private partnership arrangements, while other strategic factors that may influence performance were not examined in detail. The use of purposive sampling also means that the findings reflect the views of selected management-level respondents, particularly finance managers, human resource managers, and operations managers. In addition, the study relied mainly on questionnaire responses, which may be affected by respondent perception and self-reporting bias. Although quantitative analysis was conducted, the cross-sectional nature of the study limits the ability to establish long-term effects. Future studies </w:t>
      </w:r>
      <w:r>
        <w:lastRenderedPageBreak/>
        <w:t>may consider a wider geographical scope, additional strategic variables, and longitudinal data to provide broader evidence.</w:t>
      </w:r>
    </w:p>
    <w:p w14:paraId="0846F030" w14:textId="77777777" w:rsidR="00C21FFB" w:rsidRPr="00E87969" w:rsidRDefault="00C21FFB" w:rsidP="00E87969">
      <w:pPr>
        <w:pStyle w:val="isselectedend"/>
        <w:spacing w:line="360" w:lineRule="auto"/>
        <w:jc w:val="both"/>
      </w:pPr>
    </w:p>
    <w:p w14:paraId="5359267F" w14:textId="77777777" w:rsidR="005E7FF5" w:rsidRPr="00535DB1" w:rsidRDefault="005E7FF5" w:rsidP="005E7FF5">
      <w:pPr>
        <w:pStyle w:val="Heading2"/>
        <w:spacing w:before="0" w:after="0" w:line="240" w:lineRule="auto"/>
        <w:jc w:val="both"/>
        <w:rPr>
          <w:szCs w:val="24"/>
        </w:rPr>
      </w:pPr>
      <w:bookmarkStart w:id="48" w:name="_Toc404683881"/>
      <w:bookmarkStart w:id="49" w:name="_Toc406967108"/>
      <w:bookmarkStart w:id="50" w:name="_Toc417168876"/>
      <w:r w:rsidRPr="006A7EC4">
        <w:rPr>
          <w:szCs w:val="24"/>
        </w:rPr>
        <w:t>REFERENCES</w:t>
      </w:r>
      <w:bookmarkEnd w:id="1"/>
      <w:bookmarkEnd w:id="2"/>
      <w:bookmarkEnd w:id="3"/>
      <w:bookmarkEnd w:id="21"/>
      <w:bookmarkEnd w:id="22"/>
      <w:bookmarkEnd w:id="48"/>
      <w:bookmarkEnd w:id="49"/>
      <w:bookmarkEnd w:id="50"/>
    </w:p>
    <w:p w14:paraId="1E26ADA8" w14:textId="77777777" w:rsidR="00E87969" w:rsidRDefault="00E87969" w:rsidP="00E87969">
      <w:pPr>
        <w:pStyle w:val="NormalWeb"/>
      </w:pPr>
      <w:r>
        <w:t xml:space="preserve">Akintoye, A., Beck, M., &amp; Hardcastle, C. (2003). </w:t>
      </w:r>
      <w:r>
        <w:rPr>
          <w:rStyle w:val="Emphasis"/>
        </w:rPr>
        <w:t>Public-private partnerships: Managing risks and opportunities</w:t>
      </w:r>
      <w:r>
        <w:t>. Blackwell Science.</w:t>
      </w:r>
    </w:p>
    <w:p w14:paraId="4CE0BF80" w14:textId="77777777" w:rsidR="00E87969" w:rsidRDefault="00E87969" w:rsidP="00E87969">
      <w:pPr>
        <w:pStyle w:val="NormalWeb"/>
      </w:pPr>
      <w:r>
        <w:t xml:space="preserve">Baker, T., &amp; Green, P. (2022). Technical competence and infrastructure project performance: A global perspective. </w:t>
      </w:r>
      <w:r>
        <w:rPr>
          <w:rStyle w:val="Emphasis"/>
        </w:rPr>
        <w:t>International Journal of Project Management, 40</w:t>
      </w:r>
      <w:r>
        <w:t>(3), 214–226.</w:t>
      </w:r>
    </w:p>
    <w:p w14:paraId="651F778D" w14:textId="77777777" w:rsidR="00E87969" w:rsidRDefault="00E87969" w:rsidP="00E87969">
      <w:pPr>
        <w:pStyle w:val="NormalWeb"/>
      </w:pPr>
      <w:r>
        <w:t xml:space="preserve">Cooper, D. R., &amp; Schindler, P. S. (2006). </w:t>
      </w:r>
      <w:r>
        <w:rPr>
          <w:rStyle w:val="Emphasis"/>
        </w:rPr>
        <w:t>Business research methods</w:t>
      </w:r>
      <w:r>
        <w:t xml:space="preserve"> (9th ed.). McGraw-Hill.</w:t>
      </w:r>
    </w:p>
    <w:p w14:paraId="033A4534" w14:textId="77777777" w:rsidR="00E87969" w:rsidRDefault="00E87969" w:rsidP="00E87969">
      <w:pPr>
        <w:pStyle w:val="NormalWeb"/>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6D7D7B5C" w14:textId="77777777" w:rsidR="00E87969" w:rsidRDefault="00E87969" w:rsidP="00E87969">
      <w:pPr>
        <w:pStyle w:val="NormalWeb"/>
      </w:pPr>
      <w:r>
        <w:t xml:space="preserve">DiMaggio, P. J., &amp; Powell, W. W. (1983). The iron cage revisited: Institutional isomorphism and collective rationality in organizational fields. </w:t>
      </w:r>
      <w:r>
        <w:rPr>
          <w:rStyle w:val="Emphasis"/>
        </w:rPr>
        <w:t>American Sociological Review, 48</w:t>
      </w:r>
      <w:r>
        <w:t>(2), 147–160.</w:t>
      </w:r>
    </w:p>
    <w:p w14:paraId="01F25D5B" w14:textId="77777777" w:rsidR="00E87969" w:rsidRDefault="00E87969" w:rsidP="00E87969">
      <w:pPr>
        <w:pStyle w:val="NormalWeb"/>
      </w:pPr>
      <w:r>
        <w:t xml:space="preserve">Eze, C., &amp; Abimbola, O. (2023). Technical skills and public-private partnership project implementation in Nigeria and South Africa. </w:t>
      </w:r>
      <w:r>
        <w:rPr>
          <w:rStyle w:val="Emphasis"/>
        </w:rPr>
        <w:t>African Journal of Management Studies, 11</w:t>
      </w:r>
      <w:r>
        <w:t>(2), 88–104.</w:t>
      </w:r>
    </w:p>
    <w:p w14:paraId="49F429E0" w14:textId="77777777" w:rsidR="00E87969" w:rsidRDefault="00E87969" w:rsidP="00E87969">
      <w:pPr>
        <w:pStyle w:val="NormalWeb"/>
      </w:pPr>
      <w:r>
        <w:t xml:space="preserve">Farquharson, E., Torres de </w:t>
      </w:r>
      <w:proofErr w:type="spellStart"/>
      <w:r>
        <w:t>Mästle</w:t>
      </w:r>
      <w:proofErr w:type="spellEnd"/>
      <w:r>
        <w:t xml:space="preserve">, C., </w:t>
      </w:r>
      <w:proofErr w:type="spellStart"/>
      <w:r>
        <w:t>Yescombe</w:t>
      </w:r>
      <w:proofErr w:type="spellEnd"/>
      <w:r>
        <w:t xml:space="preserve">, E. R., &amp; Encinas, J. (2011). </w:t>
      </w:r>
      <w:r>
        <w:rPr>
          <w:rStyle w:val="Emphasis"/>
        </w:rPr>
        <w:t>How to engage with the private sector in public-private partnerships in emerging markets</w:t>
      </w:r>
      <w:r>
        <w:t>. World Bank.</w:t>
      </w:r>
    </w:p>
    <w:p w14:paraId="36F74A99" w14:textId="77777777" w:rsidR="00E87969" w:rsidRDefault="00E87969" w:rsidP="00E87969">
      <w:pPr>
        <w:pStyle w:val="NormalWeb"/>
      </w:pPr>
      <w:r>
        <w:t xml:space="preserve">Gitonga, J. (2012). </w:t>
      </w:r>
      <w:r>
        <w:rPr>
          <w:rStyle w:val="Emphasis"/>
        </w:rPr>
        <w:t>Organizational experience and strategic management in public institutions in Kenya</w:t>
      </w:r>
      <w:r>
        <w:t>. Nairobi University Press.</w:t>
      </w:r>
    </w:p>
    <w:p w14:paraId="47F5A05B" w14:textId="77777777" w:rsidR="00E87969" w:rsidRDefault="00E87969" w:rsidP="00E87969">
      <w:pPr>
        <w:pStyle w:val="NormalWeb"/>
      </w:pPr>
      <w:r>
        <w:t xml:space="preserve">Hair, J. F., Bush, R. P., &amp; Ortinau, D. J. (2010). </w:t>
      </w:r>
      <w:r>
        <w:rPr>
          <w:rStyle w:val="Emphasis"/>
        </w:rPr>
        <w:t>Marketing research: In a digital information environment</w:t>
      </w:r>
      <w:r>
        <w:t xml:space="preserve"> (4th ed.). McGraw-Hill.</w:t>
      </w:r>
    </w:p>
    <w:p w14:paraId="3515958E" w14:textId="77777777" w:rsidR="00E87969" w:rsidRDefault="00E87969" w:rsidP="00E87969">
      <w:pPr>
        <w:pStyle w:val="NormalWeb"/>
      </w:pPr>
      <w:r>
        <w:t xml:space="preserve">Hodge, G. A., &amp; Greve, C. (2007). Public-private partnerships: An international performance review. </w:t>
      </w:r>
      <w:r>
        <w:rPr>
          <w:rStyle w:val="Emphasis"/>
        </w:rPr>
        <w:t>Public Administration Review, 67</w:t>
      </w:r>
      <w:r>
        <w:t>(3), 545–558.</w:t>
      </w:r>
    </w:p>
    <w:p w14:paraId="181741E7" w14:textId="77777777" w:rsidR="00E87969" w:rsidRDefault="00E87969" w:rsidP="00E87969">
      <w:pPr>
        <w:pStyle w:val="NormalWeb"/>
      </w:pPr>
      <w:r>
        <w:t xml:space="preserve">Kaplan, R. S., &amp; Norton, D. P. (1992). The balanced scorecard: Measures that drive performance. </w:t>
      </w:r>
      <w:r>
        <w:rPr>
          <w:rStyle w:val="Emphasis"/>
        </w:rPr>
        <w:t>Harvard Business Review, 70</w:t>
      </w:r>
      <w:r>
        <w:t>(1), 71–79.</w:t>
      </w:r>
    </w:p>
    <w:p w14:paraId="4F48022D" w14:textId="77777777" w:rsidR="00E87969" w:rsidRDefault="00E87969" w:rsidP="00E87969">
      <w:pPr>
        <w:pStyle w:val="NormalWeb"/>
      </w:pPr>
      <w:r>
        <w:t xml:space="preserve">Kariuki, P., &amp; Mwangi, J. (2022). Technical expertise and performance of renewable energy public-private partnership projects in Kenya. </w:t>
      </w:r>
      <w:r>
        <w:rPr>
          <w:rStyle w:val="Emphasis"/>
        </w:rPr>
        <w:t>Journal of African Infrastructure Development, 8</w:t>
      </w:r>
      <w:r>
        <w:t>(1), 44–59.</w:t>
      </w:r>
    </w:p>
    <w:p w14:paraId="18884839" w14:textId="77777777" w:rsidR="00E87969" w:rsidRDefault="00E87969" w:rsidP="00E87969">
      <w:pPr>
        <w:pStyle w:val="NormalWeb"/>
      </w:pPr>
      <w:r>
        <w:t xml:space="preserve">Khanom, N. A. (2010). Conceptual issues in defining public private partnerships (PPPs). </w:t>
      </w:r>
      <w:r>
        <w:rPr>
          <w:rStyle w:val="Emphasis"/>
        </w:rPr>
        <w:t>International Review of Business Research Papers, 6</w:t>
      </w:r>
      <w:r>
        <w:t>(2), 150–163.</w:t>
      </w:r>
    </w:p>
    <w:p w14:paraId="3F477E4F" w14:textId="77777777" w:rsidR="00E87969" w:rsidRDefault="00E87969" w:rsidP="00E87969">
      <w:pPr>
        <w:pStyle w:val="NormalWeb"/>
      </w:pPr>
      <w:r>
        <w:lastRenderedPageBreak/>
        <w:t xml:space="preserve">Kiruja, E., &amp; Mwaura, S. (2015). Effects of performance contracting on service delivery in public institutions in Kenya. </w:t>
      </w:r>
      <w:r>
        <w:rPr>
          <w:rStyle w:val="Emphasis"/>
        </w:rPr>
        <w:t>International Journal of Business and Social Science, 6</w:t>
      </w:r>
      <w:r>
        <w:t>(4), 123–132.</w:t>
      </w:r>
    </w:p>
    <w:p w14:paraId="34C5811B" w14:textId="77777777" w:rsidR="00E87969" w:rsidRDefault="00E87969" w:rsidP="00E87969">
      <w:pPr>
        <w:pStyle w:val="NormalWeb"/>
      </w:pPr>
      <w:r>
        <w:t xml:space="preserve">Kothari, C. R. (2005). </w:t>
      </w:r>
      <w:r>
        <w:rPr>
          <w:rStyle w:val="Emphasis"/>
        </w:rPr>
        <w:t>Research methodology: Methods and techniques</w:t>
      </w:r>
      <w:r>
        <w:t xml:space="preserve"> (2nd ed.). New Age International Publishers.</w:t>
      </w:r>
    </w:p>
    <w:p w14:paraId="17F6AB93" w14:textId="77777777" w:rsidR="00E87969" w:rsidRDefault="00E87969" w:rsidP="00E87969">
      <w:pPr>
        <w:pStyle w:val="NormalWeb"/>
      </w:pPr>
      <w:r>
        <w:t xml:space="preserve">Kwak, Y. H., Chih, Y., &amp; </w:t>
      </w:r>
      <w:proofErr w:type="spellStart"/>
      <w:r>
        <w:t>Ibbs</w:t>
      </w:r>
      <w:proofErr w:type="spellEnd"/>
      <w:r>
        <w:t xml:space="preserve">, C. W. (2009). Towards a comprehensive understanding of public private partnerships for infrastructure development. </w:t>
      </w:r>
      <w:r>
        <w:rPr>
          <w:rStyle w:val="Emphasis"/>
        </w:rPr>
        <w:t>California Management Review, 51</w:t>
      </w:r>
      <w:r>
        <w:t>(2), 51–78.</w:t>
      </w:r>
    </w:p>
    <w:p w14:paraId="6D20D3CE" w14:textId="77777777" w:rsidR="00E87969" w:rsidRDefault="00E87969" w:rsidP="00E87969">
      <w:pPr>
        <w:pStyle w:val="NormalWeb"/>
      </w:pPr>
      <w:r>
        <w:t xml:space="preserve">Li, B., Akintoye, A., Edwards, P. J., &amp; Hardcastle, C. (2005). Critical success factors for PPP/PFI projects in the UK construction industry. </w:t>
      </w:r>
      <w:r>
        <w:rPr>
          <w:rStyle w:val="Emphasis"/>
        </w:rPr>
        <w:t>Construction Management and Economics, 23</w:t>
      </w:r>
      <w:r>
        <w:t>(5), 459–471.</w:t>
      </w:r>
    </w:p>
    <w:p w14:paraId="1F6A88E3" w14:textId="77777777" w:rsidR="00E87969" w:rsidRDefault="00E87969" w:rsidP="00E87969">
      <w:pPr>
        <w:pStyle w:val="NormalWeb"/>
      </w:pPr>
      <w:r>
        <w:t xml:space="preserve">Martins, A., &amp; Cruz, M. (2023). Technical expertise and project outcomes in European Union public-private partnerships. </w:t>
      </w:r>
      <w:r>
        <w:rPr>
          <w:rStyle w:val="Emphasis"/>
        </w:rPr>
        <w:t>European Journal of Project Management, 15</w:t>
      </w:r>
      <w:r>
        <w:t>(1), 33–49.</w:t>
      </w:r>
    </w:p>
    <w:p w14:paraId="55123A77" w14:textId="77777777" w:rsidR="00E87969" w:rsidRDefault="00E87969" w:rsidP="00E87969">
      <w:pPr>
        <w:pStyle w:val="NormalWeb"/>
      </w:pPr>
      <w:r>
        <w:t xml:space="preserve">Meyer, J. W., &amp; Rowan, B. (1977). Institutionalized organizations: Formal structure as myth and ceremony. </w:t>
      </w:r>
      <w:r>
        <w:rPr>
          <w:rStyle w:val="Emphasis"/>
        </w:rPr>
        <w:t>American Journal of Sociology, 83</w:t>
      </w:r>
      <w:r>
        <w:t>(2), 340–363.</w:t>
      </w:r>
    </w:p>
    <w:p w14:paraId="3759C471" w14:textId="77777777" w:rsidR="00E87969" w:rsidRDefault="00E87969" w:rsidP="00E87969">
      <w:pPr>
        <w:pStyle w:val="NormalWeb"/>
      </w:pPr>
      <w:r>
        <w:t xml:space="preserve">Mugenda, O. M., &amp; Mugenda, A. G. (2003). </w:t>
      </w:r>
      <w:r>
        <w:rPr>
          <w:rStyle w:val="Emphasis"/>
        </w:rPr>
        <w:t>Research methods: Quantitative and qualitative approaches</w:t>
      </w:r>
      <w:r>
        <w:t>. Acts Press.</w:t>
      </w:r>
    </w:p>
    <w:p w14:paraId="09D1FB65" w14:textId="77777777" w:rsidR="00E87969" w:rsidRDefault="00E87969" w:rsidP="00E87969">
      <w:pPr>
        <w:pStyle w:val="NormalWeb"/>
      </w:pPr>
      <w:r>
        <w:t xml:space="preserve">Mugenda, O. M., &amp; Mugenda, A. G. (2013). </w:t>
      </w:r>
      <w:r>
        <w:rPr>
          <w:rStyle w:val="Emphasis"/>
        </w:rPr>
        <w:t>Research methods dictionary</w:t>
      </w:r>
      <w:r>
        <w:t>. Applied Research and Training Services Press.</w:t>
      </w:r>
    </w:p>
    <w:p w14:paraId="57A60B16" w14:textId="77777777" w:rsidR="00E87969" w:rsidRDefault="00E87969" w:rsidP="00E87969">
      <w:pPr>
        <w:pStyle w:val="NormalWeb"/>
      </w:pPr>
      <w:r>
        <w:t xml:space="preserve">Mugenda, O. M., &amp; Mugenda, A. G. (2017). </w:t>
      </w:r>
      <w:r>
        <w:rPr>
          <w:rStyle w:val="Emphasis"/>
        </w:rPr>
        <w:t>Research methods: Dictionary and handbook</w:t>
      </w:r>
      <w:r>
        <w:t>. Applied Research and Training Services Press.</w:t>
      </w:r>
    </w:p>
    <w:p w14:paraId="18042A14" w14:textId="77777777" w:rsidR="00E87969" w:rsidRDefault="00E87969" w:rsidP="00E87969">
      <w:pPr>
        <w:pStyle w:val="NormalWeb"/>
      </w:pPr>
      <w:r>
        <w:t xml:space="preserve">Ngugi, J., &amp; Wanjohi, P. (2021). Engineering competencies and transport sector public-private partnership performance in Kenya. </w:t>
      </w:r>
      <w:r>
        <w:rPr>
          <w:rStyle w:val="Emphasis"/>
        </w:rPr>
        <w:t>East African Journal of Transport Studies, 5</w:t>
      </w:r>
      <w:r>
        <w:t>(2), 65–80.</w:t>
      </w:r>
    </w:p>
    <w:p w14:paraId="72CF07FF" w14:textId="77777777" w:rsidR="00E87969" w:rsidRDefault="00E87969" w:rsidP="00E87969">
      <w:pPr>
        <w:pStyle w:val="NormalWeb"/>
      </w:pPr>
      <w:r>
        <w:t xml:space="preserve">Njiru, E. (2008). Public sector reforms and organizational performance in Kenya. </w:t>
      </w:r>
      <w:r>
        <w:rPr>
          <w:rStyle w:val="Emphasis"/>
        </w:rPr>
        <w:t>Kenya Institute of Administration Journal, 4</w:t>
      </w:r>
      <w:r>
        <w:t>(1), 22–39.</w:t>
      </w:r>
    </w:p>
    <w:p w14:paraId="0B72AD76" w14:textId="77777777" w:rsidR="00E87969" w:rsidRDefault="00E87969" w:rsidP="00E87969">
      <w:pPr>
        <w:pStyle w:val="NormalWeb"/>
      </w:pPr>
      <w:r>
        <w:t xml:space="preserve">Odhiambo, R., &amp; Kamau, P. (2013). Strategic reforms and leadership dynamics in Kenya’s public sector. </w:t>
      </w:r>
      <w:r>
        <w:rPr>
          <w:rStyle w:val="Emphasis"/>
        </w:rPr>
        <w:t>African Public Administration Review, 7</w:t>
      </w:r>
      <w:r>
        <w:t>(2), 91–105.</w:t>
      </w:r>
    </w:p>
    <w:p w14:paraId="49754A07" w14:textId="77777777" w:rsidR="00E87969" w:rsidRDefault="00E87969" w:rsidP="00E87969">
      <w:pPr>
        <w:pStyle w:val="NormalWeb"/>
      </w:pPr>
      <w:proofErr w:type="spellStart"/>
      <w:r>
        <w:t>Orodho</w:t>
      </w:r>
      <w:proofErr w:type="spellEnd"/>
      <w:r>
        <w:t xml:space="preserve">, J. A. (2011). </w:t>
      </w:r>
      <w:r>
        <w:rPr>
          <w:rStyle w:val="Emphasis"/>
        </w:rPr>
        <w:t>Techniques of writing research proposals and reports in education and social sciences</w:t>
      </w:r>
      <w:r>
        <w:t xml:space="preserve">. </w:t>
      </w:r>
      <w:proofErr w:type="spellStart"/>
      <w:r>
        <w:t>Kanezja</w:t>
      </w:r>
      <w:proofErr w:type="spellEnd"/>
      <w:r>
        <w:t xml:space="preserve"> Publishers.</w:t>
      </w:r>
    </w:p>
    <w:p w14:paraId="33A5D74B" w14:textId="77777777" w:rsidR="00E87969" w:rsidRDefault="00E87969" w:rsidP="00E87969">
      <w:pPr>
        <w:pStyle w:val="NormalWeb"/>
      </w:pPr>
      <w:r>
        <w:t xml:space="preserve">Pfeffer, J., &amp; </w:t>
      </w:r>
      <w:proofErr w:type="spellStart"/>
      <w:r>
        <w:t>Salancik</w:t>
      </w:r>
      <w:proofErr w:type="spellEnd"/>
      <w:r>
        <w:t xml:space="preserve">, G. R. (1978). </w:t>
      </w:r>
      <w:r>
        <w:rPr>
          <w:rStyle w:val="Emphasis"/>
        </w:rPr>
        <w:t>The external control of organizations: A resource dependence perspective</w:t>
      </w:r>
      <w:r>
        <w:t>. Harper &amp; Row.</w:t>
      </w:r>
    </w:p>
    <w:p w14:paraId="7C412F89" w14:textId="77777777" w:rsidR="00E87969" w:rsidRDefault="00E87969" w:rsidP="00E87969">
      <w:pPr>
        <w:pStyle w:val="NormalWeb"/>
      </w:pPr>
      <w:r>
        <w:lastRenderedPageBreak/>
        <w:t xml:space="preserve">Saunders, M., Lewis, P., &amp; Thornhill, A. (2019). </w:t>
      </w:r>
      <w:r>
        <w:rPr>
          <w:rStyle w:val="Emphasis"/>
        </w:rPr>
        <w:t>Research methods for business students</w:t>
      </w:r>
      <w:r>
        <w:t xml:space="preserve"> (8th ed.). Pearson Education.</w:t>
      </w:r>
    </w:p>
    <w:p w14:paraId="6BC98C0F" w14:textId="77777777" w:rsidR="00E87969" w:rsidRDefault="00E87969" w:rsidP="00E87969">
      <w:pPr>
        <w:pStyle w:val="NormalWeb"/>
      </w:pPr>
      <w:r>
        <w:t xml:space="preserve">United Nations Economic and Social Commission for Asia and the Pacific (UNESCAP). (2019). </w:t>
      </w:r>
      <w:r>
        <w:rPr>
          <w:rStyle w:val="Emphasis"/>
        </w:rPr>
        <w:t>Public-private partnerships for sustainable development in Asia and the Pacific</w:t>
      </w:r>
      <w:r>
        <w:t>. United Nations Economic and Social Commission for Asia and the Pacific.</w:t>
      </w:r>
    </w:p>
    <w:p w14:paraId="2E0F0DDE" w14:textId="77777777" w:rsidR="00E87969" w:rsidRDefault="00E87969" w:rsidP="00E87969">
      <w:pPr>
        <w:pStyle w:val="NormalWeb"/>
      </w:pPr>
      <w:r>
        <w:t xml:space="preserve">Wibowo, A., &amp; </w:t>
      </w:r>
      <w:proofErr w:type="spellStart"/>
      <w:r>
        <w:t>Alfen</w:t>
      </w:r>
      <w:proofErr w:type="spellEnd"/>
      <w:r>
        <w:t xml:space="preserve">, H. W. (2015). Government-led critical success factors in PPP infrastructure development. </w:t>
      </w:r>
      <w:r>
        <w:rPr>
          <w:rStyle w:val="Emphasis"/>
        </w:rPr>
        <w:t>Built Environment Project and Asset Management, 5</w:t>
      </w:r>
      <w:r>
        <w:t>(1), 121–134.</w:t>
      </w:r>
    </w:p>
    <w:p w14:paraId="1293BF37" w14:textId="77777777" w:rsidR="00E87969" w:rsidRDefault="00E87969" w:rsidP="00E87969">
      <w:pPr>
        <w:pStyle w:val="NormalWeb"/>
      </w:pPr>
      <w:r>
        <w:t xml:space="preserve">World Bank. (2022). </w:t>
      </w:r>
      <w:r>
        <w:rPr>
          <w:rStyle w:val="Emphasis"/>
        </w:rPr>
        <w:t>Public-private partnerships reference guide</w:t>
      </w:r>
      <w:r>
        <w:t xml:space="preserve"> (Version 4.0). World Bank Publications.</w:t>
      </w:r>
    </w:p>
    <w:p w14:paraId="491B51FC" w14:textId="77777777" w:rsidR="00E87969" w:rsidRDefault="00E87969" w:rsidP="00E87969">
      <w:pPr>
        <w:pStyle w:val="NormalWeb"/>
      </w:pPr>
      <w:r>
        <w:t xml:space="preserve">Zhang, X. (2005). Critical success factors for public-private partnerships in infrastructure development. </w:t>
      </w:r>
      <w:r>
        <w:rPr>
          <w:rStyle w:val="Emphasis"/>
        </w:rPr>
        <w:t>Journal of Construction Engineering and Management, 131</w:t>
      </w:r>
      <w:r>
        <w:t>(1), 3–14.</w:t>
      </w:r>
    </w:p>
    <w:p w14:paraId="38250272" w14:textId="77777777" w:rsidR="00E87969" w:rsidRDefault="00E87969" w:rsidP="00E87969">
      <w:pPr>
        <w:pStyle w:val="NormalWeb"/>
      </w:pPr>
      <w:r>
        <w:t xml:space="preserve">Zou, P. X. W., Wang, S., &amp; Fang, D. (2008). A life-cycle risk management framework for PPP infrastructure projects. </w:t>
      </w:r>
      <w:r>
        <w:rPr>
          <w:rStyle w:val="Emphasis"/>
        </w:rPr>
        <w:t>Journal of Financial Management of Property and Construction, 13</w:t>
      </w:r>
      <w:r>
        <w:t>(2), 123–142.</w:t>
      </w:r>
    </w:p>
    <w:p w14:paraId="7EDB9757" w14:textId="77777777" w:rsidR="005E7FF5" w:rsidRDefault="005E7FF5" w:rsidP="005E7FF5"/>
    <w:p w14:paraId="4949F332" w14:textId="77777777" w:rsidR="005E7FF5" w:rsidRDefault="005E7FF5" w:rsidP="005E7FF5"/>
    <w:p w14:paraId="3503921E" w14:textId="77777777" w:rsidR="005E7FF5" w:rsidRDefault="005E7FF5" w:rsidP="005E7FF5"/>
    <w:p w14:paraId="65095147" w14:textId="77777777" w:rsidR="005E7FF5" w:rsidRDefault="005E7FF5" w:rsidP="005E7FF5"/>
    <w:p w14:paraId="317FFC77" w14:textId="77777777" w:rsidR="005E7FF5" w:rsidRDefault="005E7FF5" w:rsidP="005E7FF5"/>
    <w:p w14:paraId="16053BBF" w14:textId="77777777" w:rsidR="005E7FF5" w:rsidRDefault="005E7FF5" w:rsidP="005E7FF5"/>
    <w:p w14:paraId="61D1D20C" w14:textId="77777777" w:rsidR="00977CDE" w:rsidRDefault="00977CDE"/>
    <w:sectPr w:rsidR="00977C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8E2E" w14:textId="77777777" w:rsidR="009B2327" w:rsidRDefault="009B2327" w:rsidP="00207E2C">
      <w:pPr>
        <w:spacing w:line="240" w:lineRule="auto"/>
      </w:pPr>
      <w:r>
        <w:separator/>
      </w:r>
    </w:p>
  </w:endnote>
  <w:endnote w:type="continuationSeparator" w:id="0">
    <w:p w14:paraId="0899F873" w14:textId="77777777" w:rsidR="009B2327" w:rsidRDefault="009B2327" w:rsidP="00207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0057" w14:textId="77777777" w:rsidR="00207E2C" w:rsidRDefault="00207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0F4A" w14:textId="77777777" w:rsidR="00207E2C" w:rsidRDefault="00207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F35B" w14:textId="77777777" w:rsidR="00207E2C" w:rsidRDefault="00207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B802" w14:textId="77777777" w:rsidR="009B2327" w:rsidRDefault="009B2327" w:rsidP="00207E2C">
      <w:pPr>
        <w:spacing w:line="240" w:lineRule="auto"/>
      </w:pPr>
      <w:r>
        <w:separator/>
      </w:r>
    </w:p>
  </w:footnote>
  <w:footnote w:type="continuationSeparator" w:id="0">
    <w:p w14:paraId="546D8AE9" w14:textId="77777777" w:rsidR="009B2327" w:rsidRDefault="009B2327" w:rsidP="00207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6FF" w14:textId="42672C79" w:rsidR="00207E2C" w:rsidRDefault="00207E2C">
    <w:pPr>
      <w:pStyle w:val="Header"/>
    </w:pPr>
    <w:r>
      <w:rPr>
        <w:noProof/>
      </w:rPr>
      <w:pict w14:anchorId="04300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8D89" w14:textId="5495AFC6" w:rsidR="00207E2C" w:rsidRDefault="00207E2C">
    <w:pPr>
      <w:pStyle w:val="Header"/>
    </w:pPr>
    <w:r>
      <w:rPr>
        <w:noProof/>
      </w:rPr>
      <w:pict w14:anchorId="78399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11DC" w14:textId="04DB5204" w:rsidR="00207E2C" w:rsidRDefault="00207E2C">
    <w:pPr>
      <w:pStyle w:val="Header"/>
    </w:pPr>
    <w:r>
      <w:rPr>
        <w:noProof/>
      </w:rPr>
      <w:pict w14:anchorId="08CB9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0E0"/>
    <w:multiLevelType w:val="multilevel"/>
    <w:tmpl w:val="0AD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706B5"/>
    <w:multiLevelType w:val="multilevel"/>
    <w:tmpl w:val="0F1706B5"/>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2" w15:restartNumberingAfterBreak="0">
    <w:nsid w:val="1C657716"/>
    <w:multiLevelType w:val="multilevel"/>
    <w:tmpl w:val="1C657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31215D"/>
    <w:multiLevelType w:val="multilevel"/>
    <w:tmpl w:val="1D3121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B84B96"/>
    <w:multiLevelType w:val="multilevel"/>
    <w:tmpl w:val="1DB84B96"/>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 w15:restartNumberingAfterBreak="0">
    <w:nsid w:val="23925438"/>
    <w:multiLevelType w:val="multilevel"/>
    <w:tmpl w:val="FECA1294"/>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60BF2"/>
    <w:multiLevelType w:val="multilevel"/>
    <w:tmpl w:val="25F60BF2"/>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40041573"/>
    <w:multiLevelType w:val="multilevel"/>
    <w:tmpl w:val="40041573"/>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8" w15:restartNumberingAfterBreak="0">
    <w:nsid w:val="40C7583E"/>
    <w:multiLevelType w:val="multilevel"/>
    <w:tmpl w:val="40C7583E"/>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9" w15:restartNumberingAfterBreak="0">
    <w:nsid w:val="48F5174A"/>
    <w:multiLevelType w:val="multilevel"/>
    <w:tmpl w:val="367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651EA"/>
    <w:multiLevelType w:val="multilevel"/>
    <w:tmpl w:val="7C965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B240D8"/>
    <w:multiLevelType w:val="multilevel"/>
    <w:tmpl w:val="7EB24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8022530">
    <w:abstractNumId w:val="5"/>
  </w:num>
  <w:num w:numId="2" w16cid:durableId="520901690">
    <w:abstractNumId w:val="4"/>
  </w:num>
  <w:num w:numId="3" w16cid:durableId="1058044091">
    <w:abstractNumId w:val="8"/>
  </w:num>
  <w:num w:numId="4" w16cid:durableId="1230189913">
    <w:abstractNumId w:val="6"/>
  </w:num>
  <w:num w:numId="5" w16cid:durableId="101460245">
    <w:abstractNumId w:val="1"/>
  </w:num>
  <w:num w:numId="6" w16cid:durableId="886843696">
    <w:abstractNumId w:val="7"/>
  </w:num>
  <w:num w:numId="7" w16cid:durableId="981929323">
    <w:abstractNumId w:val="10"/>
  </w:num>
  <w:num w:numId="8" w16cid:durableId="148326590">
    <w:abstractNumId w:val="11"/>
  </w:num>
  <w:num w:numId="9" w16cid:durableId="935138962">
    <w:abstractNumId w:val="3"/>
  </w:num>
  <w:num w:numId="10" w16cid:durableId="1959097708">
    <w:abstractNumId w:val="2"/>
  </w:num>
  <w:num w:numId="11" w16cid:durableId="343441018">
    <w:abstractNumId w:val="0"/>
  </w:num>
  <w:num w:numId="12" w16cid:durableId="957951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F5"/>
    <w:rsid w:val="000D5DD2"/>
    <w:rsid w:val="000E47CD"/>
    <w:rsid w:val="00100FCF"/>
    <w:rsid w:val="00201CBA"/>
    <w:rsid w:val="00203EF7"/>
    <w:rsid w:val="00207E2C"/>
    <w:rsid w:val="002200F0"/>
    <w:rsid w:val="002A7785"/>
    <w:rsid w:val="002E29F9"/>
    <w:rsid w:val="00325523"/>
    <w:rsid w:val="003C3AC4"/>
    <w:rsid w:val="003C713A"/>
    <w:rsid w:val="00404EBD"/>
    <w:rsid w:val="00410F4B"/>
    <w:rsid w:val="00437A1A"/>
    <w:rsid w:val="00490638"/>
    <w:rsid w:val="00495AA8"/>
    <w:rsid w:val="00561C65"/>
    <w:rsid w:val="005E7FF5"/>
    <w:rsid w:val="005F55CB"/>
    <w:rsid w:val="00627ED9"/>
    <w:rsid w:val="00686711"/>
    <w:rsid w:val="00741D95"/>
    <w:rsid w:val="007C5126"/>
    <w:rsid w:val="00804104"/>
    <w:rsid w:val="008806AD"/>
    <w:rsid w:val="008E388C"/>
    <w:rsid w:val="00977CDE"/>
    <w:rsid w:val="009B2327"/>
    <w:rsid w:val="00A10354"/>
    <w:rsid w:val="00A522FF"/>
    <w:rsid w:val="00A60176"/>
    <w:rsid w:val="00A75B7C"/>
    <w:rsid w:val="00AE3804"/>
    <w:rsid w:val="00B02DAC"/>
    <w:rsid w:val="00BB5DB3"/>
    <w:rsid w:val="00C21FFB"/>
    <w:rsid w:val="00C8550D"/>
    <w:rsid w:val="00CC1036"/>
    <w:rsid w:val="00CD4C5A"/>
    <w:rsid w:val="00CE6F6B"/>
    <w:rsid w:val="00D10ED5"/>
    <w:rsid w:val="00D42FA7"/>
    <w:rsid w:val="00D82E86"/>
    <w:rsid w:val="00E11762"/>
    <w:rsid w:val="00E31517"/>
    <w:rsid w:val="00E87969"/>
    <w:rsid w:val="00FA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DDA2"/>
  <w15:chartTrackingRefBased/>
  <w15:docId w15:val="{3B04D6EB-74E0-4621-892B-0D9BB446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F5"/>
    <w:pPr>
      <w:spacing w:after="0" w:line="36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C7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FF5"/>
    <w:pPr>
      <w:keepNext/>
      <w:keepLines/>
      <w:spacing w:before="320" w:after="120"/>
      <w:outlineLvl w:val="1"/>
    </w:pPr>
    <w:rPr>
      <w:b/>
      <w:bCs/>
      <w:szCs w:val="26"/>
    </w:rPr>
  </w:style>
  <w:style w:type="paragraph" w:styleId="Heading3">
    <w:name w:val="heading 3"/>
    <w:basedOn w:val="Normal"/>
    <w:next w:val="Normal"/>
    <w:link w:val="Heading3Char"/>
    <w:uiPriority w:val="99"/>
    <w:unhideWhenUsed/>
    <w:qFormat/>
    <w:rsid w:val="005E7FF5"/>
    <w:pPr>
      <w:keepNext/>
      <w:spacing w:before="360" w:after="18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FF5"/>
    <w:rPr>
      <w:rFonts w:ascii="Times New Roman" w:eastAsia="Times New Roman" w:hAnsi="Times New Roman" w:cs="Times New Roman"/>
      <w:b/>
      <w:bCs/>
      <w:sz w:val="24"/>
      <w:szCs w:val="26"/>
      <w:lang w:val="en-GB" w:eastAsia="en-GB"/>
    </w:rPr>
  </w:style>
  <w:style w:type="character" w:customStyle="1" w:styleId="Heading3Char">
    <w:name w:val="Heading 3 Char"/>
    <w:basedOn w:val="DefaultParagraphFont"/>
    <w:link w:val="Heading3"/>
    <w:uiPriority w:val="99"/>
    <w:rsid w:val="005E7FF5"/>
    <w:rPr>
      <w:rFonts w:ascii="Times New Roman" w:eastAsia="Times New Roman" w:hAnsi="Times New Roman" w:cs="Times New Roman"/>
      <w:b/>
      <w:bCs/>
      <w:sz w:val="24"/>
      <w:szCs w:val="26"/>
      <w:lang w:val="en-GB" w:eastAsia="en-GB"/>
    </w:rPr>
  </w:style>
  <w:style w:type="paragraph" w:styleId="Caption">
    <w:name w:val="caption"/>
    <w:basedOn w:val="Normal"/>
    <w:next w:val="Normal"/>
    <w:autoRedefine/>
    <w:unhideWhenUsed/>
    <w:qFormat/>
    <w:rsid w:val="005E7FF5"/>
    <w:pPr>
      <w:spacing w:after="200" w:line="240" w:lineRule="auto"/>
      <w:jc w:val="both"/>
    </w:pPr>
    <w:rPr>
      <w:rFonts w:eastAsia="Calibri"/>
      <w:b/>
      <w:iCs/>
      <w:szCs w:val="18"/>
      <w:lang w:val="en-US" w:eastAsia="en-US"/>
    </w:rPr>
  </w:style>
  <w:style w:type="character" w:styleId="Hyperlink">
    <w:name w:val="Hyperlink"/>
    <w:basedOn w:val="DefaultParagraphFont"/>
    <w:uiPriority w:val="99"/>
    <w:unhideWhenUsed/>
    <w:rsid w:val="005E7FF5"/>
    <w:rPr>
      <w:color w:val="0000FF"/>
      <w:u w:val="single"/>
    </w:rPr>
  </w:style>
  <w:style w:type="paragraph" w:styleId="ListParagraph">
    <w:name w:val="List Paragraph"/>
    <w:basedOn w:val="Normal"/>
    <w:uiPriority w:val="99"/>
    <w:qFormat/>
    <w:rsid w:val="005E7FF5"/>
    <w:pPr>
      <w:spacing w:after="40"/>
      <w:ind w:left="720"/>
      <w:contextualSpacing/>
      <w:jc w:val="both"/>
    </w:pPr>
    <w:rPr>
      <w:rFonts w:eastAsiaTheme="minorHAnsi"/>
      <w:kern w:val="2"/>
      <w:lang w:eastAsia="en-US"/>
      <w14:ligatures w14:val="standardContextual"/>
    </w:rPr>
  </w:style>
  <w:style w:type="paragraph" w:styleId="NormalWeb">
    <w:name w:val="Normal (Web)"/>
    <w:basedOn w:val="Normal"/>
    <w:uiPriority w:val="99"/>
    <w:unhideWhenUsed/>
    <w:qFormat/>
    <w:rsid w:val="005E7FF5"/>
    <w:pPr>
      <w:spacing w:before="100" w:beforeAutospacing="1" w:after="100" w:afterAutospacing="1" w:line="240" w:lineRule="auto"/>
    </w:pPr>
    <w:rPr>
      <w:lang w:val="en-US" w:eastAsia="en-US"/>
    </w:rPr>
  </w:style>
  <w:style w:type="paragraph" w:styleId="NoSpacing">
    <w:name w:val="No Spacing"/>
    <w:uiPriority w:val="1"/>
    <w:qFormat/>
    <w:rsid w:val="005E7FF5"/>
    <w:pPr>
      <w:spacing w:after="0" w:line="240" w:lineRule="auto"/>
    </w:pPr>
    <w:rPr>
      <w:lang w:val="en-GB"/>
    </w:rPr>
  </w:style>
  <w:style w:type="character" w:customStyle="1" w:styleId="Heading1Char">
    <w:name w:val="Heading 1 Char"/>
    <w:basedOn w:val="DefaultParagraphFont"/>
    <w:link w:val="Heading1"/>
    <w:uiPriority w:val="9"/>
    <w:rsid w:val="003C713A"/>
    <w:rPr>
      <w:rFonts w:asciiTheme="majorHAnsi" w:eastAsiaTheme="majorEastAsia" w:hAnsiTheme="majorHAnsi" w:cstheme="majorBidi"/>
      <w:color w:val="2E74B5" w:themeColor="accent1" w:themeShade="BF"/>
      <w:sz w:val="32"/>
      <w:szCs w:val="32"/>
      <w:lang w:val="en-GB" w:eastAsia="en-GB"/>
    </w:rPr>
  </w:style>
  <w:style w:type="character" w:styleId="Strong">
    <w:name w:val="Strong"/>
    <w:basedOn w:val="DefaultParagraphFont"/>
    <w:uiPriority w:val="22"/>
    <w:qFormat/>
    <w:rsid w:val="00325523"/>
    <w:rPr>
      <w:b/>
      <w:bCs/>
    </w:rPr>
  </w:style>
  <w:style w:type="paragraph" w:customStyle="1" w:styleId="isselectedend">
    <w:name w:val="isselectedend"/>
    <w:basedOn w:val="Normal"/>
    <w:rsid w:val="00A10354"/>
    <w:pPr>
      <w:spacing w:before="100" w:beforeAutospacing="1" w:after="100" w:afterAutospacing="1" w:line="240" w:lineRule="auto"/>
    </w:pPr>
  </w:style>
  <w:style w:type="character" w:styleId="Emphasis">
    <w:name w:val="Emphasis"/>
    <w:basedOn w:val="DefaultParagraphFont"/>
    <w:uiPriority w:val="20"/>
    <w:qFormat/>
    <w:rsid w:val="00D42FA7"/>
    <w:rPr>
      <w:i/>
      <w:iCs/>
    </w:rPr>
  </w:style>
  <w:style w:type="character" w:styleId="UnresolvedMention">
    <w:name w:val="Unresolved Mention"/>
    <w:basedOn w:val="DefaultParagraphFont"/>
    <w:uiPriority w:val="99"/>
    <w:semiHidden/>
    <w:unhideWhenUsed/>
    <w:rsid w:val="00E31517"/>
    <w:rPr>
      <w:color w:val="605E5C"/>
      <w:shd w:val="clear" w:color="auto" w:fill="E1DFDD"/>
    </w:rPr>
  </w:style>
  <w:style w:type="paragraph" w:styleId="Header">
    <w:name w:val="header"/>
    <w:basedOn w:val="Normal"/>
    <w:link w:val="HeaderChar"/>
    <w:uiPriority w:val="99"/>
    <w:unhideWhenUsed/>
    <w:rsid w:val="00207E2C"/>
    <w:pPr>
      <w:tabs>
        <w:tab w:val="center" w:pos="4680"/>
        <w:tab w:val="right" w:pos="9360"/>
      </w:tabs>
      <w:spacing w:line="240" w:lineRule="auto"/>
    </w:pPr>
  </w:style>
  <w:style w:type="character" w:customStyle="1" w:styleId="HeaderChar">
    <w:name w:val="Header Char"/>
    <w:basedOn w:val="DefaultParagraphFont"/>
    <w:link w:val="Header"/>
    <w:uiPriority w:val="99"/>
    <w:rsid w:val="00207E2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07E2C"/>
    <w:pPr>
      <w:tabs>
        <w:tab w:val="center" w:pos="4680"/>
        <w:tab w:val="right" w:pos="9360"/>
      </w:tabs>
      <w:spacing w:line="240" w:lineRule="auto"/>
    </w:pPr>
  </w:style>
  <w:style w:type="character" w:customStyle="1" w:styleId="FooterChar">
    <w:name w:val="Footer Char"/>
    <w:basedOn w:val="DefaultParagraphFont"/>
    <w:link w:val="Footer"/>
    <w:uiPriority w:val="99"/>
    <w:rsid w:val="00207E2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51433">
      <w:bodyDiv w:val="1"/>
      <w:marLeft w:val="0"/>
      <w:marRight w:val="0"/>
      <w:marTop w:val="0"/>
      <w:marBottom w:val="0"/>
      <w:divBdr>
        <w:top w:val="none" w:sz="0" w:space="0" w:color="auto"/>
        <w:left w:val="none" w:sz="0" w:space="0" w:color="auto"/>
        <w:bottom w:val="none" w:sz="0" w:space="0" w:color="auto"/>
        <w:right w:val="none" w:sz="0" w:space="0" w:color="auto"/>
      </w:divBdr>
      <w:divsChild>
        <w:div w:id="12465050">
          <w:marLeft w:val="0"/>
          <w:marRight w:val="0"/>
          <w:marTop w:val="0"/>
          <w:marBottom w:val="0"/>
          <w:divBdr>
            <w:top w:val="none" w:sz="0" w:space="0" w:color="auto"/>
            <w:left w:val="none" w:sz="0" w:space="0" w:color="auto"/>
            <w:bottom w:val="none" w:sz="0" w:space="0" w:color="auto"/>
            <w:right w:val="none" w:sz="0" w:space="0" w:color="auto"/>
          </w:divBdr>
        </w:div>
      </w:divsChild>
    </w:div>
    <w:div w:id="1339888885">
      <w:bodyDiv w:val="1"/>
      <w:marLeft w:val="0"/>
      <w:marRight w:val="0"/>
      <w:marTop w:val="0"/>
      <w:marBottom w:val="0"/>
      <w:divBdr>
        <w:top w:val="none" w:sz="0" w:space="0" w:color="auto"/>
        <w:left w:val="none" w:sz="0" w:space="0" w:color="auto"/>
        <w:bottom w:val="none" w:sz="0" w:space="0" w:color="auto"/>
        <w:right w:val="none" w:sz="0" w:space="0" w:color="auto"/>
      </w:divBdr>
    </w:div>
    <w:div w:id="1411195676">
      <w:bodyDiv w:val="1"/>
      <w:marLeft w:val="0"/>
      <w:marRight w:val="0"/>
      <w:marTop w:val="0"/>
      <w:marBottom w:val="0"/>
      <w:divBdr>
        <w:top w:val="none" w:sz="0" w:space="0" w:color="auto"/>
        <w:left w:val="none" w:sz="0" w:space="0" w:color="auto"/>
        <w:bottom w:val="none" w:sz="0" w:space="0" w:color="auto"/>
        <w:right w:val="none" w:sz="0" w:space="0" w:color="auto"/>
      </w:divBdr>
    </w:div>
    <w:div w:id="1496338854">
      <w:bodyDiv w:val="1"/>
      <w:marLeft w:val="0"/>
      <w:marRight w:val="0"/>
      <w:marTop w:val="0"/>
      <w:marBottom w:val="0"/>
      <w:divBdr>
        <w:top w:val="none" w:sz="0" w:space="0" w:color="auto"/>
        <w:left w:val="none" w:sz="0" w:space="0" w:color="auto"/>
        <w:bottom w:val="none" w:sz="0" w:space="0" w:color="auto"/>
        <w:right w:val="none" w:sz="0" w:space="0" w:color="auto"/>
      </w:divBdr>
    </w:div>
    <w:div w:id="1506938712">
      <w:bodyDiv w:val="1"/>
      <w:marLeft w:val="0"/>
      <w:marRight w:val="0"/>
      <w:marTop w:val="0"/>
      <w:marBottom w:val="0"/>
      <w:divBdr>
        <w:top w:val="none" w:sz="0" w:space="0" w:color="auto"/>
        <w:left w:val="none" w:sz="0" w:space="0" w:color="auto"/>
        <w:bottom w:val="none" w:sz="0" w:space="0" w:color="auto"/>
        <w:right w:val="none" w:sz="0" w:space="0" w:color="auto"/>
      </w:divBdr>
    </w:div>
    <w:div w:id="1665471352">
      <w:bodyDiv w:val="1"/>
      <w:marLeft w:val="0"/>
      <w:marRight w:val="0"/>
      <w:marTop w:val="0"/>
      <w:marBottom w:val="0"/>
      <w:divBdr>
        <w:top w:val="none" w:sz="0" w:space="0" w:color="auto"/>
        <w:left w:val="none" w:sz="0" w:space="0" w:color="auto"/>
        <w:bottom w:val="none" w:sz="0" w:space="0" w:color="auto"/>
        <w:right w:val="none" w:sz="0" w:space="0" w:color="auto"/>
      </w:divBdr>
    </w:div>
    <w:div w:id="1867284233">
      <w:bodyDiv w:val="1"/>
      <w:marLeft w:val="0"/>
      <w:marRight w:val="0"/>
      <w:marTop w:val="0"/>
      <w:marBottom w:val="0"/>
      <w:divBdr>
        <w:top w:val="none" w:sz="0" w:space="0" w:color="auto"/>
        <w:left w:val="none" w:sz="0" w:space="0" w:color="auto"/>
        <w:bottom w:val="none" w:sz="0" w:space="0" w:color="auto"/>
        <w:right w:val="none" w:sz="0" w:space="0" w:color="auto"/>
      </w:divBdr>
    </w:div>
    <w:div w:id="1880892872">
      <w:bodyDiv w:val="1"/>
      <w:marLeft w:val="0"/>
      <w:marRight w:val="0"/>
      <w:marTop w:val="0"/>
      <w:marBottom w:val="0"/>
      <w:divBdr>
        <w:top w:val="none" w:sz="0" w:space="0" w:color="auto"/>
        <w:left w:val="none" w:sz="0" w:space="0" w:color="auto"/>
        <w:bottom w:val="none" w:sz="0" w:space="0" w:color="auto"/>
        <w:right w:val="none" w:sz="0" w:space="0" w:color="auto"/>
      </w:divBdr>
    </w:div>
    <w:div w:id="1930892620">
      <w:bodyDiv w:val="1"/>
      <w:marLeft w:val="0"/>
      <w:marRight w:val="0"/>
      <w:marTop w:val="0"/>
      <w:marBottom w:val="0"/>
      <w:divBdr>
        <w:top w:val="none" w:sz="0" w:space="0" w:color="auto"/>
        <w:left w:val="none" w:sz="0" w:space="0" w:color="auto"/>
        <w:bottom w:val="none" w:sz="0" w:space="0" w:color="auto"/>
        <w:right w:val="none" w:sz="0" w:space="0" w:color="auto"/>
      </w:divBdr>
    </w:div>
    <w:div w:id="1987005031">
      <w:bodyDiv w:val="1"/>
      <w:marLeft w:val="0"/>
      <w:marRight w:val="0"/>
      <w:marTop w:val="0"/>
      <w:marBottom w:val="0"/>
      <w:divBdr>
        <w:top w:val="none" w:sz="0" w:space="0" w:color="auto"/>
        <w:left w:val="none" w:sz="0" w:space="0" w:color="auto"/>
        <w:bottom w:val="none" w:sz="0" w:space="0" w:color="auto"/>
        <w:right w:val="none" w:sz="0" w:space="0" w:color="auto"/>
      </w:divBdr>
    </w:div>
    <w:div w:id="20714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5181</Words>
  <Characters>29536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2026-06-11T13:01:00Z</dcterms:created>
  <dcterms:modified xsi:type="dcterms:W3CDTF">2026-06-13T12:53:00Z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1a72515b-a8d0-4714-8996-a4a90763b54f</vt:lpwstr>
  </property>
</Properties>
</file>