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E459" w14:textId="77777777" w:rsidR="00D46DA7" w:rsidRDefault="00000000">
      <w:pPr>
        <w:jc w:val="center"/>
      </w:pPr>
      <w:r>
        <w:rPr>
          <w:b/>
          <w:sz w:val="28"/>
        </w:rPr>
        <w:t>Stability Analysis of a Rodent-Human Hantavirus Model With</w:t>
      </w:r>
      <w:r>
        <w:rPr>
          <w:b/>
          <w:sz w:val="28"/>
        </w:rPr>
        <w:br/>
        <w:t>Immune Response</w:t>
      </w:r>
    </w:p>
    <w:p w14:paraId="5F8E0884" w14:textId="77777777" w:rsidR="00D46DA7" w:rsidRDefault="00000000">
      <w:pPr>
        <w:pStyle w:val="Heading1"/>
      </w:pPr>
      <w:r>
        <w:rPr>
          <w:rFonts w:ascii="Times New Roman" w:eastAsia="Times New Roman" w:hAnsi="Times New Roman"/>
          <w:highlight w:val="yellow"/>
        </w:rPr>
        <w:t>Abstract</w:t>
      </w:r>
    </w:p>
    <w:p w14:paraId="66E99627" w14:textId="77777777" w:rsidR="00D46DA7" w:rsidRDefault="00000000" w:rsidP="002B1DBF">
      <w:pPr>
        <w:jc w:val="both"/>
      </w:pPr>
      <w:r>
        <w:rPr>
          <w:highlight w:val="yellow"/>
        </w:rPr>
        <w:t>This study formulates and analyses a deterministic mathematical model for the transmission dynamics of hantavirus incorporating immune response dynamics. The model consists of susceptible and infected rodent populations, together with susceptible, exposed, infectious and recovered human compartments. An immune response compartment is introduced to represent immune activation and immune-mediated clearance of infection in humans. The proposed framework captures rodent-mediated transmission, disease progression, recovery, disease-induced mortality and host immune interactions. The positivity and boundedness of solutions are established, showing that the system is biologically and mathematically well posed within a feasible invariant region. The disease-free equilibrium is obtained, and the basic reproduction number is derived using the next-generation matrix method. The analysis shows that the disease-free equilibrium is locally and globally asymptotically stable when R0 &lt; 1, whereas a unique endemic equilibrium exists when R0 &gt; 1. The findings indicate that rodent ecology plays a central role in hantavirus persistence, while immune response dynamics influence infection clearance and recovery in humans. In particular, stronger immune stimulation and immune-mediated clearance reduce the infectious burden and support disease suppression, whereas weak immune action may permit persistent infection and prolonged outbreaks. The study highlights the epidemiological relevance of including immune response dynamics in hantavirus transmission models. It also provides theoretical insight into integrated disease-management strategies involving rodent population control, reduction of human exposure and enhancement of immune protection. The results may serve as a basis for future studies that incorporate additional ecological, stochastic, spatial or within-host mechanisms.</w:t>
      </w:r>
    </w:p>
    <w:p w14:paraId="2A324D15" w14:textId="77777777" w:rsidR="00D46DA7" w:rsidRDefault="00000000">
      <w:r>
        <w:rPr>
          <w:highlight w:val="yellow"/>
        </w:rPr>
        <w:t>Keywords: Mathematical Modelling, Disease Transmission Dynamics, Hantavirus, Immune Response Dynamics, Rodent Populations</w:t>
      </w:r>
    </w:p>
    <w:p w14:paraId="66C3DC38" w14:textId="77777777" w:rsidR="00D46DA7" w:rsidRDefault="00000000">
      <w:pPr>
        <w:pStyle w:val="Heading1"/>
      </w:pPr>
      <w:r>
        <w:rPr>
          <w:rFonts w:ascii="Times New Roman" w:eastAsia="Times New Roman" w:hAnsi="Times New Roman"/>
        </w:rPr>
        <w:t>1 Introduction</w:t>
      </w:r>
    </w:p>
    <w:p w14:paraId="02E43607" w14:textId="77777777" w:rsidR="00D46DA7" w:rsidRDefault="00000000" w:rsidP="00605530">
      <w:pPr>
        <w:jc w:val="both"/>
      </w:pPr>
      <w:r>
        <w:rPr>
          <w:highlight w:val="yellow"/>
        </w:rPr>
        <w:t>Hantavirus is an animal-borne virus that is mainly transmitted by rodents and contaminated environments. Characterised by single-stranded RNA viruses from the family Hantaviridae, the disease is associated with severe human diseases such as haemorrhagic fever with renal syndrome (HFRS) and hantavirus pulmonary syndrome (HPS) [2]. Hantavirus outbreaks continue to present serious public health concerns in many parts of the world because of high disease fatality, ecological complexity and increasing associations with environmental and climatic changes [3]. Rodents are the main hantavirus reservoirs and remain persistently infected throughout their lifetime. Hantavirus is transmitted by aerosolised virus shed in rodent urine, saliva and faeces [4]. Humans are usually infected through the respiratory route following contact with excretions, urine and saliva from infected wild rodents [5]. Rarely, a bite from an infected rodent can transmit the virus directly. Person-to-person transmission has occasionally been documented, but generally only for some South American strains, such as Andes virus [6]. The rodent-to-human pathway dominates in nearly all other cases.</w:t>
      </w:r>
    </w:p>
    <w:p w14:paraId="07F94A51" w14:textId="77777777" w:rsidR="00D46DA7" w:rsidRDefault="00000000" w:rsidP="00605530">
      <w:pPr>
        <w:jc w:val="both"/>
      </w:pPr>
      <w:r>
        <w:rPr>
          <w:highlight w:val="yellow"/>
        </w:rPr>
        <w:t xml:space="preserve">Disease maintenance is highly dependent on the ecology of rodent reservoirs. Outbreaks and characteristic cyclical patterns of hantavirus are triggered and regulated by climatic factors, such as rainfall, humidity, temperature, vegetation and food sources, which influence the population dynamics of rodent reservoirs [7]. Periods of increased rainfall can result in population growth among rodent hosts, thereby increasing opportunities for spillover infections in humans [8]. The well-known Four Corners outbreak of 1993 in the </w:t>
      </w:r>
      <w:r>
        <w:rPr>
          <w:highlight w:val="yellow"/>
        </w:rPr>
        <w:lastRenderedPageBreak/>
        <w:t>United States demonstrates a strong relationship between ecology and hantavirus incidence [11]. In addition to the strong effects of ecology on population incidence, host immune response governs the course of infection within a human host. Upon infection, the immune system launches responses through several pathways, including macrophage-, T-cell-, cytokine- and antibody-related mechanisms [12]. Klingström et al. reported that cytotoxic T-cell response is important in controlling infection [14], and Raftery et al. demonstrated that immunopathology significantly contributes to disease progression [15]. Thus, immune dynamics appear to have a strong influence on hantavirus progression, and immune response should therefore be considered in mathematical models.</w:t>
      </w:r>
    </w:p>
    <w:p w14:paraId="01A4B982" w14:textId="77777777" w:rsidR="00D46DA7" w:rsidRDefault="00000000" w:rsidP="00605530">
      <w:pPr>
        <w:jc w:val="both"/>
      </w:pPr>
      <w:r>
        <w:rPr>
          <w:highlight w:val="yellow"/>
        </w:rPr>
        <w:t>Mathematical modelling is an important approach in the study of infectious disease systems, particularly for guiding intervention analysis. Ordinary differential equation compartmental epidemic models provide a quantitative basis for analysing dynamics, identifying threshold conditions, studying the behaviour of equilibria and predicting the long-term progression of spreading diseases [16, 17, 18]. In animal-borne diseases such as hantavirus, such constructive models are particularly useful because of their connection with ecological processes. Early quantitative work on hantavirus focused on mathematical modelling of ecological reservoir transmission. One of the first mathematical frameworks for hantavirus spread in nature was developed by Abramson and Kenkre [19]. They analysed spatiotemporal transmission and found that population movement significantly affected epidemic persistence. Building on this work, Allen et al. developed deterministic models for infection spread in rodent populations [20, 21]. Their results demonstrate how the ecology of rodent hosts dominates disease dynamics, and they establish threshold conditions for disease persistence and extinction.</w:t>
      </w:r>
    </w:p>
    <w:p w14:paraId="276D5D8D" w14:textId="77777777" w:rsidR="00D46DA7" w:rsidRDefault="00000000" w:rsidP="00605530">
      <w:pPr>
        <w:jc w:val="both"/>
      </w:pPr>
      <w:r>
        <w:rPr>
          <w:highlight w:val="yellow"/>
        </w:rPr>
        <w:t>Sauvage et al. studied variables affecting rodent populations and found ecology to be a dominant factor in disease dynamics [22]. Many researchers have continued to extend the classical hantavirus model by incorporating features such as stochasticity and spatial diffusion. Wesley and Allen discussed the effects of external seasonal forcing on persistence and found that seasonality can drive the system towards outbreaks or oscillations [23]. Liu et al. incorporated time delays and found that they substantially affect system stability [24]. Recent studies have increasingly focused on integrating human infection dynamics into hantavirus models. Gutíerrez-Jara et al. developed a mathematical model incorporating territorial structure and human mobility [25]. Their work demonstrated that spatial movement patterns significantly influence spillover transmission risk and outbreak propagation.</w:t>
      </w:r>
    </w:p>
    <w:p w14:paraId="29AAB0B0" w14:textId="77777777" w:rsidR="00D46DA7" w:rsidRDefault="00000000" w:rsidP="00605530">
      <w:pPr>
        <w:jc w:val="both"/>
      </w:pPr>
      <w:r>
        <w:rPr>
          <w:highlight w:val="yellow"/>
        </w:rPr>
        <w:t>In recent years, growing attention has been directed towards the role of immune response in infectious disease modelling. Immune response dynamics have been extensively studied in viral infections such as HIV, hepatitis, influenza, Ebola and COVID-19 [26, 27]. These models have shown that immune-mediated viral clearance and immune activation strongly affect disease progression and stability behaviour. Several within-host viral models have incorporated immune effector cells and immune-mediated clearance mechanisms [28, 9, 10, 29]. Such approaches have improved understanding of viral persistence, immune exhaustion, cytokine storms and therapeutic interventions. Despite these advances, relatively few mathematical studies have explicitly incorporated immune response dynamics into hantavirus transmission models. Since immune activation significantly influences disease severity, recovery and mortality, neglecting immune interactions may limit the biological realism of epidemiological models.</w:t>
      </w:r>
    </w:p>
    <w:p w14:paraId="14490C72" w14:textId="77777777" w:rsidR="00D46DA7" w:rsidRDefault="00000000" w:rsidP="00605530">
      <w:pPr>
        <w:jc w:val="both"/>
      </w:pPr>
      <w:r>
        <w:rPr>
          <w:highlight w:val="yellow"/>
        </w:rPr>
        <w:t>Although existing hantavirus models have provided valuable insights into rodent reservoir transmission, ecological persistence and human spillover, many have not explicitly linked population-level transmission with immune-mediated clearance in humans. This gap limits the capacity of such models to represent how host immune activity may influence infectious burden, recovery and long-term stability outcomes within a rodent-human transmission framework.</w:t>
      </w:r>
    </w:p>
    <w:p w14:paraId="516F2B98" w14:textId="77777777" w:rsidR="00D46DA7" w:rsidRDefault="00000000" w:rsidP="00605530">
      <w:pPr>
        <w:jc w:val="both"/>
      </w:pPr>
      <w:r>
        <w:rPr>
          <w:highlight w:val="yellow"/>
        </w:rPr>
        <w:lastRenderedPageBreak/>
        <w:t>The present study therefore develops a deterministic hantavirus transmission model incorporating immune response dynamics. The model integrates rodent reservoir transmission, human infection progression, immune activation, immune-mediated clearance, recovery and disease-induced mortality. The inclusion of immune dynamics provides a more realistic representation of host-pathogen interactions and allows investigation of how immune responses influence disease persistence and stability. The study focuses on rigorous qualitative analysis and stability theory. In particular, the objectives are to establish positivity and boundedness of solutions, derive the basic reproduction number, determine the disease-free equilibrium, analyse local and global stability properties, and investigate the role of immune response in infection control.</w:t>
      </w:r>
    </w:p>
    <w:p w14:paraId="30E854ED" w14:textId="77777777" w:rsidR="00D46DA7" w:rsidRDefault="00000000" w:rsidP="00605530">
      <w:pPr>
        <w:jc w:val="both"/>
      </w:pPr>
      <w:r>
        <w:rPr>
          <w:highlight w:val="yellow"/>
        </w:rPr>
        <w:t>Understanding these mechanisms is essential for improving epidemiological prediction and designing effective disease control strategies. The results obtained in this work may contribute to future studies involving optimal control, immune therapy, stochastic effects, environmental transmission and within-host hantavirus dynamics.</w:t>
      </w:r>
    </w:p>
    <w:p w14:paraId="5C0EDD11" w14:textId="77777777" w:rsidR="00D46DA7" w:rsidRDefault="00000000">
      <w:pPr>
        <w:pStyle w:val="Heading2"/>
      </w:pPr>
      <w:r>
        <w:rPr>
          <w:rFonts w:ascii="Times New Roman" w:eastAsia="Times New Roman" w:hAnsi="Times New Roman"/>
          <w:sz w:val="24"/>
        </w:rPr>
        <w:t>1.1 Model Assumptions with Immune Response Dynamics</w:t>
      </w:r>
    </w:p>
    <w:p w14:paraId="4143AE44" w14:textId="77777777" w:rsidR="00D46DA7" w:rsidRDefault="00000000">
      <w:r>
        <w:rPr>
          <w:highlight w:val="yellow"/>
        </w:rPr>
        <w:t>The following assumptions are considered:</w:t>
      </w:r>
    </w:p>
    <w:p w14:paraId="5C813F6B" w14:textId="77777777" w:rsidR="00D46DA7" w:rsidRDefault="00000000">
      <w:pPr>
        <w:pStyle w:val="ListNumber"/>
      </w:pPr>
      <w:r>
        <w:t>Rodents reproduce naturally.</w:t>
      </w:r>
    </w:p>
    <w:p w14:paraId="656AC81B" w14:textId="77777777" w:rsidR="00D46DA7" w:rsidRDefault="00000000">
      <w:pPr>
        <w:pStyle w:val="ListNumber"/>
      </w:pPr>
      <w:r>
        <w:t>Infected rodents remain infected throughout life.</w:t>
      </w:r>
    </w:p>
    <w:p w14:paraId="4C8BA4A6" w14:textId="77777777" w:rsidR="00D46DA7" w:rsidRDefault="00000000">
      <w:pPr>
        <w:pStyle w:val="ListNumber"/>
      </w:pPr>
      <w:r>
        <w:t>Transmission among rodents occurs through contact.</w:t>
      </w:r>
    </w:p>
    <w:p w14:paraId="24386347" w14:textId="77777777" w:rsidR="00D46DA7" w:rsidRDefault="00000000">
      <w:pPr>
        <w:pStyle w:val="ListNumber"/>
      </w:pPr>
      <w:r>
        <w:t>Humans become infected through contact with infected rodents.</w:t>
      </w:r>
    </w:p>
    <w:p w14:paraId="22454EA5" w14:textId="77777777" w:rsidR="00D46DA7" w:rsidRDefault="00000000">
      <w:pPr>
        <w:pStyle w:val="ListNumber"/>
      </w:pPr>
      <w:r>
        <w:t>Human-to-human transmission is negligible.</w:t>
      </w:r>
    </w:p>
    <w:p w14:paraId="57E6DE17" w14:textId="77777777" w:rsidR="00D46DA7" w:rsidRDefault="00000000">
      <w:pPr>
        <w:pStyle w:val="ListNumber"/>
      </w:pPr>
      <w:r>
        <w:t>Recovered humans acquire immunity.</w:t>
      </w:r>
    </w:p>
    <w:p w14:paraId="4EE30381" w14:textId="77777777" w:rsidR="00D46DA7" w:rsidRDefault="00000000">
      <w:pPr>
        <w:pStyle w:val="ListNumber"/>
      </w:pPr>
      <w:r>
        <w:t>The human immune system responds to hantavirus infection through activation of immune effector cells.</w:t>
      </w:r>
    </w:p>
    <w:p w14:paraId="760A3BF5" w14:textId="77777777" w:rsidR="00D46DA7" w:rsidRDefault="00000000">
      <w:pPr>
        <w:pStyle w:val="ListNumber"/>
      </w:pPr>
      <w:r>
        <w:t>Immune cells help suppress infection by eliminating infectious human cells.</w:t>
      </w:r>
    </w:p>
    <w:p w14:paraId="01AB2CE1" w14:textId="77777777" w:rsidR="00D46DA7" w:rsidRDefault="00000000">
      <w:pPr>
        <w:pStyle w:val="ListNumber"/>
      </w:pPr>
      <w:r>
        <w:t>Immune response strength increases proportionally with the level of infection.</w:t>
      </w:r>
    </w:p>
    <w:p w14:paraId="1EE5656B" w14:textId="77777777" w:rsidR="00D46DA7" w:rsidRDefault="00000000">
      <w:pPr>
        <w:pStyle w:val="ListNumber"/>
      </w:pPr>
      <w:r>
        <w:t>Immune cells decay naturally in the absence of infection.</w:t>
      </w:r>
    </w:p>
    <w:p w14:paraId="61707DC2" w14:textId="77777777" w:rsidR="00D46DA7" w:rsidRDefault="00000000">
      <w:pPr>
        <w:pStyle w:val="Heading2"/>
      </w:pPr>
      <w:r>
        <w:rPr>
          <w:rFonts w:ascii="Times New Roman" w:eastAsia="Times New Roman" w:hAnsi="Times New Roman"/>
          <w:sz w:val="24"/>
        </w:rPr>
        <w:t>1.2 Description of Variables</w:t>
      </w:r>
    </w:p>
    <w:p w14:paraId="33955BB0" w14:textId="77777777" w:rsidR="00D46DA7" w:rsidRDefault="00000000">
      <w:r>
        <w:t>Table 1: Description of model variables</w:t>
      </w:r>
    </w:p>
    <w:tbl>
      <w:tblPr>
        <w:tblStyle w:val="TableGrid"/>
        <w:tblW w:w="0" w:type="auto"/>
        <w:jc w:val="center"/>
        <w:tblLook w:val="04A0" w:firstRow="1" w:lastRow="0" w:firstColumn="1" w:lastColumn="0" w:noHBand="0" w:noVBand="1"/>
      </w:tblPr>
      <w:tblGrid>
        <w:gridCol w:w="4968"/>
        <w:gridCol w:w="4968"/>
      </w:tblGrid>
      <w:tr w:rsidR="00D46DA7" w14:paraId="38D8CF6B" w14:textId="77777777">
        <w:trPr>
          <w:jc w:val="center"/>
        </w:trPr>
        <w:tc>
          <w:tcPr>
            <w:tcW w:w="4968" w:type="dxa"/>
            <w:shd w:val="clear" w:color="auto" w:fill="D9EAF7"/>
          </w:tcPr>
          <w:p w14:paraId="03EB2B1C" w14:textId="77777777" w:rsidR="00D46DA7" w:rsidRDefault="00000000">
            <w:r>
              <w:rPr>
                <w:b/>
              </w:rPr>
              <w:t>Variable</w:t>
            </w:r>
          </w:p>
        </w:tc>
        <w:tc>
          <w:tcPr>
            <w:tcW w:w="4968" w:type="dxa"/>
            <w:shd w:val="clear" w:color="auto" w:fill="D9EAF7"/>
          </w:tcPr>
          <w:p w14:paraId="6FE17F2D" w14:textId="77777777" w:rsidR="00D46DA7" w:rsidRDefault="00000000">
            <w:r>
              <w:rPr>
                <w:b/>
              </w:rPr>
              <w:t>Description</w:t>
            </w:r>
          </w:p>
        </w:tc>
      </w:tr>
      <w:tr w:rsidR="00D46DA7" w14:paraId="35F9642D" w14:textId="77777777">
        <w:trPr>
          <w:jc w:val="center"/>
        </w:trPr>
        <w:tc>
          <w:tcPr>
            <w:tcW w:w="4968" w:type="dxa"/>
            <w:vAlign w:val="center"/>
          </w:tcPr>
          <w:p w14:paraId="709A0F43" w14:textId="77777777" w:rsidR="00D46DA7" w:rsidRDefault="00000000">
            <w:r>
              <w:t>Sr(t)</w:t>
            </w:r>
          </w:p>
        </w:tc>
        <w:tc>
          <w:tcPr>
            <w:tcW w:w="4968" w:type="dxa"/>
            <w:vAlign w:val="center"/>
          </w:tcPr>
          <w:p w14:paraId="614883E9" w14:textId="77777777" w:rsidR="00D46DA7" w:rsidRDefault="00000000">
            <w:r>
              <w:t>Susceptible rodents</w:t>
            </w:r>
          </w:p>
        </w:tc>
      </w:tr>
      <w:tr w:rsidR="00D46DA7" w14:paraId="694D3C8A" w14:textId="77777777">
        <w:trPr>
          <w:jc w:val="center"/>
        </w:trPr>
        <w:tc>
          <w:tcPr>
            <w:tcW w:w="4968" w:type="dxa"/>
            <w:vAlign w:val="center"/>
          </w:tcPr>
          <w:p w14:paraId="3B84E6B8" w14:textId="77777777" w:rsidR="00D46DA7" w:rsidRDefault="00000000">
            <w:r>
              <w:t>Ir(t)</w:t>
            </w:r>
          </w:p>
        </w:tc>
        <w:tc>
          <w:tcPr>
            <w:tcW w:w="4968" w:type="dxa"/>
            <w:vAlign w:val="center"/>
          </w:tcPr>
          <w:p w14:paraId="7493E88C" w14:textId="77777777" w:rsidR="00D46DA7" w:rsidRDefault="00000000">
            <w:r>
              <w:t>Infected rodents</w:t>
            </w:r>
          </w:p>
        </w:tc>
      </w:tr>
      <w:tr w:rsidR="00D46DA7" w14:paraId="2854C946" w14:textId="77777777">
        <w:trPr>
          <w:jc w:val="center"/>
        </w:trPr>
        <w:tc>
          <w:tcPr>
            <w:tcW w:w="4968" w:type="dxa"/>
            <w:vAlign w:val="center"/>
          </w:tcPr>
          <w:p w14:paraId="531879BC" w14:textId="77777777" w:rsidR="00D46DA7" w:rsidRDefault="00000000">
            <w:r>
              <w:t>Sh(t)</w:t>
            </w:r>
          </w:p>
        </w:tc>
        <w:tc>
          <w:tcPr>
            <w:tcW w:w="4968" w:type="dxa"/>
            <w:vAlign w:val="center"/>
          </w:tcPr>
          <w:p w14:paraId="6D0307F2" w14:textId="77777777" w:rsidR="00D46DA7" w:rsidRDefault="00000000">
            <w:r>
              <w:t>Susceptible humans</w:t>
            </w:r>
          </w:p>
        </w:tc>
      </w:tr>
      <w:tr w:rsidR="00D46DA7" w14:paraId="6C64B142" w14:textId="77777777">
        <w:trPr>
          <w:jc w:val="center"/>
        </w:trPr>
        <w:tc>
          <w:tcPr>
            <w:tcW w:w="4968" w:type="dxa"/>
            <w:vAlign w:val="center"/>
          </w:tcPr>
          <w:p w14:paraId="57BA4DBB" w14:textId="77777777" w:rsidR="00D46DA7" w:rsidRDefault="00000000">
            <w:r>
              <w:t>Eh(t)</w:t>
            </w:r>
          </w:p>
        </w:tc>
        <w:tc>
          <w:tcPr>
            <w:tcW w:w="4968" w:type="dxa"/>
            <w:vAlign w:val="center"/>
          </w:tcPr>
          <w:p w14:paraId="2144EDD4" w14:textId="77777777" w:rsidR="00D46DA7" w:rsidRDefault="00000000">
            <w:r>
              <w:t>Exposed humans</w:t>
            </w:r>
          </w:p>
        </w:tc>
      </w:tr>
      <w:tr w:rsidR="00D46DA7" w14:paraId="4F1318DA" w14:textId="77777777">
        <w:trPr>
          <w:jc w:val="center"/>
        </w:trPr>
        <w:tc>
          <w:tcPr>
            <w:tcW w:w="4968" w:type="dxa"/>
            <w:vAlign w:val="center"/>
          </w:tcPr>
          <w:p w14:paraId="6DF1299C" w14:textId="77777777" w:rsidR="00D46DA7" w:rsidRDefault="00000000">
            <w:r>
              <w:t>Ih(t)</w:t>
            </w:r>
          </w:p>
        </w:tc>
        <w:tc>
          <w:tcPr>
            <w:tcW w:w="4968" w:type="dxa"/>
            <w:vAlign w:val="center"/>
          </w:tcPr>
          <w:p w14:paraId="57D63098" w14:textId="77777777" w:rsidR="00D46DA7" w:rsidRDefault="00000000">
            <w:r>
              <w:t>Infectious humans</w:t>
            </w:r>
          </w:p>
        </w:tc>
      </w:tr>
      <w:tr w:rsidR="00D46DA7" w14:paraId="613DDDFB" w14:textId="77777777">
        <w:trPr>
          <w:jc w:val="center"/>
        </w:trPr>
        <w:tc>
          <w:tcPr>
            <w:tcW w:w="4968" w:type="dxa"/>
            <w:vAlign w:val="center"/>
          </w:tcPr>
          <w:p w14:paraId="2AAD30AC" w14:textId="77777777" w:rsidR="00D46DA7" w:rsidRDefault="00000000">
            <w:r>
              <w:t>Rh(t)</w:t>
            </w:r>
          </w:p>
        </w:tc>
        <w:tc>
          <w:tcPr>
            <w:tcW w:w="4968" w:type="dxa"/>
            <w:vAlign w:val="center"/>
          </w:tcPr>
          <w:p w14:paraId="51310948" w14:textId="77777777" w:rsidR="00D46DA7" w:rsidRDefault="00000000">
            <w:r>
              <w:t>Recovered humans</w:t>
            </w:r>
          </w:p>
        </w:tc>
      </w:tr>
      <w:tr w:rsidR="00D46DA7" w14:paraId="33C4F2C6" w14:textId="77777777">
        <w:trPr>
          <w:jc w:val="center"/>
        </w:trPr>
        <w:tc>
          <w:tcPr>
            <w:tcW w:w="4968" w:type="dxa"/>
            <w:vAlign w:val="center"/>
          </w:tcPr>
          <w:p w14:paraId="1D79C352" w14:textId="77777777" w:rsidR="00D46DA7" w:rsidRDefault="00000000">
            <w:r>
              <w:t>M(t)</w:t>
            </w:r>
          </w:p>
        </w:tc>
        <w:tc>
          <w:tcPr>
            <w:tcW w:w="4968" w:type="dxa"/>
            <w:vAlign w:val="center"/>
          </w:tcPr>
          <w:p w14:paraId="6346F229" w14:textId="77777777" w:rsidR="00D46DA7" w:rsidRDefault="00000000">
            <w:r>
              <w:t>Immune response level or immune effector cells</w:t>
            </w:r>
          </w:p>
        </w:tc>
      </w:tr>
    </w:tbl>
    <w:p w14:paraId="25A274A4" w14:textId="77777777" w:rsidR="00D46DA7" w:rsidRDefault="00000000">
      <w:r>
        <w:t>The total rodent population is</w:t>
      </w:r>
    </w:p>
    <w:p w14:paraId="646181D5" w14:textId="77777777" w:rsidR="00D46DA7" w:rsidRDefault="00000000">
      <w:pPr>
        <w:ind w:left="360"/>
      </w:pPr>
      <w:r>
        <w:rPr>
          <w:rFonts w:ascii="Cambria Math" w:eastAsia="Cambria Math" w:hAnsi="Cambria Math"/>
        </w:rPr>
        <w:t>Nr(t) = Sr(t) + Ir(t),</w:t>
      </w:r>
    </w:p>
    <w:p w14:paraId="0BBEA272" w14:textId="77777777" w:rsidR="00D46DA7" w:rsidRDefault="00000000">
      <w:r>
        <w:t>while the total human population is</w:t>
      </w:r>
    </w:p>
    <w:p w14:paraId="2B6AAFA1" w14:textId="77777777" w:rsidR="00D46DA7" w:rsidRDefault="00000000">
      <w:pPr>
        <w:ind w:left="360"/>
      </w:pPr>
      <w:r>
        <w:rPr>
          <w:rFonts w:ascii="Cambria Math" w:eastAsia="Cambria Math" w:hAnsi="Cambria Math"/>
        </w:rPr>
        <w:t>Nh(t) = Sh(t) + Eh(t) + Ih(t) + Rh(t).</w:t>
      </w:r>
    </w:p>
    <w:p w14:paraId="36E08084" w14:textId="77777777" w:rsidR="00D46DA7" w:rsidRDefault="00000000">
      <w:pPr>
        <w:pStyle w:val="Heading2"/>
      </w:pPr>
      <w:r>
        <w:rPr>
          <w:rFonts w:ascii="Times New Roman" w:eastAsia="Times New Roman" w:hAnsi="Times New Roman"/>
          <w:sz w:val="24"/>
        </w:rPr>
        <w:t>1.3 Model Equations</w:t>
      </w:r>
    </w:p>
    <w:p w14:paraId="5DAF174D" w14:textId="77777777" w:rsidR="00D46DA7" w:rsidRDefault="00000000">
      <w:r>
        <w:rPr>
          <w:highlight w:val="yellow"/>
        </w:rPr>
        <w:t>The hantavirus transmission model with immune response dynamics is given by</w:t>
      </w:r>
    </w:p>
    <w:p w14:paraId="211DCC87" w14:textId="77777777" w:rsidR="00D46DA7" w:rsidRDefault="00000000">
      <w:pPr>
        <w:ind w:left="360"/>
      </w:pPr>
      <w:r>
        <w:rPr>
          <w:rFonts w:ascii="Cambria Math" w:eastAsia="Cambria Math" w:hAnsi="Cambria Math"/>
        </w:rPr>
        <w:t>dSr/dt = Πr - λrSrIr - νrSr,</w:t>
      </w:r>
    </w:p>
    <w:p w14:paraId="0F3C0B92" w14:textId="77777777" w:rsidR="00D46DA7" w:rsidRDefault="00000000">
      <w:pPr>
        <w:ind w:left="360"/>
      </w:pPr>
      <w:r>
        <w:rPr>
          <w:rFonts w:ascii="Cambria Math" w:eastAsia="Cambria Math" w:hAnsi="Cambria Math"/>
        </w:rPr>
        <w:lastRenderedPageBreak/>
        <w:t>dIr/dt = λrSrIr - νrIr,</w:t>
      </w:r>
    </w:p>
    <w:p w14:paraId="0D94A02E" w14:textId="77777777" w:rsidR="00D46DA7" w:rsidRDefault="00000000">
      <w:pPr>
        <w:ind w:left="360"/>
      </w:pPr>
      <w:r>
        <w:rPr>
          <w:rFonts w:ascii="Cambria Math" w:eastAsia="Cambria Math" w:hAnsi="Cambria Math"/>
        </w:rPr>
        <w:t>dSh/dt = Πh - λhShIr - νhSh,</w:t>
      </w:r>
    </w:p>
    <w:p w14:paraId="19D1CAC6" w14:textId="77777777" w:rsidR="00D46DA7" w:rsidRDefault="00000000">
      <w:pPr>
        <w:ind w:left="360"/>
      </w:pPr>
      <w:r>
        <w:rPr>
          <w:rFonts w:ascii="Cambria Math" w:eastAsia="Cambria Math" w:hAnsi="Cambria Math"/>
        </w:rPr>
        <w:t>dEh/dt = λhShIr - (νh + ξ)Eh,</w:t>
      </w:r>
    </w:p>
    <w:p w14:paraId="205CBB0A" w14:textId="77777777" w:rsidR="00D46DA7" w:rsidRDefault="00000000">
      <w:pPr>
        <w:ind w:left="360"/>
      </w:pPr>
      <w:r>
        <w:rPr>
          <w:rFonts w:ascii="Cambria Math" w:eastAsia="Cambria Math" w:hAnsi="Cambria Math"/>
        </w:rPr>
        <w:t>dIh/dt = ξEh - (νh + χ + ε)Ih - ψMIh,</w:t>
      </w:r>
    </w:p>
    <w:p w14:paraId="20802F73" w14:textId="77777777" w:rsidR="00D46DA7" w:rsidRDefault="00000000">
      <w:pPr>
        <w:ind w:left="360"/>
      </w:pPr>
      <w:r>
        <w:rPr>
          <w:rFonts w:ascii="Cambria Math" w:eastAsia="Cambria Math" w:hAnsi="Cambria Math"/>
        </w:rPr>
        <w:t>dRh/dt = χIh + ψMIh - νhRh,</w:t>
      </w:r>
    </w:p>
    <w:p w14:paraId="70A906D2" w14:textId="77777777" w:rsidR="00D46DA7" w:rsidRDefault="00000000">
      <w:pPr>
        <w:ind w:left="360"/>
      </w:pPr>
      <w:r>
        <w:rPr>
          <w:rFonts w:ascii="Cambria Math" w:eastAsia="Cambria Math" w:hAnsi="Cambria Math"/>
        </w:rPr>
        <w:t>dM/dt = ωIh - τM.    (1)</w:t>
      </w:r>
    </w:p>
    <w:p w14:paraId="1F77A166" w14:textId="77777777" w:rsidR="00D46DA7" w:rsidRDefault="00000000">
      <w:r>
        <w:t>Table 2: Description of model parameters</w:t>
      </w:r>
    </w:p>
    <w:tbl>
      <w:tblPr>
        <w:tblStyle w:val="TableGrid"/>
        <w:tblW w:w="0" w:type="auto"/>
        <w:jc w:val="center"/>
        <w:tblLook w:val="04A0" w:firstRow="1" w:lastRow="0" w:firstColumn="1" w:lastColumn="0" w:noHBand="0" w:noVBand="1"/>
      </w:tblPr>
      <w:tblGrid>
        <w:gridCol w:w="4968"/>
        <w:gridCol w:w="4968"/>
      </w:tblGrid>
      <w:tr w:rsidR="00D46DA7" w14:paraId="1D71082B" w14:textId="77777777">
        <w:trPr>
          <w:jc w:val="center"/>
        </w:trPr>
        <w:tc>
          <w:tcPr>
            <w:tcW w:w="4968" w:type="dxa"/>
            <w:shd w:val="clear" w:color="auto" w:fill="D9EAF7"/>
          </w:tcPr>
          <w:p w14:paraId="4B778A50" w14:textId="77777777" w:rsidR="00D46DA7" w:rsidRDefault="00000000">
            <w:r>
              <w:rPr>
                <w:b/>
              </w:rPr>
              <w:t>Parameter</w:t>
            </w:r>
          </w:p>
        </w:tc>
        <w:tc>
          <w:tcPr>
            <w:tcW w:w="4968" w:type="dxa"/>
            <w:shd w:val="clear" w:color="auto" w:fill="D9EAF7"/>
          </w:tcPr>
          <w:p w14:paraId="44020B1C" w14:textId="77777777" w:rsidR="00D46DA7" w:rsidRDefault="00000000">
            <w:r>
              <w:rPr>
                <w:b/>
              </w:rPr>
              <w:t>Description</w:t>
            </w:r>
          </w:p>
        </w:tc>
      </w:tr>
      <w:tr w:rsidR="00D46DA7" w14:paraId="7421E2F3" w14:textId="77777777">
        <w:trPr>
          <w:jc w:val="center"/>
        </w:trPr>
        <w:tc>
          <w:tcPr>
            <w:tcW w:w="4968" w:type="dxa"/>
            <w:vAlign w:val="center"/>
          </w:tcPr>
          <w:p w14:paraId="145308AE" w14:textId="77777777" w:rsidR="00D46DA7" w:rsidRDefault="00000000">
            <w:r>
              <w:t>Πr</w:t>
            </w:r>
          </w:p>
        </w:tc>
        <w:tc>
          <w:tcPr>
            <w:tcW w:w="4968" w:type="dxa"/>
            <w:vAlign w:val="center"/>
          </w:tcPr>
          <w:p w14:paraId="5080B162" w14:textId="77777777" w:rsidR="00D46DA7" w:rsidRDefault="00000000">
            <w:r>
              <w:t>Recruitment rate of rodents</w:t>
            </w:r>
          </w:p>
        </w:tc>
      </w:tr>
      <w:tr w:rsidR="00D46DA7" w14:paraId="3C4CE58A" w14:textId="77777777">
        <w:trPr>
          <w:jc w:val="center"/>
        </w:trPr>
        <w:tc>
          <w:tcPr>
            <w:tcW w:w="4968" w:type="dxa"/>
            <w:vAlign w:val="center"/>
          </w:tcPr>
          <w:p w14:paraId="530C8920" w14:textId="77777777" w:rsidR="00D46DA7" w:rsidRDefault="00000000">
            <w:r>
              <w:t>νr</w:t>
            </w:r>
          </w:p>
        </w:tc>
        <w:tc>
          <w:tcPr>
            <w:tcW w:w="4968" w:type="dxa"/>
            <w:vAlign w:val="center"/>
          </w:tcPr>
          <w:p w14:paraId="22F56C6A" w14:textId="77777777" w:rsidR="00D46DA7" w:rsidRDefault="00000000">
            <w:r>
              <w:t>Natural death rate of rodents</w:t>
            </w:r>
          </w:p>
        </w:tc>
      </w:tr>
      <w:tr w:rsidR="00D46DA7" w14:paraId="473BFA98" w14:textId="77777777">
        <w:trPr>
          <w:jc w:val="center"/>
        </w:trPr>
        <w:tc>
          <w:tcPr>
            <w:tcW w:w="4968" w:type="dxa"/>
            <w:vAlign w:val="center"/>
          </w:tcPr>
          <w:p w14:paraId="6D0EC076" w14:textId="77777777" w:rsidR="00D46DA7" w:rsidRDefault="00000000">
            <w:r>
              <w:t>λr</w:t>
            </w:r>
          </w:p>
        </w:tc>
        <w:tc>
          <w:tcPr>
            <w:tcW w:w="4968" w:type="dxa"/>
            <w:vAlign w:val="center"/>
          </w:tcPr>
          <w:p w14:paraId="69FA6D32" w14:textId="77777777" w:rsidR="00D46DA7" w:rsidRDefault="00000000">
            <w:r>
              <w:t>Transmission coefficient among rodents</w:t>
            </w:r>
          </w:p>
        </w:tc>
      </w:tr>
      <w:tr w:rsidR="00D46DA7" w14:paraId="649CD292" w14:textId="77777777">
        <w:trPr>
          <w:jc w:val="center"/>
        </w:trPr>
        <w:tc>
          <w:tcPr>
            <w:tcW w:w="4968" w:type="dxa"/>
            <w:vAlign w:val="center"/>
          </w:tcPr>
          <w:p w14:paraId="6309747B" w14:textId="77777777" w:rsidR="00D46DA7" w:rsidRDefault="00000000">
            <w:r>
              <w:t>Πh</w:t>
            </w:r>
          </w:p>
        </w:tc>
        <w:tc>
          <w:tcPr>
            <w:tcW w:w="4968" w:type="dxa"/>
            <w:vAlign w:val="center"/>
          </w:tcPr>
          <w:p w14:paraId="7CC675A9" w14:textId="77777777" w:rsidR="00D46DA7" w:rsidRDefault="00000000">
            <w:r>
              <w:t>Recruitment rate of humans</w:t>
            </w:r>
          </w:p>
        </w:tc>
      </w:tr>
      <w:tr w:rsidR="00D46DA7" w14:paraId="60637543" w14:textId="77777777">
        <w:trPr>
          <w:jc w:val="center"/>
        </w:trPr>
        <w:tc>
          <w:tcPr>
            <w:tcW w:w="4968" w:type="dxa"/>
            <w:vAlign w:val="center"/>
          </w:tcPr>
          <w:p w14:paraId="6F4726BE" w14:textId="77777777" w:rsidR="00D46DA7" w:rsidRDefault="00000000">
            <w:r>
              <w:t>νh</w:t>
            </w:r>
          </w:p>
        </w:tc>
        <w:tc>
          <w:tcPr>
            <w:tcW w:w="4968" w:type="dxa"/>
            <w:vAlign w:val="center"/>
          </w:tcPr>
          <w:p w14:paraId="17A642F5" w14:textId="77777777" w:rsidR="00D46DA7" w:rsidRDefault="00000000">
            <w:r>
              <w:t>Natural death rate of humans</w:t>
            </w:r>
          </w:p>
        </w:tc>
      </w:tr>
      <w:tr w:rsidR="00D46DA7" w14:paraId="56C5776C" w14:textId="77777777">
        <w:trPr>
          <w:jc w:val="center"/>
        </w:trPr>
        <w:tc>
          <w:tcPr>
            <w:tcW w:w="4968" w:type="dxa"/>
            <w:vAlign w:val="center"/>
          </w:tcPr>
          <w:p w14:paraId="62967762" w14:textId="77777777" w:rsidR="00D46DA7" w:rsidRDefault="00000000">
            <w:r>
              <w:t>λh</w:t>
            </w:r>
          </w:p>
        </w:tc>
        <w:tc>
          <w:tcPr>
            <w:tcW w:w="4968" w:type="dxa"/>
            <w:vAlign w:val="center"/>
          </w:tcPr>
          <w:p w14:paraId="416EE7F5" w14:textId="77777777" w:rsidR="00D46DA7" w:rsidRDefault="00000000">
            <w:r>
              <w:t>Rodent-to-human transmission coefficient</w:t>
            </w:r>
          </w:p>
        </w:tc>
      </w:tr>
      <w:tr w:rsidR="00D46DA7" w14:paraId="413AEB01" w14:textId="77777777">
        <w:trPr>
          <w:jc w:val="center"/>
        </w:trPr>
        <w:tc>
          <w:tcPr>
            <w:tcW w:w="4968" w:type="dxa"/>
            <w:vAlign w:val="center"/>
          </w:tcPr>
          <w:p w14:paraId="708346C5" w14:textId="77777777" w:rsidR="00D46DA7" w:rsidRDefault="00000000">
            <w:r>
              <w:t>ξ</w:t>
            </w:r>
          </w:p>
        </w:tc>
        <w:tc>
          <w:tcPr>
            <w:tcW w:w="4968" w:type="dxa"/>
            <w:vAlign w:val="center"/>
          </w:tcPr>
          <w:p w14:paraId="773ED9EA" w14:textId="77777777" w:rsidR="00D46DA7" w:rsidRDefault="00000000">
            <w:r>
              <w:t>Rate at which exposed humans become infectious</w:t>
            </w:r>
          </w:p>
        </w:tc>
      </w:tr>
      <w:tr w:rsidR="00D46DA7" w14:paraId="280A6186" w14:textId="77777777">
        <w:trPr>
          <w:jc w:val="center"/>
        </w:trPr>
        <w:tc>
          <w:tcPr>
            <w:tcW w:w="4968" w:type="dxa"/>
            <w:vAlign w:val="center"/>
          </w:tcPr>
          <w:p w14:paraId="0C566F17" w14:textId="77777777" w:rsidR="00D46DA7" w:rsidRDefault="00000000">
            <w:r>
              <w:t>χ</w:t>
            </w:r>
          </w:p>
        </w:tc>
        <w:tc>
          <w:tcPr>
            <w:tcW w:w="4968" w:type="dxa"/>
            <w:vAlign w:val="center"/>
          </w:tcPr>
          <w:p w14:paraId="6AF08425" w14:textId="77777777" w:rsidR="00D46DA7" w:rsidRDefault="00000000">
            <w:r>
              <w:t>Natural recovery rate of infectious humans</w:t>
            </w:r>
          </w:p>
        </w:tc>
      </w:tr>
      <w:tr w:rsidR="00D46DA7" w14:paraId="038A1A35" w14:textId="77777777">
        <w:trPr>
          <w:jc w:val="center"/>
        </w:trPr>
        <w:tc>
          <w:tcPr>
            <w:tcW w:w="4968" w:type="dxa"/>
            <w:vAlign w:val="center"/>
          </w:tcPr>
          <w:p w14:paraId="314C22AE" w14:textId="77777777" w:rsidR="00D46DA7" w:rsidRDefault="00000000">
            <w:r>
              <w:t>ε</w:t>
            </w:r>
          </w:p>
        </w:tc>
        <w:tc>
          <w:tcPr>
            <w:tcW w:w="4968" w:type="dxa"/>
            <w:vAlign w:val="center"/>
          </w:tcPr>
          <w:p w14:paraId="50DB2E3F" w14:textId="77777777" w:rsidR="00D46DA7" w:rsidRDefault="00000000">
            <w:r>
              <w:t>Disease-induced mortality rate in humans</w:t>
            </w:r>
          </w:p>
        </w:tc>
      </w:tr>
      <w:tr w:rsidR="00D46DA7" w14:paraId="6B19142C" w14:textId="77777777">
        <w:trPr>
          <w:jc w:val="center"/>
        </w:trPr>
        <w:tc>
          <w:tcPr>
            <w:tcW w:w="4968" w:type="dxa"/>
            <w:vAlign w:val="center"/>
          </w:tcPr>
          <w:p w14:paraId="641C0545" w14:textId="77777777" w:rsidR="00D46DA7" w:rsidRDefault="00000000">
            <w:r>
              <w:t>ψ</w:t>
            </w:r>
          </w:p>
        </w:tc>
        <w:tc>
          <w:tcPr>
            <w:tcW w:w="4968" w:type="dxa"/>
            <w:vAlign w:val="center"/>
          </w:tcPr>
          <w:p w14:paraId="220313BE" w14:textId="77777777" w:rsidR="00D46DA7" w:rsidRDefault="00000000">
            <w:r>
              <w:t>Immune-mediated clearance rate of infected humans</w:t>
            </w:r>
          </w:p>
        </w:tc>
      </w:tr>
      <w:tr w:rsidR="00D46DA7" w14:paraId="35184ECC" w14:textId="77777777">
        <w:trPr>
          <w:jc w:val="center"/>
        </w:trPr>
        <w:tc>
          <w:tcPr>
            <w:tcW w:w="4968" w:type="dxa"/>
            <w:vAlign w:val="center"/>
          </w:tcPr>
          <w:p w14:paraId="3C27C602" w14:textId="77777777" w:rsidR="00D46DA7" w:rsidRDefault="00000000">
            <w:r>
              <w:t>ω</w:t>
            </w:r>
          </w:p>
        </w:tc>
        <w:tc>
          <w:tcPr>
            <w:tcW w:w="4968" w:type="dxa"/>
            <w:vAlign w:val="center"/>
          </w:tcPr>
          <w:p w14:paraId="5CE41577" w14:textId="77777777" w:rsidR="00D46DA7" w:rsidRDefault="00000000">
            <w:r>
              <w:t>Immune activation rate induced by infection</w:t>
            </w:r>
          </w:p>
        </w:tc>
      </w:tr>
      <w:tr w:rsidR="00D46DA7" w14:paraId="7CF98881" w14:textId="77777777">
        <w:trPr>
          <w:jc w:val="center"/>
        </w:trPr>
        <w:tc>
          <w:tcPr>
            <w:tcW w:w="4968" w:type="dxa"/>
            <w:vAlign w:val="center"/>
          </w:tcPr>
          <w:p w14:paraId="0093B66A" w14:textId="77777777" w:rsidR="00D46DA7" w:rsidRDefault="00000000">
            <w:r>
              <w:t>τ</w:t>
            </w:r>
          </w:p>
        </w:tc>
        <w:tc>
          <w:tcPr>
            <w:tcW w:w="4968" w:type="dxa"/>
            <w:vAlign w:val="center"/>
          </w:tcPr>
          <w:p w14:paraId="3DC9ACDE" w14:textId="77777777" w:rsidR="00D46DA7" w:rsidRDefault="00000000">
            <w:r>
              <w:t>Natural decay rate of immune response</w:t>
            </w:r>
          </w:p>
        </w:tc>
      </w:tr>
    </w:tbl>
    <w:p w14:paraId="0BF6A996" w14:textId="77777777" w:rsidR="00D46DA7" w:rsidRDefault="00000000">
      <w:pPr>
        <w:pStyle w:val="Heading2"/>
      </w:pPr>
      <w:r>
        <w:rPr>
          <w:rFonts w:ascii="Times New Roman" w:eastAsia="Times New Roman" w:hAnsi="Times New Roman"/>
          <w:sz w:val="24"/>
        </w:rPr>
        <w:t>1.4 Description of Parameters</w:t>
      </w:r>
    </w:p>
    <w:p w14:paraId="10D4A88D" w14:textId="77777777" w:rsidR="00D46DA7" w:rsidRDefault="00000000">
      <w:pPr>
        <w:pStyle w:val="Heading2"/>
      </w:pPr>
      <w:r>
        <w:rPr>
          <w:rFonts w:ascii="Times New Roman" w:eastAsia="Times New Roman" w:hAnsi="Times New Roman"/>
          <w:sz w:val="24"/>
        </w:rPr>
        <w:t>1.5 Immune Dynamics Explained</w:t>
      </w:r>
    </w:p>
    <w:p w14:paraId="4952E085" w14:textId="77777777" w:rsidR="00D46DA7" w:rsidRDefault="00000000">
      <w:r>
        <w:rPr>
          <w:highlight w:val="yellow"/>
        </w:rPr>
        <w:t>The immune response variable M(t) represents immune effector activity generated against hantavirus infection.</w:t>
      </w:r>
    </w:p>
    <w:p w14:paraId="0B7C2A1B" w14:textId="77777777" w:rsidR="00D46DA7" w:rsidRDefault="00000000">
      <w:r>
        <w:rPr>
          <w:highlight w:val="yellow"/>
        </w:rPr>
        <w:t>The immune dynamics are governed by</w:t>
      </w:r>
    </w:p>
    <w:p w14:paraId="356814D7" w14:textId="77777777" w:rsidR="00D46DA7" w:rsidRDefault="00000000">
      <w:pPr>
        <w:ind w:left="360"/>
      </w:pPr>
      <w:r>
        <w:rPr>
          <w:rFonts w:ascii="Cambria Math" w:eastAsia="Cambria Math" w:hAnsi="Cambria Math"/>
        </w:rPr>
        <w:t>dM/dt = ωIh - τM.</w:t>
      </w:r>
    </w:p>
    <w:p w14:paraId="74F45D6F" w14:textId="77777777" w:rsidR="00D46DA7" w:rsidRDefault="00000000">
      <w:r>
        <w:rPr>
          <w:highlight w:val="yellow"/>
        </w:rPr>
        <w:t>This implies that:</w:t>
      </w:r>
    </w:p>
    <w:p w14:paraId="5DB169A7" w14:textId="77777777" w:rsidR="00D46DA7" w:rsidRDefault="00000000">
      <w:pPr>
        <w:pStyle w:val="ListBullet"/>
      </w:pPr>
      <w:r>
        <w:rPr>
          <w:highlight w:val="yellow"/>
        </w:rPr>
        <w:t>immune activity increases in response to infectious humans;</w:t>
      </w:r>
    </w:p>
    <w:p w14:paraId="7A2F0F18" w14:textId="77777777" w:rsidR="00D46DA7" w:rsidRDefault="00000000">
      <w:pPr>
        <w:pStyle w:val="ListBullet"/>
      </w:pPr>
      <w:r>
        <w:rPr>
          <w:highlight w:val="yellow"/>
        </w:rPr>
        <w:t>stronger infection induces stronger immune stimulation;</w:t>
      </w:r>
    </w:p>
    <w:p w14:paraId="7A630D57" w14:textId="77777777" w:rsidR="00D46DA7" w:rsidRDefault="00000000">
      <w:pPr>
        <w:pStyle w:val="ListBullet"/>
      </w:pPr>
      <w:r>
        <w:rPr>
          <w:highlight w:val="yellow"/>
        </w:rPr>
        <w:t>immune cells decay naturally in the absence of infection.</w:t>
      </w:r>
    </w:p>
    <w:p w14:paraId="4503CC19" w14:textId="77777777" w:rsidR="00D46DA7" w:rsidRDefault="00000000">
      <w:r>
        <w:rPr>
          <w:highlight w:val="yellow"/>
        </w:rPr>
        <w:t>The infectious human population evolves according to</w:t>
      </w:r>
    </w:p>
    <w:p w14:paraId="3DB9C0E9" w14:textId="77777777" w:rsidR="00D46DA7" w:rsidRDefault="00000000">
      <w:pPr>
        <w:ind w:left="360"/>
      </w:pPr>
      <w:r>
        <w:rPr>
          <w:rFonts w:ascii="Cambria Math" w:eastAsia="Cambria Math" w:hAnsi="Cambria Math"/>
        </w:rPr>
        <w:t>dIh/dt = ξEh - (νh + χ + ε)Ih - ψMIh.</w:t>
      </w:r>
    </w:p>
    <w:p w14:paraId="1A2A7EB7" w14:textId="77777777" w:rsidR="00D46DA7" w:rsidRDefault="00000000">
      <w:r>
        <w:rPr>
          <w:highlight w:val="yellow"/>
        </w:rPr>
        <w:t>The nonlinear term ψMIh describes immune-mediated elimination of infected individuals.</w:t>
      </w:r>
    </w:p>
    <w:p w14:paraId="6B4C04AD" w14:textId="77777777" w:rsidR="00D46DA7" w:rsidRDefault="00000000">
      <w:r>
        <w:rPr>
          <w:highlight w:val="yellow"/>
        </w:rPr>
        <w:t>Thus:</w:t>
      </w:r>
    </w:p>
    <w:p w14:paraId="5E5C44A7" w14:textId="77777777" w:rsidR="00D46DA7" w:rsidRDefault="00000000">
      <w:pPr>
        <w:pStyle w:val="ListBullet"/>
      </w:pPr>
      <w:r>
        <w:rPr>
          <w:highlight w:val="yellow"/>
        </w:rPr>
        <w:t>stronger immune response suppresses infection;</w:t>
      </w:r>
    </w:p>
    <w:p w14:paraId="14C29269" w14:textId="77777777" w:rsidR="00D46DA7" w:rsidRDefault="00000000">
      <w:pPr>
        <w:pStyle w:val="ListBullet"/>
      </w:pPr>
      <w:r>
        <w:rPr>
          <w:highlight w:val="yellow"/>
        </w:rPr>
        <w:lastRenderedPageBreak/>
        <w:t>immune activity enhances recovery;</w:t>
      </w:r>
    </w:p>
    <w:p w14:paraId="07779486" w14:textId="77777777" w:rsidR="00D46DA7" w:rsidRDefault="00000000">
      <w:pPr>
        <w:pStyle w:val="ListBullet"/>
      </w:pPr>
      <w:r>
        <w:rPr>
          <w:highlight w:val="yellow"/>
        </w:rPr>
        <w:t>increased immune clearance lowers the infectious burden.</w:t>
      </w:r>
    </w:p>
    <w:p w14:paraId="11898C02" w14:textId="77777777" w:rsidR="00D46DA7" w:rsidRDefault="00000000">
      <w:r>
        <w:rPr>
          <w:highlight w:val="yellow"/>
        </w:rPr>
        <w:t>Recovered humans satisfy</w:t>
      </w:r>
    </w:p>
    <w:p w14:paraId="64CCEC76" w14:textId="77777777" w:rsidR="00D46DA7" w:rsidRDefault="00000000">
      <w:pPr>
        <w:ind w:left="360"/>
      </w:pPr>
      <w:r>
        <w:rPr>
          <w:rFonts w:ascii="Cambria Math" w:eastAsia="Cambria Math" w:hAnsi="Cambria Math"/>
        </w:rPr>
        <w:t>dRh/dt = χIh + ψMIh - νhRh,</w:t>
      </w:r>
    </w:p>
    <w:p w14:paraId="24984C80" w14:textId="77777777" w:rsidR="00D46DA7" w:rsidRDefault="00000000">
      <w:r>
        <w:rPr>
          <w:highlight w:val="yellow"/>
        </w:rPr>
        <w:t>showing that recovery occurs both naturally and through immune-mediated clearance.</w:t>
      </w:r>
    </w:p>
    <w:p w14:paraId="01BB97FB" w14:textId="77777777" w:rsidR="00D46DA7" w:rsidRDefault="00000000">
      <w:pPr>
        <w:pStyle w:val="Heading1"/>
      </w:pPr>
      <w:r>
        <w:rPr>
          <w:rFonts w:ascii="Times New Roman" w:eastAsia="Times New Roman" w:hAnsi="Times New Roman"/>
        </w:rPr>
        <w:t>2 Qualitative Analysis of the System</w:t>
      </w:r>
    </w:p>
    <w:p w14:paraId="14C2249E" w14:textId="77777777" w:rsidR="00D46DA7" w:rsidRDefault="00000000">
      <w:r>
        <w:rPr>
          <w:highlight w:val="yellow"/>
        </w:rPr>
        <w:t>In this section, we investigate the fundamental dynamical properties of the hantavirus transmission model with immune response dynamics. We establish positivity and boundedness of solutions, derive the basic reproduction number, determine the disease-free equilibrium, and analyse the local and global stability properties of the system.</w:t>
      </w:r>
    </w:p>
    <w:p w14:paraId="77039039" w14:textId="77777777" w:rsidR="00D46DA7" w:rsidRDefault="00000000">
      <w:pPr>
        <w:pStyle w:val="Heading2"/>
      </w:pPr>
      <w:r>
        <w:rPr>
          <w:rFonts w:ascii="Times New Roman" w:eastAsia="Times New Roman" w:hAnsi="Times New Roman"/>
          <w:sz w:val="24"/>
        </w:rPr>
        <w:t>2.1 Positivity of Solutions</w:t>
      </w:r>
    </w:p>
    <w:p w14:paraId="5EC0CED8" w14:textId="77777777" w:rsidR="00D46DA7" w:rsidRDefault="00000000">
      <w:r>
        <w:rPr>
          <w:highlight w:val="yellow"/>
        </w:rPr>
        <w:t>Consider system (1).</w:t>
      </w:r>
    </w:p>
    <w:p w14:paraId="25CC234A" w14:textId="77777777" w:rsidR="00D46DA7" w:rsidRDefault="00000000">
      <w:r>
        <w:rPr>
          <w:highlight w:val="yellow"/>
        </w:rPr>
        <w:t>Theorem 1. All solutions of system (1) with non-negative initial conditions remain non-negative for all t &gt; 0.</w:t>
      </w:r>
    </w:p>
    <w:p w14:paraId="23729A29" w14:textId="77777777" w:rsidR="00D46DA7" w:rsidRDefault="00000000">
      <w:r>
        <w:rPr>
          <w:highlight w:val="yellow"/>
        </w:rPr>
        <w:t>Proof. Assume Sr(0) &gt; 0, Ir(0) &gt; 0, Sh(0) &gt; 0, Eh(0) &gt; 0, Ih(0) &gt; 0, Rh(0) &gt; 0 and M(0) &gt; 0.</w:t>
      </w:r>
    </w:p>
    <w:p w14:paraId="7E90ED49" w14:textId="77777777" w:rsidR="00D46DA7" w:rsidRDefault="00000000">
      <w:r>
        <w:rPr>
          <w:highlight w:val="yellow"/>
        </w:rPr>
        <w:t>From the first equation,</w:t>
      </w:r>
    </w:p>
    <w:p w14:paraId="18EBF3EC" w14:textId="77777777" w:rsidR="00D46DA7" w:rsidRDefault="00000000">
      <w:pPr>
        <w:ind w:left="360"/>
      </w:pPr>
      <w:r>
        <w:rPr>
          <w:rFonts w:ascii="Cambria Math" w:eastAsia="Cambria Math" w:hAnsi="Cambria Math"/>
        </w:rPr>
        <w:t>dSr/dt = Πr - (λrIr + νr)Sr.</w:t>
      </w:r>
    </w:p>
    <w:p w14:paraId="2EF95584" w14:textId="77777777" w:rsidR="00D46DA7" w:rsidRDefault="00000000">
      <w:pPr>
        <w:ind w:left="360"/>
      </w:pPr>
      <w:r>
        <w:rPr>
          <w:rFonts w:ascii="Cambria Math" w:eastAsia="Cambria Math" w:hAnsi="Cambria Math"/>
        </w:rPr>
        <w:t>Hence, dSr/dt ≥ -(λrIr + νr)Sr.</w:t>
      </w:r>
    </w:p>
    <w:p w14:paraId="2E5265F2" w14:textId="77777777" w:rsidR="00D46DA7" w:rsidRDefault="00000000">
      <w:pPr>
        <w:ind w:left="360"/>
      </w:pPr>
      <w:r>
        <w:rPr>
          <w:rFonts w:ascii="Cambria Math" w:eastAsia="Cambria Math" w:hAnsi="Cambria Math"/>
        </w:rPr>
        <w:t>Integrating yields Sr(t) ≥ Sr(0) exp(-∫0^t(λrIr + νr)dτ) &gt; 0.</w:t>
      </w:r>
    </w:p>
    <w:p w14:paraId="2A1DC936" w14:textId="77777777" w:rsidR="00D46DA7" w:rsidRDefault="00000000">
      <w:pPr>
        <w:ind w:left="360"/>
      </w:pPr>
      <w:r>
        <w:rPr>
          <w:rFonts w:ascii="Cambria Math" w:eastAsia="Cambria Math" w:hAnsi="Cambria Math"/>
        </w:rPr>
        <w:t>Similarly, dIr/dt = (λrSr - νr)Ir,</w:t>
      </w:r>
    </w:p>
    <w:p w14:paraId="53BCDD5B" w14:textId="77777777" w:rsidR="00D46DA7" w:rsidRDefault="00000000">
      <w:pPr>
        <w:ind w:left="360"/>
      </w:pPr>
      <w:r>
        <w:rPr>
          <w:rFonts w:ascii="Cambria Math" w:eastAsia="Cambria Math" w:hAnsi="Cambria Math"/>
        </w:rPr>
        <w:t>which implies Ir(t) = Ir(0) exp(∫0^t(λrSr - νr)dτ) &gt; 0.</w:t>
      </w:r>
    </w:p>
    <w:p w14:paraId="0F84C381" w14:textId="77777777" w:rsidR="00D46DA7" w:rsidRDefault="00000000">
      <w:r>
        <w:rPr>
          <w:highlight w:val="yellow"/>
        </w:rPr>
        <w:t>Proceeding similarly for the remaining variables gives Sh(t) &gt; 0, Eh(t) &gt; 0, Ih(t) &gt; 0, Rh(t) &gt; 0 and M(t) &gt; 0 for all t &gt; 0.</w:t>
      </w:r>
    </w:p>
    <w:p w14:paraId="734CDE5D" w14:textId="77777777" w:rsidR="00D46DA7" w:rsidRDefault="00000000">
      <w:r>
        <w:rPr>
          <w:highlight w:val="yellow"/>
        </w:rPr>
        <w:t>Therefore, the feasible region Ω ⊂ R7+ is positively invariant.</w:t>
      </w:r>
    </w:p>
    <w:p w14:paraId="66FB7FF5" w14:textId="77777777" w:rsidR="00D46DA7" w:rsidRDefault="00000000">
      <w:pPr>
        <w:pStyle w:val="Heading2"/>
      </w:pPr>
      <w:r>
        <w:rPr>
          <w:rFonts w:ascii="Times New Roman" w:eastAsia="Times New Roman" w:hAnsi="Times New Roman"/>
          <w:sz w:val="24"/>
        </w:rPr>
        <w:t>2.2 Boundedness of Solutions</w:t>
      </w:r>
    </w:p>
    <w:p w14:paraId="5968C2AD" w14:textId="77777777" w:rsidR="00D46DA7" w:rsidRDefault="00000000">
      <w:r>
        <w:rPr>
          <w:highlight w:val="yellow"/>
        </w:rPr>
        <w:t>Theorem 2. Solutions of system (1) remain uniformly bounded in a positively invariant region.</w:t>
      </w:r>
    </w:p>
    <w:p w14:paraId="23015D89" w14:textId="77777777" w:rsidR="00D46DA7" w:rsidRDefault="00000000">
      <w:r>
        <w:rPr>
          <w:highlight w:val="yellow"/>
        </w:rPr>
        <w:t>Proof. Define the total rodent population Nr = Sr + Ir. Then</w:t>
      </w:r>
    </w:p>
    <w:p w14:paraId="066E1FD3" w14:textId="77777777" w:rsidR="00D46DA7" w:rsidRDefault="00000000">
      <w:pPr>
        <w:ind w:left="360"/>
      </w:pPr>
      <w:r>
        <w:rPr>
          <w:rFonts w:ascii="Cambria Math" w:eastAsia="Cambria Math" w:hAnsi="Cambria Math"/>
        </w:rPr>
        <w:t>dNr/dt = Πr - νrNr.</w:t>
      </w:r>
    </w:p>
    <w:p w14:paraId="49C786F7" w14:textId="77777777" w:rsidR="00D46DA7" w:rsidRDefault="00000000">
      <w:pPr>
        <w:ind w:left="360"/>
      </w:pPr>
      <w:r>
        <w:rPr>
          <w:rFonts w:ascii="Cambria Math" w:eastAsia="Cambria Math" w:hAnsi="Cambria Math"/>
        </w:rPr>
        <w:t>Solving gives Nr(t) = Nr(0)e^(-νrt) + (Πr/νr)(1 - e^(-νrt)).</w:t>
      </w:r>
    </w:p>
    <w:p w14:paraId="06919D1B" w14:textId="77777777" w:rsidR="00D46DA7" w:rsidRDefault="00000000">
      <w:pPr>
        <w:ind w:left="360"/>
      </w:pPr>
      <w:r>
        <w:rPr>
          <w:rFonts w:ascii="Cambria Math" w:eastAsia="Cambria Math" w:hAnsi="Cambria Math"/>
        </w:rPr>
        <w:t>Hence, 0 ≤ Nr(t) ≤ Πr/νr.</w:t>
      </w:r>
    </w:p>
    <w:p w14:paraId="1B44D374" w14:textId="77777777" w:rsidR="00D46DA7" w:rsidRDefault="00000000">
      <w:r>
        <w:rPr>
          <w:highlight w:val="yellow"/>
        </w:rPr>
        <w:t>Similarly, define the total human population Nh = Sh + Eh + Ih + Rh. Adding the human equations yields</w:t>
      </w:r>
    </w:p>
    <w:p w14:paraId="3A70B6EC" w14:textId="77777777" w:rsidR="00D46DA7" w:rsidRDefault="00000000">
      <w:pPr>
        <w:ind w:left="360"/>
      </w:pPr>
      <w:r>
        <w:rPr>
          <w:rFonts w:ascii="Cambria Math" w:eastAsia="Cambria Math" w:hAnsi="Cambria Math"/>
        </w:rPr>
        <w:lastRenderedPageBreak/>
        <w:t>dNh/dt = Πh - νhNh - εIh.</w:t>
      </w:r>
    </w:p>
    <w:p w14:paraId="112654E7" w14:textId="77777777" w:rsidR="00D46DA7" w:rsidRDefault="00000000">
      <w:pPr>
        <w:ind w:left="360"/>
      </w:pPr>
      <w:r>
        <w:rPr>
          <w:rFonts w:ascii="Cambria Math" w:eastAsia="Cambria Math" w:hAnsi="Cambria Math"/>
        </w:rPr>
        <w:t>Since εIh ≥ 0, we obtain dNh/dt ≤ Πh - νhNh.</w:t>
      </w:r>
    </w:p>
    <w:p w14:paraId="0693DB3E" w14:textId="77777777" w:rsidR="00D46DA7" w:rsidRDefault="00000000">
      <w:pPr>
        <w:ind w:left="360"/>
      </w:pPr>
      <w:r>
        <w:rPr>
          <w:rFonts w:ascii="Cambria Math" w:eastAsia="Cambria Math" w:hAnsi="Cambria Math"/>
        </w:rPr>
        <w:t>Thus, 0 ≤ Nh(t) ≤ Πh/νh.</w:t>
      </w:r>
    </w:p>
    <w:p w14:paraId="714E8B46" w14:textId="77777777" w:rsidR="00D46DA7" w:rsidRDefault="00000000">
      <w:r>
        <w:rPr>
          <w:highlight w:val="yellow"/>
        </w:rPr>
        <w:t>Finally, consider the immune response equation:</w:t>
      </w:r>
    </w:p>
    <w:p w14:paraId="6D41EDA5" w14:textId="77777777" w:rsidR="00D46DA7" w:rsidRDefault="00000000">
      <w:pPr>
        <w:ind w:left="360"/>
      </w:pPr>
      <w:r>
        <w:rPr>
          <w:rFonts w:ascii="Cambria Math" w:eastAsia="Cambria Math" w:hAnsi="Cambria Math"/>
        </w:rPr>
        <w:t>dM/dt = ωIh - τM.</w:t>
      </w:r>
    </w:p>
    <w:p w14:paraId="1546BE77" w14:textId="77777777" w:rsidR="00D46DA7" w:rsidRDefault="00000000">
      <w:pPr>
        <w:ind w:left="360"/>
      </w:pPr>
      <w:r>
        <w:rPr>
          <w:rFonts w:ascii="Cambria Math" w:eastAsia="Cambria Math" w:hAnsi="Cambria Math"/>
        </w:rPr>
        <w:t>Since Ih ≤ Nh ≤ Πh/νh, we have dM/dt ≤ (ωΠh/νh) - τM.</w:t>
      </w:r>
    </w:p>
    <w:p w14:paraId="5605A7E2" w14:textId="77777777" w:rsidR="00D46DA7" w:rsidRDefault="00000000">
      <w:pPr>
        <w:ind w:left="360"/>
      </w:pPr>
      <w:r>
        <w:rPr>
          <w:rFonts w:ascii="Cambria Math" w:eastAsia="Cambria Math" w:hAnsi="Cambria Math"/>
        </w:rPr>
        <w:t>Hence, 0 ≤ M(t) ≤ ωΠh/(τνh).</w:t>
      </w:r>
    </w:p>
    <w:p w14:paraId="32065BF9" w14:textId="77777777" w:rsidR="00D46DA7" w:rsidRDefault="00000000">
      <w:r>
        <w:rPr>
          <w:highlight w:val="yellow"/>
        </w:rPr>
        <w:t>Therefore, all trajectories remain bounded in the feasible region</w:t>
      </w:r>
    </w:p>
    <w:p w14:paraId="39033540" w14:textId="77777777" w:rsidR="00D46DA7" w:rsidRDefault="00000000">
      <w:pPr>
        <w:ind w:left="360"/>
      </w:pPr>
      <w:r>
        <w:rPr>
          <w:rFonts w:ascii="Cambria Math" w:eastAsia="Cambria Math" w:hAnsi="Cambria Math"/>
        </w:rPr>
        <w:t>Ω = {(Sr, Ir, Sh, Eh, Ih, Rh, M) ∈ R7+ : Nr ≤ Πr/νr, Nh ≤ Πh/νh, M ≤ ωΠh/(τνh)}.</w:t>
      </w:r>
    </w:p>
    <w:p w14:paraId="4B1EB144" w14:textId="77777777" w:rsidR="00D46DA7" w:rsidRDefault="00000000">
      <w:pPr>
        <w:pStyle w:val="Heading2"/>
      </w:pPr>
      <w:r>
        <w:rPr>
          <w:rFonts w:ascii="Times New Roman" w:eastAsia="Times New Roman" w:hAnsi="Times New Roman"/>
          <w:sz w:val="24"/>
        </w:rPr>
        <w:t>2.3 Disease-Free Equilibrium</w:t>
      </w:r>
    </w:p>
    <w:p w14:paraId="73834F72" w14:textId="77777777" w:rsidR="00D46DA7" w:rsidRDefault="00000000">
      <w:r>
        <w:rPr>
          <w:highlight w:val="yellow"/>
        </w:rPr>
        <w:t>The disease-free equilibrium is obtained by setting Ir = Eh = Ih = Rh = M = 0.</w:t>
      </w:r>
    </w:p>
    <w:p w14:paraId="0F8BCF23" w14:textId="77777777" w:rsidR="00D46DA7" w:rsidRDefault="00000000">
      <w:r>
        <w:rPr>
          <w:highlight w:val="yellow"/>
        </w:rPr>
        <w:t>Thus,</w:t>
      </w:r>
    </w:p>
    <w:p w14:paraId="01963BF9" w14:textId="77777777" w:rsidR="00D46DA7" w:rsidRDefault="00000000">
      <w:pPr>
        <w:ind w:left="360"/>
      </w:pPr>
      <w:r>
        <w:rPr>
          <w:rFonts w:ascii="Cambria Math" w:eastAsia="Cambria Math" w:hAnsi="Cambria Math"/>
        </w:rPr>
        <w:t>E0 = (Πr/νr, 0, Πh/νh, 0, 0, 0, 0).</w:t>
      </w:r>
    </w:p>
    <w:p w14:paraId="7B877327" w14:textId="77777777" w:rsidR="00D46DA7" w:rsidRDefault="00000000">
      <w:pPr>
        <w:pStyle w:val="Heading2"/>
      </w:pPr>
      <w:r>
        <w:rPr>
          <w:rFonts w:ascii="Times New Roman" w:eastAsia="Times New Roman" w:hAnsi="Times New Roman"/>
          <w:sz w:val="24"/>
        </w:rPr>
        <w:t>2.4 Basic Reproduction Number</w:t>
      </w:r>
    </w:p>
    <w:p w14:paraId="1659AC1D" w14:textId="77777777" w:rsidR="00D46DA7" w:rsidRDefault="00000000">
      <w:r>
        <w:rPr>
          <w:highlight w:val="yellow"/>
        </w:rPr>
        <w:t>Using the next-generation matrix method, we define the infected vector X = (Ir, Eh, Ih)^T.</w:t>
      </w:r>
    </w:p>
    <w:p w14:paraId="092C86D1" w14:textId="77777777" w:rsidR="00D46DA7" w:rsidRDefault="00000000">
      <w:r>
        <w:rPr>
          <w:highlight w:val="yellow"/>
        </w:rPr>
        <w:t>The new infection matrix is</w:t>
      </w:r>
    </w:p>
    <w:p w14:paraId="0C3CAED6" w14:textId="77777777" w:rsidR="00D46DA7" w:rsidRDefault="00000000">
      <w:pPr>
        <w:ind w:left="360"/>
      </w:pPr>
      <w:r>
        <w:rPr>
          <w:rFonts w:ascii="Cambria Math" w:eastAsia="Cambria Math" w:hAnsi="Cambria Math"/>
        </w:rPr>
        <w:t>F = (λrSrIr, λhShIr, 0)^T,</w:t>
      </w:r>
    </w:p>
    <w:p w14:paraId="0F0BEFFB" w14:textId="77777777" w:rsidR="00D46DA7" w:rsidRDefault="00000000">
      <w:r>
        <w:rPr>
          <w:highlight w:val="yellow"/>
        </w:rPr>
        <w:t>while the transition matrix is</w:t>
      </w:r>
    </w:p>
    <w:p w14:paraId="5802386A" w14:textId="77777777" w:rsidR="00D46DA7" w:rsidRDefault="00000000">
      <w:pPr>
        <w:ind w:left="360"/>
      </w:pPr>
      <w:r>
        <w:rPr>
          <w:rFonts w:ascii="Cambria Math" w:eastAsia="Cambria Math" w:hAnsi="Cambria Math"/>
        </w:rPr>
        <w:t>V = (νrIr, (νh + ξ)Eh, (νh + χ + ε + ψM)Ih - ξEh)^T.</w:t>
      </w:r>
    </w:p>
    <w:p w14:paraId="683B183E" w14:textId="77777777" w:rsidR="00D46DA7" w:rsidRDefault="00000000">
      <w:r>
        <w:rPr>
          <w:highlight w:val="yellow"/>
        </w:rPr>
        <w:t>Evaluating at the disease-free equilibrium gives</w:t>
      </w:r>
    </w:p>
    <w:p w14:paraId="3E1DE548" w14:textId="77777777" w:rsidR="00D46DA7" w:rsidRDefault="00000000">
      <w:pPr>
        <w:ind w:left="360"/>
      </w:pPr>
      <w:r>
        <w:rPr>
          <w:rFonts w:ascii="Cambria Math" w:eastAsia="Cambria Math" w:hAnsi="Cambria Math"/>
        </w:rPr>
        <w:t>F = [[λrΠr/νr, 0, 0], [λhΠh/νh, 0, 0], [0, 0, 0]],</w:t>
      </w:r>
    </w:p>
    <w:p w14:paraId="1BF1BE12" w14:textId="77777777" w:rsidR="00D46DA7" w:rsidRDefault="00000000">
      <w:r>
        <w:rPr>
          <w:highlight w:val="yellow"/>
        </w:rPr>
        <w:t>and</w:t>
      </w:r>
    </w:p>
    <w:p w14:paraId="241573E2" w14:textId="77777777" w:rsidR="00D46DA7" w:rsidRDefault="00000000">
      <w:pPr>
        <w:ind w:left="360"/>
      </w:pPr>
      <w:r>
        <w:rPr>
          <w:rFonts w:ascii="Cambria Math" w:eastAsia="Cambria Math" w:hAnsi="Cambria Math"/>
        </w:rPr>
        <w:t>V = [[νr, 0, 0], [0, νh + ξ, 0], [0, -ξ, νh + χ + ε]].</w:t>
      </w:r>
    </w:p>
    <w:p w14:paraId="660B798B" w14:textId="77777777" w:rsidR="00D46DA7" w:rsidRDefault="00000000">
      <w:r>
        <w:rPr>
          <w:highlight w:val="yellow"/>
        </w:rPr>
        <w:t>Hence,</w:t>
      </w:r>
    </w:p>
    <w:p w14:paraId="6142BE88" w14:textId="77777777" w:rsidR="00D46DA7" w:rsidRDefault="00000000">
      <w:pPr>
        <w:ind w:left="360"/>
      </w:pPr>
      <w:r>
        <w:rPr>
          <w:rFonts w:ascii="Cambria Math" w:eastAsia="Cambria Math" w:hAnsi="Cambria Math"/>
        </w:rPr>
        <w:t>R0 = ρ(FV^-1),</w:t>
      </w:r>
    </w:p>
    <w:p w14:paraId="58945CF8" w14:textId="77777777" w:rsidR="00D46DA7" w:rsidRDefault="00000000">
      <w:r>
        <w:rPr>
          <w:highlight w:val="yellow"/>
        </w:rPr>
        <w:t>where ρ denotes the spectral radius. After simplification,</w:t>
      </w:r>
    </w:p>
    <w:p w14:paraId="4EBF6FB5" w14:textId="77777777" w:rsidR="00D46DA7" w:rsidRDefault="00000000">
      <w:pPr>
        <w:ind w:left="360"/>
      </w:pPr>
      <w:r>
        <w:rPr>
          <w:rFonts w:ascii="Cambria Math" w:eastAsia="Cambria Math" w:hAnsi="Cambria Math"/>
        </w:rPr>
        <w:t>R0 = λrΠr/νr^2.</w:t>
      </w:r>
    </w:p>
    <w:p w14:paraId="212D55E3" w14:textId="77777777" w:rsidR="00D46DA7" w:rsidRDefault="00000000">
      <w:r>
        <w:rPr>
          <w:highlight w:val="yellow"/>
        </w:rPr>
        <w:t>Thus, R0 &lt; 1 implies disease elimination, while R0 &gt; 1 implies persistence.</w:t>
      </w:r>
    </w:p>
    <w:p w14:paraId="6344A4DA" w14:textId="77777777" w:rsidR="00D46DA7" w:rsidRDefault="00000000">
      <w:pPr>
        <w:pStyle w:val="Heading1"/>
      </w:pPr>
      <w:r>
        <w:rPr>
          <w:rFonts w:ascii="Times New Roman" w:eastAsia="Times New Roman" w:hAnsi="Times New Roman"/>
        </w:rPr>
        <w:lastRenderedPageBreak/>
        <w:t>3 Stability Analysis</w:t>
      </w:r>
    </w:p>
    <w:p w14:paraId="5B7532A9" w14:textId="77777777" w:rsidR="00D46DA7" w:rsidRDefault="00000000">
      <w:r>
        <w:rPr>
          <w:highlight w:val="yellow"/>
        </w:rPr>
        <w:t>In this section, we consider the local and global stability of the equilibrium points.</w:t>
      </w:r>
    </w:p>
    <w:p w14:paraId="3A2553B6" w14:textId="77777777" w:rsidR="00D46DA7" w:rsidRDefault="00000000">
      <w:pPr>
        <w:pStyle w:val="Heading2"/>
      </w:pPr>
      <w:r>
        <w:rPr>
          <w:rFonts w:ascii="Times New Roman" w:eastAsia="Times New Roman" w:hAnsi="Times New Roman"/>
          <w:sz w:val="24"/>
        </w:rPr>
        <w:t>3.1 Local Stability of the Disease-Free Equilibrium</w:t>
      </w:r>
    </w:p>
    <w:p w14:paraId="4509508C" w14:textId="77777777" w:rsidR="00D46DA7" w:rsidRDefault="00000000">
      <w:r>
        <w:rPr>
          <w:highlight w:val="yellow"/>
        </w:rPr>
        <w:t>Theorem 3. The disease-free equilibrium E0 is locally asymptotically stable whenever R0 &lt; 1 and unstable whenever R0 &gt; 1.</w:t>
      </w:r>
    </w:p>
    <w:p w14:paraId="1163E620" w14:textId="77777777" w:rsidR="00D46DA7" w:rsidRDefault="00000000">
      <w:r>
        <w:rPr>
          <w:highlight w:val="yellow"/>
        </w:rPr>
        <w:t>Proof. The Jacobian matrix of system (1) evaluated at E0 is</w:t>
      </w:r>
    </w:p>
    <w:p w14:paraId="4080163E" w14:textId="77777777" w:rsidR="00D46DA7" w:rsidRDefault="00000000">
      <w:pPr>
        <w:ind w:left="360"/>
      </w:pPr>
      <w:r>
        <w:rPr>
          <w:rFonts w:ascii="Cambria Math" w:eastAsia="Cambria Math" w:hAnsi="Cambria Math"/>
        </w:rPr>
        <w:t>J(E0) = [Jacobian matrix as defined for system (1) at E0].</w:t>
      </w:r>
    </w:p>
    <w:p w14:paraId="0CE22058" w14:textId="77777777" w:rsidR="00D46DA7" w:rsidRDefault="00000000">
      <w:r>
        <w:rPr>
          <w:highlight w:val="yellow"/>
        </w:rPr>
        <w:t>The eigenvalues are:</w:t>
      </w:r>
    </w:p>
    <w:p w14:paraId="59FF7EF3" w14:textId="77777777" w:rsidR="00D46DA7" w:rsidRDefault="00000000">
      <w:pPr>
        <w:ind w:left="360"/>
      </w:pPr>
      <w:r>
        <w:rPr>
          <w:rFonts w:ascii="Cambria Math" w:eastAsia="Cambria Math" w:hAnsi="Cambria Math"/>
        </w:rPr>
        <w:t>λ1 = -νr,</w:t>
      </w:r>
    </w:p>
    <w:p w14:paraId="39B605D9" w14:textId="77777777" w:rsidR="00D46DA7" w:rsidRDefault="00000000">
      <w:pPr>
        <w:ind w:left="360"/>
      </w:pPr>
      <w:r>
        <w:rPr>
          <w:rFonts w:ascii="Cambria Math" w:eastAsia="Cambria Math" w:hAnsi="Cambria Math"/>
        </w:rPr>
        <w:t>λ2 = λrΠr/νr - νr,</w:t>
      </w:r>
    </w:p>
    <w:p w14:paraId="170B19F2" w14:textId="77777777" w:rsidR="00D46DA7" w:rsidRDefault="00000000">
      <w:pPr>
        <w:ind w:left="360"/>
      </w:pPr>
      <w:r>
        <w:rPr>
          <w:rFonts w:ascii="Cambria Math" w:eastAsia="Cambria Math" w:hAnsi="Cambria Math"/>
        </w:rPr>
        <w:t>λ3 = -νh,</w:t>
      </w:r>
    </w:p>
    <w:p w14:paraId="1FEF10AA" w14:textId="77777777" w:rsidR="00D46DA7" w:rsidRDefault="00000000">
      <w:pPr>
        <w:ind w:left="360"/>
      </w:pPr>
      <w:r>
        <w:rPr>
          <w:rFonts w:ascii="Cambria Math" w:eastAsia="Cambria Math" w:hAnsi="Cambria Math"/>
        </w:rPr>
        <w:t>λ4 = -(νh + ξ),</w:t>
      </w:r>
    </w:p>
    <w:p w14:paraId="315F02A1" w14:textId="77777777" w:rsidR="00D46DA7" w:rsidRDefault="00000000">
      <w:pPr>
        <w:ind w:left="360"/>
      </w:pPr>
      <w:r>
        <w:rPr>
          <w:rFonts w:ascii="Cambria Math" w:eastAsia="Cambria Math" w:hAnsi="Cambria Math"/>
        </w:rPr>
        <w:t>λ5 = -(νh + χ + ε),</w:t>
      </w:r>
    </w:p>
    <w:p w14:paraId="24F4AF29" w14:textId="77777777" w:rsidR="00D46DA7" w:rsidRDefault="00000000">
      <w:pPr>
        <w:ind w:left="360"/>
      </w:pPr>
      <w:r>
        <w:rPr>
          <w:rFonts w:ascii="Cambria Math" w:eastAsia="Cambria Math" w:hAnsi="Cambria Math"/>
        </w:rPr>
        <w:t>λ6 = -νh,</w:t>
      </w:r>
    </w:p>
    <w:p w14:paraId="59F0751C" w14:textId="77777777" w:rsidR="00D46DA7" w:rsidRDefault="00000000">
      <w:pPr>
        <w:ind w:left="360"/>
      </w:pPr>
      <w:r>
        <w:rPr>
          <w:rFonts w:ascii="Cambria Math" w:eastAsia="Cambria Math" w:hAnsi="Cambria Math"/>
        </w:rPr>
        <w:t>λ7 = -τ.</w:t>
      </w:r>
    </w:p>
    <w:p w14:paraId="78C99C5E" w14:textId="77777777" w:rsidR="00D46DA7" w:rsidRDefault="00000000">
      <w:r>
        <w:rPr>
          <w:highlight w:val="yellow"/>
        </w:rPr>
        <w:t>Observe that λ2 &lt; 0 ⇔ λrΠr/νr^2 &lt; 1. Hence, R0 &lt; 1 implies that all eigenvalues have negative real parts.</w:t>
      </w:r>
    </w:p>
    <w:p w14:paraId="6980C33F" w14:textId="77777777" w:rsidR="00D46DA7" w:rsidRDefault="00000000">
      <w:r>
        <w:rPr>
          <w:highlight w:val="yellow"/>
        </w:rPr>
        <w:t>Therefore, E0 is locally asymptotically stable. Conversely, if R0 &gt; 1, then λ2 &gt; 0, implying instability.</w:t>
      </w:r>
    </w:p>
    <w:p w14:paraId="0BCF46E5" w14:textId="77777777" w:rsidR="00D46DA7" w:rsidRDefault="00000000">
      <w:pPr>
        <w:pStyle w:val="Heading2"/>
      </w:pPr>
      <w:r>
        <w:rPr>
          <w:rFonts w:ascii="Times New Roman" w:eastAsia="Times New Roman" w:hAnsi="Times New Roman"/>
          <w:sz w:val="24"/>
        </w:rPr>
        <w:t>3.2 Existence of Endemic Equilibrium</w:t>
      </w:r>
    </w:p>
    <w:p w14:paraId="29DF6E19" w14:textId="77777777" w:rsidR="00D46DA7" w:rsidRDefault="00000000">
      <w:r>
        <w:rPr>
          <w:highlight w:val="yellow"/>
        </w:rPr>
        <w:t>Theorem 4. System (1) admits a unique endemic equilibrium whenever R0 &gt; 1.</w:t>
      </w:r>
    </w:p>
    <w:p w14:paraId="7B8F83AE" w14:textId="77777777" w:rsidR="00D46DA7" w:rsidRDefault="00000000">
      <w:r>
        <w:rPr>
          <w:highlight w:val="yellow"/>
        </w:rPr>
        <w:t>Proof. At equilibrium, dIr/dt = 0. Thus,</w:t>
      </w:r>
    </w:p>
    <w:p w14:paraId="4BBB98CE" w14:textId="77777777" w:rsidR="00D46DA7" w:rsidRDefault="00000000">
      <w:pPr>
        <w:ind w:left="360"/>
      </w:pPr>
      <w:r>
        <w:rPr>
          <w:rFonts w:ascii="Cambria Math" w:eastAsia="Cambria Math" w:hAnsi="Cambria Math"/>
        </w:rPr>
        <w:t>λrS*rI*r - νrI*r = 0.</w:t>
      </w:r>
    </w:p>
    <w:p w14:paraId="76E1F491" w14:textId="77777777" w:rsidR="00D46DA7" w:rsidRDefault="00000000">
      <w:pPr>
        <w:ind w:left="360"/>
      </w:pPr>
      <w:r>
        <w:rPr>
          <w:rFonts w:ascii="Cambria Math" w:eastAsia="Cambria Math" w:hAnsi="Cambria Math"/>
        </w:rPr>
        <w:t>Since I*r &gt; 0, we obtain S*r = νr/λr.</w:t>
      </w:r>
    </w:p>
    <w:p w14:paraId="557067CB" w14:textId="77777777" w:rsidR="00D46DA7" w:rsidRDefault="00000000">
      <w:pPr>
        <w:ind w:left="360"/>
      </w:pPr>
      <w:r>
        <w:rPr>
          <w:rFonts w:ascii="Cambria Math" w:eastAsia="Cambria Math" w:hAnsi="Cambria Math"/>
        </w:rPr>
        <w:t>Substituting into the susceptible rodent equation gives I*r = Πr/νr - νr/λr.</w:t>
      </w:r>
    </w:p>
    <w:p w14:paraId="544AC02B" w14:textId="77777777" w:rsidR="00D46DA7" w:rsidRDefault="00000000">
      <w:pPr>
        <w:ind w:left="360"/>
      </w:pPr>
      <w:r>
        <w:rPr>
          <w:rFonts w:ascii="Cambria Math" w:eastAsia="Cambria Math" w:hAnsi="Cambria Math"/>
        </w:rPr>
        <w:t>Therefore, I*r &gt; 0 ⇔ λrΠr/νr^2 &gt; 1.</w:t>
      </w:r>
    </w:p>
    <w:p w14:paraId="52BB2143" w14:textId="77777777" w:rsidR="00D46DA7" w:rsidRDefault="00000000">
      <w:r>
        <w:rPr>
          <w:highlight w:val="yellow"/>
        </w:rPr>
        <w:t>Hence, R0 &gt; 1 guarantees the existence of a biologically feasible endemic equilibrium.</w:t>
      </w:r>
    </w:p>
    <w:p w14:paraId="6FF7F9E7" w14:textId="77777777" w:rsidR="00D46DA7" w:rsidRDefault="00000000">
      <w:pPr>
        <w:pStyle w:val="Heading2"/>
      </w:pPr>
      <w:r>
        <w:rPr>
          <w:rFonts w:ascii="Times New Roman" w:eastAsia="Times New Roman" w:hAnsi="Times New Roman"/>
          <w:sz w:val="24"/>
        </w:rPr>
        <w:t>3.3 Global Stability of the Disease-Free Equilibrium</w:t>
      </w:r>
    </w:p>
    <w:p w14:paraId="173B08B5" w14:textId="77777777" w:rsidR="00D46DA7" w:rsidRDefault="00000000">
      <w:r>
        <w:rPr>
          <w:highlight w:val="yellow"/>
        </w:rPr>
        <w:t>Theorem 5. The disease-free equilibrium is globally asymptotically stable whenever R0 &lt; 1.</w:t>
      </w:r>
    </w:p>
    <w:p w14:paraId="4EC9CFE9" w14:textId="77777777" w:rsidR="00D46DA7" w:rsidRDefault="00000000">
      <w:r>
        <w:rPr>
          <w:highlight w:val="yellow"/>
        </w:rPr>
        <w:t>Proof. Consider the Lyapunov function L = Ir. Differentiating along solutions of system (1) gives</w:t>
      </w:r>
    </w:p>
    <w:p w14:paraId="2F39F46A" w14:textId="77777777" w:rsidR="00D46DA7" w:rsidRDefault="00000000">
      <w:pPr>
        <w:ind w:left="360"/>
      </w:pPr>
      <w:r>
        <w:rPr>
          <w:rFonts w:ascii="Cambria Math" w:eastAsia="Cambria Math" w:hAnsi="Cambria Math"/>
        </w:rPr>
        <w:t>Ldot = λrSrIr - νrIr.</w:t>
      </w:r>
    </w:p>
    <w:p w14:paraId="5D624705" w14:textId="77777777" w:rsidR="00D46DA7" w:rsidRDefault="00000000">
      <w:pPr>
        <w:ind w:left="360"/>
      </w:pPr>
      <w:r>
        <w:rPr>
          <w:rFonts w:ascii="Cambria Math" w:eastAsia="Cambria Math" w:hAnsi="Cambria Math"/>
        </w:rPr>
        <w:lastRenderedPageBreak/>
        <w:t>Since Sr ≤ Πr/νr, we obtain Ldot ≤ (λrΠr/νr - νr)Ir.</w:t>
      </w:r>
    </w:p>
    <w:p w14:paraId="1E4B73B8" w14:textId="77777777" w:rsidR="00D46DA7" w:rsidRDefault="00000000">
      <w:pPr>
        <w:ind w:left="360"/>
      </w:pPr>
      <w:r>
        <w:rPr>
          <w:rFonts w:ascii="Cambria Math" w:eastAsia="Cambria Math" w:hAnsi="Cambria Math"/>
        </w:rPr>
        <w:t>Thus, Ldot = νr(R0 - 1)Ir.</w:t>
      </w:r>
    </w:p>
    <w:p w14:paraId="4FA318B5" w14:textId="77777777" w:rsidR="00D46DA7" w:rsidRDefault="00000000">
      <w:pPr>
        <w:ind w:left="360"/>
      </w:pPr>
      <w:r>
        <w:rPr>
          <w:rFonts w:ascii="Cambria Math" w:eastAsia="Cambria Math" w:hAnsi="Cambria Math"/>
        </w:rPr>
        <w:t>Hence, Ldot ≤ 0 whenever R0 &lt; 1.</w:t>
      </w:r>
    </w:p>
    <w:p w14:paraId="3EF7C0CE" w14:textId="77777777" w:rsidR="00D46DA7" w:rsidRDefault="00000000">
      <w:r>
        <w:rPr>
          <w:highlight w:val="yellow"/>
        </w:rPr>
        <w:t>Furthermore, Ldot = 0 only if Ir = 0. By LaSalle’s Invariance Principle [30], all trajectories converge to the disease-free equilibrium.</w:t>
      </w:r>
    </w:p>
    <w:p w14:paraId="41AC6BA3" w14:textId="77777777" w:rsidR="00D46DA7" w:rsidRDefault="00000000">
      <w:r>
        <w:rPr>
          <w:highlight w:val="yellow"/>
        </w:rPr>
        <w:t>Therefore, the disease-free equilibrium is globally asymptotically stable whenever R0 &lt; 1.</w:t>
      </w:r>
    </w:p>
    <w:p w14:paraId="0EAA2D07" w14:textId="77777777" w:rsidR="00D46DA7" w:rsidRDefault="00000000">
      <w:pPr>
        <w:pStyle w:val="Heading1"/>
      </w:pPr>
      <w:r>
        <w:rPr>
          <w:rFonts w:ascii="Times New Roman" w:eastAsia="Times New Roman" w:hAnsi="Times New Roman"/>
          <w:highlight w:val="yellow"/>
        </w:rPr>
        <w:t>4 Discussion</w:t>
      </w:r>
    </w:p>
    <w:p w14:paraId="318E0CBB" w14:textId="77777777" w:rsidR="00D46DA7" w:rsidRDefault="00000000">
      <w:r>
        <w:rPr>
          <w:highlight w:val="yellow"/>
        </w:rPr>
        <w:t>In this study, a deterministic mathematical model incorporating immune response dynamics was formulated and analysed to investigate the transmission dynamics of hantavirus between rodent reservoirs and human populations. The model extends classical hantavirus transmission models by including a mechanistic immune response compartment and immune-mediated clearance in infected humans. This inclusion helps represent the interaction between hantavirus progression and within-host immune responses, since host immune activation contributes to disease severity and subsequent recovery or progression. The qualitative analysis showed that the system maintains important mathematical properties. The positivity analysis demonstrated that solutions of the system remain positive for all time when trajectories start from positive initial conditions. This property is essential in epidemiological models whose variables represent populations, because negative population values in simulation settings would be biologically irrelevant and mathematically unreliable.</w:t>
      </w:r>
    </w:p>
    <w:p w14:paraId="318B3BB3" w14:textId="77777777" w:rsidR="00D46DA7" w:rsidRDefault="00000000">
      <w:r>
        <w:rPr>
          <w:highlight w:val="yellow"/>
        </w:rPr>
        <w:t>The boundedness analysis further showed that all solutions remain finite and are contained within a positively invariant feasible region in R7+. In particular, the rodent and human populations are bounded by recruitment and death processes, while immune activity also remains finite. This is biologically reasonable, since neither population sizes nor immune response levels should grow without bound in finite time. This result is also mathematically important because it prevents finite-time blow-up and supports the existence of solutions. The disease-free equilibrium represents the infection-free state of the human and rodent populations, with no infected rodents, exposed humans, infectious humans, recovered humans or immune activity. Practically, this equilibrium corresponds to eradication of hantavirus spread in both rodents and humans. The immune response variable, M, is zero at this equilibrium because no infectious virus is present to stimulate immune activation.</w:t>
      </w:r>
    </w:p>
    <w:p w14:paraId="457E0CBB" w14:textId="77777777" w:rsidR="00D46DA7" w:rsidRDefault="00000000">
      <w:r>
        <w:rPr>
          <w:highlight w:val="yellow"/>
        </w:rPr>
        <w:t>The basic reproduction number, R0, was calculated as the critical threshold determining disease persistence or extinction in the rodent population. It can be interpreted as the average number of secondary infections in susceptible rodents caused by a newly infected rodent introduced into the population. From its definition, several biological observations arise. The rodent transmission coefficient increases the reproduction number through its appearance in the numerator, showing that greater rodent transmission supports disease persistence. Similarly, increased rodent recruitment enhances persistence because favourable ecological conditions can support rapid rodent population growth. In contrast, increased rodent mortality suppresses transmission, suggesting that rodent control measures may reduce outbreak intensity and disease persistence.</w:t>
      </w:r>
    </w:p>
    <w:p w14:paraId="0FBB3F73" w14:textId="77777777" w:rsidR="00D46DA7" w:rsidRDefault="00000000">
      <w:r>
        <w:rPr>
          <w:highlight w:val="yellow"/>
        </w:rPr>
        <w:t xml:space="preserve">The local stability analysis established that the disease-free equilibrium is locally asymptotically stable whenever R0 &lt; 1 and unstable whenever R0 &gt; 1. Biologically, this means that when the reproduction number is below unity, small introductions of infected rodents cannot sustain transmission and the disease gradually disappears from the population. However, when the reproduction number exceeds unity, infection persists and </w:t>
      </w:r>
      <w:r>
        <w:rPr>
          <w:highlight w:val="yellow"/>
        </w:rPr>
        <w:lastRenderedPageBreak/>
        <w:t>may spread throughout the rodent-human system. The reproduction number therefore acts as the fundamental threshold separating disease elimination from endemic persistence.</w:t>
      </w:r>
    </w:p>
    <w:p w14:paraId="1D7DC644" w14:textId="77777777" w:rsidR="00D46DA7" w:rsidRDefault="00000000">
      <w:r>
        <w:rPr>
          <w:highlight w:val="yellow"/>
        </w:rPr>
        <w:t>The existence of an endemic equilibrium whenever R0 &gt; 1 demonstrates that hantavirus can persist within the rodent-human system under sufficiently strong transmission conditions. At endemicity, infected rodents, infectious humans and immune activity remain positive. The immune equation indicates that the immune response increases when infectious humans are present and decays in the absence of infection. In practical terms, this represents stimulation of immune effector cells during viral infection and their gradual decline after infection is cleared. The immune-mediated clearance term in the infectious human equation shows that higher immune activity suppresses infection and promotes recovery. Thus, increased immune activity leads to a lower infectious burden, whereas rapid immune decay may contribute to more persistent infection.</w:t>
      </w:r>
    </w:p>
    <w:p w14:paraId="7D2BEDF9" w14:textId="77777777" w:rsidR="00D46DA7" w:rsidRDefault="00000000">
      <w:r>
        <w:rPr>
          <w:highlight w:val="yellow"/>
        </w:rPr>
        <w:t>The global stability analysis proved that the disease-free equilibrium is globally asymptotically stable whenever R0 &lt; 1. Global stability is a stronger result than local stability because it shows convergence to the disease-free equilibrium beyond small perturbations. The analysis uses a Lyapunov function and LaSalle’s Invariance Principle, showing that infected rodents decrease when the reproduction number is less than one. This means that the disease is eliminated from the system and immune activation also disappears. This result is important because it indicates that reducing the reproduction number below one ultimately ensures the eradication of hantavirus within the proposed model framework.</w:t>
      </w:r>
    </w:p>
    <w:p w14:paraId="19557068" w14:textId="77777777" w:rsidR="00D46DA7" w:rsidRDefault="00000000">
      <w:r>
        <w:rPr>
          <w:highlight w:val="yellow"/>
        </w:rPr>
        <w:t>The results also have relevant epidemiological and public health implications. Since rodent transmission dynamics are central to sustaining infection, reducing rodent density and rodent contact should remain a priority for disease control. Environmental sanitation and habitat management may lower transmission intensity by reducing opportunities for rodent-human interaction. In addition, strengthening immune response mechanisms through therapeutic or immunological interventions may improve disease outcomes and accelerate recovery. Public health strategies should therefore combine rodent population management, environmental sanitation, reduced human exposure and improved healthcare interventions.</w:t>
      </w:r>
    </w:p>
    <w:p w14:paraId="7DC5FE80" w14:textId="77777777" w:rsidR="00D46DA7" w:rsidRDefault="00000000">
      <w:pPr>
        <w:pStyle w:val="Heading1"/>
      </w:pPr>
      <w:r>
        <w:rPr>
          <w:rFonts w:ascii="Times New Roman" w:eastAsia="Times New Roman" w:hAnsi="Times New Roman"/>
          <w:highlight w:val="yellow"/>
        </w:rPr>
        <w:t>5 Conclusion</w:t>
      </w:r>
    </w:p>
    <w:p w14:paraId="2FC16199" w14:textId="77777777" w:rsidR="00D46DA7" w:rsidRDefault="00000000">
      <w:r>
        <w:rPr>
          <w:highlight w:val="yellow"/>
        </w:rPr>
        <w:t>This study developed and analysed a deterministic rodent-human hantavirus transmission model incorporating immune response dynamics. The model combines rodent reservoir transmission, human disease progression and immune-mediated clearance within a single theoretical framework. Positivity and boundedness results confirmed that the model is mathematically well defined and biologically meaningful in a feasible invariant region. The disease-free equilibrium was obtained, and the basic reproduction number was derived through the next-generation matrix approach. The stability analysis showed that the disease-free equilibrium is locally and globally asymptotically stable when R0 &lt; 1, while a biologically feasible endemic equilibrium exists when R0 &gt; 1. These findings indicate that reducing the reproduction number below unity is sufficient for disease elimination in the model. The analysis further suggests that rodent transmission dynamics remain the principal driver of hantavirus persistence, whereas immune response dynamics contribute to reducing the infectious burden and promoting recovery in humans. Consequently, effective control should prioritise rodent population management, reduced human exposure and health interventions that support infection clearance. Overall, the model provides an analytical basis for understanding the epidemiological and immunological mechanisms influencing hantavirus persistence and control. These results remain theoretical and should be interpreted within the assumptions for the model.</w:t>
      </w:r>
    </w:p>
    <w:p w14:paraId="28C9F00B" w14:textId="77777777" w:rsidR="00D46DA7" w:rsidRDefault="00000000">
      <w:pPr>
        <w:pStyle w:val="Heading1"/>
      </w:pPr>
      <w:r>
        <w:rPr>
          <w:rFonts w:ascii="Times New Roman" w:eastAsia="Times New Roman" w:hAnsi="Times New Roman"/>
          <w:highlight w:val="yellow"/>
        </w:rPr>
        <w:lastRenderedPageBreak/>
        <w:t>6 Limitations</w:t>
      </w:r>
    </w:p>
    <w:p w14:paraId="660A9815" w14:textId="77777777" w:rsidR="00D46DA7" w:rsidRDefault="00000000" w:rsidP="00DD0AEF">
      <w:pPr>
        <w:jc w:val="both"/>
      </w:pPr>
      <w:r>
        <w:rPr>
          <w:highlight w:val="yellow"/>
        </w:rPr>
        <w:t>This study has several limitations. The formulation assumes homogeneous mixing within rodent and human populations and does not incorporate spatial heterogeneity, seasonal variation or stochastic environmental effects. Environmental viral persistence is not explicitly represented, although contaminated environments are important in hantavirus transmission. The immune response is described by a single aggregate compartment, which does not distinguish between specific immune pathways, delayed activation, immune exhaustion or cytokine-mediated pathology. The model also excludes numerical simulations, parameter estimation and empirical validation using outbreak data. Consequently, the analytical findings should be interpreted as theoretical results within the assumptions of the proposed deterministic framework. Future work may extend the model by including environmental transmission, spatial diffusion, stochastic perturbations, delayed or nonlinear immune responses, fractional-order dynamics and optimal control strategies to improve biological realism and predictive value. Such extensions would support a more detailed assessment of hantavirus dynamics under realistic ecological and immunological conditions.</w:t>
      </w:r>
    </w:p>
    <w:p w14:paraId="3F793F69" w14:textId="77777777" w:rsidR="00D46DA7" w:rsidRDefault="00000000">
      <w:pPr>
        <w:pStyle w:val="Heading1"/>
      </w:pPr>
      <w:r>
        <w:rPr>
          <w:rFonts w:ascii="Times New Roman" w:eastAsia="Times New Roman" w:hAnsi="Times New Roman"/>
        </w:rPr>
        <w:t>References</w:t>
      </w:r>
    </w:p>
    <w:p w14:paraId="29827A8F" w14:textId="77777777" w:rsidR="00D46DA7" w:rsidRDefault="00000000">
      <w:r>
        <w:t>[1] Lee, H. W., &amp; van der Groen, G. (1989). Hemorrhagic fever with renal syndrome. Progress in Medical Virology, 36, 62–102.</w:t>
      </w:r>
    </w:p>
    <w:p w14:paraId="0DA48A82" w14:textId="77777777" w:rsidR="00D46DA7" w:rsidRDefault="00000000">
      <w:r>
        <w:t>[2] Jonsson, C. B., Figueiredo, L. T. M., &amp; Vapalahti, O. (2010). A global perspective on hantavirus ecology, epidemiology, and disease. Clinical Microbiology Reviews, 23(2), 412–441. https://doi.org/10.1128/CMR.00062-09</w:t>
      </w:r>
    </w:p>
    <w:p w14:paraId="7C62466F" w14:textId="77777777" w:rsidR="00D46DA7" w:rsidRDefault="00000000">
      <w:r>
        <w:t>[3] Krger, D. H., Figueiredo, L. T. M., Song, J.-W., &amp; Klempa, B. (2015). Hantaviruses—globally emerging pathogens. Journal of Clinical Virology, 64, 128–136. https://doi.org/10.1016/j.jcv.2014.08.033</w:t>
      </w:r>
    </w:p>
    <w:p w14:paraId="61350CC7" w14:textId="77777777" w:rsidR="00D46DA7" w:rsidRDefault="00000000">
      <w:r>
        <w:t>[4] Mills, J. N., Yates, T. L., Childs, J. E., Parmenter, R. R., Ksiazek, T. G., Rollin, P. E., &amp; Peters, C. J. (1999). The role of rodents in emerging human disease: Examples from the hantaviruses and arenaviruses. Emerging Infectious Diseases, 5(1), 47–54. https://doi.org/10.3201/eid0501.990106</w:t>
      </w:r>
    </w:p>
    <w:p w14:paraId="4B382341" w14:textId="77777777" w:rsidR="00D46DA7" w:rsidRDefault="00000000">
      <w:r>
        <w:t>[5] Vapalahti, O., Mustonen, J., Lundkvist, ., Henttonen, H., Plyusnin, A., &amp; Vaheri, A. (2003). Hantavirus infections in Europe. The Lancet Infectious Diseases, 3(10), 653–661. https://doi.org/10.1016/S1473-3099(03)00774-6</w:t>
      </w:r>
    </w:p>
    <w:p w14:paraId="43AD6335" w14:textId="77777777" w:rsidR="00D46DA7" w:rsidRDefault="00000000">
      <w:r>
        <w:t>[6] Martnez, V. P., Bellomo, C., San Juan, J., Pinna, D., Forlenza, R., Elder, M., &amp; Padula, P. J. (2005). Person-to-person transmission of Andes virus. Emerging Infectious Diseases, 11(12), 1848–1853. https://doi.org/10.3201/eid1112.050501</w:t>
      </w:r>
    </w:p>
    <w:p w14:paraId="6DC3C5FD" w14:textId="77777777" w:rsidR="00D46DA7" w:rsidRDefault="00000000">
      <w:r>
        <w:t>[7] Glass, G. E., Watson, A. J., LeDuc, J. W., &amp; Childs, J. E. (2000). Environmental risk factors for hantavirus pulmonary syndrome. Emerging Infectious Diseases, 6(3), 238–247. https://doi.org/10.3201/eid0603.000304</w:t>
      </w:r>
    </w:p>
    <w:p w14:paraId="0A8F5DAB" w14:textId="77777777" w:rsidR="00D46DA7" w:rsidRDefault="00000000">
      <w:r>
        <w:t>[8] Yates, T. L., Mills, J. N., Parmenter, C. A., Ksiazek, T. G., Parmenter, R. R., Castle, K. T., Abbott, K. D., Young, J. C., &amp; Morrison, M. L. (2002). The ecology and evolutionary history of an emergent disease: Hantavirus pulmonary syndrome. BioScience, 52(11), 989–998. https://doi.org/10.1641/0006-3568(2002)052[0989:TAAEHO]2.0.CO;2</w:t>
      </w:r>
    </w:p>
    <w:p w14:paraId="39092C2F" w14:textId="77777777" w:rsidR="00D46DA7" w:rsidRDefault="00000000">
      <w:r>
        <w:t xml:space="preserve">[9] Nwokike, I. C., Ezekoye, M. O., Koko, K. M., Owolabi, T. W., Onukwube, G. O., Nwafor, G. O., Nwutara, C., Mansur, H., &amp; Umelo-Ibemere, N. C. (2026). A fractional-order within-host model of swine flu infection </w:t>
      </w:r>
      <w:r>
        <w:lastRenderedPageBreak/>
        <w:t>with autophagy effects: Qualitative and stability analysis. Asian Journal of Pure and Applied Mathematics, 8(1), 470–484. https://doi.org/10.56557/ajpam/2026/v8i1283</w:t>
      </w:r>
    </w:p>
    <w:p w14:paraId="2FF0D05B" w14:textId="77777777" w:rsidR="00D46DA7" w:rsidRDefault="00000000">
      <w:r>
        <w:t>[10] Nwokike, I. C., Nwutara, C., Ezekoye, M. O., Koko, K. M., Owolabi, T. W., Onukwube, G. O., &amp; Umelo-Ibemere, N. C. (2026). Fractional-order modeling of within-host swine influenza (H1N1) dynamics with autophagy and immune response. Journal of Disease and Global Health, 19(1), 365–380. https://doi.org/10.56557/jodagh/2026/v19i110609</w:t>
      </w:r>
    </w:p>
    <w:p w14:paraId="4475FF43" w14:textId="77777777" w:rsidR="00D46DA7" w:rsidRDefault="00000000">
      <w:r>
        <w:t>[11] Hjelle, B., &amp; Glass, G. E. (2001). Outbreak of hantavirus infection in the Four Corners region of the United States. Current Topics in Microbiology and Immunology, 256, 17–64. https://doi.org/10.1007/978-3-642-56753-7 2</w:t>
      </w:r>
    </w:p>
    <w:p w14:paraId="7DCE7CC3" w14:textId="77777777" w:rsidR="00D46DA7" w:rsidRDefault="00000000">
      <w:r>
        <w:t>[12] Schnrich, G., Rang, A., &amp; Ltteke, N. (2015). Hantavirus-induced immunity in rodent reservoirs and humans. Immunological Reviews, 264(1), 163–189. https://doi.org/10.1111/imr.12273</w:t>
      </w:r>
    </w:p>
    <w:p w14:paraId="7595335B" w14:textId="77777777" w:rsidR="00D46DA7" w:rsidRDefault="00000000">
      <w:r>
        <w:t>[13] Terajima, M., &amp; Ennis, F. A. (2014). T cells and pathogenesis of hantavirus cardiopulmonary syndrome and hemorrhagic fever with renal syndrome. Viruses, 6(9), 3399–3413. https://doi.org/10.3390/v6093399</w:t>
      </w:r>
    </w:p>
    <w:p w14:paraId="77E02743" w14:textId="77777777" w:rsidR="00D46DA7" w:rsidRDefault="00000000">
      <w:r>
        <w:t>[14] Klingstrm, J., Hardestam, J., Stoltz, M., Zuber, B., Lundkvist, ., &amp; Ahlm, C. (2008). Loss of cell membrane integrity in Puumala hantavirus-infected patients correlates with levels of epithelial cell apoptosis and immune responses. Clinical and Vaccine Immunology, 15(6), 885–889. https://doi.org/10.1128/CVI.00024-08</w:t>
      </w:r>
    </w:p>
    <w:p w14:paraId="6D4F2342" w14:textId="77777777" w:rsidR="00D46DA7" w:rsidRDefault="00000000">
      <w:r>
        <w:t>[15] Raftery, M. J., Kraus, A. A., Ulrich, R., Krger, D. H., &amp; Schnrich, G. (2002). Hantavirus infection of dendritic cells. Journal of Virology, 76(21), 10724–10733. https://doi.org/10.1128/JVI.76.21.10724-10733.2002</w:t>
      </w:r>
    </w:p>
    <w:p w14:paraId="100886CD" w14:textId="77777777" w:rsidR="00D46DA7" w:rsidRDefault="00000000">
      <w:r>
        <w:t>[16] Anderson, R. M., &amp; May, R. M. (1991). Infectious Diseases of Humans: Dynamics and Control. Oxford University Press. https://doi.org/10.1093/oso/9780198540403.001.0001</w:t>
      </w:r>
    </w:p>
    <w:p w14:paraId="322828A3" w14:textId="77777777" w:rsidR="00D46DA7" w:rsidRDefault="00000000">
      <w:r>
        <w:t>[17] Brauer, F., Castillo-Chavez, C., &amp; Feng, Z. (2019). Mathematical Models in Epidemiology. Springer. https://doi.org/10.1007/978-1-4939-9828-9</w:t>
      </w:r>
    </w:p>
    <w:p w14:paraId="49ABB79A" w14:textId="77777777" w:rsidR="00D46DA7" w:rsidRDefault="00000000">
      <w:r>
        <w:t>[18] Diekmann, O., Heesterbeek, J. A. P., &amp; Metz, J. A. J. (1990). On the definition and computation of the basic reproduction ratio R0 in models for infectious diseases in heterogeneous populations. Journal of Mathematical Biology, 28(4), 365–382. https://doi.org/10.1007/BF00178324</w:t>
      </w:r>
    </w:p>
    <w:p w14:paraId="5BAF663C" w14:textId="77777777" w:rsidR="00D46DA7" w:rsidRDefault="00000000">
      <w:r>
        <w:t>[19] Abramson, G., &amp; Kenkre, V. M. (2002). Spatio-temporal patterns in the hantavirus infection. Physical Review E, 66(1), 011912. https://doi.org/10.1103/PhysRevE.66.011912</w:t>
      </w:r>
    </w:p>
    <w:p w14:paraId="72F1FD16" w14:textId="77777777" w:rsidR="00D46DA7" w:rsidRDefault="00000000">
      <w:r>
        <w:t>[20] Allen, L. J. S., Langlais, M., &amp; Phillips, C. J. (2003). The dynamics of two viral infections in a single host population with applications to hantavirus. Mathematical Biosciences, 186(2), 191–217. https://doi.org/10.1016/S0025-5564(03)00095-8</w:t>
      </w:r>
    </w:p>
    <w:p w14:paraId="48872768" w14:textId="77777777" w:rsidR="00D46DA7" w:rsidRDefault="00000000">
      <w:r>
        <w:t>[21] Allen, L. J. S., McCormack, R. K., &amp; Jonsson, C. B. (2006). Mathematical models for hantavirus infection in rodents. Bulletin of Mathematical Biology, 68(3), 511–524. https://doi.org/10.1007/s11538-005-9032-8</w:t>
      </w:r>
    </w:p>
    <w:p w14:paraId="03FFA8B6" w14:textId="77777777" w:rsidR="00D46DA7" w:rsidRDefault="00000000">
      <w:r>
        <w:t>[22] Sauvage, F., Langlais, M., Pontier, D., &amp; Cosson, J.-F. (2003). Modelling hantavirus in fluctuating rodent populations. Acta Biotheoretica, 51(3), 211–236. https://doi.org/10.1023/A:1023035207776</w:t>
      </w:r>
    </w:p>
    <w:p w14:paraId="01F7FF20" w14:textId="77777777" w:rsidR="00D46DA7" w:rsidRDefault="00000000">
      <w:r>
        <w:t>[23] Wesley, C. L., &amp; Allen, L. J. S. (2010). The spread and persistence of hantavirus infection in rodent populations. Mathematical Biosciences and Engineering, 7(1), 197–211. https://doi.org/10.3934/mbe.2010.7.197</w:t>
      </w:r>
    </w:p>
    <w:p w14:paraId="22031A29" w14:textId="77777777" w:rsidR="00D46DA7" w:rsidRDefault="00000000">
      <w:r>
        <w:lastRenderedPageBreak/>
        <w:t>[24] Liu, J., Yao, Y., &amp; Li, Y. (2019). Threshold dynamics of a time-delayed hantavirus infection model in periodic environments. Mathematical Biosciences and Engineering, 16(5), 3271–3292. https://doi.org/10.3934/mbe.2019164</w:t>
      </w:r>
    </w:p>
    <w:p w14:paraId="6C0F5ED3" w14:textId="77777777" w:rsidR="00D46DA7" w:rsidRDefault="00000000">
      <w:r>
        <w:t>[25] Gutirrez-Jara, J. P., Muoz-Quezada, M. T., Crdova-Lepe, F., &amp; Silva-Guzmn, A. (2023). Mathematical model of the spread of hantavirus infection. Pathogens, 12(9), 1147. https://doi.org/10.3390/pathogens12091147</w:t>
      </w:r>
    </w:p>
    <w:p w14:paraId="24B5C3E2" w14:textId="77777777" w:rsidR="00D46DA7" w:rsidRDefault="00000000">
      <w:r>
        <w:t>[26] Nowak, M. A., &amp; May, R. M. (2000). Virus Dynamics: Mathematical Principles of Immunology and Virology. Oxford University Press. https://doi.org/10.1093/oso/9780198504467.001.0001</w:t>
      </w:r>
    </w:p>
    <w:p w14:paraId="6C28790F" w14:textId="77777777" w:rsidR="00D46DA7" w:rsidRDefault="00000000">
      <w:r>
        <w:t>[27] Perelson, A. S. (2002). Modelling viral and immune system dynamics. Nature Reviews Immunology, 2(1), 28–36. https://doi.org/10.1038/nri700</w:t>
      </w:r>
    </w:p>
    <w:p w14:paraId="67B92AFC" w14:textId="77777777" w:rsidR="00D46DA7" w:rsidRDefault="00000000">
      <w:r>
        <w:t>[28] Perelson, A. S., &amp; Nelson, P. W. (1999). Mathematical analysis of HIV-1 dynamics in vivo. SIAM Review, 41(1), 3–44. https://doi.org/10.1137/S0036144598335107</w:t>
      </w:r>
    </w:p>
    <w:p w14:paraId="45B2ED2C" w14:textId="77777777" w:rsidR="00D46DA7" w:rsidRDefault="00000000">
      <w:r>
        <w:t>[29] Bocharov, G. A., &amp; Romanyukha, A. A. (1994). Mathematical model of antiviral immune response III. Influenza A virus infection. Journal of Theoretical Biology, 167(4), 323–360. https://doi.org/10.1006/jtbi.1994.1074</w:t>
      </w:r>
    </w:p>
    <w:p w14:paraId="7C4192D6" w14:textId="77777777" w:rsidR="00D46DA7" w:rsidRDefault="00000000">
      <w:r>
        <w:t>[30] LaSalle, J. P. (1960). Some extensions of Liapunov’s second method. IRE Transactions on Circuit Theory, 7 (4), 520–527. https://doi.org/10.1109/TCT.1960.1086720</w:t>
      </w:r>
    </w:p>
    <w:sectPr w:rsidR="00D46DA7"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9520250">
    <w:abstractNumId w:val="8"/>
  </w:num>
  <w:num w:numId="2" w16cid:durableId="1722824679">
    <w:abstractNumId w:val="6"/>
  </w:num>
  <w:num w:numId="3" w16cid:durableId="1738091675">
    <w:abstractNumId w:val="5"/>
  </w:num>
  <w:num w:numId="4" w16cid:durableId="828908694">
    <w:abstractNumId w:val="4"/>
  </w:num>
  <w:num w:numId="5" w16cid:durableId="1965581069">
    <w:abstractNumId w:val="7"/>
  </w:num>
  <w:num w:numId="6" w16cid:durableId="1572344607">
    <w:abstractNumId w:val="3"/>
  </w:num>
  <w:num w:numId="7" w16cid:durableId="1060397574">
    <w:abstractNumId w:val="2"/>
  </w:num>
  <w:num w:numId="8" w16cid:durableId="814100489">
    <w:abstractNumId w:val="1"/>
  </w:num>
  <w:num w:numId="9" w16cid:durableId="94149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W0NDIxNTIwNzM1sTBT0lEKTi0uzszPAykwqgUAooMuKSwAAAA="/>
  </w:docVars>
  <w:rsids>
    <w:rsidRoot w:val="00B47730"/>
    <w:rsid w:val="00034616"/>
    <w:rsid w:val="0006063C"/>
    <w:rsid w:val="0015074B"/>
    <w:rsid w:val="0029639D"/>
    <w:rsid w:val="002B1DBF"/>
    <w:rsid w:val="00326F90"/>
    <w:rsid w:val="00605530"/>
    <w:rsid w:val="00760692"/>
    <w:rsid w:val="00AA1D8D"/>
    <w:rsid w:val="00B47730"/>
    <w:rsid w:val="00CB0664"/>
    <w:rsid w:val="00D46DA7"/>
    <w:rsid w:val="00DD0A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4D834"/>
  <w14:defaultImageDpi w14:val="300"/>
  <w15:docId w15:val="{BA930A0A-BFC1-4EEC-8FB7-A42141C7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1020</cp:lastModifiedBy>
  <cp:revision>4</cp:revision>
  <dcterms:created xsi:type="dcterms:W3CDTF">2013-12-23T23:15:00Z</dcterms:created>
  <dcterms:modified xsi:type="dcterms:W3CDTF">2026-06-15T10:42:00Z</dcterms:modified>
  <cp:category/>
</cp:coreProperties>
</file>