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E77A" w14:textId="77777777" w:rsidR="00043064" w:rsidRPr="009327FD" w:rsidRDefault="00043064" w:rsidP="00043064">
      <w:pPr>
        <w:tabs>
          <w:tab w:val="left" w:pos="851"/>
        </w:tabs>
        <w:spacing w:after="0" w:line="240" w:lineRule="auto"/>
        <w:jc w:val="both"/>
        <w:rPr>
          <w:rFonts w:ascii="Times New Roman" w:hAnsi="Times New Roman" w:cs="Times New Roman"/>
          <w:b/>
          <w:sz w:val="28"/>
          <w:szCs w:val="28"/>
        </w:rPr>
      </w:pPr>
      <w:r w:rsidRPr="009327FD">
        <w:rPr>
          <w:rFonts w:ascii="Times New Roman" w:hAnsi="Times New Roman" w:cs="Times New Roman"/>
          <w:b/>
          <w:sz w:val="28"/>
          <w:szCs w:val="28"/>
        </w:rPr>
        <w:t xml:space="preserve">Post-Remediation Soil Recovery in K-Dere, </w:t>
      </w:r>
      <w:proofErr w:type="spellStart"/>
      <w:r w:rsidRPr="009327FD">
        <w:rPr>
          <w:rFonts w:ascii="Times New Roman" w:hAnsi="Times New Roman" w:cs="Times New Roman"/>
          <w:b/>
          <w:sz w:val="28"/>
          <w:szCs w:val="28"/>
        </w:rPr>
        <w:t>Ogoniland</w:t>
      </w:r>
      <w:proofErr w:type="spellEnd"/>
      <w:r w:rsidRPr="009327FD">
        <w:rPr>
          <w:rFonts w:ascii="Times New Roman" w:hAnsi="Times New Roman" w:cs="Times New Roman"/>
          <w:b/>
          <w:sz w:val="28"/>
          <w:szCs w:val="28"/>
        </w:rPr>
        <w:t>: Implications for Sustainable Environmental Restoration</w:t>
      </w:r>
    </w:p>
    <w:p w14:paraId="2BF525E3" w14:textId="77777777" w:rsidR="00A32143" w:rsidRPr="009327FD" w:rsidRDefault="00A32143" w:rsidP="00043064">
      <w:pPr>
        <w:tabs>
          <w:tab w:val="left" w:pos="851"/>
        </w:tabs>
        <w:spacing w:after="0" w:line="240" w:lineRule="auto"/>
        <w:jc w:val="both"/>
        <w:rPr>
          <w:rFonts w:ascii="Times New Roman" w:hAnsi="Times New Roman" w:cs="Times New Roman"/>
          <w:b/>
          <w:sz w:val="28"/>
          <w:szCs w:val="28"/>
        </w:rPr>
      </w:pPr>
    </w:p>
    <w:p w14:paraId="76BB44E3" w14:textId="77777777" w:rsidR="005E68D4" w:rsidRPr="009327FD" w:rsidRDefault="00A32143">
      <w:pPr>
        <w:spacing w:line="480" w:lineRule="auto"/>
        <w:jc w:val="center"/>
        <w:rPr>
          <w:rFonts w:ascii="Times New Roman" w:hAnsi="Times New Roman" w:cs="Times New Roman"/>
          <w:b/>
        </w:rPr>
      </w:pPr>
      <w:r w:rsidRPr="009327FD">
        <w:rPr>
          <w:rFonts w:ascii="Times New Roman" w:hAnsi="Times New Roman" w:cs="Times New Roman"/>
          <w:b/>
          <w:lang w:val="en-US"/>
        </w:rPr>
        <w:t>Abstract</w:t>
      </w:r>
    </w:p>
    <w:p w14:paraId="094EA6FD" w14:textId="77777777" w:rsidR="005E68D4" w:rsidRPr="009327FD" w:rsidRDefault="00A32143">
      <w:pPr>
        <w:spacing w:line="240" w:lineRule="auto"/>
        <w:jc w:val="both"/>
        <w:rPr>
          <w:rFonts w:ascii="Times New Roman" w:hAnsi="Times New Roman" w:cs="Times New Roman"/>
          <w:i/>
        </w:rPr>
      </w:pPr>
      <w:r w:rsidRPr="009327FD">
        <w:rPr>
          <w:rFonts w:ascii="Times New Roman" w:hAnsi="Times New Roman"/>
          <w:i/>
        </w:rPr>
        <w:t>This study investigated the post-remediation effects on soil health in K-Dere, Ogoniland, Rivers State, to determine whether remediation activities have effectively restored soil physicochemical and biological functionality in a hydrocarbon-impacted environment. Composite soil samples were collected from remediated soil (RS) and unremediated soil (URS) at a depth of 0–15 cm, and laboratory analyses were conducted in triplicate using standard soil analytical methods to assess microbial biomass, enzyme activities, organic matter status, nutrient composition and key physicochemical properties. The results showed that total organic carbon decreased from 2.10% in URS to 0.55% in RS (74.0% reduction), whereas total organic nitrogen increased from 0.20% to 0.40% (100% increase). Sulphate concentration increased from 56.98 to 66.30 mg/kg (16.4% increase), nitrate from 4.6 to 10.7 mg/kg (132.6% increase), and phosphate from 5.88 to 23.4 mg/kg (298.0% increase). Bulk density declined from 7.59 to 5.24 g/cm³ (31.0% reduction), water retention capacity increased from 0.375 to 0.433 (15.5% increase), and cation exchange capacity rose from 5.1 to 18.5 cmol/kg (262.7% increase). In contrast, biological indicators declined markedly, as bacterial counts decreased from 4.0 × 10⁶ to 3.9 × 10⁵ cfu/g (90.3% reduction), fungal counts from 2.6 × 10⁶ to 3.0 × 10⁵ cfu/g (88.5% reduction), and dehydrogenase, urease and phosphatase activities decreased by 73.1%, 74.6% and 70.0%, respectively. The overall soil health measured by the Soil Quality Index (SQI) indicated better soil quality in the unremediated soil (SQI = 0.79 &gt; 0.70) than in the remediated soil (SQI = 0.64 &lt; 0.70). The study concludes that remediation activities in K-Dere have substantially improved soil nutrient availability and physicochemical conditions but have not yet achieved full biological recovery. It is therefore recommended that future remediation programmes integrate biological enhancement strategies, including organic amendments and microbial stimulation, supported by long-term post-remediation monitoring to ensure sustainable restoration of soil health.</w:t>
      </w:r>
    </w:p>
    <w:p w14:paraId="2968E864" w14:textId="77777777" w:rsidR="005E68D4" w:rsidRPr="009327FD" w:rsidRDefault="00A32143">
      <w:pPr>
        <w:rPr>
          <w:rFonts w:ascii="Times New Roman" w:hAnsi="Times New Roman" w:cs="Times New Roman"/>
          <w:b/>
        </w:rPr>
      </w:pPr>
      <w:r w:rsidRPr="009327FD">
        <w:rPr>
          <w:rFonts w:ascii="Times New Roman" w:hAnsi="Times New Roman" w:cs="Times New Roman"/>
          <w:b/>
        </w:rPr>
        <w:t xml:space="preserve">Keywords: </w:t>
      </w:r>
      <w:r w:rsidRPr="009327FD">
        <w:rPr>
          <w:rFonts w:ascii="Times New Roman" w:hAnsi="Times New Roman" w:cs="Times New Roman"/>
        </w:rPr>
        <w:t>Soil, Remediation, physicochemical,</w:t>
      </w:r>
      <w:r w:rsidRPr="009327FD">
        <w:rPr>
          <w:rFonts w:ascii="Times New Roman" w:hAnsi="Times New Roman" w:cs="Times New Roman"/>
          <w:b/>
        </w:rPr>
        <w:t xml:space="preserve"> </w:t>
      </w:r>
      <w:r w:rsidRPr="009327FD">
        <w:rPr>
          <w:rFonts w:ascii="Times New Roman" w:hAnsi="Times New Roman" w:cs="Times New Roman"/>
          <w:lang w:val="en-US"/>
        </w:rPr>
        <w:t>Soil quality index, Microbial biomass, Soil health</w:t>
      </w:r>
    </w:p>
    <w:p w14:paraId="38A80BCF" w14:textId="77777777" w:rsidR="005E68D4" w:rsidRPr="009327FD" w:rsidRDefault="005E68D4">
      <w:pPr>
        <w:rPr>
          <w:rFonts w:ascii="Times New Roman" w:hAnsi="Times New Roman" w:cs="Times New Roman"/>
          <w:b/>
        </w:rPr>
      </w:pPr>
    </w:p>
    <w:p w14:paraId="21D9E8FB" w14:textId="77777777" w:rsidR="005E68D4" w:rsidRPr="009327FD" w:rsidRDefault="00A32143">
      <w:pPr>
        <w:spacing w:line="360" w:lineRule="auto"/>
        <w:jc w:val="both"/>
        <w:rPr>
          <w:rFonts w:ascii="Times New Roman" w:hAnsi="Times New Roman" w:cs="Times New Roman"/>
          <w:b/>
        </w:rPr>
      </w:pPr>
      <w:r w:rsidRPr="009327FD">
        <w:rPr>
          <w:rFonts w:ascii="Times New Roman" w:hAnsi="Times New Roman" w:cs="Times New Roman"/>
          <w:b/>
          <w:lang w:val="en-US"/>
        </w:rPr>
        <w:t>1.0      Introduction</w:t>
      </w:r>
    </w:p>
    <w:p w14:paraId="3FCBA46C"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 xml:space="preserve">Soil is a fundamental component of terrestrial ecosystems, underpinning agricultural productivity, biodiversity conservation and human livelihoods (Wonodi &amp; Ekpete, 2021; Gorai et al., 2021). In oil-producing regions, however, prolonged industrial activities often lead to severe soil degradation through hydrocarbon pollution and associated heavy metal contamination (Omokaro, 2024). The Niger Delta region of Nigeria, particularly Ogoniland, represents one of the most environmentally impacted oil-producing areas globally, where decades of oil spills, gas flaring and </w:t>
      </w:r>
      <w:r w:rsidRPr="009327FD">
        <w:rPr>
          <w:rFonts w:ascii="Times New Roman" w:hAnsi="Times New Roman"/>
        </w:rPr>
        <w:lastRenderedPageBreak/>
        <w:t>pipeline failures have compromised soil quality and ecosystem integrity (Nwokoro &amp; Chima, 2018).</w:t>
      </w:r>
    </w:p>
    <w:p w14:paraId="026FA8C4"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K-Dere community in Gokana Local Government Area of Rivers State lies at the core of Ogoniland and has experienced extensive environmental degradation due to petroleum exploration and production. The United Nations Environment Programme (UNEP) environmental assessment of Ogoniland in 2011 documented widespread soil contamination and recommended urgent remediation (UNEP, 2011). In response, the Nigerian government initiated the Hydrocarbon Pollution Remediation Project (HYPREP) to clean up and restore polluted sites, including those in K-Dere.</w:t>
      </w:r>
    </w:p>
    <w:p w14:paraId="10AA1F67"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Despite ongoing remediation activities, concerns persist regarding the actual recovery of soil health in remediated areas. According to Nwokoro and Chima (2017), local farmers continue to report low crop yields, while scientific, site-specific post-remediation data remain limited. Most available assessments are policy-driven and lack detailed evaluations of the soil physicochemical and biological indicators required to confirm ecological recovery. This study therefore aims to investigate the impact of post-remediation activities on soil health in K-Dere, Ogoni, Rivers State, by comparing remediated and unremediated soils. Specifically, the study evaluates microbial biomass, enzyme activities, nutrient composition, organic matter status and key physicochemical properties to determine whether remediation has restored soil functionality for sustainable agricultural and ecological use.</w:t>
      </w:r>
    </w:p>
    <w:p w14:paraId="69836EBC" w14:textId="77777777" w:rsidR="005E68D4" w:rsidRPr="009327FD" w:rsidRDefault="00A32143">
      <w:pPr>
        <w:spacing w:line="360" w:lineRule="auto"/>
        <w:jc w:val="both"/>
        <w:rPr>
          <w:rFonts w:ascii="Times New Roman" w:hAnsi="Times New Roman" w:cs="Times New Roman"/>
          <w:b/>
        </w:rPr>
      </w:pPr>
      <w:r w:rsidRPr="009327FD">
        <w:rPr>
          <w:rFonts w:ascii="Times New Roman" w:hAnsi="Times New Roman" w:cs="Times New Roman"/>
          <w:b/>
          <w:lang w:val="en-US"/>
        </w:rPr>
        <w:t>2.0      Materials and Methods</w:t>
      </w:r>
    </w:p>
    <w:p w14:paraId="723C1B9A" w14:textId="77777777" w:rsidR="005E68D4" w:rsidRPr="009327FD" w:rsidRDefault="00A32143">
      <w:pPr>
        <w:spacing w:line="360" w:lineRule="auto"/>
        <w:jc w:val="both"/>
        <w:rPr>
          <w:rFonts w:ascii="Times New Roman" w:hAnsi="Times New Roman" w:cs="Times New Roman"/>
          <w:b/>
          <w:bCs/>
          <w:lang w:val="en-US"/>
        </w:rPr>
      </w:pPr>
      <w:r w:rsidRPr="009327FD">
        <w:rPr>
          <w:rFonts w:ascii="Times New Roman" w:hAnsi="Times New Roman"/>
          <w:b/>
        </w:rPr>
        <w:t>Study Area</w:t>
      </w:r>
    </w:p>
    <w:p w14:paraId="06FBE613" w14:textId="38957D02" w:rsidR="005E68D4" w:rsidRPr="009327FD" w:rsidRDefault="00A32143">
      <w:pPr>
        <w:spacing w:line="360" w:lineRule="auto"/>
        <w:jc w:val="both"/>
        <w:rPr>
          <w:rFonts w:ascii="Times New Roman" w:hAnsi="Times New Roman" w:cs="Times New Roman"/>
          <w:lang w:val="en-US"/>
        </w:rPr>
      </w:pPr>
      <w:r w:rsidRPr="009327FD">
        <w:rPr>
          <w:rFonts w:ascii="Times New Roman" w:hAnsi="Times New Roman"/>
        </w:rPr>
        <w:t>The study was conducted in K-Dere community, Gokana Local Government Area of Rivers State, Nigeria, located within the lowland rainforest zone of the Niger Delta. The area experiences a humid tropical climate with bimodal rainfall, receiving approximately 2000–3000 mm annually, while mean temperatures range between 25°C and 30°C. The region supports dense rainforest vegetation and is traditionally used for subsistence agriculture (</w:t>
      </w:r>
      <w:r w:rsidR="00A56274" w:rsidRPr="00A56274">
        <w:rPr>
          <w:rFonts w:ascii="Times New Roman" w:hAnsi="Times New Roman"/>
        </w:rPr>
        <w:t>Agboola</w:t>
      </w:r>
      <w:r w:rsidRPr="009327FD">
        <w:rPr>
          <w:rFonts w:ascii="Times New Roman" w:hAnsi="Times New Roman"/>
        </w:rPr>
        <w:t xml:space="preserve"> &amp; </w:t>
      </w:r>
      <w:proofErr w:type="spellStart"/>
      <w:r w:rsidRPr="009327FD">
        <w:rPr>
          <w:rFonts w:ascii="Times New Roman" w:hAnsi="Times New Roman"/>
        </w:rPr>
        <w:t>Nyiayaana</w:t>
      </w:r>
      <w:proofErr w:type="spellEnd"/>
      <w:r w:rsidRPr="009327FD">
        <w:rPr>
          <w:rFonts w:ascii="Times New Roman" w:hAnsi="Times New Roman"/>
        </w:rPr>
        <w:t xml:space="preserve">, 2024). Two sites were selected: a remediated site previously impacted by hydrocarbon pollution and treated under a formal remediation project, and an unimpacted control site with no documented history of </w:t>
      </w:r>
      <w:r w:rsidRPr="009327FD">
        <w:rPr>
          <w:rFonts w:ascii="Times New Roman" w:hAnsi="Times New Roman"/>
        </w:rPr>
        <w:lastRenderedPageBreak/>
        <w:t>oil contamination. The unimpacted site is located at 4.659969° N, 7.270142° E, while the remediated site lies at 4.663436° N, 7.283530° E.</w:t>
      </w:r>
    </w:p>
    <w:p w14:paraId="08B61596" w14:textId="77777777" w:rsidR="005E68D4" w:rsidRPr="009327FD" w:rsidRDefault="00A32143">
      <w:pPr>
        <w:spacing w:line="360" w:lineRule="auto"/>
        <w:jc w:val="both"/>
        <w:rPr>
          <w:rFonts w:ascii="Times New Roman" w:hAnsi="Times New Roman" w:cs="Times New Roman"/>
          <w:lang w:val="en-US"/>
        </w:rPr>
      </w:pPr>
      <w:r w:rsidRPr="009327FD">
        <w:rPr>
          <w:rFonts w:ascii="Times New Roman" w:hAnsi="Times New Roman" w:cs="Times New Roman"/>
          <w:noProof/>
          <w:lang w:val="en-US" w:eastAsia="en-US"/>
        </w:rPr>
        <w:drawing>
          <wp:inline distT="0" distB="0" distL="0" distR="0" wp14:anchorId="0E75A374" wp14:editId="520C60D9">
            <wp:extent cx="5943600" cy="3568927"/>
            <wp:effectExtent l="0" t="0" r="0" b="0"/>
            <wp:docPr id="1950674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
                    <pic:cNvPicPr>
                      <a:picLocks noChangeAspect="1" noChangeArrowheads="1"/>
                    </pic:cNvPicPr>
                  </pic:nvPicPr>
                  <pic:blipFill>
                    <a:blip r:embed="rId6"/>
                    <a:srcRect/>
                    <a:stretch>
                      <a:fillRect/>
                    </a:stretch>
                  </pic:blipFill>
                  <pic:spPr>
                    <a:xfrm>
                      <a:off x="0" y="0"/>
                      <a:ext cx="5943600" cy="3568927"/>
                    </a:xfrm>
                    <a:prstGeom prst="rect">
                      <a:avLst/>
                    </a:prstGeom>
                    <a:noFill/>
                    <a:ln>
                      <a:noFill/>
                    </a:ln>
                  </pic:spPr>
                </pic:pic>
              </a:graphicData>
            </a:graphic>
          </wp:inline>
        </w:drawing>
      </w:r>
    </w:p>
    <w:p w14:paraId="4C66D530" w14:textId="77777777" w:rsidR="005E68D4" w:rsidRPr="009327FD" w:rsidRDefault="00EA647B">
      <w:pPr>
        <w:spacing w:line="360" w:lineRule="auto"/>
        <w:jc w:val="both"/>
        <w:rPr>
          <w:rFonts w:ascii="Times New Roman" w:hAnsi="Times New Roman" w:cs="Times New Roman"/>
          <w:lang w:val="en-US"/>
        </w:rPr>
      </w:pPr>
      <w:r w:rsidRPr="009327FD">
        <w:rPr>
          <w:rFonts w:ascii="Times New Roman" w:hAnsi="Times New Roman" w:cs="Times New Roman"/>
          <w:b/>
          <w:lang w:val="en-US"/>
        </w:rPr>
        <w:t xml:space="preserve">Map </w:t>
      </w:r>
      <w:r w:rsidR="00A32143" w:rsidRPr="009327FD">
        <w:rPr>
          <w:rFonts w:ascii="Times New Roman" w:hAnsi="Times New Roman" w:cs="Times New Roman"/>
          <w:b/>
          <w:lang w:val="en-US"/>
        </w:rPr>
        <w:t xml:space="preserve"> 1:</w:t>
      </w:r>
      <w:r w:rsidR="00A32143" w:rsidRPr="009327FD">
        <w:rPr>
          <w:rFonts w:ascii="Times New Roman" w:hAnsi="Times New Roman" w:cs="Times New Roman"/>
          <w:lang w:val="en-US"/>
        </w:rPr>
        <w:t xml:space="preserve"> Map showing the sampling points from two sampling locations in K-Dere, </w:t>
      </w:r>
      <w:proofErr w:type="spellStart"/>
      <w:r w:rsidR="00A32143" w:rsidRPr="009327FD">
        <w:rPr>
          <w:rFonts w:ascii="Times New Roman" w:hAnsi="Times New Roman" w:cs="Times New Roman"/>
          <w:lang w:val="en-US"/>
        </w:rPr>
        <w:t>Ogoniland</w:t>
      </w:r>
      <w:proofErr w:type="spellEnd"/>
      <w:r w:rsidR="00A32143" w:rsidRPr="009327FD">
        <w:rPr>
          <w:rFonts w:ascii="Times New Roman" w:hAnsi="Times New Roman" w:cs="Times New Roman"/>
          <w:lang w:val="en-US"/>
        </w:rPr>
        <w:t>.</w:t>
      </w:r>
    </w:p>
    <w:p w14:paraId="200D6709" w14:textId="77777777" w:rsidR="005E68D4" w:rsidRPr="009327FD" w:rsidRDefault="00A32143">
      <w:pPr>
        <w:spacing w:line="360" w:lineRule="auto"/>
        <w:jc w:val="both"/>
        <w:rPr>
          <w:rFonts w:ascii="Times New Roman" w:hAnsi="Times New Roman" w:cs="Times New Roman"/>
          <w:b/>
          <w:bCs/>
          <w:lang w:val="en-US"/>
        </w:rPr>
      </w:pPr>
      <w:r w:rsidRPr="009327FD">
        <w:rPr>
          <w:rFonts w:ascii="Times New Roman" w:hAnsi="Times New Roman"/>
          <w:b/>
        </w:rPr>
        <w:t>Sample Collection and Preservation</w:t>
      </w:r>
    </w:p>
    <w:p w14:paraId="3D367A85"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cs="Times New Roman"/>
          <w:lang w:val="en-US"/>
        </w:rPr>
        <w:t xml:space="preserve">A descriptive and analytical research design was adopted to enable direct comparison of soil quality indicators between remediated and </w:t>
      </w:r>
      <w:proofErr w:type="spellStart"/>
      <w:r w:rsidRPr="009327FD">
        <w:rPr>
          <w:rFonts w:ascii="Times New Roman" w:hAnsi="Times New Roman" w:cs="Times New Roman"/>
          <w:lang w:val="en-US"/>
        </w:rPr>
        <w:t>unremediated</w:t>
      </w:r>
      <w:proofErr w:type="spellEnd"/>
      <w:r w:rsidRPr="009327FD">
        <w:rPr>
          <w:rFonts w:ascii="Times New Roman" w:hAnsi="Times New Roman" w:cs="Times New Roman"/>
          <w:lang w:val="en-US"/>
        </w:rPr>
        <w:t xml:space="preserve"> soils. Composite soil samples were collected from two locations designated as Location A (remediated soil) and Location B (</w:t>
      </w:r>
      <w:proofErr w:type="spellStart"/>
      <w:r w:rsidRPr="009327FD">
        <w:rPr>
          <w:rFonts w:ascii="Times New Roman" w:hAnsi="Times New Roman" w:cs="Times New Roman"/>
          <w:lang w:val="en-US"/>
        </w:rPr>
        <w:t>unremediated</w:t>
      </w:r>
      <w:proofErr w:type="spellEnd"/>
      <w:r w:rsidRPr="009327FD">
        <w:rPr>
          <w:rFonts w:ascii="Times New Roman" w:hAnsi="Times New Roman" w:cs="Times New Roman"/>
          <w:lang w:val="en-US"/>
        </w:rPr>
        <w:t xml:space="preserve"> soil). At each location, ten subsamples were randomly collected using a soil auger at a depth of 0–15 cm and composited to obtain representative samples. Sampling was carried out on 4 September 2025.</w:t>
      </w:r>
    </w:p>
    <w:p w14:paraId="6E070745"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Samples were placed in labelled polyethylene bags, preserved in ice boxes, and transported to the laboratory. In the laboratory, soils were air-dried under ambient conditions in a well-ventilated environment away from direct sunlight, gently crushed, sieved through a 2 mm mesh and homogenised in accordance with standard soil preparation procedures (International Organization for Standardization [ISO], 2006).</w:t>
      </w:r>
    </w:p>
    <w:p w14:paraId="1EAEE2CC" w14:textId="77777777" w:rsidR="005E68D4" w:rsidRPr="009327FD" w:rsidRDefault="00A32143">
      <w:pPr>
        <w:spacing w:line="360" w:lineRule="auto"/>
        <w:jc w:val="both"/>
        <w:rPr>
          <w:rFonts w:ascii="Times New Roman" w:hAnsi="Times New Roman" w:cs="Times New Roman"/>
          <w:b/>
          <w:bCs/>
          <w:lang w:val="en-US"/>
        </w:rPr>
      </w:pPr>
      <w:r w:rsidRPr="009327FD">
        <w:rPr>
          <w:rFonts w:ascii="Times New Roman" w:hAnsi="Times New Roman" w:cs="Times New Roman"/>
          <w:b/>
          <w:bCs/>
          <w:lang w:val="en-US"/>
        </w:rPr>
        <w:lastRenderedPageBreak/>
        <w:t>Sample Analysis</w:t>
      </w:r>
    </w:p>
    <w:p w14:paraId="363F61FC"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Laboratory analyses were conducted in triplicate and covered microbial biomass, enzyme activities, nutrient composition, organic matter content and physicochemical properties. Total heterotrophic bacteria and fungi were enumerated using standard culture techniques on nutrient media, and results were expressed as colony-forming units per gram of soil (cfu/g) following established soil microbiological protocols (ISO, 2013). Dehydrogenase activity was determined using the triphenyl tetrazolium chloride reduction method, urease activity by ammonium release from urea, and phosphatase activity using p-nitrophenyl phosphate as a substrate, following standard soil enzymology methods as described by Wang et al. (2023).</w:t>
      </w:r>
    </w:p>
    <w:p w14:paraId="389ECB07" w14:textId="2C153E11" w:rsidR="005E68D4" w:rsidRPr="009327FD" w:rsidRDefault="00A32143">
      <w:pPr>
        <w:spacing w:line="360" w:lineRule="auto"/>
        <w:jc w:val="both"/>
        <w:rPr>
          <w:rFonts w:ascii="Times New Roman" w:hAnsi="Times New Roman" w:cs="Times New Roman"/>
        </w:rPr>
      </w:pPr>
      <w:r w:rsidRPr="009327FD">
        <w:rPr>
          <w:rFonts w:ascii="Times New Roman" w:hAnsi="Times New Roman"/>
        </w:rPr>
        <w:t>Total organic carbon was determined using the Walkley–Black method, while total organic nitrogen was analysed using the Kjeldahl method in accordance with Association of Official Analytical Chemists (AOAC, 2019) procedures. Phosphate was determined by colourimetric spectrophotometry, nitrate by the brucine method, and sulphate by titrimetric analysis, following standard environmental analytical methods (</w:t>
      </w:r>
      <w:r w:rsidR="00A56274" w:rsidRPr="00A56274">
        <w:rPr>
          <w:rFonts w:ascii="Times New Roman" w:hAnsi="Times New Roman"/>
        </w:rPr>
        <w:t>ASTM International</w:t>
      </w:r>
      <w:r w:rsidRPr="009327FD">
        <w:rPr>
          <w:rFonts w:ascii="Times New Roman" w:hAnsi="Times New Roman"/>
        </w:rPr>
        <w:t xml:space="preserve">, 2017; </w:t>
      </w:r>
      <w:r w:rsidR="00A56274" w:rsidRPr="00A56274">
        <w:rPr>
          <w:rFonts w:ascii="Times New Roman" w:hAnsi="Times New Roman"/>
        </w:rPr>
        <w:t>ASTM International</w:t>
      </w:r>
      <w:r w:rsidRPr="009327FD">
        <w:rPr>
          <w:rFonts w:ascii="Times New Roman" w:hAnsi="Times New Roman"/>
        </w:rPr>
        <w:t>, 20</w:t>
      </w:r>
      <w:r w:rsidR="00A56274">
        <w:rPr>
          <w:rFonts w:ascii="Times New Roman" w:hAnsi="Times New Roman"/>
        </w:rPr>
        <w:t>09</w:t>
      </w:r>
      <w:r w:rsidRPr="009327FD">
        <w:rPr>
          <w:rFonts w:ascii="Times New Roman" w:hAnsi="Times New Roman"/>
        </w:rPr>
        <w:t xml:space="preserve">). Bulk density was measured using the core method (ASTM, 2011), water retention capacity by saturation and drainage techniques, soil texture by the ribbon method (Food and Agriculture Organization of the United Nations, 2006), and cation exchange capacity using standard soil chemical procedures (ISO, </w:t>
      </w:r>
      <w:r w:rsidR="00A56274" w:rsidRPr="00A56274">
        <w:rPr>
          <w:rFonts w:ascii="Times New Roman" w:hAnsi="Times New Roman"/>
        </w:rPr>
        <w:t>2023</w:t>
      </w:r>
      <w:r w:rsidRPr="009327FD">
        <w:rPr>
          <w:rFonts w:ascii="Times New Roman" w:hAnsi="Times New Roman"/>
        </w:rPr>
        <w:t>).</w:t>
      </w:r>
    </w:p>
    <w:p w14:paraId="3EDF9426"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cs="Times New Roman"/>
          <w:b/>
          <w:bCs/>
        </w:rPr>
        <w:t>Assessment of Soil Quality Index</w:t>
      </w:r>
    </w:p>
    <w:p w14:paraId="22435005"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The determination of overall soil health to support agricultural productivity commonly practised in the area used a standardised model (Doran &amp; Parkin, 1994; Andrews et al., 2004). The approach used a total of 15 soil quality indicators (physical, chemical and biological), described as the minimum data set (MDS), as recommended by the United States Department of Agriculture, Natural Resources Conservation Service (USDA-NRCS, 2001, 2015a, 2015b).</w:t>
      </w:r>
    </w:p>
    <w:p w14:paraId="0B619DF8" w14:textId="4E16947E"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Scoring of the MDS was modelled according to Kahsay et al. (202</w:t>
      </w:r>
      <w:r w:rsidR="00A56274">
        <w:rPr>
          <w:rFonts w:ascii="Times New Roman" w:hAnsi="Times New Roman"/>
        </w:rPr>
        <w:t>5</w:t>
      </w:r>
      <w:r w:rsidRPr="009327FD">
        <w:rPr>
          <w:rFonts w:ascii="Times New Roman" w:hAnsi="Times New Roman"/>
        </w:rPr>
        <w:t xml:space="preserve">), Doran and Parkin (1994), and Andrews et al. (2004), using linear normalisation in which the best-performing value in each pair was assigned a score of 1.0 and the other value was scored relative to it. Indicators were categorised as “more-is-better”, “less-is-better” or “optimum-range”, following the Soil Management Assessment Framework (Andrews et al., 2004). Equal weighting was assigned to the </w:t>
      </w:r>
      <w:r w:rsidRPr="009327FD">
        <w:rPr>
          <w:rFonts w:ascii="Times New Roman" w:hAnsi="Times New Roman"/>
        </w:rPr>
        <w:lastRenderedPageBreak/>
        <w:t>indicators to avoid disparity in the contributions of individual soil quality indicators to overall soil health.</w:t>
      </w:r>
    </w:p>
    <w:p w14:paraId="3AF5F7E1"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cs="Times New Roman"/>
          <w:color w:val="000000"/>
          <w:lang w:val="en-US"/>
        </w:rPr>
        <w:t xml:space="preserve">   </w:t>
      </w:r>
      <w:r w:rsidRPr="009327FD">
        <w:rPr>
          <w:rFonts w:ascii="Times New Roman" w:hAnsi="Times New Roman" w:cs="Times New Roman"/>
          <w:color w:val="000000"/>
          <w:lang w:val="en-US"/>
        </w:rPr>
        <w:tab/>
      </w:r>
    </w:p>
    <w:p w14:paraId="093342D7"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cs="Times New Roman"/>
          <w:color w:val="000000"/>
          <w:lang w:val="en-US"/>
        </w:rPr>
        <w:t xml:space="preserve">   </w:t>
      </w:r>
      <w:r w:rsidRPr="009327FD">
        <w:rPr>
          <w:rFonts w:ascii="Times New Roman" w:hAnsi="Times New Roman" w:cs="Times New Roman"/>
          <w:color w:val="000000"/>
          <w:lang w:val="en-US"/>
        </w:rPr>
        <w:tab/>
      </w:r>
      <w:r w:rsidRPr="009327FD">
        <w:rPr>
          <w:rFonts w:ascii="Times New Roman" w:hAnsi="Times New Roman" w:cs="Times New Roman"/>
          <w:color w:val="000000"/>
          <w:lang w:val="en-US"/>
        </w:rPr>
        <w:tab/>
      </w:r>
      <w:r w:rsidRPr="009327FD">
        <w:rPr>
          <w:rFonts w:ascii="Times New Roman" w:hAnsi="Times New Roman" w:cs="Times New Roman"/>
          <w:color w:val="000000"/>
          <w:lang w:val="en-US"/>
        </w:rPr>
        <w:tab/>
      </w:r>
      <w:r w:rsidRPr="009327FD">
        <w:rPr>
          <w:rFonts w:ascii="Times New Roman" w:hAnsi="Times New Roman" w:cs="Times New Roman"/>
          <w:noProof/>
          <w:color w:val="000000"/>
          <w:lang w:val="en-US" w:eastAsia="en-US"/>
        </w:rPr>
        <w:drawing>
          <wp:inline distT="0" distB="0" distL="0" distR="0" wp14:anchorId="3FEC3827" wp14:editId="64330968">
            <wp:extent cx="695325" cy="362585"/>
            <wp:effectExtent l="0" t="0" r="0" b="0"/>
            <wp:docPr id="195067498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298"/>
                    <pic:cNvPicPr>
                      <a:picLocks noChangeAspect="1"/>
                    </pic:cNvPicPr>
                  </pic:nvPicPr>
                  <pic:blipFill>
                    <a:blip r:embed="rId7"/>
                    <a:srcRect/>
                    <a:stretch>
                      <a:fillRect/>
                    </a:stretch>
                  </pic:blipFill>
                  <pic:spPr>
                    <a:xfrm>
                      <a:off x="0" y="0"/>
                      <a:ext cx="695325" cy="362585"/>
                    </a:xfrm>
                    <a:prstGeom prst="rect">
                      <a:avLst/>
                    </a:prstGeom>
                  </pic:spPr>
                </pic:pic>
              </a:graphicData>
            </a:graphic>
          </wp:inline>
        </w:drawing>
      </w:r>
      <w:r w:rsidRPr="009327FD">
        <w:rPr>
          <w:rFonts w:ascii="Times New Roman" w:hAnsi="Times New Roman" w:cs="Times New Roman"/>
          <w:color w:val="000000"/>
          <w:lang w:val="en-US"/>
        </w:rPr>
        <w:tab/>
      </w:r>
      <w:r w:rsidRPr="009327FD">
        <w:rPr>
          <w:rFonts w:ascii="Times New Roman" w:hAnsi="Times New Roman" w:cs="Times New Roman"/>
          <w:color w:val="000000"/>
          <w:lang w:val="en-US"/>
        </w:rPr>
        <w:tab/>
      </w:r>
      <w:proofErr w:type="spellStart"/>
      <w:r w:rsidRPr="009327FD">
        <w:rPr>
          <w:rFonts w:ascii="Times New Roman" w:hAnsi="Times New Roman" w:cs="Times New Roman"/>
          <w:color w:val="000000"/>
          <w:lang w:val="en-US"/>
        </w:rPr>
        <w:t>Egn</w:t>
      </w:r>
      <w:proofErr w:type="spellEnd"/>
      <w:r w:rsidRPr="009327FD">
        <w:rPr>
          <w:rFonts w:ascii="Times New Roman" w:hAnsi="Times New Roman" w:cs="Times New Roman"/>
          <w:color w:val="000000"/>
          <w:lang w:val="en-US"/>
        </w:rPr>
        <w:t xml:space="preserve"> (1)</w:t>
      </w:r>
      <w:r w:rsidRPr="009327FD">
        <w:rPr>
          <w:rFonts w:ascii="Times New Roman" w:hAnsi="Times New Roman" w:cs="Times New Roman"/>
          <w:color w:val="000000"/>
          <w:lang w:val="en-US"/>
        </w:rPr>
        <w:tab/>
      </w:r>
    </w:p>
    <w:p w14:paraId="0E97EC41"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cs="Times New Roman"/>
          <w:color w:val="000000"/>
          <w:lang w:val="en-US"/>
        </w:rPr>
        <w:t xml:space="preserve">Where Wi = Weight of the </w:t>
      </w:r>
      <w:proofErr w:type="spellStart"/>
      <w:r w:rsidRPr="009327FD">
        <w:rPr>
          <w:rFonts w:ascii="Times New Roman" w:hAnsi="Times New Roman" w:cs="Times New Roman"/>
          <w:color w:val="000000"/>
          <w:lang w:val="en-US"/>
        </w:rPr>
        <w:t>ith</w:t>
      </w:r>
      <w:proofErr w:type="spellEnd"/>
      <w:r w:rsidRPr="009327FD">
        <w:rPr>
          <w:rFonts w:ascii="Times New Roman" w:hAnsi="Times New Roman" w:cs="Times New Roman"/>
          <w:color w:val="000000"/>
          <w:lang w:val="en-US"/>
        </w:rPr>
        <w:t xml:space="preserve"> indicator and n =total number of soil quality indicators (MDS)</w:t>
      </w:r>
    </w:p>
    <w:p w14:paraId="754F2B4A" w14:textId="77777777" w:rsidR="005E68D4" w:rsidRPr="009327FD"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p>
    <w:p w14:paraId="793CA021"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cs="Times New Roman"/>
          <w:color w:val="000000"/>
          <w:lang w:val="en-US"/>
        </w:rPr>
        <w:t xml:space="preserve">The soil quality index was evaluated using </w:t>
      </w:r>
      <w:proofErr w:type="spellStart"/>
      <w:r w:rsidRPr="009327FD">
        <w:rPr>
          <w:rFonts w:ascii="Times New Roman" w:hAnsi="Times New Roman" w:cs="Times New Roman"/>
          <w:color w:val="000000"/>
          <w:lang w:val="en-US"/>
        </w:rPr>
        <w:t>Egn</w:t>
      </w:r>
      <w:proofErr w:type="spellEnd"/>
      <w:r w:rsidRPr="009327FD">
        <w:rPr>
          <w:rFonts w:ascii="Times New Roman" w:hAnsi="Times New Roman" w:cs="Times New Roman"/>
          <w:color w:val="000000"/>
          <w:lang w:val="en-US"/>
        </w:rPr>
        <w:t xml:space="preserve"> (2)  as:</w:t>
      </w:r>
    </w:p>
    <w:p w14:paraId="25D801B5"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ind w:left="720" w:firstLine="720"/>
        <w:jc w:val="both"/>
        <w:rPr>
          <w:rFonts w:ascii="Times New Roman" w:hAnsi="Times New Roman" w:cs="Times New Roman"/>
          <w:color w:val="000000"/>
          <w:lang w:val="en-US"/>
        </w:rPr>
      </w:pPr>
      <w:r w:rsidRPr="009327FD">
        <w:rPr>
          <w:rFonts w:ascii="Times New Roman" w:hAnsi="Times New Roman" w:cs="Times New Roman"/>
          <w:noProof/>
          <w:color w:val="000000"/>
          <w:lang w:val="en-US" w:eastAsia="en-US"/>
        </w:rPr>
        <w:drawing>
          <wp:inline distT="0" distB="0" distL="0" distR="0" wp14:anchorId="14FCC170" wp14:editId="3F959352">
            <wp:extent cx="1543685" cy="425450"/>
            <wp:effectExtent l="0" t="0" r="0" b="0"/>
            <wp:docPr id="195067498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99"/>
                    <pic:cNvPicPr>
                      <a:picLocks noChangeAspect="1"/>
                    </pic:cNvPicPr>
                  </pic:nvPicPr>
                  <pic:blipFill>
                    <a:blip r:embed="rId8"/>
                    <a:srcRect/>
                    <a:stretch>
                      <a:fillRect/>
                    </a:stretch>
                  </pic:blipFill>
                  <pic:spPr>
                    <a:xfrm>
                      <a:off x="0" y="0"/>
                      <a:ext cx="1543685" cy="425450"/>
                    </a:xfrm>
                    <a:prstGeom prst="rect">
                      <a:avLst/>
                    </a:prstGeom>
                  </pic:spPr>
                </pic:pic>
              </a:graphicData>
            </a:graphic>
          </wp:inline>
        </w:drawing>
      </w:r>
      <w:r w:rsidRPr="009327FD">
        <w:rPr>
          <w:rFonts w:ascii="Times New Roman" w:hAnsi="Times New Roman" w:cs="Times New Roman"/>
          <w:color w:val="000000"/>
          <w:lang w:val="en-US"/>
        </w:rPr>
        <w:t xml:space="preserve">        </w:t>
      </w:r>
      <w:proofErr w:type="spellStart"/>
      <w:r w:rsidRPr="009327FD">
        <w:rPr>
          <w:rFonts w:ascii="Times New Roman" w:hAnsi="Times New Roman" w:cs="Times New Roman"/>
          <w:color w:val="000000"/>
          <w:lang w:val="en-US"/>
        </w:rPr>
        <w:t>Egn</w:t>
      </w:r>
      <w:proofErr w:type="spellEnd"/>
      <w:r w:rsidRPr="009327FD">
        <w:rPr>
          <w:rFonts w:ascii="Times New Roman" w:hAnsi="Times New Roman" w:cs="Times New Roman"/>
          <w:color w:val="000000"/>
          <w:lang w:val="en-US"/>
        </w:rPr>
        <w:t xml:space="preserve"> (2)</w:t>
      </w:r>
    </w:p>
    <w:p w14:paraId="6AC64FFF" w14:textId="77777777" w:rsidR="005E68D4" w:rsidRPr="009327FD" w:rsidRDefault="005E68D4">
      <w:pPr>
        <w:spacing w:line="360" w:lineRule="auto"/>
        <w:jc w:val="both"/>
        <w:rPr>
          <w:rFonts w:ascii="Times New Roman" w:hAnsi="Times New Roman" w:cs="Times New Roman"/>
        </w:rPr>
      </w:pPr>
    </w:p>
    <w:p w14:paraId="54F7E245" w14:textId="77777777" w:rsidR="005E68D4" w:rsidRPr="009327FD" w:rsidRDefault="00A32143">
      <w:pPr>
        <w:spacing w:line="360" w:lineRule="auto"/>
        <w:jc w:val="both"/>
        <w:rPr>
          <w:rFonts w:ascii="Times New Roman" w:hAnsi="Times New Roman" w:cs="Times New Roman"/>
          <w:b/>
          <w:bCs/>
          <w:color w:val="000000"/>
        </w:rPr>
      </w:pPr>
      <w:r w:rsidRPr="009327FD">
        <w:rPr>
          <w:rFonts w:ascii="Times New Roman" w:hAnsi="Times New Roman" w:cs="Times New Roman"/>
          <w:b/>
          <w:bCs/>
          <w:color w:val="000000"/>
        </w:rPr>
        <w:t>Data Analysis</w:t>
      </w:r>
    </w:p>
    <w:p w14:paraId="44B05BFD"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Data obtained were subjected to descriptive statistical analysis, and mean values were used to compare remediated and unremediated soils.</w:t>
      </w:r>
    </w:p>
    <w:p w14:paraId="3CC5DA78" w14:textId="77777777" w:rsidR="005E68D4" w:rsidRPr="009327FD" w:rsidRDefault="00A32143">
      <w:pPr>
        <w:rPr>
          <w:rFonts w:ascii="Times New Roman" w:hAnsi="Times New Roman" w:cs="Times New Roman"/>
          <w:b/>
          <w:lang w:val="en-US"/>
        </w:rPr>
      </w:pPr>
      <w:r w:rsidRPr="009327FD">
        <w:rPr>
          <w:rFonts w:ascii="Times New Roman" w:hAnsi="Times New Roman" w:cs="Times New Roman"/>
          <w:b/>
          <w:lang w:val="en-US"/>
        </w:rPr>
        <w:t>3.0    Results</w:t>
      </w:r>
    </w:p>
    <w:p w14:paraId="0D5AF41B" w14:textId="77777777" w:rsidR="005E68D4" w:rsidRPr="009327FD" w:rsidRDefault="00A32143">
      <w:pPr>
        <w:rPr>
          <w:rFonts w:ascii="Times New Roman" w:hAnsi="Times New Roman" w:cs="Times New Roman"/>
          <w:b/>
        </w:rPr>
      </w:pPr>
      <w:r w:rsidRPr="009327FD">
        <w:rPr>
          <w:rFonts w:ascii="Times New Roman" w:hAnsi="Times New Roman" w:cs="Times New Roman"/>
          <w:b/>
          <w:lang w:val="en-US"/>
        </w:rPr>
        <w:t>Table 1: Microbial biomass, enzyme activities, and biodiversity of soils from K-Dere</w:t>
      </w:r>
    </w:p>
    <w:tbl>
      <w:tblPr>
        <w:tblStyle w:val="TableGrid"/>
        <w:tblW w:w="980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595"/>
        <w:gridCol w:w="3150"/>
        <w:gridCol w:w="3060"/>
      </w:tblGrid>
      <w:tr w:rsidR="005E68D4" w:rsidRPr="009327FD" w14:paraId="69079BB8" w14:textId="77777777">
        <w:tc>
          <w:tcPr>
            <w:tcW w:w="3595" w:type="dxa"/>
            <w:tcBorders>
              <w:top w:val="single" w:sz="4" w:space="0" w:color="auto"/>
              <w:bottom w:val="single" w:sz="4" w:space="0" w:color="auto"/>
            </w:tcBorders>
          </w:tcPr>
          <w:p w14:paraId="7553605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Parameter</w:t>
            </w:r>
          </w:p>
          <w:p w14:paraId="1AA49E3D" w14:textId="77777777" w:rsidR="005E68D4" w:rsidRPr="009327FD" w:rsidRDefault="005E68D4">
            <w:pPr>
              <w:rPr>
                <w:rFonts w:ascii="Times New Roman" w:hAnsi="Times New Roman" w:cs="Times New Roman"/>
                <w:b/>
              </w:rPr>
            </w:pPr>
          </w:p>
        </w:tc>
        <w:tc>
          <w:tcPr>
            <w:tcW w:w="3150" w:type="dxa"/>
            <w:tcBorders>
              <w:top w:val="single" w:sz="4" w:space="0" w:color="auto"/>
              <w:bottom w:val="single" w:sz="4" w:space="0" w:color="auto"/>
            </w:tcBorders>
          </w:tcPr>
          <w:p w14:paraId="38574488"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URS</w:t>
            </w:r>
          </w:p>
          <w:p w14:paraId="06ECDBFE" w14:textId="77777777" w:rsidR="005E68D4" w:rsidRPr="009327FD" w:rsidRDefault="005E68D4">
            <w:pPr>
              <w:rPr>
                <w:rFonts w:ascii="Times New Roman" w:hAnsi="Times New Roman" w:cs="Times New Roman"/>
                <w:b/>
              </w:rPr>
            </w:pPr>
          </w:p>
        </w:tc>
        <w:tc>
          <w:tcPr>
            <w:tcW w:w="3060" w:type="dxa"/>
            <w:tcBorders>
              <w:top w:val="single" w:sz="4" w:space="0" w:color="auto"/>
              <w:bottom w:val="single" w:sz="4" w:space="0" w:color="auto"/>
            </w:tcBorders>
          </w:tcPr>
          <w:p w14:paraId="47C056C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RS</w:t>
            </w:r>
          </w:p>
          <w:p w14:paraId="38CE9A70" w14:textId="77777777" w:rsidR="005E68D4" w:rsidRPr="009327FD" w:rsidRDefault="005E68D4">
            <w:pPr>
              <w:rPr>
                <w:rFonts w:ascii="Times New Roman" w:hAnsi="Times New Roman" w:cs="Times New Roman"/>
                <w:b/>
              </w:rPr>
            </w:pPr>
          </w:p>
        </w:tc>
      </w:tr>
      <w:tr w:rsidR="005E68D4" w:rsidRPr="009327FD" w14:paraId="0B8EB102" w14:textId="77777777">
        <w:trPr>
          <w:trHeight w:val="467"/>
        </w:trPr>
        <w:tc>
          <w:tcPr>
            <w:tcW w:w="3595" w:type="dxa"/>
            <w:tcBorders>
              <w:top w:val="single" w:sz="4" w:space="0" w:color="auto"/>
            </w:tcBorders>
          </w:tcPr>
          <w:p w14:paraId="63EDC44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Bacteria (</w:t>
            </w:r>
            <w:proofErr w:type="spellStart"/>
            <w:r w:rsidRPr="009327FD">
              <w:rPr>
                <w:rFonts w:ascii="Times New Roman" w:hAnsi="Times New Roman" w:cs="Times New Roman"/>
                <w:lang w:val="en-US"/>
              </w:rPr>
              <w:t>cfu</w:t>
            </w:r>
            <w:proofErr w:type="spellEnd"/>
            <w:r w:rsidRPr="009327FD">
              <w:rPr>
                <w:rFonts w:ascii="Times New Roman" w:hAnsi="Times New Roman" w:cs="Times New Roman"/>
                <w:lang w:val="en-US"/>
              </w:rPr>
              <w:t>/g)</w:t>
            </w:r>
          </w:p>
        </w:tc>
        <w:tc>
          <w:tcPr>
            <w:tcW w:w="3150" w:type="dxa"/>
            <w:tcBorders>
              <w:top w:val="single" w:sz="4" w:space="0" w:color="auto"/>
            </w:tcBorders>
          </w:tcPr>
          <w:p w14:paraId="33908B60"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4.0 × 10⁶</w:t>
            </w:r>
          </w:p>
        </w:tc>
        <w:tc>
          <w:tcPr>
            <w:tcW w:w="3060" w:type="dxa"/>
            <w:tcBorders>
              <w:top w:val="single" w:sz="4" w:space="0" w:color="auto"/>
            </w:tcBorders>
          </w:tcPr>
          <w:p w14:paraId="4B3FADB4"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3.9 × 10⁵</w:t>
            </w:r>
          </w:p>
          <w:p w14:paraId="64F7A556" w14:textId="77777777" w:rsidR="005E68D4" w:rsidRPr="009327FD" w:rsidRDefault="005E68D4">
            <w:pPr>
              <w:rPr>
                <w:rFonts w:ascii="Times New Roman" w:hAnsi="Times New Roman" w:cs="Times New Roman"/>
                <w:b/>
              </w:rPr>
            </w:pPr>
          </w:p>
        </w:tc>
      </w:tr>
      <w:tr w:rsidR="005E68D4" w:rsidRPr="009327FD" w14:paraId="274B1E10" w14:textId="77777777">
        <w:tc>
          <w:tcPr>
            <w:tcW w:w="3595" w:type="dxa"/>
          </w:tcPr>
          <w:p w14:paraId="7C294841"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Fungi (</w:t>
            </w:r>
            <w:proofErr w:type="spellStart"/>
            <w:r w:rsidRPr="009327FD">
              <w:rPr>
                <w:rFonts w:ascii="Times New Roman" w:hAnsi="Times New Roman" w:cs="Times New Roman"/>
                <w:lang w:val="en-US"/>
              </w:rPr>
              <w:t>cfu</w:t>
            </w:r>
            <w:proofErr w:type="spellEnd"/>
            <w:r w:rsidRPr="009327FD">
              <w:rPr>
                <w:rFonts w:ascii="Times New Roman" w:hAnsi="Times New Roman" w:cs="Times New Roman"/>
                <w:lang w:val="en-US"/>
              </w:rPr>
              <w:t>/g)</w:t>
            </w:r>
          </w:p>
        </w:tc>
        <w:tc>
          <w:tcPr>
            <w:tcW w:w="3150" w:type="dxa"/>
          </w:tcPr>
          <w:p w14:paraId="56C5DE19"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2.6 × 10⁶</w:t>
            </w:r>
          </w:p>
          <w:p w14:paraId="7FE641EA" w14:textId="77777777" w:rsidR="005E68D4" w:rsidRPr="009327FD" w:rsidRDefault="005E68D4">
            <w:pPr>
              <w:rPr>
                <w:rFonts w:ascii="Times New Roman" w:hAnsi="Times New Roman" w:cs="Times New Roman"/>
                <w:b/>
              </w:rPr>
            </w:pPr>
          </w:p>
        </w:tc>
        <w:tc>
          <w:tcPr>
            <w:tcW w:w="3060" w:type="dxa"/>
          </w:tcPr>
          <w:p w14:paraId="3F7BB03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3.0 × 10⁵</w:t>
            </w:r>
          </w:p>
          <w:p w14:paraId="0724BBF3" w14:textId="77777777" w:rsidR="005E68D4" w:rsidRPr="009327FD" w:rsidRDefault="005E68D4">
            <w:pPr>
              <w:rPr>
                <w:rFonts w:ascii="Times New Roman" w:hAnsi="Times New Roman" w:cs="Times New Roman"/>
                <w:b/>
              </w:rPr>
            </w:pPr>
          </w:p>
        </w:tc>
      </w:tr>
      <w:tr w:rsidR="005E68D4" w:rsidRPr="009327FD" w14:paraId="5BA8DF11" w14:textId="77777777">
        <w:tc>
          <w:tcPr>
            <w:tcW w:w="3595" w:type="dxa"/>
          </w:tcPr>
          <w:p w14:paraId="07CD1BEA"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Dehydrogenase (µg TPF g⁻¹ h⁻¹)</w:t>
            </w:r>
          </w:p>
        </w:tc>
        <w:tc>
          <w:tcPr>
            <w:tcW w:w="3150" w:type="dxa"/>
          </w:tcPr>
          <w:p w14:paraId="62B49A26"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2.6</w:t>
            </w:r>
          </w:p>
          <w:p w14:paraId="458AA235" w14:textId="77777777" w:rsidR="005E68D4" w:rsidRPr="009327FD" w:rsidRDefault="005E68D4">
            <w:pPr>
              <w:rPr>
                <w:rFonts w:ascii="Times New Roman" w:hAnsi="Times New Roman" w:cs="Times New Roman"/>
                <w:b/>
              </w:rPr>
            </w:pPr>
          </w:p>
        </w:tc>
        <w:tc>
          <w:tcPr>
            <w:tcW w:w="3060" w:type="dxa"/>
          </w:tcPr>
          <w:p w14:paraId="727DB580" w14:textId="77777777" w:rsidR="005E68D4" w:rsidRPr="009327FD" w:rsidRDefault="00A32143">
            <w:pPr>
              <w:rPr>
                <w:rFonts w:ascii="Times New Roman" w:hAnsi="Times New Roman" w:cs="Times New Roman"/>
                <w:b/>
              </w:rPr>
            </w:pPr>
            <w:r w:rsidRPr="009327FD">
              <w:rPr>
                <w:rFonts w:ascii="Times New Roman" w:hAnsi="Times New Roman" w:cs="Times New Roman"/>
                <w:lang w:val="en-US"/>
              </w:rPr>
              <w:t>0.7</w:t>
            </w:r>
          </w:p>
        </w:tc>
      </w:tr>
      <w:tr w:rsidR="005E68D4" w:rsidRPr="009327FD" w14:paraId="12412E66" w14:textId="77777777">
        <w:tc>
          <w:tcPr>
            <w:tcW w:w="3595" w:type="dxa"/>
          </w:tcPr>
          <w:p w14:paraId="78827AD8"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Urease (µg NH₄⁺ g⁻¹ h⁻¹)</w:t>
            </w:r>
          </w:p>
          <w:p w14:paraId="40AFB158" w14:textId="77777777" w:rsidR="005E68D4" w:rsidRPr="009327FD" w:rsidRDefault="005E68D4">
            <w:pPr>
              <w:rPr>
                <w:rFonts w:ascii="Times New Roman" w:hAnsi="Times New Roman" w:cs="Times New Roman"/>
                <w:b/>
              </w:rPr>
            </w:pPr>
          </w:p>
        </w:tc>
        <w:tc>
          <w:tcPr>
            <w:tcW w:w="3150" w:type="dxa"/>
          </w:tcPr>
          <w:p w14:paraId="2F3366FE"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28.0</w:t>
            </w:r>
          </w:p>
          <w:p w14:paraId="6202F8EF" w14:textId="77777777" w:rsidR="005E68D4" w:rsidRPr="009327FD" w:rsidRDefault="005E68D4">
            <w:pPr>
              <w:rPr>
                <w:rFonts w:ascii="Times New Roman" w:hAnsi="Times New Roman" w:cs="Times New Roman"/>
                <w:b/>
              </w:rPr>
            </w:pPr>
          </w:p>
        </w:tc>
        <w:tc>
          <w:tcPr>
            <w:tcW w:w="3060" w:type="dxa"/>
          </w:tcPr>
          <w:p w14:paraId="2714E0C9"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7.1</w:t>
            </w:r>
          </w:p>
          <w:p w14:paraId="67005170" w14:textId="77777777" w:rsidR="005E68D4" w:rsidRPr="009327FD" w:rsidRDefault="005E68D4">
            <w:pPr>
              <w:rPr>
                <w:rFonts w:ascii="Times New Roman" w:hAnsi="Times New Roman" w:cs="Times New Roman"/>
                <w:b/>
              </w:rPr>
            </w:pPr>
          </w:p>
        </w:tc>
      </w:tr>
      <w:tr w:rsidR="005E68D4" w:rsidRPr="009327FD" w14:paraId="0B11D2B1" w14:textId="77777777">
        <w:tc>
          <w:tcPr>
            <w:tcW w:w="3595" w:type="dxa"/>
          </w:tcPr>
          <w:p w14:paraId="699DCA6E"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 xml:space="preserve">Phosphatase (µg </w:t>
            </w:r>
            <w:proofErr w:type="spellStart"/>
            <w:r w:rsidRPr="009327FD">
              <w:rPr>
                <w:rFonts w:ascii="Times New Roman" w:hAnsi="Times New Roman" w:cs="Times New Roman"/>
                <w:lang w:val="en-US"/>
              </w:rPr>
              <w:t>pNP</w:t>
            </w:r>
            <w:proofErr w:type="spellEnd"/>
            <w:r w:rsidRPr="009327FD">
              <w:rPr>
                <w:rFonts w:ascii="Times New Roman" w:hAnsi="Times New Roman" w:cs="Times New Roman"/>
                <w:lang w:val="en-US"/>
              </w:rPr>
              <w:t xml:space="preserve"> g⁻¹ h⁻¹)</w:t>
            </w:r>
          </w:p>
          <w:p w14:paraId="656BD3D2" w14:textId="77777777" w:rsidR="005E68D4" w:rsidRPr="009327FD" w:rsidRDefault="005E68D4">
            <w:pPr>
              <w:rPr>
                <w:rFonts w:ascii="Times New Roman" w:hAnsi="Times New Roman" w:cs="Times New Roman"/>
                <w:b/>
              </w:rPr>
            </w:pPr>
          </w:p>
        </w:tc>
        <w:tc>
          <w:tcPr>
            <w:tcW w:w="3150" w:type="dxa"/>
          </w:tcPr>
          <w:p w14:paraId="74AA14C6"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55.0</w:t>
            </w:r>
          </w:p>
          <w:p w14:paraId="3BEBE8F1" w14:textId="77777777" w:rsidR="005E68D4" w:rsidRPr="009327FD" w:rsidRDefault="005E68D4">
            <w:pPr>
              <w:rPr>
                <w:rFonts w:ascii="Times New Roman" w:hAnsi="Times New Roman" w:cs="Times New Roman"/>
                <w:b/>
              </w:rPr>
            </w:pPr>
          </w:p>
        </w:tc>
        <w:tc>
          <w:tcPr>
            <w:tcW w:w="3060" w:type="dxa"/>
          </w:tcPr>
          <w:p w14:paraId="64542683"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16.5</w:t>
            </w:r>
          </w:p>
          <w:p w14:paraId="0B565BF1" w14:textId="77777777" w:rsidR="005E68D4" w:rsidRPr="009327FD" w:rsidRDefault="005E68D4">
            <w:pPr>
              <w:rPr>
                <w:rFonts w:ascii="Times New Roman" w:hAnsi="Times New Roman" w:cs="Times New Roman"/>
                <w:b/>
              </w:rPr>
            </w:pPr>
          </w:p>
        </w:tc>
      </w:tr>
      <w:tr w:rsidR="005E68D4" w:rsidRPr="009327FD" w14:paraId="7214FA23" w14:textId="77777777">
        <w:tc>
          <w:tcPr>
            <w:tcW w:w="3595" w:type="dxa"/>
          </w:tcPr>
          <w:p w14:paraId="45CC953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Bacterial species</w:t>
            </w:r>
          </w:p>
          <w:p w14:paraId="5485FCD5" w14:textId="77777777" w:rsidR="005E68D4" w:rsidRPr="009327FD" w:rsidRDefault="005E68D4">
            <w:pPr>
              <w:rPr>
                <w:rFonts w:ascii="Times New Roman" w:hAnsi="Times New Roman" w:cs="Times New Roman"/>
                <w:b/>
              </w:rPr>
            </w:pPr>
          </w:p>
        </w:tc>
        <w:tc>
          <w:tcPr>
            <w:tcW w:w="3150" w:type="dxa"/>
          </w:tcPr>
          <w:p w14:paraId="33414FA5"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Pseudomonas, Staphylococcus, Klebsiella</w:t>
            </w:r>
          </w:p>
        </w:tc>
        <w:tc>
          <w:tcPr>
            <w:tcW w:w="3060" w:type="dxa"/>
          </w:tcPr>
          <w:p w14:paraId="6B9945BB"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Bacillus, Staphylococcus, Klebsiella</w:t>
            </w:r>
          </w:p>
        </w:tc>
      </w:tr>
      <w:tr w:rsidR="005E68D4" w:rsidRPr="009327FD" w14:paraId="3402B9F2" w14:textId="77777777">
        <w:tc>
          <w:tcPr>
            <w:tcW w:w="3595" w:type="dxa"/>
            <w:tcBorders>
              <w:bottom w:val="single" w:sz="4" w:space="0" w:color="auto"/>
            </w:tcBorders>
          </w:tcPr>
          <w:p w14:paraId="29CCFD70"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Fungal species</w:t>
            </w:r>
          </w:p>
          <w:p w14:paraId="38237ABE" w14:textId="77777777" w:rsidR="005E68D4" w:rsidRPr="009327FD" w:rsidRDefault="005E68D4">
            <w:pPr>
              <w:rPr>
                <w:rFonts w:ascii="Times New Roman" w:hAnsi="Times New Roman" w:cs="Times New Roman"/>
                <w:b/>
              </w:rPr>
            </w:pPr>
          </w:p>
        </w:tc>
        <w:tc>
          <w:tcPr>
            <w:tcW w:w="3150" w:type="dxa"/>
            <w:tcBorders>
              <w:bottom w:val="single" w:sz="4" w:space="0" w:color="auto"/>
            </w:tcBorders>
          </w:tcPr>
          <w:p w14:paraId="4428A8AF"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Aspergillus, Fusarium, Saccharomyces, Penicillium</w:t>
            </w:r>
          </w:p>
          <w:p w14:paraId="66DC1D5C" w14:textId="77777777" w:rsidR="005E68D4" w:rsidRPr="009327FD" w:rsidRDefault="005E68D4">
            <w:pPr>
              <w:rPr>
                <w:rFonts w:ascii="Times New Roman" w:hAnsi="Times New Roman" w:cs="Times New Roman"/>
                <w:b/>
              </w:rPr>
            </w:pPr>
          </w:p>
        </w:tc>
        <w:tc>
          <w:tcPr>
            <w:tcW w:w="3060" w:type="dxa"/>
            <w:tcBorders>
              <w:bottom w:val="single" w:sz="4" w:space="0" w:color="auto"/>
            </w:tcBorders>
          </w:tcPr>
          <w:p w14:paraId="255F3FD2"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Aspergillus, Fusarium</w:t>
            </w:r>
          </w:p>
          <w:p w14:paraId="52201642" w14:textId="77777777" w:rsidR="005E68D4" w:rsidRPr="009327FD" w:rsidRDefault="005E68D4">
            <w:pPr>
              <w:rPr>
                <w:rFonts w:ascii="Times New Roman" w:hAnsi="Times New Roman" w:cs="Times New Roman"/>
                <w:b/>
              </w:rPr>
            </w:pPr>
          </w:p>
        </w:tc>
      </w:tr>
    </w:tbl>
    <w:p w14:paraId="67A435D4" w14:textId="77777777" w:rsidR="005E68D4" w:rsidRPr="009327FD" w:rsidRDefault="00A32143">
      <w:pPr>
        <w:spacing w:line="480" w:lineRule="auto"/>
        <w:jc w:val="both"/>
        <w:rPr>
          <w:rFonts w:ascii="Times New Roman" w:hAnsi="Times New Roman" w:cs="Times New Roman"/>
          <w:sz w:val="20"/>
          <w:szCs w:val="20"/>
        </w:rPr>
      </w:pPr>
      <w:r w:rsidRPr="009327FD">
        <w:rPr>
          <w:rFonts w:ascii="Times New Roman" w:hAnsi="Times New Roman" w:cs="Times New Roman"/>
          <w:sz w:val="20"/>
          <w:szCs w:val="20"/>
        </w:rPr>
        <w:t xml:space="preserve">Note: URS = </w:t>
      </w:r>
      <w:proofErr w:type="spellStart"/>
      <w:r w:rsidRPr="009327FD">
        <w:rPr>
          <w:rFonts w:ascii="Times New Roman" w:hAnsi="Times New Roman" w:cs="Times New Roman"/>
          <w:sz w:val="20"/>
          <w:szCs w:val="20"/>
        </w:rPr>
        <w:t>Unremediated</w:t>
      </w:r>
      <w:proofErr w:type="spellEnd"/>
      <w:r w:rsidRPr="009327FD">
        <w:rPr>
          <w:rFonts w:ascii="Times New Roman" w:hAnsi="Times New Roman" w:cs="Times New Roman"/>
          <w:sz w:val="20"/>
          <w:szCs w:val="20"/>
        </w:rPr>
        <w:t xml:space="preserve"> Soil Sample, RS = Remediated Soil Sample</w:t>
      </w:r>
    </w:p>
    <w:p w14:paraId="21B1F9B5" w14:textId="77777777" w:rsidR="005E68D4" w:rsidRPr="009327FD" w:rsidRDefault="00A32143">
      <w:pPr>
        <w:rPr>
          <w:rFonts w:ascii="Times New Roman" w:hAnsi="Times New Roman" w:cs="Times New Roman"/>
          <w:b/>
        </w:rPr>
      </w:pPr>
      <w:r w:rsidRPr="009327FD">
        <w:rPr>
          <w:rFonts w:ascii="Times New Roman" w:hAnsi="Times New Roman" w:cs="Times New Roman"/>
          <w:b/>
          <w:lang w:val="en-US"/>
        </w:rPr>
        <w:t>Table 2: Nutrient and physicochemical properties of soils from K-Dere</w:t>
      </w:r>
    </w:p>
    <w:tbl>
      <w:tblPr>
        <w:tblStyle w:val="TableGrid"/>
        <w:tblW w:w="980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16"/>
        <w:gridCol w:w="3117"/>
        <w:gridCol w:w="3572"/>
      </w:tblGrid>
      <w:tr w:rsidR="005E68D4" w:rsidRPr="009327FD" w14:paraId="0317317A" w14:textId="77777777">
        <w:tc>
          <w:tcPr>
            <w:tcW w:w="3116" w:type="dxa"/>
            <w:tcBorders>
              <w:top w:val="single" w:sz="4" w:space="0" w:color="auto"/>
              <w:bottom w:val="single" w:sz="4" w:space="0" w:color="auto"/>
            </w:tcBorders>
          </w:tcPr>
          <w:p w14:paraId="43C5599D"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Parameter</w:t>
            </w:r>
          </w:p>
        </w:tc>
        <w:tc>
          <w:tcPr>
            <w:tcW w:w="3117" w:type="dxa"/>
            <w:tcBorders>
              <w:top w:val="single" w:sz="4" w:space="0" w:color="auto"/>
              <w:bottom w:val="single" w:sz="4" w:space="0" w:color="auto"/>
            </w:tcBorders>
          </w:tcPr>
          <w:p w14:paraId="050BB31B"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URS</w:t>
            </w:r>
          </w:p>
        </w:tc>
        <w:tc>
          <w:tcPr>
            <w:tcW w:w="3572" w:type="dxa"/>
            <w:tcBorders>
              <w:top w:val="single" w:sz="4" w:space="0" w:color="auto"/>
              <w:bottom w:val="single" w:sz="4" w:space="0" w:color="auto"/>
            </w:tcBorders>
          </w:tcPr>
          <w:p w14:paraId="2CE2C8D5"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RS</w:t>
            </w:r>
          </w:p>
          <w:p w14:paraId="133F6BCC" w14:textId="77777777" w:rsidR="005E68D4" w:rsidRPr="009327FD" w:rsidRDefault="005E68D4">
            <w:pPr>
              <w:jc w:val="both"/>
              <w:rPr>
                <w:rFonts w:ascii="Times New Roman" w:hAnsi="Times New Roman" w:cs="Times New Roman"/>
              </w:rPr>
            </w:pPr>
          </w:p>
        </w:tc>
      </w:tr>
      <w:tr w:rsidR="005E68D4" w:rsidRPr="009327FD" w14:paraId="7732C3B5" w14:textId="77777777">
        <w:trPr>
          <w:trHeight w:val="369"/>
        </w:trPr>
        <w:tc>
          <w:tcPr>
            <w:tcW w:w="3116" w:type="dxa"/>
            <w:tcBorders>
              <w:top w:val="single" w:sz="4" w:space="0" w:color="auto"/>
            </w:tcBorders>
          </w:tcPr>
          <w:p w14:paraId="2BD1C9E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lastRenderedPageBreak/>
              <w:t>TOC (%)</w:t>
            </w:r>
          </w:p>
        </w:tc>
        <w:tc>
          <w:tcPr>
            <w:tcW w:w="3117" w:type="dxa"/>
            <w:tcBorders>
              <w:top w:val="single" w:sz="4" w:space="0" w:color="auto"/>
            </w:tcBorders>
          </w:tcPr>
          <w:p w14:paraId="2A3C29D8"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2.10</w:t>
            </w:r>
          </w:p>
          <w:p w14:paraId="611E1C68" w14:textId="77777777" w:rsidR="005E68D4" w:rsidRPr="009327FD" w:rsidRDefault="005E68D4">
            <w:pPr>
              <w:jc w:val="both"/>
              <w:rPr>
                <w:rFonts w:ascii="Times New Roman" w:hAnsi="Times New Roman" w:cs="Times New Roman"/>
              </w:rPr>
            </w:pPr>
          </w:p>
        </w:tc>
        <w:tc>
          <w:tcPr>
            <w:tcW w:w="3572" w:type="dxa"/>
            <w:tcBorders>
              <w:top w:val="single" w:sz="4" w:space="0" w:color="auto"/>
            </w:tcBorders>
          </w:tcPr>
          <w:p w14:paraId="5B34B2E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0.55</w:t>
            </w:r>
          </w:p>
          <w:p w14:paraId="0FC0EC37" w14:textId="77777777" w:rsidR="005E68D4" w:rsidRPr="009327FD" w:rsidRDefault="005E68D4">
            <w:pPr>
              <w:jc w:val="both"/>
              <w:rPr>
                <w:rFonts w:ascii="Times New Roman" w:hAnsi="Times New Roman" w:cs="Times New Roman"/>
              </w:rPr>
            </w:pPr>
          </w:p>
        </w:tc>
      </w:tr>
      <w:tr w:rsidR="005E68D4" w:rsidRPr="009327FD" w14:paraId="23A28BB8" w14:textId="77777777">
        <w:tc>
          <w:tcPr>
            <w:tcW w:w="3116" w:type="dxa"/>
          </w:tcPr>
          <w:p w14:paraId="718AECC3"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TON (%)</w:t>
            </w:r>
          </w:p>
          <w:p w14:paraId="79A9F856" w14:textId="77777777" w:rsidR="005E68D4" w:rsidRPr="009327FD" w:rsidRDefault="005E68D4">
            <w:pPr>
              <w:rPr>
                <w:rFonts w:ascii="Times New Roman" w:hAnsi="Times New Roman" w:cs="Times New Roman"/>
              </w:rPr>
            </w:pPr>
          </w:p>
        </w:tc>
        <w:tc>
          <w:tcPr>
            <w:tcW w:w="3117" w:type="dxa"/>
          </w:tcPr>
          <w:p w14:paraId="08A8F30E"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0.20</w:t>
            </w:r>
          </w:p>
          <w:p w14:paraId="548124A5" w14:textId="77777777" w:rsidR="005E68D4" w:rsidRPr="009327FD" w:rsidRDefault="005E68D4">
            <w:pPr>
              <w:jc w:val="both"/>
              <w:rPr>
                <w:rFonts w:ascii="Times New Roman" w:hAnsi="Times New Roman" w:cs="Times New Roman"/>
              </w:rPr>
            </w:pPr>
          </w:p>
        </w:tc>
        <w:tc>
          <w:tcPr>
            <w:tcW w:w="3572" w:type="dxa"/>
          </w:tcPr>
          <w:p w14:paraId="7967AF7F"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0.40</w:t>
            </w:r>
          </w:p>
          <w:p w14:paraId="19C48803" w14:textId="77777777" w:rsidR="005E68D4" w:rsidRPr="009327FD" w:rsidRDefault="005E68D4">
            <w:pPr>
              <w:jc w:val="both"/>
              <w:rPr>
                <w:rFonts w:ascii="Times New Roman" w:hAnsi="Times New Roman" w:cs="Times New Roman"/>
              </w:rPr>
            </w:pPr>
          </w:p>
        </w:tc>
      </w:tr>
      <w:tr w:rsidR="005E68D4" w:rsidRPr="009327FD" w14:paraId="4D70F339" w14:textId="77777777">
        <w:tc>
          <w:tcPr>
            <w:tcW w:w="3116" w:type="dxa"/>
          </w:tcPr>
          <w:p w14:paraId="2DD6E743"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SO₄²⁻ (mg/kg)</w:t>
            </w:r>
          </w:p>
          <w:p w14:paraId="2872D1E1" w14:textId="77777777" w:rsidR="005E68D4" w:rsidRPr="009327FD" w:rsidRDefault="005E68D4">
            <w:pPr>
              <w:rPr>
                <w:rFonts w:ascii="Times New Roman" w:hAnsi="Times New Roman" w:cs="Times New Roman"/>
              </w:rPr>
            </w:pPr>
          </w:p>
        </w:tc>
        <w:tc>
          <w:tcPr>
            <w:tcW w:w="3117" w:type="dxa"/>
          </w:tcPr>
          <w:p w14:paraId="57EA64BA"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56.98</w:t>
            </w:r>
          </w:p>
          <w:p w14:paraId="5627120E" w14:textId="77777777" w:rsidR="005E68D4" w:rsidRPr="009327FD" w:rsidRDefault="005E68D4">
            <w:pPr>
              <w:jc w:val="both"/>
              <w:rPr>
                <w:rFonts w:ascii="Times New Roman" w:hAnsi="Times New Roman" w:cs="Times New Roman"/>
              </w:rPr>
            </w:pPr>
          </w:p>
        </w:tc>
        <w:tc>
          <w:tcPr>
            <w:tcW w:w="3572" w:type="dxa"/>
          </w:tcPr>
          <w:p w14:paraId="33EC7ECD"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66.30</w:t>
            </w:r>
          </w:p>
          <w:p w14:paraId="12C93E8A" w14:textId="77777777" w:rsidR="005E68D4" w:rsidRPr="009327FD" w:rsidRDefault="005E68D4">
            <w:pPr>
              <w:jc w:val="both"/>
              <w:rPr>
                <w:rFonts w:ascii="Times New Roman" w:hAnsi="Times New Roman" w:cs="Times New Roman"/>
              </w:rPr>
            </w:pPr>
          </w:p>
        </w:tc>
      </w:tr>
      <w:tr w:rsidR="005E68D4" w:rsidRPr="009327FD" w14:paraId="4B48E676" w14:textId="77777777">
        <w:tc>
          <w:tcPr>
            <w:tcW w:w="3116" w:type="dxa"/>
          </w:tcPr>
          <w:p w14:paraId="012FA94D"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NO₃⁻ (mg/kg)</w:t>
            </w:r>
          </w:p>
          <w:p w14:paraId="1C7EAF6A" w14:textId="77777777" w:rsidR="005E68D4" w:rsidRPr="009327FD" w:rsidRDefault="005E68D4">
            <w:pPr>
              <w:rPr>
                <w:rFonts w:ascii="Times New Roman" w:hAnsi="Times New Roman" w:cs="Times New Roman"/>
              </w:rPr>
            </w:pPr>
          </w:p>
        </w:tc>
        <w:tc>
          <w:tcPr>
            <w:tcW w:w="3117" w:type="dxa"/>
          </w:tcPr>
          <w:p w14:paraId="431C3114"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4.6</w:t>
            </w:r>
          </w:p>
          <w:p w14:paraId="2B939AC1" w14:textId="77777777" w:rsidR="005E68D4" w:rsidRPr="009327FD" w:rsidRDefault="005E68D4">
            <w:pPr>
              <w:jc w:val="both"/>
              <w:rPr>
                <w:rFonts w:ascii="Times New Roman" w:hAnsi="Times New Roman" w:cs="Times New Roman"/>
              </w:rPr>
            </w:pPr>
          </w:p>
        </w:tc>
        <w:tc>
          <w:tcPr>
            <w:tcW w:w="3572" w:type="dxa"/>
          </w:tcPr>
          <w:p w14:paraId="58A4AF09"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10.7</w:t>
            </w:r>
          </w:p>
          <w:p w14:paraId="40DBCCB4" w14:textId="77777777" w:rsidR="005E68D4" w:rsidRPr="009327FD" w:rsidRDefault="005E68D4">
            <w:pPr>
              <w:jc w:val="both"/>
              <w:rPr>
                <w:rFonts w:ascii="Times New Roman" w:hAnsi="Times New Roman" w:cs="Times New Roman"/>
              </w:rPr>
            </w:pPr>
          </w:p>
        </w:tc>
      </w:tr>
      <w:tr w:rsidR="005E68D4" w:rsidRPr="009327FD" w14:paraId="4B17DA1D" w14:textId="77777777">
        <w:tc>
          <w:tcPr>
            <w:tcW w:w="3116" w:type="dxa"/>
          </w:tcPr>
          <w:p w14:paraId="46BE2B3D"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PO₄³⁻ (mg/kg)</w:t>
            </w:r>
          </w:p>
          <w:p w14:paraId="088D8BFF" w14:textId="77777777" w:rsidR="005E68D4" w:rsidRPr="009327FD" w:rsidRDefault="005E68D4">
            <w:pPr>
              <w:rPr>
                <w:rFonts w:ascii="Times New Roman" w:hAnsi="Times New Roman" w:cs="Times New Roman"/>
              </w:rPr>
            </w:pPr>
          </w:p>
        </w:tc>
        <w:tc>
          <w:tcPr>
            <w:tcW w:w="3117" w:type="dxa"/>
          </w:tcPr>
          <w:p w14:paraId="39405808"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5.88</w:t>
            </w:r>
          </w:p>
          <w:p w14:paraId="747DECB1" w14:textId="77777777" w:rsidR="005E68D4" w:rsidRPr="009327FD" w:rsidRDefault="005E68D4">
            <w:pPr>
              <w:jc w:val="both"/>
              <w:rPr>
                <w:rFonts w:ascii="Times New Roman" w:hAnsi="Times New Roman" w:cs="Times New Roman"/>
              </w:rPr>
            </w:pPr>
          </w:p>
        </w:tc>
        <w:tc>
          <w:tcPr>
            <w:tcW w:w="3572" w:type="dxa"/>
          </w:tcPr>
          <w:p w14:paraId="1DEE2E93"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23.4</w:t>
            </w:r>
          </w:p>
          <w:p w14:paraId="557D8302" w14:textId="77777777" w:rsidR="005E68D4" w:rsidRPr="009327FD" w:rsidRDefault="005E68D4">
            <w:pPr>
              <w:jc w:val="both"/>
              <w:rPr>
                <w:rFonts w:ascii="Times New Roman" w:hAnsi="Times New Roman" w:cs="Times New Roman"/>
              </w:rPr>
            </w:pPr>
          </w:p>
        </w:tc>
      </w:tr>
      <w:tr w:rsidR="005E68D4" w:rsidRPr="009327FD" w14:paraId="1B7B639D" w14:textId="77777777">
        <w:tc>
          <w:tcPr>
            <w:tcW w:w="3116" w:type="dxa"/>
          </w:tcPr>
          <w:p w14:paraId="6D176412"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Soil texture</w:t>
            </w:r>
          </w:p>
          <w:p w14:paraId="35670911" w14:textId="77777777" w:rsidR="005E68D4" w:rsidRPr="009327FD" w:rsidRDefault="005E68D4">
            <w:pPr>
              <w:rPr>
                <w:rFonts w:ascii="Times New Roman" w:hAnsi="Times New Roman" w:cs="Times New Roman"/>
              </w:rPr>
            </w:pPr>
          </w:p>
        </w:tc>
        <w:tc>
          <w:tcPr>
            <w:tcW w:w="3117" w:type="dxa"/>
          </w:tcPr>
          <w:p w14:paraId="4CD394D6"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Loam</w:t>
            </w:r>
          </w:p>
          <w:p w14:paraId="6C01B067" w14:textId="77777777" w:rsidR="005E68D4" w:rsidRPr="009327FD" w:rsidRDefault="005E68D4">
            <w:pPr>
              <w:jc w:val="both"/>
              <w:rPr>
                <w:rFonts w:ascii="Times New Roman" w:hAnsi="Times New Roman" w:cs="Times New Roman"/>
              </w:rPr>
            </w:pPr>
          </w:p>
        </w:tc>
        <w:tc>
          <w:tcPr>
            <w:tcW w:w="3572" w:type="dxa"/>
          </w:tcPr>
          <w:p w14:paraId="17D95762"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Sandy loam</w:t>
            </w:r>
          </w:p>
          <w:p w14:paraId="07F9F6BD" w14:textId="77777777" w:rsidR="005E68D4" w:rsidRPr="009327FD" w:rsidRDefault="005E68D4">
            <w:pPr>
              <w:jc w:val="both"/>
              <w:rPr>
                <w:rFonts w:ascii="Times New Roman" w:hAnsi="Times New Roman" w:cs="Times New Roman"/>
              </w:rPr>
            </w:pPr>
          </w:p>
        </w:tc>
      </w:tr>
      <w:tr w:rsidR="005E68D4" w:rsidRPr="009327FD" w14:paraId="4E0876D1" w14:textId="77777777">
        <w:tc>
          <w:tcPr>
            <w:tcW w:w="3116" w:type="dxa"/>
          </w:tcPr>
          <w:p w14:paraId="67A9454A"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Bulk density (g/cm³)</w:t>
            </w:r>
          </w:p>
          <w:p w14:paraId="63D41E1E" w14:textId="77777777" w:rsidR="005E68D4" w:rsidRPr="009327FD" w:rsidRDefault="005E68D4">
            <w:pPr>
              <w:rPr>
                <w:rFonts w:ascii="Times New Roman" w:hAnsi="Times New Roman" w:cs="Times New Roman"/>
              </w:rPr>
            </w:pPr>
          </w:p>
        </w:tc>
        <w:tc>
          <w:tcPr>
            <w:tcW w:w="3117" w:type="dxa"/>
          </w:tcPr>
          <w:p w14:paraId="5B9456DD"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7.59</w:t>
            </w:r>
          </w:p>
          <w:p w14:paraId="64D540B0" w14:textId="77777777" w:rsidR="005E68D4" w:rsidRPr="009327FD" w:rsidRDefault="005E68D4">
            <w:pPr>
              <w:jc w:val="both"/>
              <w:rPr>
                <w:rFonts w:ascii="Times New Roman" w:hAnsi="Times New Roman" w:cs="Times New Roman"/>
              </w:rPr>
            </w:pPr>
          </w:p>
        </w:tc>
        <w:tc>
          <w:tcPr>
            <w:tcW w:w="3572" w:type="dxa"/>
          </w:tcPr>
          <w:p w14:paraId="641F890F"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5.24</w:t>
            </w:r>
          </w:p>
          <w:p w14:paraId="28D9FE96" w14:textId="77777777" w:rsidR="005E68D4" w:rsidRPr="009327FD" w:rsidRDefault="005E68D4">
            <w:pPr>
              <w:jc w:val="both"/>
              <w:rPr>
                <w:rFonts w:ascii="Times New Roman" w:hAnsi="Times New Roman" w:cs="Times New Roman"/>
              </w:rPr>
            </w:pPr>
          </w:p>
        </w:tc>
      </w:tr>
      <w:tr w:rsidR="005E68D4" w:rsidRPr="009327FD" w14:paraId="34BEE3D4" w14:textId="77777777">
        <w:tc>
          <w:tcPr>
            <w:tcW w:w="3116" w:type="dxa"/>
          </w:tcPr>
          <w:p w14:paraId="35C2FDDA"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Water retention capacity</w:t>
            </w:r>
          </w:p>
          <w:p w14:paraId="14916A71" w14:textId="77777777" w:rsidR="005E68D4" w:rsidRPr="009327FD" w:rsidRDefault="005E68D4">
            <w:pPr>
              <w:rPr>
                <w:rFonts w:ascii="Times New Roman" w:hAnsi="Times New Roman" w:cs="Times New Roman"/>
              </w:rPr>
            </w:pPr>
          </w:p>
        </w:tc>
        <w:tc>
          <w:tcPr>
            <w:tcW w:w="3117" w:type="dxa"/>
          </w:tcPr>
          <w:p w14:paraId="29AD2727"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0.375</w:t>
            </w:r>
          </w:p>
          <w:p w14:paraId="72C3BC30" w14:textId="77777777" w:rsidR="005E68D4" w:rsidRPr="009327FD" w:rsidRDefault="005E68D4">
            <w:pPr>
              <w:jc w:val="both"/>
              <w:rPr>
                <w:rFonts w:ascii="Times New Roman" w:hAnsi="Times New Roman" w:cs="Times New Roman"/>
              </w:rPr>
            </w:pPr>
          </w:p>
        </w:tc>
        <w:tc>
          <w:tcPr>
            <w:tcW w:w="3572" w:type="dxa"/>
          </w:tcPr>
          <w:p w14:paraId="5A17600B"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0.433</w:t>
            </w:r>
          </w:p>
          <w:p w14:paraId="4DCC6155" w14:textId="77777777" w:rsidR="005E68D4" w:rsidRPr="009327FD" w:rsidRDefault="005E68D4">
            <w:pPr>
              <w:jc w:val="both"/>
              <w:rPr>
                <w:rFonts w:ascii="Times New Roman" w:hAnsi="Times New Roman" w:cs="Times New Roman"/>
              </w:rPr>
            </w:pPr>
          </w:p>
        </w:tc>
      </w:tr>
      <w:tr w:rsidR="005E68D4" w:rsidRPr="009327FD" w14:paraId="6F178DF7" w14:textId="77777777">
        <w:tc>
          <w:tcPr>
            <w:tcW w:w="3116" w:type="dxa"/>
          </w:tcPr>
          <w:p w14:paraId="1A370FB7"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Soil compaction</w:t>
            </w:r>
          </w:p>
          <w:p w14:paraId="4D628ED6" w14:textId="77777777" w:rsidR="005E68D4" w:rsidRPr="009327FD" w:rsidRDefault="005E68D4">
            <w:pPr>
              <w:rPr>
                <w:rFonts w:ascii="Times New Roman" w:hAnsi="Times New Roman" w:cs="Times New Roman"/>
              </w:rPr>
            </w:pPr>
          </w:p>
        </w:tc>
        <w:tc>
          <w:tcPr>
            <w:tcW w:w="3117" w:type="dxa"/>
          </w:tcPr>
          <w:p w14:paraId="590E79CA"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12.1</w:t>
            </w:r>
          </w:p>
          <w:p w14:paraId="1B631041" w14:textId="77777777" w:rsidR="005E68D4" w:rsidRPr="009327FD" w:rsidRDefault="005E68D4">
            <w:pPr>
              <w:jc w:val="both"/>
              <w:rPr>
                <w:rFonts w:ascii="Times New Roman" w:hAnsi="Times New Roman" w:cs="Times New Roman"/>
              </w:rPr>
            </w:pPr>
          </w:p>
        </w:tc>
        <w:tc>
          <w:tcPr>
            <w:tcW w:w="3572" w:type="dxa"/>
          </w:tcPr>
          <w:p w14:paraId="4273473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45.8</w:t>
            </w:r>
          </w:p>
          <w:p w14:paraId="5B80966C" w14:textId="77777777" w:rsidR="005E68D4" w:rsidRPr="009327FD" w:rsidRDefault="005E68D4">
            <w:pPr>
              <w:jc w:val="both"/>
              <w:rPr>
                <w:rFonts w:ascii="Times New Roman" w:hAnsi="Times New Roman" w:cs="Times New Roman"/>
              </w:rPr>
            </w:pPr>
          </w:p>
        </w:tc>
      </w:tr>
      <w:tr w:rsidR="005E68D4" w:rsidRPr="009327FD" w14:paraId="5F1CA112" w14:textId="77777777">
        <w:tc>
          <w:tcPr>
            <w:tcW w:w="3116" w:type="dxa"/>
            <w:tcBorders>
              <w:bottom w:val="single" w:sz="4" w:space="0" w:color="auto"/>
            </w:tcBorders>
          </w:tcPr>
          <w:p w14:paraId="75AE29AC"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CEC (</w:t>
            </w:r>
            <w:proofErr w:type="spellStart"/>
            <w:r w:rsidRPr="009327FD">
              <w:rPr>
                <w:rFonts w:ascii="Times New Roman" w:hAnsi="Times New Roman" w:cs="Times New Roman"/>
                <w:lang w:val="en-US"/>
              </w:rPr>
              <w:t>cmol</w:t>
            </w:r>
            <w:proofErr w:type="spellEnd"/>
            <w:r w:rsidRPr="009327FD">
              <w:rPr>
                <w:rFonts w:ascii="Times New Roman" w:hAnsi="Times New Roman" w:cs="Times New Roman"/>
                <w:lang w:val="en-US"/>
              </w:rPr>
              <w:t>/kg)</w:t>
            </w:r>
          </w:p>
          <w:p w14:paraId="3581AFE2" w14:textId="77777777" w:rsidR="005E68D4" w:rsidRPr="009327FD" w:rsidRDefault="005E68D4">
            <w:pPr>
              <w:rPr>
                <w:rFonts w:ascii="Times New Roman" w:hAnsi="Times New Roman" w:cs="Times New Roman"/>
              </w:rPr>
            </w:pPr>
          </w:p>
        </w:tc>
        <w:tc>
          <w:tcPr>
            <w:tcW w:w="3117" w:type="dxa"/>
            <w:tcBorders>
              <w:bottom w:val="single" w:sz="4" w:space="0" w:color="auto"/>
            </w:tcBorders>
          </w:tcPr>
          <w:p w14:paraId="4B454971"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5.1</w:t>
            </w:r>
          </w:p>
          <w:p w14:paraId="3C1F53CF" w14:textId="77777777" w:rsidR="005E68D4" w:rsidRPr="009327FD" w:rsidRDefault="005E68D4">
            <w:pPr>
              <w:jc w:val="both"/>
              <w:rPr>
                <w:rFonts w:ascii="Times New Roman" w:hAnsi="Times New Roman" w:cs="Times New Roman"/>
              </w:rPr>
            </w:pPr>
          </w:p>
        </w:tc>
        <w:tc>
          <w:tcPr>
            <w:tcW w:w="3572" w:type="dxa"/>
            <w:tcBorders>
              <w:bottom w:val="single" w:sz="4" w:space="0" w:color="auto"/>
            </w:tcBorders>
          </w:tcPr>
          <w:p w14:paraId="18DF0B49" w14:textId="77777777" w:rsidR="005E68D4" w:rsidRPr="009327FD" w:rsidRDefault="00A32143">
            <w:pPr>
              <w:rPr>
                <w:rFonts w:ascii="Times New Roman" w:hAnsi="Times New Roman" w:cs="Times New Roman"/>
              </w:rPr>
            </w:pPr>
            <w:r w:rsidRPr="009327FD">
              <w:rPr>
                <w:rFonts w:ascii="Times New Roman" w:hAnsi="Times New Roman" w:cs="Times New Roman"/>
                <w:lang w:val="en-US"/>
              </w:rPr>
              <w:t>18.5</w:t>
            </w:r>
          </w:p>
          <w:p w14:paraId="3FC0B641" w14:textId="77777777" w:rsidR="005E68D4" w:rsidRPr="009327FD" w:rsidRDefault="005E68D4">
            <w:pPr>
              <w:jc w:val="both"/>
              <w:rPr>
                <w:rFonts w:ascii="Times New Roman" w:hAnsi="Times New Roman" w:cs="Times New Roman"/>
              </w:rPr>
            </w:pPr>
          </w:p>
        </w:tc>
      </w:tr>
    </w:tbl>
    <w:p w14:paraId="685C17FD" w14:textId="77777777" w:rsidR="005E68D4" w:rsidRPr="009327FD" w:rsidRDefault="00A32143">
      <w:pPr>
        <w:spacing w:line="480" w:lineRule="auto"/>
        <w:jc w:val="both"/>
        <w:rPr>
          <w:rFonts w:ascii="Times New Roman" w:hAnsi="Times New Roman" w:cs="Times New Roman"/>
          <w:sz w:val="18"/>
          <w:szCs w:val="18"/>
        </w:rPr>
      </w:pPr>
      <w:r w:rsidRPr="009327FD">
        <w:rPr>
          <w:rFonts w:ascii="Times New Roman" w:hAnsi="Times New Roman" w:cs="Times New Roman"/>
          <w:sz w:val="18"/>
          <w:szCs w:val="18"/>
        </w:rPr>
        <w:t xml:space="preserve">Note: URS = </w:t>
      </w:r>
      <w:proofErr w:type="spellStart"/>
      <w:r w:rsidRPr="009327FD">
        <w:rPr>
          <w:rFonts w:ascii="Times New Roman" w:hAnsi="Times New Roman" w:cs="Times New Roman"/>
          <w:sz w:val="18"/>
          <w:szCs w:val="18"/>
        </w:rPr>
        <w:t>Unremediated</w:t>
      </w:r>
      <w:proofErr w:type="spellEnd"/>
      <w:r w:rsidRPr="009327FD">
        <w:rPr>
          <w:rFonts w:ascii="Times New Roman" w:hAnsi="Times New Roman" w:cs="Times New Roman"/>
          <w:sz w:val="18"/>
          <w:szCs w:val="18"/>
        </w:rPr>
        <w:t xml:space="preserve"> Soil Sample, RS = Remediated Soil Sample</w:t>
      </w:r>
    </w:p>
    <w:p w14:paraId="301126B1" w14:textId="77777777" w:rsidR="005E68D4" w:rsidRPr="009327FD" w:rsidRDefault="005E68D4">
      <w:pPr>
        <w:spacing w:line="480" w:lineRule="auto"/>
        <w:jc w:val="both"/>
        <w:rPr>
          <w:rFonts w:ascii="Times New Roman" w:hAnsi="Times New Roman" w:cs="Times New Roman"/>
        </w:rPr>
      </w:pPr>
    </w:p>
    <w:p w14:paraId="1D062FB7" w14:textId="77777777" w:rsidR="005E68D4" w:rsidRPr="009327FD" w:rsidRDefault="00A32143">
      <w:pPr>
        <w:spacing w:line="480" w:lineRule="auto"/>
        <w:jc w:val="both"/>
        <w:rPr>
          <w:rFonts w:ascii="Times New Roman" w:hAnsi="Times New Roman" w:cs="Times New Roman"/>
        </w:rPr>
      </w:pPr>
      <w:r w:rsidRPr="009327FD">
        <w:rPr>
          <w:noProof/>
        </w:rPr>
        <w:drawing>
          <wp:inline distT="0" distB="0" distL="0" distR="0" wp14:anchorId="68417C04" wp14:editId="333F8D61">
            <wp:extent cx="3724275" cy="2022475"/>
            <wp:effectExtent l="0" t="0" r="9526" b="9526"/>
            <wp:docPr id="195067499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614A0A" w14:textId="77777777" w:rsidR="005E68D4" w:rsidRPr="009327FD" w:rsidRDefault="00A32143">
      <w:pPr>
        <w:spacing w:line="480" w:lineRule="auto"/>
        <w:rPr>
          <w:rFonts w:ascii="Times New Roman" w:hAnsi="Times New Roman" w:cs="Times New Roman"/>
          <w:bCs/>
        </w:rPr>
      </w:pPr>
      <w:r w:rsidRPr="009327FD">
        <w:rPr>
          <w:rFonts w:ascii="Times New Roman" w:hAnsi="Times New Roman" w:cs="Times New Roman"/>
          <w:bCs/>
        </w:rPr>
        <w:t>Figure 1: concentration of microbial biomass activities in URS and RS sample from K-Dere, Ogoni</w:t>
      </w:r>
    </w:p>
    <w:p w14:paraId="5C620AD8" w14:textId="77777777" w:rsidR="005E68D4" w:rsidRPr="009327FD" w:rsidRDefault="005E68D4">
      <w:pPr>
        <w:spacing w:line="480" w:lineRule="auto"/>
        <w:jc w:val="both"/>
        <w:rPr>
          <w:rFonts w:ascii="Times New Roman" w:hAnsi="Times New Roman" w:cs="Times New Roman"/>
        </w:rPr>
      </w:pPr>
    </w:p>
    <w:p w14:paraId="3846D690" w14:textId="77777777" w:rsidR="005E68D4" w:rsidRPr="009327FD" w:rsidRDefault="005E68D4">
      <w:pPr>
        <w:spacing w:line="480" w:lineRule="auto"/>
        <w:jc w:val="both"/>
        <w:rPr>
          <w:rFonts w:ascii="Times New Roman" w:hAnsi="Times New Roman" w:cs="Times New Roman"/>
        </w:rPr>
      </w:pPr>
    </w:p>
    <w:p w14:paraId="10A220D7" w14:textId="77777777" w:rsidR="005E68D4" w:rsidRPr="009327FD" w:rsidRDefault="005E68D4">
      <w:pPr>
        <w:spacing w:line="480" w:lineRule="auto"/>
        <w:jc w:val="both"/>
        <w:rPr>
          <w:rFonts w:ascii="Times New Roman" w:hAnsi="Times New Roman" w:cs="Times New Roman"/>
        </w:rPr>
      </w:pPr>
    </w:p>
    <w:p w14:paraId="36D2995E" w14:textId="77777777" w:rsidR="005E68D4" w:rsidRPr="009327FD" w:rsidRDefault="00A32143">
      <w:pPr>
        <w:spacing w:line="480" w:lineRule="auto"/>
        <w:jc w:val="both"/>
        <w:rPr>
          <w:rFonts w:ascii="Times New Roman" w:hAnsi="Times New Roman" w:cs="Times New Roman"/>
        </w:rPr>
      </w:pPr>
      <w:r w:rsidRPr="009327FD">
        <w:rPr>
          <w:noProof/>
        </w:rPr>
        <w:drawing>
          <wp:inline distT="0" distB="0" distL="0" distR="0" wp14:anchorId="281F999B" wp14:editId="5F54A134">
            <wp:extent cx="4572000" cy="2228850"/>
            <wp:effectExtent l="0" t="0" r="9526" b="9526"/>
            <wp:docPr id="195067499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528D01" w14:textId="77777777" w:rsidR="005E68D4" w:rsidRPr="009327FD" w:rsidRDefault="00A32143">
      <w:pPr>
        <w:spacing w:line="480" w:lineRule="auto"/>
        <w:rPr>
          <w:rFonts w:ascii="Times New Roman" w:hAnsi="Times New Roman" w:cs="Times New Roman"/>
          <w:bCs/>
        </w:rPr>
      </w:pPr>
      <w:r w:rsidRPr="009327FD">
        <w:rPr>
          <w:rFonts w:ascii="Times New Roman" w:hAnsi="Times New Roman" w:cs="Times New Roman"/>
          <w:bCs/>
        </w:rPr>
        <w:t>Figure 2: concentration of enzymes activities in URS and RS sample from K-Dere, Ogoni</w:t>
      </w:r>
    </w:p>
    <w:p w14:paraId="21F841BF" w14:textId="77777777" w:rsidR="005E68D4" w:rsidRPr="009327FD" w:rsidRDefault="00A32143">
      <w:pPr>
        <w:spacing w:line="480" w:lineRule="auto"/>
        <w:rPr>
          <w:rFonts w:ascii="Times New Roman" w:hAnsi="Times New Roman" w:cs="Times New Roman"/>
          <w:bCs/>
        </w:rPr>
      </w:pPr>
      <w:r w:rsidRPr="009327FD">
        <w:rPr>
          <w:noProof/>
        </w:rPr>
        <w:drawing>
          <wp:inline distT="0" distB="0" distL="0" distR="0" wp14:anchorId="4CB9362F" wp14:editId="7860914C">
            <wp:extent cx="4448175" cy="2765425"/>
            <wp:effectExtent l="0" t="0" r="9526" b="9526"/>
            <wp:docPr id="195067499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F02D2" w14:textId="77777777" w:rsidR="005E68D4" w:rsidRPr="009327FD" w:rsidRDefault="00A32143">
      <w:pPr>
        <w:spacing w:line="480" w:lineRule="auto"/>
        <w:jc w:val="center"/>
        <w:rPr>
          <w:rFonts w:ascii="Times New Roman" w:hAnsi="Times New Roman" w:cs="Times New Roman"/>
        </w:rPr>
      </w:pPr>
      <w:r w:rsidRPr="009327FD">
        <w:rPr>
          <w:rFonts w:ascii="Times New Roman" w:hAnsi="Times New Roman" w:cs="Times New Roman"/>
        </w:rPr>
        <w:t>Figure 3: Concentrations of TON and TOC in RS and URS samples from K-Dere, Ogoni.</w:t>
      </w:r>
    </w:p>
    <w:p w14:paraId="111C023E" w14:textId="77777777" w:rsidR="005E68D4" w:rsidRPr="009327FD" w:rsidRDefault="005E68D4">
      <w:pPr>
        <w:spacing w:line="480" w:lineRule="auto"/>
        <w:jc w:val="both"/>
        <w:rPr>
          <w:rFonts w:ascii="Times New Roman" w:hAnsi="Times New Roman" w:cs="Times New Roman"/>
        </w:rPr>
      </w:pPr>
    </w:p>
    <w:p w14:paraId="7A8EB0BA" w14:textId="77777777" w:rsidR="005E68D4" w:rsidRPr="009327FD" w:rsidRDefault="005E68D4">
      <w:pPr>
        <w:spacing w:line="480" w:lineRule="auto"/>
        <w:jc w:val="both"/>
        <w:rPr>
          <w:rFonts w:ascii="Times New Roman" w:hAnsi="Times New Roman" w:cs="Times New Roman"/>
        </w:rPr>
      </w:pPr>
    </w:p>
    <w:p w14:paraId="4F1ED637" w14:textId="77777777" w:rsidR="005E68D4" w:rsidRPr="009327FD" w:rsidRDefault="005E68D4">
      <w:pPr>
        <w:spacing w:line="480" w:lineRule="auto"/>
        <w:jc w:val="both"/>
        <w:rPr>
          <w:rFonts w:ascii="Times New Roman" w:hAnsi="Times New Roman" w:cs="Times New Roman"/>
        </w:rPr>
      </w:pPr>
    </w:p>
    <w:p w14:paraId="6D0CE58D" w14:textId="77777777" w:rsidR="005E68D4" w:rsidRPr="009327FD" w:rsidRDefault="005E68D4">
      <w:pPr>
        <w:spacing w:line="480" w:lineRule="auto"/>
        <w:jc w:val="both"/>
        <w:rPr>
          <w:rFonts w:ascii="Times New Roman" w:hAnsi="Times New Roman" w:cs="Times New Roman"/>
        </w:rPr>
      </w:pPr>
    </w:p>
    <w:p w14:paraId="22CF4FCE" w14:textId="77777777" w:rsidR="005E68D4" w:rsidRPr="009327FD" w:rsidRDefault="005E68D4">
      <w:pPr>
        <w:spacing w:line="480" w:lineRule="auto"/>
        <w:jc w:val="both"/>
        <w:rPr>
          <w:rFonts w:ascii="Times New Roman" w:hAnsi="Times New Roman" w:cs="Times New Roman"/>
        </w:rPr>
      </w:pPr>
    </w:p>
    <w:p w14:paraId="063555CD" w14:textId="77777777" w:rsidR="005E68D4" w:rsidRPr="009327FD" w:rsidRDefault="00A32143">
      <w:pPr>
        <w:spacing w:line="480" w:lineRule="auto"/>
        <w:jc w:val="both"/>
        <w:rPr>
          <w:rFonts w:ascii="Times New Roman" w:hAnsi="Times New Roman" w:cs="Times New Roman"/>
        </w:rPr>
      </w:pPr>
      <w:r w:rsidRPr="009327FD">
        <w:rPr>
          <w:noProof/>
        </w:rPr>
        <w:drawing>
          <wp:inline distT="0" distB="0" distL="0" distR="0" wp14:anchorId="2BB303DA" wp14:editId="0DA783C3">
            <wp:extent cx="5019675" cy="3302000"/>
            <wp:effectExtent l="0" t="0" r="9526" b="9526"/>
            <wp:docPr id="19506749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294348" w14:textId="77777777" w:rsidR="005E68D4" w:rsidRPr="009327FD" w:rsidRDefault="00A32143">
      <w:pPr>
        <w:rPr>
          <w:rFonts w:ascii="Times New Roman" w:hAnsi="Times New Roman" w:cs="Times New Roman"/>
        </w:rPr>
      </w:pPr>
      <w:r w:rsidRPr="009327FD">
        <w:rPr>
          <w:rFonts w:ascii="Times New Roman" w:hAnsi="Times New Roman" w:cs="Times New Roman"/>
        </w:rPr>
        <w:t>Figure 4: Concentrations of nutrient composition in RS and URS samples from K-Dere, Ogoni.</w:t>
      </w:r>
    </w:p>
    <w:p w14:paraId="150708A3" w14:textId="77777777" w:rsidR="005E68D4" w:rsidRPr="009327FD" w:rsidRDefault="005E68D4">
      <w:pPr>
        <w:tabs>
          <w:tab w:val="left" w:pos="2160"/>
        </w:tabs>
        <w:rPr>
          <w:rFonts w:ascii="Times New Roman" w:hAnsi="Times New Roman" w:cs="Times New Roman"/>
        </w:rPr>
      </w:pPr>
    </w:p>
    <w:p w14:paraId="49E302C5" w14:textId="77777777" w:rsidR="005E68D4" w:rsidRPr="009327FD" w:rsidRDefault="005E68D4">
      <w:pPr>
        <w:tabs>
          <w:tab w:val="left" w:pos="2160"/>
        </w:tabs>
        <w:rPr>
          <w:rFonts w:ascii="Times New Roman" w:hAnsi="Times New Roman" w:cs="Times New Roman"/>
        </w:rPr>
      </w:pPr>
    </w:p>
    <w:p w14:paraId="24EE2A31" w14:textId="77777777" w:rsidR="005E68D4" w:rsidRPr="009327FD" w:rsidRDefault="005E68D4">
      <w:pPr>
        <w:tabs>
          <w:tab w:val="left" w:pos="2160"/>
        </w:tabs>
        <w:rPr>
          <w:rFonts w:ascii="Times New Roman" w:hAnsi="Times New Roman" w:cs="Times New Roman"/>
        </w:rPr>
      </w:pPr>
    </w:p>
    <w:p w14:paraId="5FD55F7C" w14:textId="77777777" w:rsidR="005E68D4" w:rsidRPr="009327FD" w:rsidRDefault="005E68D4">
      <w:pPr>
        <w:tabs>
          <w:tab w:val="left" w:pos="2160"/>
        </w:tabs>
        <w:rPr>
          <w:rFonts w:ascii="Times New Roman" w:hAnsi="Times New Roman" w:cs="Times New Roman"/>
        </w:rPr>
      </w:pPr>
    </w:p>
    <w:p w14:paraId="17BCEF0B" w14:textId="77777777" w:rsidR="005E68D4" w:rsidRPr="009327FD" w:rsidRDefault="005E68D4">
      <w:pPr>
        <w:tabs>
          <w:tab w:val="left" w:pos="2160"/>
        </w:tabs>
        <w:rPr>
          <w:rFonts w:ascii="Times New Roman" w:hAnsi="Times New Roman" w:cs="Times New Roman"/>
        </w:rPr>
      </w:pPr>
    </w:p>
    <w:p w14:paraId="462B280D" w14:textId="77777777" w:rsidR="005E68D4" w:rsidRPr="009327FD" w:rsidRDefault="005E68D4">
      <w:pPr>
        <w:tabs>
          <w:tab w:val="left" w:pos="2160"/>
        </w:tabs>
        <w:rPr>
          <w:rFonts w:ascii="Times New Roman" w:hAnsi="Times New Roman" w:cs="Times New Roman"/>
        </w:rPr>
      </w:pPr>
    </w:p>
    <w:p w14:paraId="00AC5743" w14:textId="77777777" w:rsidR="005E68D4" w:rsidRPr="009327FD" w:rsidRDefault="00A32143">
      <w:pPr>
        <w:tabs>
          <w:tab w:val="left" w:pos="2160"/>
        </w:tabs>
        <w:rPr>
          <w:rFonts w:ascii="Times New Roman" w:hAnsi="Times New Roman" w:cs="Times New Roman"/>
          <w:bCs/>
        </w:rPr>
      </w:pPr>
      <w:r w:rsidRPr="009327FD">
        <w:rPr>
          <w:noProof/>
        </w:rPr>
        <w:lastRenderedPageBreak/>
        <w:drawing>
          <wp:inline distT="0" distB="0" distL="0" distR="0" wp14:anchorId="6E7680D7" wp14:editId="5339B05D">
            <wp:extent cx="4572000" cy="2743200"/>
            <wp:effectExtent l="0" t="0" r="9526" b="9526"/>
            <wp:docPr id="195067499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327FD">
        <w:rPr>
          <w:rFonts w:ascii="Times New Roman" w:hAnsi="Times New Roman" w:cs="Times New Roman"/>
          <w:bCs/>
        </w:rPr>
        <w:t xml:space="preserve"> </w:t>
      </w:r>
    </w:p>
    <w:p w14:paraId="6E9C6553" w14:textId="77777777" w:rsidR="005E68D4" w:rsidRPr="009327FD" w:rsidRDefault="00A32143">
      <w:pPr>
        <w:tabs>
          <w:tab w:val="left" w:pos="2160"/>
        </w:tabs>
        <w:rPr>
          <w:rFonts w:ascii="Times New Roman" w:hAnsi="Times New Roman" w:cs="Times New Roman"/>
        </w:rPr>
      </w:pPr>
      <w:r w:rsidRPr="009327FD">
        <w:rPr>
          <w:rFonts w:ascii="Times New Roman" w:hAnsi="Times New Roman" w:cs="Times New Roman"/>
          <w:bCs/>
        </w:rPr>
        <w:t>Figure 5: concentration of Physiochemical Properties in URS and RS sample from K-Dere,   Ogoni</w:t>
      </w:r>
    </w:p>
    <w:p w14:paraId="00E82601" w14:textId="77777777" w:rsidR="005E68D4" w:rsidRPr="009327FD" w:rsidRDefault="005E68D4">
      <w:pPr>
        <w:spacing w:line="480" w:lineRule="auto"/>
        <w:rPr>
          <w:rFonts w:ascii="Times New Roman" w:hAnsi="Times New Roman" w:cs="Times New Roman"/>
          <w:bCs/>
        </w:rPr>
      </w:pPr>
    </w:p>
    <w:tbl>
      <w:tblPr>
        <w:tblStyle w:val="TableGrid"/>
        <w:tblW w:w="9350" w:type="dxa"/>
        <w:tblLook w:val="04A0" w:firstRow="1" w:lastRow="0" w:firstColumn="1" w:lastColumn="0" w:noHBand="0" w:noVBand="1"/>
      </w:tblPr>
      <w:tblGrid>
        <w:gridCol w:w="1709"/>
        <w:gridCol w:w="1137"/>
        <w:gridCol w:w="777"/>
        <w:gridCol w:w="777"/>
        <w:gridCol w:w="777"/>
        <w:gridCol w:w="778"/>
        <w:gridCol w:w="923"/>
        <w:gridCol w:w="1236"/>
        <w:gridCol w:w="1236"/>
      </w:tblGrid>
      <w:tr w:rsidR="005E68D4" w:rsidRPr="009327FD" w14:paraId="4D671D80" w14:textId="77777777">
        <w:tc>
          <w:tcPr>
            <w:tcW w:w="9350" w:type="dxa"/>
            <w:gridSpan w:val="9"/>
            <w:tcBorders>
              <w:top w:val="nil"/>
              <w:left w:val="nil"/>
              <w:bottom w:val="nil"/>
              <w:right w:val="nil"/>
            </w:tcBorders>
          </w:tcPr>
          <w:p w14:paraId="6506B553" w14:textId="77777777" w:rsidR="005E68D4" w:rsidRPr="009327FD" w:rsidRDefault="00A32143">
            <w:pPr>
              <w:pBdr>
                <w:bottom w:val="single" w:sz="4" w:space="0" w:color="auto"/>
              </w:pBdr>
              <w:rPr>
                <w:rFonts w:ascii="Times New Roman" w:hAnsi="Times New Roman" w:cs="Times New Roman"/>
                <w:bCs/>
              </w:rPr>
            </w:pPr>
            <w:r w:rsidRPr="009327FD">
              <w:rPr>
                <w:rFonts w:ascii="Times New Roman" w:hAnsi="Times New Roman" w:cs="Times New Roman"/>
                <w:b/>
                <w:bCs/>
              </w:rPr>
              <w:t>Table 3. Results from the evaluation of Soil Quality Index using scoring functions (</w:t>
            </w:r>
            <w:r w:rsidRPr="009327FD">
              <w:rPr>
                <w:rFonts w:ascii="Times New Roman" w:hAnsi="Times New Roman" w:cs="Times New Roman"/>
                <w:b/>
                <w:bCs/>
                <w:color w:val="000000"/>
                <w:lang w:val="en-US"/>
              </w:rPr>
              <w:t>Doran &amp; Parkin, 1994; Andrews et al., 2004 ; USDA-NRCS, 2001).</w:t>
            </w:r>
          </w:p>
        </w:tc>
      </w:tr>
      <w:tr w:rsidR="005E68D4" w:rsidRPr="009327FD" w14:paraId="485A4C8C" w14:textId="77777777">
        <w:tc>
          <w:tcPr>
            <w:tcW w:w="1709" w:type="dxa"/>
            <w:tcBorders>
              <w:top w:val="nil"/>
              <w:left w:val="nil"/>
              <w:bottom w:val="single" w:sz="4" w:space="0" w:color="auto"/>
              <w:right w:val="nil"/>
            </w:tcBorders>
          </w:tcPr>
          <w:p w14:paraId="07E38F78"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Soil Quality Indicator (MDS)</w:t>
            </w:r>
          </w:p>
        </w:tc>
        <w:tc>
          <w:tcPr>
            <w:tcW w:w="1137" w:type="dxa"/>
            <w:tcBorders>
              <w:top w:val="nil"/>
              <w:left w:val="nil"/>
              <w:bottom w:val="single" w:sz="4" w:space="0" w:color="auto"/>
              <w:right w:val="nil"/>
            </w:tcBorders>
          </w:tcPr>
          <w:p w14:paraId="4003AB83"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Scoring rule</w:t>
            </w:r>
          </w:p>
        </w:tc>
        <w:tc>
          <w:tcPr>
            <w:tcW w:w="777" w:type="dxa"/>
            <w:tcBorders>
              <w:top w:val="nil"/>
              <w:left w:val="nil"/>
              <w:bottom w:val="single" w:sz="4" w:space="0" w:color="auto"/>
              <w:right w:val="nil"/>
            </w:tcBorders>
          </w:tcPr>
          <w:p w14:paraId="67D78DEA"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RS (Xi)</w:t>
            </w:r>
          </w:p>
        </w:tc>
        <w:tc>
          <w:tcPr>
            <w:tcW w:w="777" w:type="dxa"/>
            <w:tcBorders>
              <w:top w:val="nil"/>
              <w:left w:val="nil"/>
              <w:bottom w:val="single" w:sz="4" w:space="0" w:color="auto"/>
              <w:right w:val="nil"/>
            </w:tcBorders>
          </w:tcPr>
          <w:p w14:paraId="536C353B"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URS (Yi)</w:t>
            </w:r>
          </w:p>
        </w:tc>
        <w:tc>
          <w:tcPr>
            <w:tcW w:w="777" w:type="dxa"/>
            <w:tcBorders>
              <w:top w:val="nil"/>
              <w:left w:val="nil"/>
              <w:bottom w:val="single" w:sz="4" w:space="0" w:color="auto"/>
              <w:right w:val="nil"/>
            </w:tcBorders>
          </w:tcPr>
          <w:p w14:paraId="7942EF7F"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RS Score (</w:t>
            </w:r>
            <w:proofErr w:type="spellStart"/>
            <w:r w:rsidRPr="009327FD">
              <w:rPr>
                <w:rFonts w:ascii="Times New Roman" w:hAnsi="Times New Roman" w:cs="Times New Roman"/>
                <w:b/>
                <w:bCs/>
                <w:sz w:val="20"/>
                <w:szCs w:val="20"/>
                <w:lang w:val="en-US"/>
              </w:rPr>
              <w:t>Sx</w:t>
            </w:r>
            <w:proofErr w:type="spellEnd"/>
            <w:r w:rsidRPr="009327FD">
              <w:rPr>
                <w:rFonts w:ascii="Times New Roman" w:hAnsi="Times New Roman" w:cs="Times New Roman"/>
                <w:b/>
                <w:bCs/>
                <w:sz w:val="20"/>
                <w:szCs w:val="20"/>
                <w:lang w:val="en-US"/>
              </w:rPr>
              <w:t>)</w:t>
            </w:r>
          </w:p>
        </w:tc>
        <w:tc>
          <w:tcPr>
            <w:tcW w:w="778" w:type="dxa"/>
            <w:tcBorders>
              <w:top w:val="nil"/>
              <w:left w:val="nil"/>
              <w:bottom w:val="single" w:sz="4" w:space="0" w:color="auto"/>
              <w:right w:val="nil"/>
            </w:tcBorders>
          </w:tcPr>
          <w:p w14:paraId="17EADDE4"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URS Score (Sy)</w:t>
            </w:r>
          </w:p>
        </w:tc>
        <w:tc>
          <w:tcPr>
            <w:tcW w:w="923" w:type="dxa"/>
            <w:tcBorders>
              <w:top w:val="nil"/>
              <w:left w:val="nil"/>
              <w:bottom w:val="single" w:sz="4" w:space="0" w:color="auto"/>
              <w:right w:val="nil"/>
            </w:tcBorders>
          </w:tcPr>
          <w:p w14:paraId="284F25F5"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Weight (Wi)</w:t>
            </w:r>
          </w:p>
        </w:tc>
        <w:tc>
          <w:tcPr>
            <w:tcW w:w="1236" w:type="dxa"/>
            <w:tcBorders>
              <w:top w:val="nil"/>
              <w:left w:val="nil"/>
              <w:bottom w:val="single" w:sz="4" w:space="0" w:color="auto"/>
              <w:right w:val="nil"/>
            </w:tcBorders>
          </w:tcPr>
          <w:p w14:paraId="7F6FEF55"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Weighted Score (W-RS)</w:t>
            </w:r>
          </w:p>
        </w:tc>
        <w:tc>
          <w:tcPr>
            <w:tcW w:w="1236" w:type="dxa"/>
            <w:tcBorders>
              <w:top w:val="nil"/>
              <w:left w:val="nil"/>
              <w:bottom w:val="single" w:sz="4" w:space="0" w:color="auto"/>
              <w:right w:val="nil"/>
            </w:tcBorders>
          </w:tcPr>
          <w:p w14:paraId="043D8D17" w14:textId="77777777" w:rsidR="005E68D4" w:rsidRPr="009327FD" w:rsidRDefault="00A32143">
            <w:pPr>
              <w:rPr>
                <w:rFonts w:ascii="Times New Roman" w:hAnsi="Times New Roman" w:cs="Times New Roman"/>
                <w:b/>
                <w:bCs/>
                <w:sz w:val="20"/>
                <w:szCs w:val="20"/>
              </w:rPr>
            </w:pPr>
            <w:r w:rsidRPr="009327FD">
              <w:rPr>
                <w:rFonts w:ascii="Times New Roman" w:hAnsi="Times New Roman" w:cs="Times New Roman"/>
                <w:b/>
                <w:bCs/>
                <w:sz w:val="20"/>
                <w:szCs w:val="20"/>
                <w:lang w:val="en-US"/>
              </w:rPr>
              <w:t>Weighted Score (W-URS)</w:t>
            </w:r>
          </w:p>
        </w:tc>
      </w:tr>
      <w:tr w:rsidR="005E68D4" w:rsidRPr="009327FD" w14:paraId="13813871" w14:textId="77777777">
        <w:tc>
          <w:tcPr>
            <w:tcW w:w="1709" w:type="dxa"/>
            <w:tcBorders>
              <w:top w:val="single" w:sz="4" w:space="0" w:color="auto"/>
              <w:left w:val="nil"/>
              <w:bottom w:val="nil"/>
              <w:right w:val="nil"/>
            </w:tcBorders>
          </w:tcPr>
          <w:p w14:paraId="4B37829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Bacteria</w:t>
            </w:r>
          </w:p>
        </w:tc>
        <w:tc>
          <w:tcPr>
            <w:tcW w:w="1137" w:type="dxa"/>
            <w:tcBorders>
              <w:top w:val="single" w:sz="4" w:space="0" w:color="auto"/>
              <w:left w:val="nil"/>
              <w:bottom w:val="nil"/>
              <w:right w:val="nil"/>
            </w:tcBorders>
          </w:tcPr>
          <w:p w14:paraId="2B9A55C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single" w:sz="4" w:space="0" w:color="auto"/>
              <w:left w:val="nil"/>
              <w:bottom w:val="nil"/>
              <w:right w:val="nil"/>
            </w:tcBorders>
          </w:tcPr>
          <w:p w14:paraId="5ADA0C4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3.9 × 10⁵</w:t>
            </w:r>
          </w:p>
        </w:tc>
        <w:tc>
          <w:tcPr>
            <w:tcW w:w="777" w:type="dxa"/>
            <w:tcBorders>
              <w:top w:val="single" w:sz="4" w:space="0" w:color="auto"/>
              <w:left w:val="nil"/>
              <w:bottom w:val="nil"/>
              <w:right w:val="nil"/>
            </w:tcBorders>
          </w:tcPr>
          <w:p w14:paraId="7A16278E"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4.0 × 10⁶</w:t>
            </w:r>
          </w:p>
        </w:tc>
        <w:tc>
          <w:tcPr>
            <w:tcW w:w="777" w:type="dxa"/>
            <w:tcBorders>
              <w:top w:val="single" w:sz="4" w:space="0" w:color="auto"/>
              <w:left w:val="nil"/>
              <w:bottom w:val="nil"/>
              <w:right w:val="nil"/>
            </w:tcBorders>
          </w:tcPr>
          <w:p w14:paraId="3EF8670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0.098</w:t>
            </w:r>
          </w:p>
        </w:tc>
        <w:tc>
          <w:tcPr>
            <w:tcW w:w="778" w:type="dxa"/>
            <w:tcBorders>
              <w:top w:val="single" w:sz="4" w:space="0" w:color="auto"/>
              <w:left w:val="nil"/>
              <w:bottom w:val="nil"/>
              <w:right w:val="nil"/>
            </w:tcBorders>
          </w:tcPr>
          <w:p w14:paraId="5A95358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single" w:sz="4" w:space="0" w:color="auto"/>
              <w:left w:val="nil"/>
              <w:bottom w:val="nil"/>
              <w:right w:val="nil"/>
            </w:tcBorders>
          </w:tcPr>
          <w:p w14:paraId="29329E6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single" w:sz="4" w:space="0" w:color="auto"/>
              <w:left w:val="nil"/>
              <w:bottom w:val="nil"/>
              <w:right w:val="nil"/>
            </w:tcBorders>
          </w:tcPr>
          <w:p w14:paraId="15F2ED7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0.0066</w:t>
            </w:r>
          </w:p>
        </w:tc>
        <w:tc>
          <w:tcPr>
            <w:tcW w:w="1236" w:type="dxa"/>
            <w:tcBorders>
              <w:top w:val="single" w:sz="4" w:space="0" w:color="auto"/>
              <w:left w:val="nil"/>
              <w:bottom w:val="nil"/>
              <w:right w:val="nil"/>
            </w:tcBorders>
          </w:tcPr>
          <w:p w14:paraId="238DD71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283220AA" w14:textId="77777777">
        <w:tc>
          <w:tcPr>
            <w:tcW w:w="1709" w:type="dxa"/>
            <w:tcBorders>
              <w:top w:val="nil"/>
              <w:left w:val="nil"/>
              <w:bottom w:val="nil"/>
              <w:right w:val="nil"/>
            </w:tcBorders>
          </w:tcPr>
          <w:p w14:paraId="5F5F0B8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Fungi</w:t>
            </w:r>
          </w:p>
        </w:tc>
        <w:tc>
          <w:tcPr>
            <w:tcW w:w="1137" w:type="dxa"/>
            <w:tcBorders>
              <w:top w:val="nil"/>
              <w:left w:val="nil"/>
              <w:bottom w:val="nil"/>
              <w:right w:val="nil"/>
            </w:tcBorders>
          </w:tcPr>
          <w:p w14:paraId="5C4A615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2C85D10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3.0 × 10⁵</w:t>
            </w:r>
          </w:p>
        </w:tc>
        <w:tc>
          <w:tcPr>
            <w:tcW w:w="777" w:type="dxa"/>
            <w:tcBorders>
              <w:top w:val="nil"/>
              <w:left w:val="nil"/>
              <w:bottom w:val="nil"/>
              <w:right w:val="nil"/>
            </w:tcBorders>
          </w:tcPr>
          <w:p w14:paraId="24B1B644"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2.6 × 10⁶</w:t>
            </w:r>
          </w:p>
        </w:tc>
        <w:tc>
          <w:tcPr>
            <w:tcW w:w="777" w:type="dxa"/>
            <w:tcBorders>
              <w:top w:val="nil"/>
              <w:left w:val="nil"/>
              <w:bottom w:val="nil"/>
              <w:right w:val="nil"/>
            </w:tcBorders>
          </w:tcPr>
          <w:p w14:paraId="50AA20A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0.115</w:t>
            </w:r>
          </w:p>
        </w:tc>
        <w:tc>
          <w:tcPr>
            <w:tcW w:w="778" w:type="dxa"/>
            <w:tcBorders>
              <w:top w:val="nil"/>
              <w:left w:val="nil"/>
              <w:bottom w:val="nil"/>
              <w:right w:val="nil"/>
            </w:tcBorders>
          </w:tcPr>
          <w:p w14:paraId="29B45BC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0730927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6D70B90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0.0077</w:t>
            </w:r>
          </w:p>
        </w:tc>
        <w:tc>
          <w:tcPr>
            <w:tcW w:w="1236" w:type="dxa"/>
            <w:tcBorders>
              <w:top w:val="nil"/>
              <w:left w:val="nil"/>
              <w:bottom w:val="nil"/>
              <w:right w:val="nil"/>
            </w:tcBorders>
          </w:tcPr>
          <w:p w14:paraId="1876FF7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03B9E531" w14:textId="77777777">
        <w:tc>
          <w:tcPr>
            <w:tcW w:w="1709" w:type="dxa"/>
            <w:tcBorders>
              <w:top w:val="nil"/>
              <w:left w:val="nil"/>
              <w:bottom w:val="nil"/>
              <w:right w:val="nil"/>
            </w:tcBorders>
          </w:tcPr>
          <w:p w14:paraId="261BDD5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Dehydrogenase</w:t>
            </w:r>
          </w:p>
        </w:tc>
        <w:tc>
          <w:tcPr>
            <w:tcW w:w="1137" w:type="dxa"/>
            <w:tcBorders>
              <w:top w:val="nil"/>
              <w:left w:val="nil"/>
              <w:bottom w:val="nil"/>
              <w:right w:val="nil"/>
            </w:tcBorders>
          </w:tcPr>
          <w:p w14:paraId="16074CA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3114EB7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0.7</w:t>
            </w:r>
          </w:p>
        </w:tc>
        <w:tc>
          <w:tcPr>
            <w:tcW w:w="777" w:type="dxa"/>
            <w:tcBorders>
              <w:top w:val="nil"/>
              <w:left w:val="nil"/>
              <w:bottom w:val="nil"/>
              <w:right w:val="nil"/>
            </w:tcBorders>
          </w:tcPr>
          <w:p w14:paraId="0A9A795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2.6</w:t>
            </w:r>
          </w:p>
        </w:tc>
        <w:tc>
          <w:tcPr>
            <w:tcW w:w="777" w:type="dxa"/>
            <w:tcBorders>
              <w:top w:val="nil"/>
              <w:left w:val="nil"/>
              <w:bottom w:val="nil"/>
              <w:right w:val="nil"/>
            </w:tcBorders>
          </w:tcPr>
          <w:p w14:paraId="632EE104"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0.269</w:t>
            </w:r>
          </w:p>
        </w:tc>
        <w:tc>
          <w:tcPr>
            <w:tcW w:w="778" w:type="dxa"/>
            <w:tcBorders>
              <w:top w:val="nil"/>
              <w:left w:val="nil"/>
              <w:bottom w:val="nil"/>
              <w:right w:val="nil"/>
            </w:tcBorders>
          </w:tcPr>
          <w:p w14:paraId="187B367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49E4345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52B7C1C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0.0179</w:t>
            </w:r>
          </w:p>
        </w:tc>
        <w:tc>
          <w:tcPr>
            <w:tcW w:w="1236" w:type="dxa"/>
            <w:tcBorders>
              <w:top w:val="nil"/>
              <w:left w:val="nil"/>
              <w:bottom w:val="nil"/>
              <w:right w:val="nil"/>
            </w:tcBorders>
          </w:tcPr>
          <w:p w14:paraId="6E9275B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1B3E3F38" w14:textId="77777777">
        <w:tc>
          <w:tcPr>
            <w:tcW w:w="1709" w:type="dxa"/>
            <w:tcBorders>
              <w:top w:val="nil"/>
              <w:left w:val="nil"/>
              <w:bottom w:val="nil"/>
              <w:right w:val="nil"/>
            </w:tcBorders>
          </w:tcPr>
          <w:p w14:paraId="0D9A2CD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Urease</w:t>
            </w:r>
          </w:p>
        </w:tc>
        <w:tc>
          <w:tcPr>
            <w:tcW w:w="1137" w:type="dxa"/>
            <w:tcBorders>
              <w:top w:val="nil"/>
              <w:left w:val="nil"/>
              <w:bottom w:val="nil"/>
              <w:right w:val="nil"/>
            </w:tcBorders>
          </w:tcPr>
          <w:p w14:paraId="6EB71C1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01BE162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7.1</w:t>
            </w:r>
          </w:p>
        </w:tc>
        <w:tc>
          <w:tcPr>
            <w:tcW w:w="777" w:type="dxa"/>
            <w:tcBorders>
              <w:top w:val="nil"/>
              <w:left w:val="nil"/>
              <w:bottom w:val="nil"/>
              <w:right w:val="nil"/>
            </w:tcBorders>
          </w:tcPr>
          <w:p w14:paraId="7464574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28</w:t>
            </w:r>
          </w:p>
        </w:tc>
        <w:tc>
          <w:tcPr>
            <w:tcW w:w="777" w:type="dxa"/>
            <w:tcBorders>
              <w:top w:val="nil"/>
              <w:left w:val="nil"/>
              <w:bottom w:val="nil"/>
              <w:right w:val="nil"/>
            </w:tcBorders>
          </w:tcPr>
          <w:p w14:paraId="4875A78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0.254</w:t>
            </w:r>
          </w:p>
        </w:tc>
        <w:tc>
          <w:tcPr>
            <w:tcW w:w="778" w:type="dxa"/>
            <w:tcBorders>
              <w:top w:val="nil"/>
              <w:left w:val="nil"/>
              <w:bottom w:val="nil"/>
              <w:right w:val="nil"/>
            </w:tcBorders>
          </w:tcPr>
          <w:p w14:paraId="64A890F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31CEA3BC"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5F6C1FC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0.0169</w:t>
            </w:r>
          </w:p>
        </w:tc>
        <w:tc>
          <w:tcPr>
            <w:tcW w:w="1236" w:type="dxa"/>
            <w:tcBorders>
              <w:top w:val="nil"/>
              <w:left w:val="nil"/>
              <w:bottom w:val="nil"/>
              <w:right w:val="nil"/>
            </w:tcBorders>
          </w:tcPr>
          <w:p w14:paraId="520B6C1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5110598B" w14:textId="77777777">
        <w:tc>
          <w:tcPr>
            <w:tcW w:w="1709" w:type="dxa"/>
            <w:tcBorders>
              <w:top w:val="nil"/>
              <w:left w:val="nil"/>
              <w:bottom w:val="nil"/>
              <w:right w:val="nil"/>
            </w:tcBorders>
          </w:tcPr>
          <w:p w14:paraId="3E0BF5C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Phosphatase</w:t>
            </w:r>
          </w:p>
        </w:tc>
        <w:tc>
          <w:tcPr>
            <w:tcW w:w="1137" w:type="dxa"/>
            <w:tcBorders>
              <w:top w:val="nil"/>
              <w:left w:val="nil"/>
              <w:bottom w:val="nil"/>
              <w:right w:val="nil"/>
            </w:tcBorders>
          </w:tcPr>
          <w:p w14:paraId="6BE184A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45A9CF1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16.5</w:t>
            </w:r>
          </w:p>
        </w:tc>
        <w:tc>
          <w:tcPr>
            <w:tcW w:w="777" w:type="dxa"/>
            <w:tcBorders>
              <w:top w:val="nil"/>
              <w:left w:val="nil"/>
              <w:bottom w:val="nil"/>
              <w:right w:val="nil"/>
            </w:tcBorders>
          </w:tcPr>
          <w:p w14:paraId="1E7A344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55</w:t>
            </w:r>
          </w:p>
        </w:tc>
        <w:tc>
          <w:tcPr>
            <w:tcW w:w="777" w:type="dxa"/>
            <w:tcBorders>
              <w:top w:val="nil"/>
              <w:left w:val="nil"/>
              <w:bottom w:val="nil"/>
              <w:right w:val="nil"/>
            </w:tcBorders>
          </w:tcPr>
          <w:p w14:paraId="5133F42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0.3</w:t>
            </w:r>
          </w:p>
        </w:tc>
        <w:tc>
          <w:tcPr>
            <w:tcW w:w="778" w:type="dxa"/>
            <w:tcBorders>
              <w:top w:val="nil"/>
              <w:left w:val="nil"/>
              <w:bottom w:val="nil"/>
              <w:right w:val="nil"/>
            </w:tcBorders>
          </w:tcPr>
          <w:p w14:paraId="512AB27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6E0D7CC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1679FB8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0.0199</w:t>
            </w:r>
          </w:p>
        </w:tc>
        <w:tc>
          <w:tcPr>
            <w:tcW w:w="1236" w:type="dxa"/>
            <w:tcBorders>
              <w:top w:val="nil"/>
              <w:left w:val="nil"/>
              <w:bottom w:val="nil"/>
              <w:right w:val="nil"/>
            </w:tcBorders>
          </w:tcPr>
          <w:p w14:paraId="60B313E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2867FDF7" w14:textId="77777777">
        <w:tc>
          <w:tcPr>
            <w:tcW w:w="1709" w:type="dxa"/>
            <w:tcBorders>
              <w:top w:val="nil"/>
              <w:left w:val="nil"/>
              <w:bottom w:val="nil"/>
              <w:right w:val="nil"/>
            </w:tcBorders>
          </w:tcPr>
          <w:p w14:paraId="7B47F94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pH</w:t>
            </w:r>
          </w:p>
        </w:tc>
        <w:tc>
          <w:tcPr>
            <w:tcW w:w="1137" w:type="dxa"/>
            <w:tcBorders>
              <w:top w:val="nil"/>
              <w:left w:val="nil"/>
              <w:bottom w:val="nil"/>
              <w:right w:val="nil"/>
            </w:tcBorders>
          </w:tcPr>
          <w:p w14:paraId="13339D3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Optimum</w:t>
            </w:r>
          </w:p>
        </w:tc>
        <w:tc>
          <w:tcPr>
            <w:tcW w:w="777" w:type="dxa"/>
            <w:tcBorders>
              <w:top w:val="nil"/>
              <w:left w:val="nil"/>
              <w:bottom w:val="nil"/>
              <w:right w:val="nil"/>
            </w:tcBorders>
          </w:tcPr>
          <w:p w14:paraId="3E243C0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6.23</w:t>
            </w:r>
          </w:p>
        </w:tc>
        <w:tc>
          <w:tcPr>
            <w:tcW w:w="777" w:type="dxa"/>
            <w:tcBorders>
              <w:top w:val="nil"/>
              <w:left w:val="nil"/>
              <w:bottom w:val="nil"/>
              <w:right w:val="nil"/>
            </w:tcBorders>
          </w:tcPr>
          <w:p w14:paraId="0F20811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6.21</w:t>
            </w:r>
          </w:p>
        </w:tc>
        <w:tc>
          <w:tcPr>
            <w:tcW w:w="777" w:type="dxa"/>
            <w:tcBorders>
              <w:top w:val="nil"/>
              <w:left w:val="nil"/>
              <w:bottom w:val="nil"/>
              <w:right w:val="nil"/>
            </w:tcBorders>
          </w:tcPr>
          <w:p w14:paraId="6D05E67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16672E2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0F62A6F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56AB79C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0B6B249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1EB3B65F" w14:textId="77777777">
        <w:tc>
          <w:tcPr>
            <w:tcW w:w="1709" w:type="dxa"/>
            <w:tcBorders>
              <w:top w:val="nil"/>
              <w:left w:val="nil"/>
              <w:bottom w:val="nil"/>
              <w:right w:val="nil"/>
            </w:tcBorders>
          </w:tcPr>
          <w:p w14:paraId="3886B44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TOC</w:t>
            </w:r>
          </w:p>
        </w:tc>
        <w:tc>
          <w:tcPr>
            <w:tcW w:w="1137" w:type="dxa"/>
            <w:tcBorders>
              <w:top w:val="nil"/>
              <w:left w:val="nil"/>
              <w:bottom w:val="nil"/>
              <w:right w:val="nil"/>
            </w:tcBorders>
          </w:tcPr>
          <w:p w14:paraId="22BF404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1E11523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0.55</w:t>
            </w:r>
          </w:p>
        </w:tc>
        <w:tc>
          <w:tcPr>
            <w:tcW w:w="777" w:type="dxa"/>
            <w:tcBorders>
              <w:top w:val="nil"/>
              <w:left w:val="nil"/>
              <w:bottom w:val="nil"/>
              <w:right w:val="nil"/>
            </w:tcBorders>
          </w:tcPr>
          <w:p w14:paraId="198ABAF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2.1</w:t>
            </w:r>
          </w:p>
        </w:tc>
        <w:tc>
          <w:tcPr>
            <w:tcW w:w="777" w:type="dxa"/>
            <w:tcBorders>
              <w:top w:val="nil"/>
              <w:left w:val="nil"/>
              <w:bottom w:val="nil"/>
              <w:right w:val="nil"/>
            </w:tcBorders>
          </w:tcPr>
          <w:p w14:paraId="7A33E3D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0.262</w:t>
            </w:r>
          </w:p>
        </w:tc>
        <w:tc>
          <w:tcPr>
            <w:tcW w:w="778" w:type="dxa"/>
            <w:tcBorders>
              <w:top w:val="nil"/>
              <w:left w:val="nil"/>
              <w:bottom w:val="nil"/>
              <w:right w:val="nil"/>
            </w:tcBorders>
          </w:tcPr>
          <w:p w14:paraId="33B93D0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6465E6F7"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345A73E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0.0174</w:t>
            </w:r>
          </w:p>
        </w:tc>
        <w:tc>
          <w:tcPr>
            <w:tcW w:w="1236" w:type="dxa"/>
            <w:tcBorders>
              <w:top w:val="nil"/>
              <w:left w:val="nil"/>
              <w:bottom w:val="nil"/>
              <w:right w:val="nil"/>
            </w:tcBorders>
          </w:tcPr>
          <w:p w14:paraId="0D1CA35C"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6669394B" w14:textId="77777777">
        <w:tc>
          <w:tcPr>
            <w:tcW w:w="1709" w:type="dxa"/>
            <w:tcBorders>
              <w:top w:val="nil"/>
              <w:left w:val="nil"/>
              <w:bottom w:val="nil"/>
              <w:right w:val="nil"/>
            </w:tcBorders>
          </w:tcPr>
          <w:p w14:paraId="6F682BF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TON</w:t>
            </w:r>
          </w:p>
        </w:tc>
        <w:tc>
          <w:tcPr>
            <w:tcW w:w="1137" w:type="dxa"/>
            <w:tcBorders>
              <w:top w:val="nil"/>
              <w:left w:val="nil"/>
              <w:bottom w:val="nil"/>
              <w:right w:val="nil"/>
            </w:tcBorders>
          </w:tcPr>
          <w:p w14:paraId="0A6B40D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4FA3C5E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0.4</w:t>
            </w:r>
          </w:p>
        </w:tc>
        <w:tc>
          <w:tcPr>
            <w:tcW w:w="777" w:type="dxa"/>
            <w:tcBorders>
              <w:top w:val="nil"/>
              <w:left w:val="nil"/>
              <w:bottom w:val="nil"/>
              <w:right w:val="nil"/>
            </w:tcBorders>
          </w:tcPr>
          <w:p w14:paraId="58ED3A6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w:t>
            </w:r>
          </w:p>
        </w:tc>
        <w:tc>
          <w:tcPr>
            <w:tcW w:w="777" w:type="dxa"/>
            <w:tcBorders>
              <w:top w:val="nil"/>
              <w:left w:val="nil"/>
              <w:bottom w:val="nil"/>
              <w:right w:val="nil"/>
            </w:tcBorders>
          </w:tcPr>
          <w:p w14:paraId="1FE5DCA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504DDF3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0.5</w:t>
            </w:r>
          </w:p>
        </w:tc>
        <w:tc>
          <w:tcPr>
            <w:tcW w:w="923" w:type="dxa"/>
            <w:tcBorders>
              <w:top w:val="nil"/>
              <w:left w:val="nil"/>
              <w:bottom w:val="nil"/>
              <w:right w:val="nil"/>
            </w:tcBorders>
          </w:tcPr>
          <w:p w14:paraId="5678E27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76951D3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518E97F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0.0333</w:t>
            </w:r>
          </w:p>
        </w:tc>
      </w:tr>
      <w:tr w:rsidR="005E68D4" w:rsidRPr="009327FD" w14:paraId="49280D69" w14:textId="77777777">
        <w:tc>
          <w:tcPr>
            <w:tcW w:w="1709" w:type="dxa"/>
            <w:tcBorders>
              <w:top w:val="nil"/>
              <w:left w:val="nil"/>
              <w:bottom w:val="nil"/>
              <w:right w:val="nil"/>
            </w:tcBorders>
          </w:tcPr>
          <w:p w14:paraId="6DC7EC87"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8"/>
                <w:lang w:val="en-US"/>
              </w:rPr>
            </w:pPr>
            <w:r w:rsidRPr="009327FD">
              <w:rPr>
                <w:rFonts w:ascii="Times New Roman" w:hAnsi="Times New Roman" w:cs="Times New Roman"/>
                <w:color w:val="000000"/>
                <w:lang w:val="en-US"/>
              </w:rPr>
              <w:t xml:space="preserve">SO₄² </w:t>
            </w:r>
          </w:p>
          <w:p w14:paraId="29C9E1AB" w14:textId="77777777" w:rsidR="005E68D4" w:rsidRPr="009327FD" w:rsidRDefault="005E68D4">
            <w:pPr>
              <w:rPr>
                <w:rFonts w:ascii="Times New Roman" w:hAnsi="Times New Roman" w:cs="Times New Roman"/>
                <w:bCs/>
              </w:rPr>
            </w:pPr>
          </w:p>
        </w:tc>
        <w:tc>
          <w:tcPr>
            <w:tcW w:w="1137" w:type="dxa"/>
            <w:tcBorders>
              <w:top w:val="nil"/>
              <w:left w:val="nil"/>
              <w:bottom w:val="nil"/>
              <w:right w:val="nil"/>
            </w:tcBorders>
          </w:tcPr>
          <w:p w14:paraId="40E322E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64BDEFB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66.3</w:t>
            </w:r>
          </w:p>
        </w:tc>
        <w:tc>
          <w:tcPr>
            <w:tcW w:w="777" w:type="dxa"/>
            <w:tcBorders>
              <w:top w:val="nil"/>
              <w:left w:val="nil"/>
              <w:bottom w:val="nil"/>
              <w:right w:val="nil"/>
            </w:tcBorders>
          </w:tcPr>
          <w:p w14:paraId="65A1775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56.98</w:t>
            </w:r>
          </w:p>
        </w:tc>
        <w:tc>
          <w:tcPr>
            <w:tcW w:w="777" w:type="dxa"/>
            <w:tcBorders>
              <w:top w:val="nil"/>
              <w:left w:val="nil"/>
              <w:bottom w:val="nil"/>
              <w:right w:val="nil"/>
            </w:tcBorders>
          </w:tcPr>
          <w:p w14:paraId="7E6B880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7E4FB0A4"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0.859</w:t>
            </w:r>
          </w:p>
        </w:tc>
        <w:tc>
          <w:tcPr>
            <w:tcW w:w="923" w:type="dxa"/>
            <w:tcBorders>
              <w:top w:val="nil"/>
              <w:left w:val="nil"/>
              <w:bottom w:val="nil"/>
              <w:right w:val="nil"/>
            </w:tcBorders>
          </w:tcPr>
          <w:p w14:paraId="523873E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5AC2FCD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0569DBF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0.0572</w:t>
            </w:r>
          </w:p>
        </w:tc>
      </w:tr>
      <w:tr w:rsidR="005E68D4" w:rsidRPr="009327FD" w14:paraId="088E28E5" w14:textId="77777777">
        <w:tc>
          <w:tcPr>
            <w:tcW w:w="1709" w:type="dxa"/>
            <w:tcBorders>
              <w:top w:val="nil"/>
              <w:left w:val="nil"/>
              <w:bottom w:val="nil"/>
              <w:right w:val="nil"/>
            </w:tcBorders>
          </w:tcPr>
          <w:p w14:paraId="209752F5"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8"/>
                <w:lang w:val="en-US"/>
              </w:rPr>
            </w:pPr>
            <w:r w:rsidRPr="009327FD">
              <w:rPr>
                <w:rFonts w:ascii="Times New Roman" w:hAnsi="Times New Roman" w:cs="Times New Roman"/>
                <w:color w:val="000000"/>
                <w:lang w:val="en-US"/>
              </w:rPr>
              <w:t xml:space="preserve">NO₃⁻ </w:t>
            </w:r>
          </w:p>
          <w:p w14:paraId="6856445D" w14:textId="77777777" w:rsidR="005E68D4" w:rsidRPr="009327FD" w:rsidRDefault="005E68D4">
            <w:pPr>
              <w:rPr>
                <w:rFonts w:ascii="Times New Roman" w:hAnsi="Times New Roman" w:cs="Times New Roman"/>
                <w:bCs/>
              </w:rPr>
            </w:pPr>
          </w:p>
        </w:tc>
        <w:tc>
          <w:tcPr>
            <w:tcW w:w="1137" w:type="dxa"/>
            <w:tcBorders>
              <w:top w:val="nil"/>
              <w:left w:val="nil"/>
              <w:bottom w:val="nil"/>
              <w:right w:val="nil"/>
            </w:tcBorders>
          </w:tcPr>
          <w:p w14:paraId="508988F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4757414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10.7</w:t>
            </w:r>
          </w:p>
        </w:tc>
        <w:tc>
          <w:tcPr>
            <w:tcW w:w="777" w:type="dxa"/>
            <w:tcBorders>
              <w:top w:val="nil"/>
              <w:left w:val="nil"/>
              <w:bottom w:val="nil"/>
              <w:right w:val="nil"/>
            </w:tcBorders>
          </w:tcPr>
          <w:p w14:paraId="796FC4FC"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4.6</w:t>
            </w:r>
          </w:p>
        </w:tc>
        <w:tc>
          <w:tcPr>
            <w:tcW w:w="777" w:type="dxa"/>
            <w:tcBorders>
              <w:top w:val="nil"/>
              <w:left w:val="nil"/>
              <w:bottom w:val="nil"/>
              <w:right w:val="nil"/>
            </w:tcBorders>
          </w:tcPr>
          <w:p w14:paraId="4FE4FE5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1EFE471E"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0.43</w:t>
            </w:r>
          </w:p>
        </w:tc>
        <w:tc>
          <w:tcPr>
            <w:tcW w:w="923" w:type="dxa"/>
            <w:tcBorders>
              <w:top w:val="nil"/>
              <w:left w:val="nil"/>
              <w:bottom w:val="nil"/>
              <w:right w:val="nil"/>
            </w:tcBorders>
          </w:tcPr>
          <w:p w14:paraId="1BFB18E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0AF60E1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1C872B2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0.0286</w:t>
            </w:r>
          </w:p>
        </w:tc>
      </w:tr>
      <w:tr w:rsidR="005E68D4" w:rsidRPr="009327FD" w14:paraId="756BA7AF" w14:textId="77777777">
        <w:tc>
          <w:tcPr>
            <w:tcW w:w="1709" w:type="dxa"/>
            <w:tcBorders>
              <w:top w:val="nil"/>
              <w:left w:val="nil"/>
              <w:bottom w:val="nil"/>
              <w:right w:val="nil"/>
            </w:tcBorders>
          </w:tcPr>
          <w:p w14:paraId="50C38A7E"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lang w:val="en-US"/>
              </w:rPr>
            </w:pPr>
            <w:r w:rsidRPr="009327FD">
              <w:rPr>
                <w:rFonts w:ascii="Times New Roman" w:hAnsi="Times New Roman" w:cs="Times New Roman"/>
                <w:color w:val="000000"/>
                <w:lang w:val="en-US"/>
              </w:rPr>
              <w:t xml:space="preserve">PO₄³ </w:t>
            </w:r>
          </w:p>
          <w:p w14:paraId="78A4F18A" w14:textId="77777777" w:rsidR="005E68D4" w:rsidRPr="009327FD" w:rsidRDefault="005E68D4">
            <w:pPr>
              <w:rPr>
                <w:rFonts w:ascii="Times New Roman" w:hAnsi="Times New Roman" w:cs="Times New Roman"/>
                <w:bCs/>
              </w:rPr>
            </w:pPr>
          </w:p>
        </w:tc>
        <w:tc>
          <w:tcPr>
            <w:tcW w:w="1137" w:type="dxa"/>
            <w:tcBorders>
              <w:top w:val="nil"/>
              <w:left w:val="nil"/>
              <w:bottom w:val="nil"/>
              <w:right w:val="nil"/>
            </w:tcBorders>
          </w:tcPr>
          <w:p w14:paraId="6AD33F4E"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45307D0F"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23.4</w:t>
            </w:r>
          </w:p>
        </w:tc>
        <w:tc>
          <w:tcPr>
            <w:tcW w:w="777" w:type="dxa"/>
            <w:tcBorders>
              <w:top w:val="nil"/>
              <w:left w:val="nil"/>
              <w:bottom w:val="nil"/>
              <w:right w:val="nil"/>
            </w:tcBorders>
          </w:tcPr>
          <w:p w14:paraId="703A8DA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5.88</w:t>
            </w:r>
          </w:p>
        </w:tc>
        <w:tc>
          <w:tcPr>
            <w:tcW w:w="777" w:type="dxa"/>
            <w:tcBorders>
              <w:top w:val="nil"/>
              <w:left w:val="nil"/>
              <w:bottom w:val="nil"/>
              <w:right w:val="nil"/>
            </w:tcBorders>
          </w:tcPr>
          <w:p w14:paraId="115A0EE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46FA5A8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0.251</w:t>
            </w:r>
          </w:p>
        </w:tc>
        <w:tc>
          <w:tcPr>
            <w:tcW w:w="923" w:type="dxa"/>
            <w:tcBorders>
              <w:top w:val="nil"/>
              <w:left w:val="nil"/>
              <w:bottom w:val="nil"/>
              <w:right w:val="nil"/>
            </w:tcBorders>
          </w:tcPr>
          <w:p w14:paraId="0D6EF59C"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74D126F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16D145B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0.0167</w:t>
            </w:r>
          </w:p>
        </w:tc>
      </w:tr>
      <w:tr w:rsidR="005E68D4" w:rsidRPr="009327FD" w14:paraId="07CE60A3" w14:textId="77777777">
        <w:tc>
          <w:tcPr>
            <w:tcW w:w="1709" w:type="dxa"/>
            <w:tcBorders>
              <w:top w:val="nil"/>
              <w:left w:val="nil"/>
              <w:bottom w:val="nil"/>
              <w:right w:val="nil"/>
            </w:tcBorders>
          </w:tcPr>
          <w:p w14:paraId="3E0CE59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lastRenderedPageBreak/>
              <w:t>Bulk Density</w:t>
            </w:r>
          </w:p>
        </w:tc>
        <w:tc>
          <w:tcPr>
            <w:tcW w:w="1137" w:type="dxa"/>
            <w:tcBorders>
              <w:top w:val="nil"/>
              <w:left w:val="nil"/>
              <w:bottom w:val="nil"/>
              <w:right w:val="nil"/>
            </w:tcBorders>
          </w:tcPr>
          <w:p w14:paraId="0FD116B2"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Less is better </w:t>
            </w:r>
          </w:p>
        </w:tc>
        <w:tc>
          <w:tcPr>
            <w:tcW w:w="777" w:type="dxa"/>
            <w:tcBorders>
              <w:top w:val="nil"/>
              <w:left w:val="nil"/>
              <w:bottom w:val="nil"/>
              <w:right w:val="nil"/>
            </w:tcBorders>
          </w:tcPr>
          <w:p w14:paraId="636064A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5.24</w:t>
            </w:r>
          </w:p>
        </w:tc>
        <w:tc>
          <w:tcPr>
            <w:tcW w:w="777" w:type="dxa"/>
            <w:tcBorders>
              <w:top w:val="nil"/>
              <w:left w:val="nil"/>
              <w:bottom w:val="nil"/>
              <w:right w:val="nil"/>
            </w:tcBorders>
          </w:tcPr>
          <w:p w14:paraId="0402718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7.59</w:t>
            </w:r>
          </w:p>
        </w:tc>
        <w:tc>
          <w:tcPr>
            <w:tcW w:w="777" w:type="dxa"/>
            <w:tcBorders>
              <w:top w:val="nil"/>
              <w:left w:val="nil"/>
              <w:bottom w:val="nil"/>
              <w:right w:val="nil"/>
            </w:tcBorders>
          </w:tcPr>
          <w:p w14:paraId="6CC907A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773673F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0.69</w:t>
            </w:r>
          </w:p>
        </w:tc>
        <w:tc>
          <w:tcPr>
            <w:tcW w:w="923" w:type="dxa"/>
            <w:tcBorders>
              <w:top w:val="nil"/>
              <w:left w:val="nil"/>
              <w:bottom w:val="nil"/>
              <w:right w:val="nil"/>
            </w:tcBorders>
          </w:tcPr>
          <w:p w14:paraId="7F0AD74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5DF1292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07C4110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0.0459</w:t>
            </w:r>
          </w:p>
        </w:tc>
      </w:tr>
      <w:tr w:rsidR="005E68D4" w:rsidRPr="009327FD" w14:paraId="1C8AB971" w14:textId="77777777">
        <w:tc>
          <w:tcPr>
            <w:tcW w:w="1709" w:type="dxa"/>
            <w:tcBorders>
              <w:top w:val="nil"/>
              <w:left w:val="nil"/>
              <w:bottom w:val="nil"/>
              <w:right w:val="nil"/>
            </w:tcBorders>
          </w:tcPr>
          <w:p w14:paraId="135E02F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Water Retention</w:t>
            </w:r>
          </w:p>
        </w:tc>
        <w:tc>
          <w:tcPr>
            <w:tcW w:w="1137" w:type="dxa"/>
            <w:tcBorders>
              <w:top w:val="nil"/>
              <w:left w:val="nil"/>
              <w:bottom w:val="nil"/>
              <w:right w:val="nil"/>
            </w:tcBorders>
          </w:tcPr>
          <w:p w14:paraId="18A3941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56752D9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0.433</w:t>
            </w:r>
          </w:p>
        </w:tc>
        <w:tc>
          <w:tcPr>
            <w:tcW w:w="777" w:type="dxa"/>
            <w:tcBorders>
              <w:top w:val="nil"/>
              <w:left w:val="nil"/>
              <w:bottom w:val="nil"/>
              <w:right w:val="nil"/>
            </w:tcBorders>
          </w:tcPr>
          <w:p w14:paraId="6861ED23"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0.375</w:t>
            </w:r>
          </w:p>
        </w:tc>
        <w:tc>
          <w:tcPr>
            <w:tcW w:w="777" w:type="dxa"/>
            <w:tcBorders>
              <w:top w:val="nil"/>
              <w:left w:val="nil"/>
              <w:bottom w:val="nil"/>
              <w:right w:val="nil"/>
            </w:tcBorders>
          </w:tcPr>
          <w:p w14:paraId="0FD3534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392E6C10"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0.866</w:t>
            </w:r>
          </w:p>
        </w:tc>
        <w:tc>
          <w:tcPr>
            <w:tcW w:w="923" w:type="dxa"/>
            <w:tcBorders>
              <w:top w:val="nil"/>
              <w:left w:val="nil"/>
              <w:bottom w:val="nil"/>
              <w:right w:val="nil"/>
            </w:tcBorders>
          </w:tcPr>
          <w:p w14:paraId="44F46E2A"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70331E9E"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742A79AC"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0.0577</w:t>
            </w:r>
          </w:p>
        </w:tc>
      </w:tr>
      <w:tr w:rsidR="005E68D4" w:rsidRPr="009327FD" w14:paraId="0E09B465" w14:textId="77777777">
        <w:tc>
          <w:tcPr>
            <w:tcW w:w="1709" w:type="dxa"/>
            <w:tcBorders>
              <w:top w:val="nil"/>
              <w:left w:val="nil"/>
              <w:bottom w:val="nil"/>
              <w:right w:val="nil"/>
            </w:tcBorders>
          </w:tcPr>
          <w:p w14:paraId="10F8E491"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Soil Compaction</w:t>
            </w:r>
          </w:p>
        </w:tc>
        <w:tc>
          <w:tcPr>
            <w:tcW w:w="1137" w:type="dxa"/>
            <w:tcBorders>
              <w:top w:val="nil"/>
              <w:left w:val="nil"/>
              <w:bottom w:val="nil"/>
              <w:right w:val="nil"/>
            </w:tcBorders>
          </w:tcPr>
          <w:p w14:paraId="37655137"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Less is better </w:t>
            </w:r>
          </w:p>
        </w:tc>
        <w:tc>
          <w:tcPr>
            <w:tcW w:w="777" w:type="dxa"/>
            <w:tcBorders>
              <w:top w:val="nil"/>
              <w:left w:val="nil"/>
              <w:bottom w:val="nil"/>
              <w:right w:val="nil"/>
            </w:tcBorders>
          </w:tcPr>
          <w:p w14:paraId="44E969D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45.8</w:t>
            </w:r>
          </w:p>
        </w:tc>
        <w:tc>
          <w:tcPr>
            <w:tcW w:w="777" w:type="dxa"/>
            <w:tcBorders>
              <w:top w:val="nil"/>
              <w:left w:val="nil"/>
              <w:bottom w:val="nil"/>
              <w:right w:val="nil"/>
            </w:tcBorders>
          </w:tcPr>
          <w:p w14:paraId="498E6C8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12.1</w:t>
            </w:r>
          </w:p>
        </w:tc>
        <w:tc>
          <w:tcPr>
            <w:tcW w:w="777" w:type="dxa"/>
            <w:tcBorders>
              <w:top w:val="nil"/>
              <w:left w:val="nil"/>
              <w:bottom w:val="nil"/>
              <w:right w:val="nil"/>
            </w:tcBorders>
          </w:tcPr>
          <w:p w14:paraId="77E5F71D"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0.264</w:t>
            </w:r>
          </w:p>
        </w:tc>
        <w:tc>
          <w:tcPr>
            <w:tcW w:w="778" w:type="dxa"/>
            <w:tcBorders>
              <w:top w:val="nil"/>
              <w:left w:val="nil"/>
              <w:bottom w:val="nil"/>
              <w:right w:val="nil"/>
            </w:tcBorders>
          </w:tcPr>
          <w:p w14:paraId="4C461AB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923" w:type="dxa"/>
            <w:tcBorders>
              <w:top w:val="nil"/>
              <w:left w:val="nil"/>
              <w:bottom w:val="nil"/>
              <w:right w:val="nil"/>
            </w:tcBorders>
          </w:tcPr>
          <w:p w14:paraId="387B5F4E"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70040D19"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0.0176</w:t>
            </w:r>
          </w:p>
        </w:tc>
        <w:tc>
          <w:tcPr>
            <w:tcW w:w="1236" w:type="dxa"/>
            <w:tcBorders>
              <w:top w:val="nil"/>
              <w:left w:val="nil"/>
              <w:bottom w:val="nil"/>
              <w:right w:val="nil"/>
            </w:tcBorders>
          </w:tcPr>
          <w:p w14:paraId="6677692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r>
      <w:tr w:rsidR="005E68D4" w:rsidRPr="009327FD" w14:paraId="4E48BFD2" w14:textId="77777777">
        <w:tc>
          <w:tcPr>
            <w:tcW w:w="1709" w:type="dxa"/>
            <w:tcBorders>
              <w:top w:val="nil"/>
              <w:left w:val="nil"/>
              <w:bottom w:val="nil"/>
              <w:right w:val="nil"/>
            </w:tcBorders>
          </w:tcPr>
          <w:p w14:paraId="255A352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CEC</w:t>
            </w:r>
          </w:p>
        </w:tc>
        <w:tc>
          <w:tcPr>
            <w:tcW w:w="1137" w:type="dxa"/>
            <w:tcBorders>
              <w:top w:val="nil"/>
              <w:left w:val="nil"/>
              <w:bottom w:val="nil"/>
              <w:right w:val="nil"/>
            </w:tcBorders>
          </w:tcPr>
          <w:p w14:paraId="10B5BDF6"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 xml:space="preserve">More is better </w:t>
            </w:r>
          </w:p>
        </w:tc>
        <w:tc>
          <w:tcPr>
            <w:tcW w:w="777" w:type="dxa"/>
            <w:tcBorders>
              <w:top w:val="nil"/>
              <w:left w:val="nil"/>
              <w:bottom w:val="nil"/>
              <w:right w:val="nil"/>
            </w:tcBorders>
          </w:tcPr>
          <w:p w14:paraId="274540F7"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18.5</w:t>
            </w:r>
          </w:p>
        </w:tc>
        <w:tc>
          <w:tcPr>
            <w:tcW w:w="777" w:type="dxa"/>
            <w:tcBorders>
              <w:top w:val="nil"/>
              <w:left w:val="nil"/>
              <w:bottom w:val="nil"/>
              <w:right w:val="nil"/>
            </w:tcBorders>
          </w:tcPr>
          <w:p w14:paraId="26D9F8DB"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5.1</w:t>
            </w:r>
          </w:p>
        </w:tc>
        <w:tc>
          <w:tcPr>
            <w:tcW w:w="777" w:type="dxa"/>
            <w:tcBorders>
              <w:top w:val="nil"/>
              <w:left w:val="nil"/>
              <w:bottom w:val="nil"/>
              <w:right w:val="nil"/>
            </w:tcBorders>
          </w:tcPr>
          <w:p w14:paraId="132CBB1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1</w:t>
            </w:r>
          </w:p>
        </w:tc>
        <w:tc>
          <w:tcPr>
            <w:tcW w:w="778" w:type="dxa"/>
            <w:tcBorders>
              <w:top w:val="nil"/>
              <w:left w:val="nil"/>
              <w:bottom w:val="nil"/>
              <w:right w:val="nil"/>
            </w:tcBorders>
          </w:tcPr>
          <w:p w14:paraId="3611E015"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0.276</w:t>
            </w:r>
          </w:p>
        </w:tc>
        <w:tc>
          <w:tcPr>
            <w:tcW w:w="923" w:type="dxa"/>
            <w:tcBorders>
              <w:top w:val="nil"/>
              <w:left w:val="nil"/>
              <w:bottom w:val="nil"/>
              <w:right w:val="nil"/>
            </w:tcBorders>
          </w:tcPr>
          <w:p w14:paraId="66CE5C18"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w:t>
            </w:r>
          </w:p>
        </w:tc>
        <w:tc>
          <w:tcPr>
            <w:tcW w:w="1236" w:type="dxa"/>
            <w:tcBorders>
              <w:top w:val="nil"/>
              <w:left w:val="nil"/>
              <w:bottom w:val="nil"/>
              <w:right w:val="nil"/>
            </w:tcBorders>
          </w:tcPr>
          <w:p w14:paraId="15AFF617"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0.0666</w:t>
            </w:r>
          </w:p>
        </w:tc>
        <w:tc>
          <w:tcPr>
            <w:tcW w:w="1236" w:type="dxa"/>
            <w:tcBorders>
              <w:top w:val="nil"/>
              <w:left w:val="nil"/>
              <w:bottom w:val="nil"/>
              <w:right w:val="nil"/>
            </w:tcBorders>
          </w:tcPr>
          <w:p w14:paraId="1A807D04" w14:textId="77777777" w:rsidR="005E68D4" w:rsidRPr="009327FD" w:rsidRDefault="00A32143">
            <w:pPr>
              <w:rPr>
                <w:rFonts w:ascii="Times New Roman" w:hAnsi="Times New Roman" w:cs="Times New Roman"/>
                <w:bCs/>
              </w:rPr>
            </w:pPr>
            <w:r w:rsidRPr="009327FD">
              <w:rPr>
                <w:rFonts w:ascii="Times New Roman" w:hAnsi="Times New Roman" w:cs="Times New Roman"/>
                <w:bCs/>
                <w:lang w:val="en-US"/>
              </w:rPr>
              <w:t>0.0184</w:t>
            </w:r>
          </w:p>
        </w:tc>
      </w:tr>
      <w:tr w:rsidR="005E68D4" w:rsidRPr="009327FD" w14:paraId="2356FB2C" w14:textId="77777777">
        <w:tc>
          <w:tcPr>
            <w:tcW w:w="1709" w:type="dxa"/>
            <w:tcBorders>
              <w:top w:val="nil"/>
              <w:left w:val="nil"/>
              <w:bottom w:val="nil"/>
              <w:right w:val="nil"/>
            </w:tcBorders>
          </w:tcPr>
          <w:p w14:paraId="57F3AC10" w14:textId="77777777" w:rsidR="005E68D4" w:rsidRPr="009327FD" w:rsidRDefault="00A32143">
            <w:pPr>
              <w:pBdr>
                <w:bottom w:val="single" w:sz="4" w:space="0" w:color="auto"/>
              </w:pBdr>
              <w:rPr>
                <w:rFonts w:ascii="Times New Roman" w:hAnsi="Times New Roman" w:cs="Times New Roman"/>
                <w:b/>
                <w:bCs/>
              </w:rPr>
            </w:pPr>
            <w:r w:rsidRPr="009327FD">
              <w:rPr>
                <w:rFonts w:ascii="Times New Roman" w:hAnsi="Times New Roman" w:cs="Times New Roman"/>
                <w:b/>
                <w:bCs/>
                <w:lang w:val="en-US"/>
              </w:rPr>
              <w:t>TOTAL SQI</w:t>
            </w:r>
          </w:p>
        </w:tc>
        <w:tc>
          <w:tcPr>
            <w:tcW w:w="1137" w:type="dxa"/>
            <w:tcBorders>
              <w:top w:val="nil"/>
              <w:left w:val="nil"/>
              <w:bottom w:val="nil"/>
              <w:right w:val="nil"/>
            </w:tcBorders>
          </w:tcPr>
          <w:p w14:paraId="3A1CB44F" w14:textId="77777777" w:rsidR="005E68D4" w:rsidRPr="009327FD"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7A3E1403" w14:textId="77777777" w:rsidR="005E68D4" w:rsidRPr="009327FD"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3A92A4B6" w14:textId="77777777" w:rsidR="005E68D4" w:rsidRPr="009327FD"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26C5AA11" w14:textId="77777777" w:rsidR="005E68D4" w:rsidRPr="009327FD" w:rsidRDefault="005E68D4">
            <w:pPr>
              <w:pBdr>
                <w:bottom w:val="single" w:sz="4" w:space="0" w:color="auto"/>
              </w:pBdr>
              <w:rPr>
                <w:rFonts w:ascii="Times New Roman" w:hAnsi="Times New Roman" w:cs="Times New Roman"/>
                <w:b/>
                <w:bCs/>
              </w:rPr>
            </w:pPr>
          </w:p>
        </w:tc>
        <w:tc>
          <w:tcPr>
            <w:tcW w:w="778" w:type="dxa"/>
            <w:tcBorders>
              <w:top w:val="nil"/>
              <w:left w:val="nil"/>
              <w:bottom w:val="nil"/>
              <w:right w:val="nil"/>
            </w:tcBorders>
          </w:tcPr>
          <w:p w14:paraId="081A20C0" w14:textId="77777777" w:rsidR="005E68D4" w:rsidRPr="009327FD" w:rsidRDefault="005E68D4">
            <w:pPr>
              <w:pBdr>
                <w:bottom w:val="single" w:sz="4" w:space="0" w:color="auto"/>
              </w:pBdr>
              <w:rPr>
                <w:rFonts w:ascii="Times New Roman" w:hAnsi="Times New Roman" w:cs="Times New Roman"/>
                <w:b/>
                <w:bCs/>
              </w:rPr>
            </w:pPr>
          </w:p>
        </w:tc>
        <w:tc>
          <w:tcPr>
            <w:tcW w:w="923" w:type="dxa"/>
            <w:tcBorders>
              <w:top w:val="nil"/>
              <w:left w:val="nil"/>
              <w:bottom w:val="nil"/>
              <w:right w:val="nil"/>
            </w:tcBorders>
          </w:tcPr>
          <w:p w14:paraId="6D671FAB" w14:textId="77777777" w:rsidR="005E68D4" w:rsidRPr="009327FD" w:rsidRDefault="005E68D4">
            <w:pPr>
              <w:pBdr>
                <w:bottom w:val="single" w:sz="4" w:space="0" w:color="auto"/>
              </w:pBdr>
              <w:rPr>
                <w:rFonts w:ascii="Times New Roman" w:hAnsi="Times New Roman" w:cs="Times New Roman"/>
                <w:b/>
                <w:bCs/>
              </w:rPr>
            </w:pPr>
          </w:p>
        </w:tc>
        <w:tc>
          <w:tcPr>
            <w:tcW w:w="1236" w:type="dxa"/>
            <w:tcBorders>
              <w:top w:val="nil"/>
              <w:left w:val="nil"/>
              <w:bottom w:val="nil"/>
              <w:right w:val="nil"/>
            </w:tcBorders>
          </w:tcPr>
          <w:p w14:paraId="2836CC9F" w14:textId="77777777" w:rsidR="005E68D4" w:rsidRPr="009327FD" w:rsidRDefault="00A32143">
            <w:pPr>
              <w:pBdr>
                <w:bottom w:val="single" w:sz="4" w:space="0" w:color="auto"/>
              </w:pBdr>
              <w:rPr>
                <w:rFonts w:ascii="Times New Roman" w:hAnsi="Times New Roman" w:cs="Times New Roman"/>
                <w:b/>
                <w:bCs/>
              </w:rPr>
            </w:pPr>
            <w:r w:rsidRPr="009327FD">
              <w:rPr>
                <w:rFonts w:ascii="Times New Roman" w:hAnsi="Times New Roman" w:cs="Times New Roman"/>
                <w:b/>
                <w:bCs/>
                <w:lang w:val="en-US"/>
              </w:rPr>
              <w:t>0.6368</w:t>
            </w:r>
          </w:p>
        </w:tc>
        <w:tc>
          <w:tcPr>
            <w:tcW w:w="1236" w:type="dxa"/>
            <w:tcBorders>
              <w:top w:val="nil"/>
              <w:left w:val="nil"/>
              <w:bottom w:val="nil"/>
              <w:right w:val="nil"/>
            </w:tcBorders>
          </w:tcPr>
          <w:p w14:paraId="5954C002" w14:textId="77777777" w:rsidR="005E68D4" w:rsidRPr="009327FD" w:rsidRDefault="00A32143">
            <w:pPr>
              <w:pBdr>
                <w:bottom w:val="single" w:sz="4" w:space="0" w:color="auto"/>
              </w:pBdr>
              <w:rPr>
                <w:rFonts w:ascii="Times New Roman" w:hAnsi="Times New Roman" w:cs="Times New Roman"/>
                <w:b/>
                <w:bCs/>
              </w:rPr>
            </w:pPr>
            <w:r w:rsidRPr="009327FD">
              <w:rPr>
                <w:rFonts w:ascii="Times New Roman" w:hAnsi="Times New Roman" w:cs="Times New Roman"/>
                <w:b/>
                <w:bCs/>
                <w:lang w:val="en-US"/>
              </w:rPr>
              <w:t>0.7906</w:t>
            </w:r>
          </w:p>
        </w:tc>
      </w:tr>
    </w:tbl>
    <w:p w14:paraId="5AEE96C8" w14:textId="77777777" w:rsidR="005E68D4" w:rsidRPr="009327FD" w:rsidRDefault="005E68D4">
      <w:pPr>
        <w:spacing w:line="480" w:lineRule="auto"/>
        <w:rPr>
          <w:rFonts w:ascii="Times New Roman" w:hAnsi="Times New Roman" w:cs="Times New Roman"/>
          <w:bCs/>
        </w:rPr>
      </w:pPr>
    </w:p>
    <w:p w14:paraId="0E1B61A8" w14:textId="77777777" w:rsidR="005E68D4" w:rsidRPr="009327FD" w:rsidRDefault="005E68D4">
      <w:pPr>
        <w:spacing w:line="480" w:lineRule="auto"/>
        <w:rPr>
          <w:rFonts w:ascii="Times New Roman" w:hAnsi="Times New Roman" w:cs="Times New Roman"/>
          <w:bCs/>
        </w:rPr>
      </w:pPr>
    </w:p>
    <w:p w14:paraId="4B7E2C31" w14:textId="77777777" w:rsidR="005E68D4" w:rsidRPr="009327FD" w:rsidRDefault="00A32143">
      <w:pPr>
        <w:spacing w:line="480" w:lineRule="auto"/>
        <w:rPr>
          <w:rFonts w:ascii="Times New Roman" w:hAnsi="Times New Roman" w:cs="Times New Roman"/>
          <w:bCs/>
        </w:rPr>
      </w:pPr>
      <w:r w:rsidRPr="009327FD">
        <w:rPr>
          <w:noProof/>
        </w:rPr>
        <w:drawing>
          <wp:inline distT="0" distB="0" distL="0" distR="0" wp14:anchorId="672FCE27" wp14:editId="30049D5D">
            <wp:extent cx="6045200" cy="3064510"/>
            <wp:effectExtent l="0" t="0" r="9526" b="9526"/>
            <wp:docPr id="195067499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723C8D" w14:textId="77777777" w:rsidR="005E68D4" w:rsidRPr="009327FD" w:rsidRDefault="00A32143">
      <w:pPr>
        <w:spacing w:line="480" w:lineRule="auto"/>
        <w:rPr>
          <w:rFonts w:ascii="Times New Roman" w:hAnsi="Times New Roman" w:cs="Times New Roman"/>
          <w:bCs/>
        </w:rPr>
      </w:pPr>
      <w:r w:rsidRPr="009327FD">
        <w:rPr>
          <w:rFonts w:ascii="Times New Roman" w:hAnsi="Times New Roman" w:cs="Times New Roman"/>
          <w:bCs/>
        </w:rPr>
        <w:t xml:space="preserve">Figure 6: concentration of </w:t>
      </w:r>
      <w:r w:rsidRPr="009327FD">
        <w:rPr>
          <w:rFonts w:ascii="Times New Roman" w:hAnsi="Times New Roman" w:cs="Times New Roman"/>
        </w:rPr>
        <w:t>Soil Quality Index using scoring functions</w:t>
      </w:r>
      <w:r w:rsidRPr="009327FD">
        <w:rPr>
          <w:rFonts w:ascii="Times New Roman" w:hAnsi="Times New Roman" w:cs="Times New Roman"/>
          <w:bCs/>
        </w:rPr>
        <w:t xml:space="preserve"> activities in URS and RS sample from K-Dere, Ogoni</w:t>
      </w:r>
    </w:p>
    <w:p w14:paraId="3389C484" w14:textId="77777777" w:rsidR="005E68D4" w:rsidRPr="009327FD" w:rsidRDefault="005E68D4">
      <w:pPr>
        <w:spacing w:line="480" w:lineRule="auto"/>
        <w:rPr>
          <w:rFonts w:ascii="Times New Roman" w:hAnsi="Times New Roman" w:cs="Times New Roman"/>
          <w:bCs/>
        </w:rPr>
      </w:pPr>
    </w:p>
    <w:p w14:paraId="4744C6E2" w14:textId="77777777" w:rsidR="005E68D4" w:rsidRPr="009327FD" w:rsidRDefault="005E68D4">
      <w:pPr>
        <w:spacing w:line="480" w:lineRule="auto"/>
        <w:rPr>
          <w:rFonts w:ascii="Times New Roman" w:hAnsi="Times New Roman" w:cs="Times New Roman"/>
          <w:bCs/>
        </w:rPr>
      </w:pPr>
    </w:p>
    <w:p w14:paraId="348E9828" w14:textId="77777777" w:rsidR="005E68D4" w:rsidRPr="009327FD" w:rsidRDefault="005E68D4">
      <w:pPr>
        <w:spacing w:line="480" w:lineRule="auto"/>
        <w:rPr>
          <w:rFonts w:ascii="Times New Roman" w:hAnsi="Times New Roman" w:cs="Times New Roman"/>
          <w:bCs/>
        </w:rPr>
      </w:pPr>
    </w:p>
    <w:p w14:paraId="5D6FF804" w14:textId="77777777" w:rsidR="005E68D4" w:rsidRPr="009327FD" w:rsidRDefault="005E68D4">
      <w:pPr>
        <w:spacing w:line="480" w:lineRule="auto"/>
        <w:rPr>
          <w:rFonts w:ascii="Times New Roman" w:hAnsi="Times New Roman" w:cs="Times New Roman"/>
          <w:bCs/>
        </w:rPr>
      </w:pPr>
    </w:p>
    <w:p w14:paraId="2B8AA837" w14:textId="77777777" w:rsidR="005E68D4" w:rsidRPr="009327FD" w:rsidRDefault="00A32143">
      <w:pPr>
        <w:spacing w:line="480" w:lineRule="auto"/>
        <w:jc w:val="both"/>
        <w:rPr>
          <w:rFonts w:ascii="Times New Roman" w:hAnsi="Times New Roman" w:cs="Times New Roman"/>
          <w:b/>
          <w:bCs/>
        </w:rPr>
      </w:pPr>
      <w:r w:rsidRPr="009327FD">
        <w:rPr>
          <w:rFonts w:ascii="Times New Roman" w:hAnsi="Times New Roman" w:cs="Times New Roman"/>
          <w:b/>
          <w:bCs/>
        </w:rPr>
        <w:lastRenderedPageBreak/>
        <w:t xml:space="preserve">4.0      Discussion           </w:t>
      </w:r>
    </w:p>
    <w:p w14:paraId="01641C01" w14:textId="77777777" w:rsidR="005E68D4" w:rsidRPr="009327FD" w:rsidRDefault="00A32143">
      <w:pPr>
        <w:spacing w:line="360" w:lineRule="auto"/>
        <w:jc w:val="both"/>
        <w:rPr>
          <w:rFonts w:ascii="Times New Roman" w:hAnsi="Times New Roman" w:cs="Times New Roman"/>
          <w:b/>
          <w:bCs/>
          <w:i/>
          <w:iCs/>
          <w:lang w:val="en-US"/>
        </w:rPr>
      </w:pPr>
      <w:r w:rsidRPr="009327FD">
        <w:rPr>
          <w:rFonts w:ascii="Times New Roman" w:hAnsi="Times New Roman" w:cs="Times New Roman"/>
          <w:b/>
          <w:bCs/>
          <w:i/>
          <w:iCs/>
          <w:lang w:val="en-US"/>
        </w:rPr>
        <w:t>Physicochemical properties of RS and URS</w:t>
      </w:r>
    </w:p>
    <w:p w14:paraId="7892F38E" w14:textId="328DD263" w:rsidR="005E68D4" w:rsidRPr="009327FD" w:rsidRDefault="00A32143">
      <w:pPr>
        <w:spacing w:line="360" w:lineRule="auto"/>
        <w:jc w:val="both"/>
        <w:rPr>
          <w:rFonts w:ascii="Times New Roman" w:hAnsi="Times New Roman" w:cs="Times New Roman"/>
        </w:rPr>
      </w:pPr>
      <w:r w:rsidRPr="009327FD">
        <w:rPr>
          <w:rFonts w:ascii="Times New Roman" w:hAnsi="Times New Roman"/>
        </w:rPr>
        <w:t xml:space="preserve">The post-remediation assessment of soils from K-Dere revealed clear numerical variations between remediated soil (RS) and unremediated soil (URS), as presented in Tables 1, 2 and 3, indicating that remediation activities significantly influenced soil chemical, physical and biological properties. From the results in Table 2, total organic carbon (TOC) declined from 2.10% in the unremediated soil (URS) to 0.55% in the remediated soil (RS) (74.0% reduction). This level of TOC reduction is comparable to the 71–78% decreases reported by Bessong et al. (2023) and </w:t>
      </w:r>
      <w:r w:rsidR="00A56274" w:rsidRPr="00A56274">
        <w:rPr>
          <w:rFonts w:ascii="Times New Roman" w:hAnsi="Times New Roman"/>
        </w:rPr>
        <w:t>Lee</w:t>
      </w:r>
      <w:r w:rsidRPr="009327FD">
        <w:rPr>
          <w:rFonts w:ascii="Times New Roman" w:hAnsi="Times New Roman"/>
        </w:rPr>
        <w:t xml:space="preserve"> et al. (2020) following active remediation of hydrocarbon-impacted soils using organic amendments. Similar reductions were also reported by Michael-Igolima et al. (2022), who attributed TOC decline to enhanced mineralisation and removal of petroleum-derived carbon during remediation. The observed reduction therefore indicates effective contaminant removal rather than nutrient depletion.</w:t>
      </w:r>
    </w:p>
    <w:p w14:paraId="38967A56" w14:textId="5F93F625" w:rsidR="005E68D4" w:rsidRPr="009327FD" w:rsidRDefault="00A32143">
      <w:pPr>
        <w:spacing w:line="360" w:lineRule="auto"/>
        <w:jc w:val="both"/>
        <w:rPr>
          <w:rFonts w:ascii="Times New Roman" w:hAnsi="Times New Roman" w:cs="Times New Roman"/>
        </w:rPr>
      </w:pPr>
      <w:r w:rsidRPr="009327FD">
        <w:rPr>
          <w:rFonts w:ascii="Times New Roman" w:hAnsi="Times New Roman"/>
        </w:rPr>
        <w:t xml:space="preserve">Total organic nitrogen (TON), however, increased from 0.20% in URS to 0.40% in RS (100% increase), as shown in Table 2. This trend is broadly consistent with findings by </w:t>
      </w:r>
      <w:r w:rsidR="00A56274" w:rsidRPr="00A56274">
        <w:rPr>
          <w:rFonts w:ascii="Times New Roman" w:hAnsi="Times New Roman"/>
        </w:rPr>
        <w:t>Lee</w:t>
      </w:r>
      <w:r w:rsidR="00A56274" w:rsidRPr="00A56274">
        <w:rPr>
          <w:rFonts w:ascii="Times New Roman" w:hAnsi="Times New Roman"/>
        </w:rPr>
        <w:t xml:space="preserve"> </w:t>
      </w:r>
      <w:r w:rsidRPr="009327FD">
        <w:rPr>
          <w:rFonts w:ascii="Times New Roman" w:hAnsi="Times New Roman"/>
        </w:rPr>
        <w:t>et al. (2020) and Elgazali et al. (2023), who reported nitrogen increases ranging from 60% to 120% following soil remediation, attributed to microbial nitrogen fixation and improved nitrogen cycling. The increase observed in this study suggests partial restoration of soil fertility despite carbon loss.</w:t>
      </w:r>
    </w:p>
    <w:p w14:paraId="7FDFFBE5" w14:textId="77777777" w:rsidR="005E68D4" w:rsidRPr="009327FD" w:rsidRDefault="00A32143">
      <w:pPr>
        <w:spacing w:line="360" w:lineRule="auto"/>
        <w:jc w:val="both"/>
        <w:rPr>
          <w:rFonts w:ascii="Times New Roman" w:hAnsi="Times New Roman" w:cs="Times New Roman"/>
        </w:rPr>
      </w:pPr>
      <w:r w:rsidRPr="009327FD">
        <w:rPr>
          <w:rFonts w:ascii="Times New Roman" w:hAnsi="Times New Roman"/>
        </w:rPr>
        <w:t>Inorganic nutrient availability also improved markedly after remediation. Sulphate concentration increased from 56.98 mg/kg in URS to 66.3 mg/kg in RS (16.4% increase), nitrate from 4.6 mg/kg to 10.7 mg/kg (132.6% increase), and phosphate from 5.88 mg/kg to 23.4 mg/kg (298.0% increase), as presented in Table 2. Comparable phosphate increases of 200% to 350% have been reported by Kumar et al. (2015) and Ch'ng et al. (2014), who linked such improvements to increased mineralisation and reduced hydrocarbon inhibition of phosphorus-solubilising microbes. The pronounced nitrate increase further suggests enhanced post-remediation nitrification processes.</w:t>
      </w:r>
    </w:p>
    <w:p w14:paraId="4ECF8B68"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 xml:space="preserve">Physical soil properties also reflected significant modification. Bulk density decreased from 7.59 g/cm³ in URS to 5.24 g/cm³ in RS (31.0% reduction), while water retention capacity increased from 0.375 to 0.433 (15.5% increase), as shown in Table 2. Similar reductions in bulk density </w:t>
      </w:r>
      <w:r w:rsidRPr="009327FD">
        <w:rPr>
          <w:rFonts w:ascii="Times New Roman" w:hAnsi="Times New Roman"/>
        </w:rPr>
        <w:lastRenderedPageBreak/>
        <w:t>(12%) were documented by Toková et al. (2020) following soil rehabilitation, attributed to improved aggregation and pore distribution. The increase in cation exchange capacity from 5.1 cmol/kg to 18.5 cmol/kg (262.7% increase) further corroborates improved nutrient retention capacity, consistent with findings by Zubairu et al. (2023), who reported CEC increases exceeding 50% in remediated Nigerian soils.</w:t>
      </w:r>
    </w:p>
    <w:p w14:paraId="0B240181"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The sharp increase in soil compaction from 12.1 to 45.8 is a major detrimental physical change in the RS. This is not merely a surface effect; high compaction combined with the loss of TOC creates a cycle of reduced structural resilience. Without organic matter to provide structural resilience and without microbes to create biological pores, the soil may remain compacted, further inhibiting the biological recovery needed to improve it (USDA-NRCS, 2019). Heavy-duty machinery, such as crawler tractors used for excavations, bulldozers, tippers and similar equipment, is commonly used during remediation and could contribute significantly to the observed high soil compaction in RS at the study area. High soil compaction has been attributed to restricted root growth, earthworm activity, aeration and nutrient availability (USDA-NRCS, 2019).</w:t>
      </w:r>
    </w:p>
    <w:p w14:paraId="7F5A7AD7"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rPr>
          <w:rFonts w:ascii="Segoe UI"/>
          <w:color w:val="000000"/>
          <w:sz w:val="18"/>
          <w:lang w:val="en-US"/>
        </w:rPr>
      </w:pPr>
      <w:r w:rsidRPr="009327FD">
        <w:rPr>
          <w:rFonts w:ascii="Times New Roman" w:hAnsi="Times New Roman" w:cs="Times New Roman"/>
          <w:color w:val="000000"/>
          <w:lang w:val="en-US"/>
        </w:rPr>
        <w:t xml:space="preserve"> </w:t>
      </w:r>
    </w:p>
    <w:p w14:paraId="4D278729" w14:textId="77777777" w:rsidR="005E68D4" w:rsidRPr="009327FD"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lang w:val="en-US"/>
        </w:rPr>
      </w:pPr>
    </w:p>
    <w:p w14:paraId="00790FE2"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rPr>
          <w:rFonts w:ascii="Times New Roman" w:hAnsi="Times New Roman" w:cs="Times New Roman"/>
          <w:lang w:val="en-US"/>
        </w:rPr>
      </w:pPr>
      <w:r w:rsidRPr="009327FD">
        <w:rPr>
          <w:rFonts w:ascii="Times New Roman" w:hAnsi="Times New Roman" w:cs="Times New Roman"/>
          <w:b/>
          <w:bCs/>
          <w:i/>
          <w:iCs/>
          <w:color w:val="000000"/>
          <w:lang w:val="en-US"/>
        </w:rPr>
        <w:t>Soil microbial biomass</w:t>
      </w:r>
    </w:p>
    <w:p w14:paraId="3F62F85D"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rPr>
        <w:t>Results presented in Table 1 indicate a decrease in total bacterial counts from 4.0 × 10⁶ cfu/g in URS to 3.9 × 10⁵ cfu/g in RS (90.3% reduction), while fungal counts declined from 2.6 × 10⁶ cfu/g to 3.0 × 10⁵ cfu/g (88.5% reduction). Studies have reported the vital functions of fungi in soil aggregation and the symbiotic acquisition of nutrients by plants (Bogati et al., 2025). However, this significant fungal population decline is known to impair soil biological resilience and its ability to recover from future environmental stresses (Melo et al., 2024).</w:t>
      </w:r>
    </w:p>
    <w:p w14:paraId="52DEE885" w14:textId="59F8B7BF" w:rsidR="005E68D4" w:rsidRPr="009327FD" w:rsidRDefault="00A32143">
      <w:pPr>
        <w:spacing w:line="360" w:lineRule="auto"/>
        <w:jc w:val="both"/>
        <w:rPr>
          <w:rFonts w:ascii="Times New Roman" w:hAnsi="Times New Roman" w:cs="Times New Roman"/>
          <w:color w:val="000000"/>
          <w:lang w:val="en-US"/>
        </w:rPr>
      </w:pPr>
      <w:r w:rsidRPr="009327FD">
        <w:rPr>
          <w:rFonts w:ascii="Times New Roman" w:hAnsi="Times New Roman"/>
        </w:rPr>
        <w:t xml:space="preserve">Dehydrogenase activity reduced from 2.6 to 0.7 µg TPF g⁻¹ h⁻¹ (73.1% reduction), urease from 28.0 to 7.1 µg NH₄⁺ g⁻¹ h⁻¹ (74.6% reduction), and phosphatase from 55.0 to 16.5 µg pNP g⁻¹ h⁻¹ (70.0% reduction). These declines are consistent with reports by </w:t>
      </w:r>
      <w:r w:rsidR="00A56274" w:rsidRPr="00A56274">
        <w:rPr>
          <w:rFonts w:ascii="Times New Roman" w:hAnsi="Times New Roman"/>
        </w:rPr>
        <w:t>Lee</w:t>
      </w:r>
      <w:r w:rsidRPr="009327FD">
        <w:rPr>
          <w:rFonts w:ascii="Times New Roman" w:hAnsi="Times New Roman"/>
        </w:rPr>
        <w:t xml:space="preserve"> et al. (2020) and Gospodarek et al. (2021), who observed temporary microbial suppression following aggressive remediation treatments. Because dehydrogenase occurs only in living, metabolically active cells and is not stabilised in the soil matrix like other enzymes, this parameter serves as a direct indicator of current microbial oxidative activity. The 73.1% drop in dehydrogenase activity confirms that the microbial biomass in the remediated soil (RS) is not only lower in quantity but also significantly less active.</w:t>
      </w:r>
    </w:p>
    <w:p w14:paraId="4C8B085D"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sidRPr="009327FD">
        <w:rPr>
          <w:rFonts w:ascii="Times New Roman" w:hAnsi="Times New Roman"/>
        </w:rPr>
        <w:lastRenderedPageBreak/>
        <w:t>Urease is known for converting urea into ammonia. This decrease in activity by 74.6% may be linked to the reduction in organic carbon (TOC) available as a substrate for urease-producing microbes, or to the presence of residual remediation chemicals that act as urease inhibitors (Ward Laboratories, Inc., 2019).</w:t>
      </w:r>
    </w:p>
    <w:p w14:paraId="0CCCADA8"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sidRPr="009327FD">
        <w:rPr>
          <w:rFonts w:ascii="Times New Roman" w:hAnsi="Times New Roman"/>
        </w:rPr>
        <w:t>The activities of dehydrogenase, urease and phosphatase provide a direct measure of the soil's metabolic capacity across carbon, nitrogen and phosphorus cycles (Rana et al., 2025). The reduced microbial diversity observed in Table 1, with fewer bacterial and fungal taxa in RS compared with URS, further supports the assertion that biological recovery lags behind chemical and physical restoration. Similar biodiversity reductions have been reported by Ramadass et al. (2017), who emphasised that microbial communities require extended post-remediation periods to re-establish functional stability. Overall, the results of the present study demonstrate that remediation activities in K-Dere improved nutrient availability, soil structure, water retention capacity and cation exchange capacity. However, the simultaneous reductions in organic carbon, microbial biomass, enzyme activities and biodiversity indicate that biological restoration has not progressed at the same pace as chemical and physical recovery.</w:t>
      </w:r>
    </w:p>
    <w:p w14:paraId="232EBFA7" w14:textId="77777777" w:rsidR="005E68D4" w:rsidRPr="009327FD"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b/>
          <w:bCs/>
          <w:color w:val="000000"/>
          <w:sz w:val="18"/>
          <w:lang w:val="en-US"/>
        </w:rPr>
      </w:pPr>
    </w:p>
    <w:p w14:paraId="537B374B"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r w:rsidRPr="009327FD">
        <w:rPr>
          <w:rFonts w:ascii="Times New Roman" w:hAnsi="Times New Roman" w:cs="Times New Roman"/>
          <w:b/>
          <w:bCs/>
          <w:i/>
          <w:iCs/>
          <w:color w:val="000000"/>
          <w:lang w:val="en-US"/>
        </w:rPr>
        <w:t>Soil Quality Index</w:t>
      </w:r>
    </w:p>
    <w:p w14:paraId="390518FB" w14:textId="77777777" w:rsidR="005E68D4" w:rsidRPr="009327FD"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139C1BC5"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The Soil Quality Index (SQI), based on the selected minimum data set, indicated better soil quality status for the unremediated soil (SQI = 0.79 &gt; 0.70). This observation is largely driven by high microbial abundance and enzyme activities. The remediated soil exhibited lower overall soil quality (SQI = 0.64 &lt; 0.70), despite improvements in physicochemical properties such as nutrient availability, cation exchange capacity and water retention. However, reduced biological indicator scores suggest delayed recovery of soil microbial functions following remediation.</w:t>
      </w:r>
    </w:p>
    <w:p w14:paraId="66E20C16" w14:textId="77777777" w:rsidR="00A93CD5" w:rsidRPr="009327FD" w:rsidRDefault="00A93CD5">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b/>
          <w:bCs/>
          <w:lang w:val="en-US"/>
        </w:rPr>
      </w:pPr>
      <w:r w:rsidRPr="009327FD">
        <w:rPr>
          <w:rFonts w:ascii="Times New Roman" w:hAnsi="Times New Roman" w:cs="Times New Roman"/>
          <w:b/>
          <w:bCs/>
          <w:lang w:val="en-US"/>
        </w:rPr>
        <w:t>5.0</w:t>
      </w:r>
      <w:r w:rsidRPr="009327FD">
        <w:rPr>
          <w:rFonts w:ascii="Times New Roman" w:hAnsi="Times New Roman" w:cs="Times New Roman"/>
          <w:b/>
          <w:bCs/>
          <w:lang w:val="en-US"/>
        </w:rPr>
        <w:tab/>
        <w:t>Limitation of the Study</w:t>
      </w:r>
    </w:p>
    <w:p w14:paraId="08F698B0" w14:textId="77777777" w:rsidR="00E20908" w:rsidRPr="009327FD" w:rsidRDefault="00E20908" w:rsidP="00E20908">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This study was conducted as a pilot investigation using a single remediated site and did not evaluate the specific remediation techniques employed at the site. Consequently, the findings may not be fully generalisable to other remediated soils within the study area or similar hydrocarbon-impacted environments. Nevertheless, the results provide valuable preliminary insights into potential post-remediation soil health outcomes and may serve as a useful basis for future, more comprehensive assessments involving multiple sites and remediation approaches.</w:t>
      </w:r>
    </w:p>
    <w:p w14:paraId="774C529A" w14:textId="77777777" w:rsidR="00A93CD5" w:rsidRPr="009327FD" w:rsidRDefault="00A93CD5">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p>
    <w:p w14:paraId="4609E6C4" w14:textId="77777777" w:rsidR="005E68D4" w:rsidRPr="009327FD" w:rsidRDefault="00E20908">
      <w:pPr>
        <w:spacing w:line="360" w:lineRule="auto"/>
        <w:jc w:val="both"/>
        <w:rPr>
          <w:rFonts w:ascii="Times New Roman" w:hAnsi="Times New Roman" w:cs="Times New Roman"/>
          <w:b/>
        </w:rPr>
      </w:pPr>
      <w:r w:rsidRPr="009327FD">
        <w:rPr>
          <w:rFonts w:ascii="Times New Roman" w:hAnsi="Times New Roman" w:cs="Times New Roman"/>
          <w:b/>
          <w:lang w:val="en-US"/>
        </w:rPr>
        <w:lastRenderedPageBreak/>
        <w:t>6</w:t>
      </w:r>
      <w:r w:rsidR="00A32143" w:rsidRPr="009327FD">
        <w:rPr>
          <w:rFonts w:ascii="Times New Roman" w:hAnsi="Times New Roman" w:cs="Times New Roman"/>
          <w:b/>
          <w:lang w:val="en-US"/>
        </w:rPr>
        <w:t>.0     Conclusion</w:t>
      </w:r>
    </w:p>
    <w:p w14:paraId="04E6BAC2" w14:textId="77777777" w:rsidR="005E68D4" w:rsidRPr="009327FD" w:rsidRDefault="00A32143">
      <w:pPr>
        <w:spacing w:after="0" w:line="360" w:lineRule="auto"/>
        <w:jc w:val="both"/>
        <w:rPr>
          <w:rFonts w:ascii="Times New Roman" w:hAnsi="Times New Roman" w:cs="Times New Roman"/>
          <w:lang w:val="en-US"/>
        </w:rPr>
      </w:pPr>
      <w:r w:rsidRPr="009327FD">
        <w:rPr>
          <w:rFonts w:ascii="Times New Roman" w:hAnsi="Times New Roman"/>
        </w:rPr>
        <w:t>The study demonstrates that remediation activities in K-Dere have significantly altered soil health indicators. Improvements in nutrient composition, bulk density, water retention capacity and cation exchange capacity suggest partial restoration of soil fertility. However, reductions in organic carbon, microbial biomass and enzyme activities indicate that biological functioning has not fully recovered.</w:t>
      </w:r>
    </w:p>
    <w:p w14:paraId="229757E1"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sidRPr="009327FD">
        <w:rPr>
          <w:rFonts w:ascii="Times New Roman" w:hAnsi="Times New Roman"/>
        </w:rPr>
        <w:t>The SQI assessment for the studied MDS confirms that the remediation process resulted in an approximately 19.5% decrease in overall soil quality. While the remediated soil (RS) shows improved nutrient concentrations and cation exchange capacity, it also shows severe biological suppression, substantial loss of organic carbon and a critical increase in soil compaction.</w:t>
      </w:r>
    </w:p>
    <w:p w14:paraId="23131D72" w14:textId="77777777" w:rsidR="005E68D4" w:rsidRPr="009327FD"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sidRPr="009327FD">
        <w:rPr>
          <w:rFonts w:ascii="Times New Roman" w:hAnsi="Times New Roman"/>
        </w:rPr>
        <w:t>These findings highlight that remediation success should be evaluated beyond contaminant removal by incorporating biological and functional soil indicators to support long-term sustainability. The study recommends an integrated remediation approach that combines physicochemical clean-up with biological enhancement measures, such as organic amendments (compost, biosolids or biochar), microbial inoculation and structural remediation practices that can prevent, reduce and break up compacted layers and restore oxygen and water pathways after remediation operations. Long-term soil monitoring should be institutionalised to track post-remediation recovery trends. Regulatory agencies, including NOSDRA and NESREA, should enforce continuous environmental monitoring and ensure that remediation programmes incorporate site-specific soil management strategies tailored to local ecological conditions in K-Dere.</w:t>
      </w:r>
    </w:p>
    <w:p w14:paraId="2F5D5590" w14:textId="77777777" w:rsidR="00DA0B4C" w:rsidRPr="009327FD" w:rsidRDefault="00DA0B4C" w:rsidP="00DA0B4C">
      <w:pPr>
        <w:rPr>
          <w:rFonts w:eastAsia="Calibri" w:cs="Times New Roman"/>
          <w:b/>
          <w:bCs/>
          <w:kern w:val="2"/>
          <w:lang w:val="en-US" w:eastAsia="en-US"/>
        </w:rPr>
      </w:pPr>
      <w:r w:rsidRPr="009327FD">
        <w:rPr>
          <w:rFonts w:eastAsia="Calibri" w:cs="Times New Roman"/>
          <w:b/>
          <w:bCs/>
          <w:kern w:val="2"/>
          <w:lang w:val="en-US" w:eastAsia="en-US"/>
        </w:rPr>
        <w:t>Declaration of AI Use</w:t>
      </w:r>
    </w:p>
    <w:p w14:paraId="2AA8432A" w14:textId="77777777" w:rsidR="00DA0B4C" w:rsidRPr="009327FD" w:rsidRDefault="00DA0B4C" w:rsidP="00DA0B4C">
      <w:pPr>
        <w:jc w:val="both"/>
        <w:rPr>
          <w:rFonts w:eastAsia="Calibri" w:cs="Times New Roman"/>
          <w:kern w:val="2"/>
          <w:lang w:val="en-US" w:eastAsia="en-US"/>
        </w:rPr>
      </w:pPr>
      <w:r w:rsidRPr="009327FD">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B30E4F0" w14:textId="77777777" w:rsidR="005E68D4" w:rsidRPr="009327FD" w:rsidRDefault="005E68D4">
      <w:pPr>
        <w:rPr>
          <w:rFonts w:ascii="Times New Roman" w:hAnsi="Times New Roman" w:cs="Times New Roman"/>
          <w:b/>
          <w:lang w:val="en-US"/>
        </w:rPr>
      </w:pPr>
    </w:p>
    <w:p w14:paraId="2DCBA6D4" w14:textId="77777777" w:rsidR="005E68D4" w:rsidRPr="009327FD" w:rsidRDefault="00A32143">
      <w:pPr>
        <w:rPr>
          <w:rFonts w:ascii="Times New Roman" w:hAnsi="Times New Roman" w:cs="Times New Roman"/>
          <w:b/>
          <w:lang w:val="en-US"/>
        </w:rPr>
      </w:pPr>
      <w:r w:rsidRPr="009327FD">
        <w:rPr>
          <w:rFonts w:ascii="Times New Roman" w:hAnsi="Times New Roman" w:cs="Times New Roman"/>
          <w:b/>
          <w:lang w:val="en-US"/>
        </w:rPr>
        <w:lastRenderedPageBreak/>
        <w:t xml:space="preserve">References </w:t>
      </w:r>
    </w:p>
    <w:p w14:paraId="5642FFFF"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American Public Health Association, American Water Works Association, &amp; Water Environment Federation. (2017). </w:t>
      </w:r>
      <w:r w:rsidRPr="00A56274">
        <w:rPr>
          <w:rFonts w:ascii="Times New Roman" w:eastAsia="Times New Roman" w:hAnsi="Times New Roman" w:cs="Times New Roman"/>
          <w:i/>
          <w:iCs/>
          <w:lang w:val="en-US" w:eastAsia="en-US"/>
          <w14:ligatures w14:val="none"/>
        </w:rPr>
        <w:t>Standard methods for the examination of water and wastewater</w:t>
      </w:r>
      <w:r w:rsidRPr="00A56274">
        <w:rPr>
          <w:rFonts w:ascii="Times New Roman" w:eastAsia="Times New Roman" w:hAnsi="Times New Roman" w:cs="Times New Roman"/>
          <w:lang w:val="en-US" w:eastAsia="en-US"/>
          <w14:ligatures w14:val="none"/>
        </w:rPr>
        <w:t xml:space="preserve"> (23rd ed.). </w:t>
      </w:r>
      <w:hyperlink r:id="rId15" w:tgtFrame="_new" w:history="1">
        <w:r w:rsidRPr="00A56274">
          <w:rPr>
            <w:rFonts w:ascii="Times New Roman" w:eastAsia="Times New Roman" w:hAnsi="Times New Roman" w:cs="Times New Roman"/>
            <w:color w:val="0000FF"/>
            <w:u w:val="single"/>
            <w:lang w:val="en-US" w:eastAsia="en-US"/>
            <w14:ligatures w14:val="none"/>
          </w:rPr>
          <w:t>https://e-wef.org/Store/ProductDetails.aspx?productId=58296758</w:t>
        </w:r>
      </w:hyperlink>
    </w:p>
    <w:p w14:paraId="6363CE99" w14:textId="004EED59"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ASTM International. (2009). </w:t>
      </w:r>
      <w:r w:rsidRPr="00A56274">
        <w:rPr>
          <w:rFonts w:ascii="Times New Roman" w:eastAsia="Times New Roman" w:hAnsi="Times New Roman" w:cs="Times New Roman"/>
          <w:i/>
          <w:iCs/>
          <w:lang w:val="en-US" w:eastAsia="en-US"/>
          <w14:ligatures w14:val="none"/>
        </w:rPr>
        <w:t>Standard test methods for laboratory determination of density (unit weight) of soil specimens</w:t>
      </w:r>
      <w:r w:rsidRPr="00A56274">
        <w:rPr>
          <w:rFonts w:ascii="Times New Roman" w:eastAsia="Times New Roman" w:hAnsi="Times New Roman" w:cs="Times New Roman"/>
          <w:lang w:val="en-US" w:eastAsia="en-US"/>
          <w14:ligatures w14:val="none"/>
        </w:rPr>
        <w:t xml:space="preserve"> (ASTM D7263-09). https://doi.org/10.1520/D7263-09 </w:t>
      </w:r>
    </w:p>
    <w:p w14:paraId="06F9B22E" w14:textId="2F9E45B9"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ASTM International. (2017). </w:t>
      </w:r>
      <w:r w:rsidRPr="00A56274">
        <w:rPr>
          <w:rFonts w:ascii="Times New Roman" w:eastAsia="Times New Roman" w:hAnsi="Times New Roman" w:cs="Times New Roman"/>
          <w:i/>
          <w:iCs/>
          <w:lang w:val="en-US" w:eastAsia="en-US"/>
          <w14:ligatures w14:val="none"/>
        </w:rPr>
        <w:t>Standard test method for anions in water by suppressed ion chromatography</w:t>
      </w:r>
      <w:r w:rsidRPr="00A56274">
        <w:rPr>
          <w:rFonts w:ascii="Times New Roman" w:eastAsia="Times New Roman" w:hAnsi="Times New Roman" w:cs="Times New Roman"/>
          <w:lang w:val="en-US" w:eastAsia="en-US"/>
          <w14:ligatures w14:val="none"/>
        </w:rPr>
        <w:t xml:space="preserve"> (ASTM D4327-17). https://doi.org/10.1520/D4327-17 </w:t>
      </w:r>
    </w:p>
    <w:p w14:paraId="34354616"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nl-BE" w:eastAsia="en-US"/>
          <w14:ligatures w14:val="none"/>
        </w:rPr>
        <w:t xml:space="preserve">Andrews, S. S., Karlen, D. L., &amp; Cambardella, C. A. (2004). </w:t>
      </w:r>
      <w:r w:rsidRPr="00A56274">
        <w:rPr>
          <w:rFonts w:ascii="Times New Roman" w:eastAsia="Times New Roman" w:hAnsi="Times New Roman" w:cs="Times New Roman"/>
          <w:lang w:val="en-US" w:eastAsia="en-US"/>
          <w14:ligatures w14:val="none"/>
        </w:rPr>
        <w:t xml:space="preserve">The soil management assessment framework: A quantitative soil quality evaluation method. </w:t>
      </w:r>
      <w:r w:rsidRPr="00A56274">
        <w:rPr>
          <w:rFonts w:ascii="Times New Roman" w:eastAsia="Times New Roman" w:hAnsi="Times New Roman" w:cs="Times New Roman"/>
          <w:i/>
          <w:iCs/>
          <w:lang w:val="en-US" w:eastAsia="en-US"/>
          <w14:ligatures w14:val="none"/>
        </w:rPr>
        <w:t>Soil Science Society of America Journal, 68</w:t>
      </w:r>
      <w:r w:rsidRPr="00A56274">
        <w:rPr>
          <w:rFonts w:ascii="Times New Roman" w:eastAsia="Times New Roman" w:hAnsi="Times New Roman" w:cs="Times New Roman"/>
          <w:lang w:val="en-US" w:eastAsia="en-US"/>
          <w14:ligatures w14:val="none"/>
        </w:rPr>
        <w:t xml:space="preserve">(6), 1945–1962. </w:t>
      </w:r>
      <w:hyperlink r:id="rId16" w:tgtFrame="_new" w:history="1">
        <w:r w:rsidRPr="00A56274">
          <w:rPr>
            <w:rFonts w:ascii="Times New Roman" w:eastAsia="Times New Roman" w:hAnsi="Times New Roman" w:cs="Times New Roman"/>
            <w:color w:val="0000FF"/>
            <w:u w:val="single"/>
            <w:lang w:val="en-US" w:eastAsia="en-US"/>
            <w14:ligatures w14:val="none"/>
          </w:rPr>
          <w:t>https://doi.org/10.2136/sssaj2004.1945</w:t>
        </w:r>
      </w:hyperlink>
    </w:p>
    <w:p w14:paraId="7ACE7662" w14:textId="20C6E75F"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AOAC International. (2019). </w:t>
      </w:r>
      <w:r w:rsidRPr="00A56274">
        <w:rPr>
          <w:rFonts w:ascii="Times New Roman" w:eastAsia="Times New Roman" w:hAnsi="Times New Roman" w:cs="Times New Roman"/>
          <w:i/>
          <w:iCs/>
          <w:lang w:val="en-US" w:eastAsia="en-US"/>
          <w14:ligatures w14:val="none"/>
        </w:rPr>
        <w:t>Official methods of analysis of AOAC International</w:t>
      </w:r>
      <w:r w:rsidRPr="00A56274">
        <w:rPr>
          <w:rFonts w:ascii="Times New Roman" w:eastAsia="Times New Roman" w:hAnsi="Times New Roman" w:cs="Times New Roman"/>
          <w:lang w:val="en-US" w:eastAsia="en-US"/>
          <w14:ligatures w14:val="none"/>
        </w:rPr>
        <w:t xml:space="preserve"> (21st ed.). </w:t>
      </w:r>
      <w:hyperlink r:id="rId17" w:tgtFrame="_new" w:history="1">
        <w:r w:rsidRPr="00A56274">
          <w:rPr>
            <w:rFonts w:ascii="Times New Roman" w:eastAsia="Times New Roman" w:hAnsi="Times New Roman" w:cs="Times New Roman"/>
            <w:color w:val="0000FF"/>
            <w:u w:val="single"/>
            <w:lang w:val="en-US" w:eastAsia="en-US"/>
            <w14:ligatures w14:val="none"/>
          </w:rPr>
          <w:t>https://members.aoac.org/AOAC/AOAC/Item_Detail.aspx?Category=OMA&amp;iProductCode=1121</w:t>
        </w:r>
      </w:hyperlink>
      <w:r w:rsidRPr="00A56274">
        <w:rPr>
          <w:rFonts w:ascii="Times New Roman" w:eastAsia="Times New Roman" w:hAnsi="Times New Roman" w:cs="Times New Roman"/>
          <w:lang w:val="en-US" w:eastAsia="en-US"/>
          <w14:ligatures w14:val="none"/>
        </w:rPr>
        <w:t xml:space="preserve"> </w:t>
      </w:r>
    </w:p>
    <w:p w14:paraId="5DA076E0"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Bessong</w:t>
      </w:r>
      <w:proofErr w:type="spellEnd"/>
      <w:r w:rsidRPr="00A56274">
        <w:rPr>
          <w:rFonts w:ascii="Times New Roman" w:eastAsia="Times New Roman" w:hAnsi="Times New Roman" w:cs="Times New Roman"/>
          <w:lang w:val="en-US" w:eastAsia="en-US"/>
          <w14:ligatures w14:val="none"/>
        </w:rPr>
        <w:t xml:space="preserve">, A. R., Edu, E. N., Asuquo, N. E., Ivon, E. A., </w:t>
      </w:r>
      <w:proofErr w:type="spellStart"/>
      <w:r w:rsidRPr="00A56274">
        <w:rPr>
          <w:rFonts w:ascii="Times New Roman" w:eastAsia="Times New Roman" w:hAnsi="Times New Roman" w:cs="Times New Roman"/>
          <w:lang w:val="en-US" w:eastAsia="en-US"/>
          <w14:ligatures w14:val="none"/>
        </w:rPr>
        <w:t>Inah</w:t>
      </w:r>
      <w:proofErr w:type="spellEnd"/>
      <w:r w:rsidRPr="00A56274">
        <w:rPr>
          <w:rFonts w:ascii="Times New Roman" w:eastAsia="Times New Roman" w:hAnsi="Times New Roman" w:cs="Times New Roman"/>
          <w:lang w:val="en-US" w:eastAsia="en-US"/>
          <w14:ligatures w14:val="none"/>
        </w:rPr>
        <w:t xml:space="preserve">, A. S., &amp; </w:t>
      </w:r>
      <w:proofErr w:type="spellStart"/>
      <w:r w:rsidRPr="00A56274">
        <w:rPr>
          <w:rFonts w:ascii="Times New Roman" w:eastAsia="Times New Roman" w:hAnsi="Times New Roman" w:cs="Times New Roman"/>
          <w:lang w:val="en-US" w:eastAsia="en-US"/>
          <w14:ligatures w14:val="none"/>
        </w:rPr>
        <w:t>Bebia</w:t>
      </w:r>
      <w:proofErr w:type="spellEnd"/>
      <w:r w:rsidRPr="00A56274">
        <w:rPr>
          <w:rFonts w:ascii="Times New Roman" w:eastAsia="Times New Roman" w:hAnsi="Times New Roman" w:cs="Times New Roman"/>
          <w:lang w:val="en-US" w:eastAsia="en-US"/>
          <w14:ligatures w14:val="none"/>
        </w:rPr>
        <w:t xml:space="preserve">, O. (2023). Enhanced microbial and total petroleum hydrocarbon degradation in crude-oil polluted soils using </w:t>
      </w:r>
      <w:proofErr w:type="spellStart"/>
      <w:r w:rsidRPr="00A56274">
        <w:rPr>
          <w:rFonts w:ascii="Times New Roman" w:eastAsia="Times New Roman" w:hAnsi="Times New Roman" w:cs="Times New Roman"/>
          <w:lang w:val="en-US" w:eastAsia="en-US"/>
          <w14:ligatures w14:val="none"/>
        </w:rPr>
        <w:t>agro</w:t>
      </w:r>
      <w:proofErr w:type="spellEnd"/>
      <w:r w:rsidRPr="00A56274">
        <w:rPr>
          <w:rFonts w:ascii="Times New Roman" w:eastAsia="Times New Roman" w:hAnsi="Times New Roman" w:cs="Times New Roman"/>
          <w:lang w:val="en-US" w:eastAsia="en-US"/>
          <w14:ligatures w14:val="none"/>
        </w:rPr>
        <w:t xml:space="preserve">-wastes. </w:t>
      </w:r>
      <w:r w:rsidRPr="00A56274">
        <w:rPr>
          <w:rFonts w:ascii="Times New Roman" w:eastAsia="Times New Roman" w:hAnsi="Times New Roman" w:cs="Times New Roman"/>
          <w:i/>
          <w:iCs/>
          <w:lang w:val="en-US" w:eastAsia="en-US"/>
          <w14:ligatures w14:val="none"/>
        </w:rPr>
        <w:t>Pollution, 9</w:t>
      </w:r>
      <w:r w:rsidRPr="00A56274">
        <w:rPr>
          <w:rFonts w:ascii="Times New Roman" w:eastAsia="Times New Roman" w:hAnsi="Times New Roman" w:cs="Times New Roman"/>
          <w:lang w:val="en-US" w:eastAsia="en-US"/>
          <w14:ligatures w14:val="none"/>
        </w:rPr>
        <w:t xml:space="preserve">(4), 1741–1753. </w:t>
      </w:r>
      <w:hyperlink r:id="rId18" w:tgtFrame="_new" w:history="1">
        <w:r w:rsidRPr="00A56274">
          <w:rPr>
            <w:rFonts w:ascii="Times New Roman" w:eastAsia="Times New Roman" w:hAnsi="Times New Roman" w:cs="Times New Roman"/>
            <w:color w:val="0000FF"/>
            <w:u w:val="single"/>
            <w:lang w:val="en-US" w:eastAsia="en-US"/>
            <w14:ligatures w14:val="none"/>
          </w:rPr>
          <w:t>https://doi.org/10.22059/poll.2023.357572.1863</w:t>
        </w:r>
      </w:hyperlink>
    </w:p>
    <w:p w14:paraId="6FFD5127"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Bogati, K. A., </w:t>
      </w:r>
      <w:proofErr w:type="spellStart"/>
      <w:r w:rsidRPr="00A56274">
        <w:rPr>
          <w:rFonts w:ascii="Times New Roman" w:eastAsia="Times New Roman" w:hAnsi="Times New Roman" w:cs="Times New Roman"/>
          <w:lang w:val="en-US" w:eastAsia="en-US"/>
          <w14:ligatures w14:val="none"/>
        </w:rPr>
        <w:t>Sewerniak</w:t>
      </w:r>
      <w:proofErr w:type="spellEnd"/>
      <w:r w:rsidRPr="00A56274">
        <w:rPr>
          <w:rFonts w:ascii="Times New Roman" w:eastAsia="Times New Roman" w:hAnsi="Times New Roman" w:cs="Times New Roman"/>
          <w:lang w:val="en-US" w:eastAsia="en-US"/>
          <w14:ligatures w14:val="none"/>
        </w:rPr>
        <w:t xml:space="preserve">, P., &amp; Walczak, M. (2025). Unraveling the effect of soil moisture on microbial diversity and enzymatic activity in agricultural soils. </w:t>
      </w:r>
      <w:r w:rsidRPr="00A56274">
        <w:rPr>
          <w:rFonts w:ascii="Times New Roman" w:eastAsia="Times New Roman" w:hAnsi="Times New Roman" w:cs="Times New Roman"/>
          <w:i/>
          <w:iCs/>
          <w:lang w:val="en-US" w:eastAsia="en-US"/>
          <w14:ligatures w14:val="none"/>
        </w:rPr>
        <w:t>Microorganisms, 13</w:t>
      </w:r>
      <w:r w:rsidRPr="00A56274">
        <w:rPr>
          <w:rFonts w:ascii="Times New Roman" w:eastAsia="Times New Roman" w:hAnsi="Times New Roman" w:cs="Times New Roman"/>
          <w:lang w:val="en-US" w:eastAsia="en-US"/>
          <w14:ligatures w14:val="none"/>
        </w:rPr>
        <w:t xml:space="preserve">(6), Article 1245. </w:t>
      </w:r>
      <w:hyperlink r:id="rId19" w:tgtFrame="_new" w:history="1">
        <w:r w:rsidRPr="00A56274">
          <w:rPr>
            <w:rFonts w:ascii="Times New Roman" w:eastAsia="Times New Roman" w:hAnsi="Times New Roman" w:cs="Times New Roman"/>
            <w:color w:val="0000FF"/>
            <w:u w:val="single"/>
            <w:lang w:val="en-US" w:eastAsia="en-US"/>
            <w14:ligatures w14:val="none"/>
          </w:rPr>
          <w:t>https://doi.org/10.3390/microorganisms13061245</w:t>
        </w:r>
      </w:hyperlink>
    </w:p>
    <w:p w14:paraId="641F46F1"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Doran, J. W., &amp; Parkin, T. B. (1994). Defining and assessing soil quality. In J. W. Doran, D. C. Coleman, D. F. Bezdicek, &amp; B. A. Stewart (Eds.), </w:t>
      </w:r>
      <w:r w:rsidRPr="00A56274">
        <w:rPr>
          <w:rFonts w:ascii="Times New Roman" w:eastAsia="Times New Roman" w:hAnsi="Times New Roman" w:cs="Times New Roman"/>
          <w:i/>
          <w:iCs/>
          <w:lang w:val="en-US" w:eastAsia="en-US"/>
          <w14:ligatures w14:val="none"/>
        </w:rPr>
        <w:t>Defining soil quality for a sustainable environment</w:t>
      </w:r>
      <w:r w:rsidRPr="00A56274">
        <w:rPr>
          <w:rFonts w:ascii="Times New Roman" w:eastAsia="Times New Roman" w:hAnsi="Times New Roman" w:cs="Times New Roman"/>
          <w:lang w:val="en-US" w:eastAsia="en-US"/>
          <w14:ligatures w14:val="none"/>
        </w:rPr>
        <w:t xml:space="preserve"> (SSSA Special Publication No. 35, pp. 3–21). Soil Science Society of America. </w:t>
      </w:r>
      <w:hyperlink r:id="rId20" w:tgtFrame="_new" w:history="1">
        <w:r w:rsidRPr="00A56274">
          <w:rPr>
            <w:rFonts w:ascii="Times New Roman" w:eastAsia="Times New Roman" w:hAnsi="Times New Roman" w:cs="Times New Roman"/>
            <w:color w:val="0000FF"/>
            <w:u w:val="single"/>
            <w:lang w:val="en-US" w:eastAsia="en-US"/>
            <w14:ligatures w14:val="none"/>
          </w:rPr>
          <w:t>https://doi.org/10.2136/sssaspecpub35.c1</w:t>
        </w:r>
      </w:hyperlink>
    </w:p>
    <w:p w14:paraId="1EF17C78"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Elgazali</w:t>
      </w:r>
      <w:proofErr w:type="spellEnd"/>
      <w:r w:rsidRPr="00A56274">
        <w:rPr>
          <w:rFonts w:ascii="Times New Roman" w:eastAsia="Times New Roman" w:hAnsi="Times New Roman" w:cs="Times New Roman"/>
          <w:lang w:val="en-US" w:eastAsia="en-US"/>
          <w14:ligatures w14:val="none"/>
        </w:rPr>
        <w:t xml:space="preserve">, A., </w:t>
      </w:r>
      <w:proofErr w:type="spellStart"/>
      <w:r w:rsidRPr="00A56274">
        <w:rPr>
          <w:rFonts w:ascii="Times New Roman" w:eastAsia="Times New Roman" w:hAnsi="Times New Roman" w:cs="Times New Roman"/>
          <w:lang w:val="en-US" w:eastAsia="en-US"/>
          <w14:ligatures w14:val="none"/>
        </w:rPr>
        <w:t>Althalb</w:t>
      </w:r>
      <w:proofErr w:type="spellEnd"/>
      <w:r w:rsidRPr="00A56274">
        <w:rPr>
          <w:rFonts w:ascii="Times New Roman" w:eastAsia="Times New Roman" w:hAnsi="Times New Roman" w:cs="Times New Roman"/>
          <w:lang w:val="en-US" w:eastAsia="en-US"/>
          <w14:ligatures w14:val="none"/>
        </w:rPr>
        <w:t xml:space="preserve">, H., </w:t>
      </w:r>
      <w:proofErr w:type="spellStart"/>
      <w:r w:rsidRPr="00A56274">
        <w:rPr>
          <w:rFonts w:ascii="Times New Roman" w:eastAsia="Times New Roman" w:hAnsi="Times New Roman" w:cs="Times New Roman"/>
          <w:lang w:val="en-US" w:eastAsia="en-US"/>
          <w14:ligatures w14:val="none"/>
        </w:rPr>
        <w:t>Elmusrati</w:t>
      </w:r>
      <w:proofErr w:type="spellEnd"/>
      <w:r w:rsidRPr="00A56274">
        <w:rPr>
          <w:rFonts w:ascii="Times New Roman" w:eastAsia="Times New Roman" w:hAnsi="Times New Roman" w:cs="Times New Roman"/>
          <w:lang w:val="en-US" w:eastAsia="en-US"/>
          <w14:ligatures w14:val="none"/>
        </w:rPr>
        <w:t xml:space="preserve">, I., Ahmed, H. M., &amp; Banat, I. M. (2023). Remediation approaches to reduce hydrocarbon contamination in petroleum-polluted soil. </w:t>
      </w:r>
      <w:r w:rsidRPr="00A56274">
        <w:rPr>
          <w:rFonts w:ascii="Times New Roman" w:eastAsia="Times New Roman" w:hAnsi="Times New Roman" w:cs="Times New Roman"/>
          <w:i/>
          <w:iCs/>
          <w:lang w:val="en-US" w:eastAsia="en-US"/>
          <w14:ligatures w14:val="none"/>
        </w:rPr>
        <w:t>Microorganisms, 11</w:t>
      </w:r>
      <w:r w:rsidRPr="00A56274">
        <w:rPr>
          <w:rFonts w:ascii="Times New Roman" w:eastAsia="Times New Roman" w:hAnsi="Times New Roman" w:cs="Times New Roman"/>
          <w:lang w:val="en-US" w:eastAsia="en-US"/>
          <w14:ligatures w14:val="none"/>
        </w:rPr>
        <w:t xml:space="preserve">(10), Article 2577. </w:t>
      </w:r>
      <w:hyperlink r:id="rId21" w:tgtFrame="_new" w:history="1">
        <w:r w:rsidRPr="00A56274">
          <w:rPr>
            <w:rFonts w:ascii="Times New Roman" w:eastAsia="Times New Roman" w:hAnsi="Times New Roman" w:cs="Times New Roman"/>
            <w:color w:val="0000FF"/>
            <w:u w:val="single"/>
            <w:lang w:val="en-US" w:eastAsia="en-US"/>
            <w14:ligatures w14:val="none"/>
          </w:rPr>
          <w:t>https://doi.org/10.3390/microorganisms11102577</w:t>
        </w:r>
      </w:hyperlink>
    </w:p>
    <w:p w14:paraId="3140D72B"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nl-BE" w:eastAsia="en-US"/>
          <w14:ligatures w14:val="none"/>
        </w:rPr>
      </w:pPr>
      <w:r w:rsidRPr="00A56274">
        <w:rPr>
          <w:rFonts w:ascii="Times New Roman" w:eastAsia="Times New Roman" w:hAnsi="Times New Roman" w:cs="Times New Roman"/>
          <w:lang w:val="en-US" w:eastAsia="en-US"/>
          <w14:ligatures w14:val="none"/>
        </w:rPr>
        <w:t xml:space="preserve">Food and Agriculture Organization of the United Nations. (2006). </w:t>
      </w:r>
      <w:r w:rsidRPr="00A56274">
        <w:rPr>
          <w:rFonts w:ascii="Times New Roman" w:eastAsia="Times New Roman" w:hAnsi="Times New Roman" w:cs="Times New Roman"/>
          <w:i/>
          <w:iCs/>
          <w:lang w:val="en-US" w:eastAsia="en-US"/>
          <w14:ligatures w14:val="none"/>
        </w:rPr>
        <w:t>Guidelines for soil description</w:t>
      </w:r>
      <w:r w:rsidRPr="00A56274">
        <w:rPr>
          <w:rFonts w:ascii="Times New Roman" w:eastAsia="Times New Roman" w:hAnsi="Times New Roman" w:cs="Times New Roman"/>
          <w:lang w:val="en-US" w:eastAsia="en-US"/>
          <w14:ligatures w14:val="none"/>
        </w:rPr>
        <w:t xml:space="preserve"> (4th ed.). </w:t>
      </w:r>
      <w:hyperlink r:id="rId22" w:tgtFrame="_new" w:history="1">
        <w:r w:rsidRPr="00A56274">
          <w:rPr>
            <w:rFonts w:ascii="Times New Roman" w:eastAsia="Times New Roman" w:hAnsi="Times New Roman" w:cs="Times New Roman"/>
            <w:color w:val="0000FF"/>
            <w:u w:val="single"/>
            <w:lang w:val="nl-BE" w:eastAsia="en-US"/>
            <w14:ligatures w14:val="none"/>
          </w:rPr>
          <w:t>https://www.fao.org/4/a0541e/a0541e.pdf</w:t>
        </w:r>
      </w:hyperlink>
    </w:p>
    <w:p w14:paraId="1F8B62B7"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nl-BE" w:eastAsia="en-US"/>
          <w14:ligatures w14:val="none"/>
        </w:rPr>
        <w:t xml:space="preserve">Gospodarek, J., Rusin, M., Barczyk, G., &amp; Nadgórska-Socha, A. (2021). </w:t>
      </w:r>
      <w:r w:rsidRPr="00A56274">
        <w:rPr>
          <w:rFonts w:ascii="Times New Roman" w:eastAsia="Times New Roman" w:hAnsi="Times New Roman" w:cs="Times New Roman"/>
          <w:lang w:val="en-US" w:eastAsia="en-US"/>
          <w14:ligatures w14:val="none"/>
        </w:rPr>
        <w:t xml:space="preserve">The effect of petroleum-derived substances and their bioremediation on soil enzymatic activity and soil invertebrates. </w:t>
      </w:r>
      <w:r w:rsidRPr="00A56274">
        <w:rPr>
          <w:rFonts w:ascii="Times New Roman" w:eastAsia="Times New Roman" w:hAnsi="Times New Roman" w:cs="Times New Roman"/>
          <w:i/>
          <w:iCs/>
          <w:lang w:val="en-US" w:eastAsia="en-US"/>
          <w14:ligatures w14:val="none"/>
        </w:rPr>
        <w:t>Agronomy, 11</w:t>
      </w:r>
      <w:r w:rsidRPr="00A56274">
        <w:rPr>
          <w:rFonts w:ascii="Times New Roman" w:eastAsia="Times New Roman" w:hAnsi="Times New Roman" w:cs="Times New Roman"/>
          <w:lang w:val="en-US" w:eastAsia="en-US"/>
          <w14:ligatures w14:val="none"/>
        </w:rPr>
        <w:t xml:space="preserve">(1), Article 80. </w:t>
      </w:r>
      <w:hyperlink r:id="rId23" w:tgtFrame="_new" w:history="1">
        <w:r w:rsidRPr="00A56274">
          <w:rPr>
            <w:rFonts w:ascii="Times New Roman" w:eastAsia="Times New Roman" w:hAnsi="Times New Roman" w:cs="Times New Roman"/>
            <w:color w:val="0000FF"/>
            <w:u w:val="single"/>
            <w:lang w:val="en-US" w:eastAsia="en-US"/>
            <w14:ligatures w14:val="none"/>
          </w:rPr>
          <w:t>https://doi.org/10.3390/agronomy11010080</w:t>
        </w:r>
      </w:hyperlink>
    </w:p>
    <w:p w14:paraId="4156D501"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lastRenderedPageBreak/>
        <w:t xml:space="preserve">Ch’ng, H. Y., Ahmed, O. H., &amp; Majid, N. M. A. (2014). Improving phosphorus availability in an acid soil using organic amendments produced from agro-industrial wastes. </w:t>
      </w:r>
      <w:r w:rsidRPr="00A56274">
        <w:rPr>
          <w:rFonts w:ascii="Times New Roman" w:eastAsia="Times New Roman" w:hAnsi="Times New Roman" w:cs="Times New Roman"/>
          <w:i/>
          <w:iCs/>
          <w:lang w:val="en-US" w:eastAsia="en-US"/>
          <w14:ligatures w14:val="none"/>
        </w:rPr>
        <w:t>The Scientific World Journal, 2014</w:t>
      </w:r>
      <w:r w:rsidRPr="00A56274">
        <w:rPr>
          <w:rFonts w:ascii="Times New Roman" w:eastAsia="Times New Roman" w:hAnsi="Times New Roman" w:cs="Times New Roman"/>
          <w:lang w:val="en-US" w:eastAsia="en-US"/>
          <w14:ligatures w14:val="none"/>
        </w:rPr>
        <w:t xml:space="preserve">, Article 506356. </w:t>
      </w:r>
      <w:hyperlink r:id="rId24" w:tgtFrame="_new" w:history="1">
        <w:r w:rsidRPr="00A56274">
          <w:rPr>
            <w:rFonts w:ascii="Times New Roman" w:eastAsia="Times New Roman" w:hAnsi="Times New Roman" w:cs="Times New Roman"/>
            <w:color w:val="0000FF"/>
            <w:u w:val="single"/>
            <w:lang w:val="en-US" w:eastAsia="en-US"/>
            <w14:ligatures w14:val="none"/>
          </w:rPr>
          <w:t>https://doi.org/10.1155/2014/506356</w:t>
        </w:r>
      </w:hyperlink>
    </w:p>
    <w:p w14:paraId="3B366EFD" w14:textId="45FAD11E"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International Organization for Standardization. (2023). </w:t>
      </w:r>
      <w:r w:rsidRPr="00A56274">
        <w:rPr>
          <w:rFonts w:ascii="Times New Roman" w:eastAsia="Times New Roman" w:hAnsi="Times New Roman" w:cs="Times New Roman"/>
          <w:i/>
          <w:iCs/>
          <w:lang w:val="en-US" w:eastAsia="en-US"/>
          <w14:ligatures w14:val="none"/>
        </w:rPr>
        <w:t>ISO/TS 22171:2023: Soil quality—Determination of potential cation exchange capacity (CEC) and exchangeable cations buffered at pH 7, using a molar ammonium acetate solution</w:t>
      </w:r>
      <w:r w:rsidRPr="00A56274">
        <w:rPr>
          <w:rFonts w:ascii="Times New Roman" w:eastAsia="Times New Roman" w:hAnsi="Times New Roman" w:cs="Times New Roman"/>
          <w:lang w:val="en-US" w:eastAsia="en-US"/>
          <w14:ligatures w14:val="none"/>
        </w:rPr>
        <w:t xml:space="preserve">. </w:t>
      </w:r>
      <w:hyperlink r:id="rId25" w:tgtFrame="_new" w:history="1">
        <w:r w:rsidRPr="00A56274">
          <w:rPr>
            <w:rFonts w:ascii="Times New Roman" w:eastAsia="Times New Roman" w:hAnsi="Times New Roman" w:cs="Times New Roman"/>
            <w:color w:val="0000FF"/>
            <w:u w:val="single"/>
            <w:lang w:val="en-US" w:eastAsia="en-US"/>
            <w14:ligatures w14:val="none"/>
          </w:rPr>
          <w:t>https://www.iso.org/standard/80891.html</w:t>
        </w:r>
      </w:hyperlink>
      <w:r w:rsidRPr="00A56274">
        <w:rPr>
          <w:rFonts w:ascii="Times New Roman" w:eastAsia="Times New Roman" w:hAnsi="Times New Roman" w:cs="Times New Roman"/>
          <w:lang w:val="en-US" w:eastAsia="en-US"/>
          <w14:ligatures w14:val="none"/>
        </w:rPr>
        <w:t xml:space="preserve"> </w:t>
      </w:r>
    </w:p>
    <w:p w14:paraId="324CC1C5"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International Organization for Standardization. (2006). </w:t>
      </w:r>
      <w:r w:rsidRPr="00A56274">
        <w:rPr>
          <w:rFonts w:ascii="Times New Roman" w:eastAsia="Times New Roman" w:hAnsi="Times New Roman" w:cs="Times New Roman"/>
          <w:i/>
          <w:iCs/>
          <w:lang w:val="en-US" w:eastAsia="en-US"/>
          <w14:ligatures w14:val="none"/>
        </w:rPr>
        <w:t xml:space="preserve">ISO 11464:2006: Soil quality—Pretreatment of samples for </w:t>
      </w:r>
      <w:proofErr w:type="spellStart"/>
      <w:r w:rsidRPr="00A56274">
        <w:rPr>
          <w:rFonts w:ascii="Times New Roman" w:eastAsia="Times New Roman" w:hAnsi="Times New Roman" w:cs="Times New Roman"/>
          <w:i/>
          <w:iCs/>
          <w:lang w:val="en-US" w:eastAsia="en-US"/>
          <w14:ligatures w14:val="none"/>
        </w:rPr>
        <w:t>physico</w:t>
      </w:r>
      <w:proofErr w:type="spellEnd"/>
      <w:r w:rsidRPr="00A56274">
        <w:rPr>
          <w:rFonts w:ascii="Times New Roman" w:eastAsia="Times New Roman" w:hAnsi="Times New Roman" w:cs="Times New Roman"/>
          <w:i/>
          <w:iCs/>
          <w:lang w:val="en-US" w:eastAsia="en-US"/>
          <w14:ligatures w14:val="none"/>
        </w:rPr>
        <w:t>-chemical analysis</w:t>
      </w:r>
      <w:r w:rsidRPr="00A56274">
        <w:rPr>
          <w:rFonts w:ascii="Times New Roman" w:eastAsia="Times New Roman" w:hAnsi="Times New Roman" w:cs="Times New Roman"/>
          <w:lang w:val="en-US" w:eastAsia="en-US"/>
          <w14:ligatures w14:val="none"/>
        </w:rPr>
        <w:t xml:space="preserve">. </w:t>
      </w:r>
      <w:hyperlink r:id="rId26" w:tgtFrame="_new" w:history="1">
        <w:r w:rsidRPr="00A56274">
          <w:rPr>
            <w:rFonts w:ascii="Times New Roman" w:eastAsia="Times New Roman" w:hAnsi="Times New Roman" w:cs="Times New Roman"/>
            <w:color w:val="0000FF"/>
            <w:u w:val="single"/>
            <w:lang w:val="en-US" w:eastAsia="en-US"/>
            <w14:ligatures w14:val="none"/>
          </w:rPr>
          <w:t>https://www.iso.org/standard/37718.html</w:t>
        </w:r>
      </w:hyperlink>
    </w:p>
    <w:p w14:paraId="45B25E95"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International Organization for Standardization. (2013). </w:t>
      </w:r>
      <w:r w:rsidRPr="00A56274">
        <w:rPr>
          <w:rFonts w:ascii="Times New Roman" w:eastAsia="Times New Roman" w:hAnsi="Times New Roman" w:cs="Times New Roman"/>
          <w:i/>
          <w:iCs/>
          <w:lang w:val="en-US" w:eastAsia="en-US"/>
          <w14:ligatures w14:val="none"/>
        </w:rPr>
        <w:t>ISO 4833-1:2013: Microbiology of the food chain—Horizontal method for the enumeration of microorganisms—Part 1: Colony count at 30 °C by the pour plate technique</w:t>
      </w:r>
      <w:r w:rsidRPr="00A56274">
        <w:rPr>
          <w:rFonts w:ascii="Times New Roman" w:eastAsia="Times New Roman" w:hAnsi="Times New Roman" w:cs="Times New Roman"/>
          <w:lang w:val="en-US" w:eastAsia="en-US"/>
          <w14:ligatures w14:val="none"/>
        </w:rPr>
        <w:t xml:space="preserve">. </w:t>
      </w:r>
      <w:hyperlink r:id="rId27" w:tgtFrame="_new" w:history="1">
        <w:r w:rsidRPr="00A56274">
          <w:rPr>
            <w:rFonts w:ascii="Times New Roman" w:eastAsia="Times New Roman" w:hAnsi="Times New Roman" w:cs="Times New Roman"/>
            <w:color w:val="0000FF"/>
            <w:u w:val="single"/>
            <w:lang w:val="en-US" w:eastAsia="en-US"/>
            <w14:ligatures w14:val="none"/>
          </w:rPr>
          <w:t>https://www.iso.org/standard/53728.html</w:t>
        </w:r>
      </w:hyperlink>
    </w:p>
    <w:p w14:paraId="66E366EC" w14:textId="534B914B"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Kahsay, A., Haile, M., </w:t>
      </w:r>
      <w:proofErr w:type="spellStart"/>
      <w:r w:rsidRPr="00A56274">
        <w:rPr>
          <w:rFonts w:ascii="Times New Roman" w:eastAsia="Times New Roman" w:hAnsi="Times New Roman" w:cs="Times New Roman"/>
          <w:lang w:val="en-US" w:eastAsia="en-US"/>
          <w14:ligatures w14:val="none"/>
        </w:rPr>
        <w:t>Gebresamuel</w:t>
      </w:r>
      <w:proofErr w:type="spellEnd"/>
      <w:r w:rsidRPr="00A56274">
        <w:rPr>
          <w:rFonts w:ascii="Times New Roman" w:eastAsia="Times New Roman" w:hAnsi="Times New Roman" w:cs="Times New Roman"/>
          <w:lang w:val="en-US" w:eastAsia="en-US"/>
          <w14:ligatures w14:val="none"/>
        </w:rPr>
        <w:t xml:space="preserve">, G., &amp; Mohammed, M. (2025). Developing soil quality indices to investigate degradation impacts of different land use types in Northern Ethiopia. </w:t>
      </w:r>
      <w:proofErr w:type="spellStart"/>
      <w:r w:rsidRPr="00A56274">
        <w:rPr>
          <w:rFonts w:ascii="Times New Roman" w:eastAsia="Times New Roman" w:hAnsi="Times New Roman" w:cs="Times New Roman"/>
          <w:i/>
          <w:iCs/>
          <w:lang w:val="en-US" w:eastAsia="en-US"/>
          <w14:ligatures w14:val="none"/>
        </w:rPr>
        <w:t>Heliyon</w:t>
      </w:r>
      <w:proofErr w:type="spellEnd"/>
      <w:r w:rsidRPr="00A56274">
        <w:rPr>
          <w:rFonts w:ascii="Times New Roman" w:eastAsia="Times New Roman" w:hAnsi="Times New Roman" w:cs="Times New Roman"/>
          <w:i/>
          <w:iCs/>
          <w:lang w:val="en-US" w:eastAsia="en-US"/>
          <w14:ligatures w14:val="none"/>
        </w:rPr>
        <w:t>, 11</w:t>
      </w:r>
      <w:r w:rsidRPr="00A56274">
        <w:rPr>
          <w:rFonts w:ascii="Times New Roman" w:eastAsia="Times New Roman" w:hAnsi="Times New Roman" w:cs="Times New Roman"/>
          <w:lang w:val="en-US" w:eastAsia="en-US"/>
          <w14:ligatures w14:val="none"/>
        </w:rPr>
        <w:t xml:space="preserve">, Article e41185. </w:t>
      </w:r>
      <w:hyperlink r:id="rId28" w:tgtFrame="_new" w:history="1">
        <w:r w:rsidRPr="00A56274">
          <w:rPr>
            <w:rFonts w:ascii="Times New Roman" w:eastAsia="Times New Roman" w:hAnsi="Times New Roman" w:cs="Times New Roman"/>
            <w:color w:val="0000FF"/>
            <w:u w:val="single"/>
            <w:lang w:val="en-US" w:eastAsia="en-US"/>
            <w14:ligatures w14:val="none"/>
          </w:rPr>
          <w:t>https://doi.org/10.1016/j.heliyon.2024.e41185</w:t>
        </w:r>
      </w:hyperlink>
      <w:r w:rsidRPr="00A56274">
        <w:rPr>
          <w:rFonts w:ascii="Times New Roman" w:eastAsia="Times New Roman" w:hAnsi="Times New Roman" w:cs="Times New Roman"/>
          <w:lang w:val="en-US" w:eastAsia="en-US"/>
          <w14:ligatures w14:val="none"/>
        </w:rPr>
        <w:t xml:space="preserve"> </w:t>
      </w:r>
    </w:p>
    <w:p w14:paraId="3CF0620C"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Kumar, S., Srivastava, A., &amp; Gupta, A. (2015). Effect of organic amendments on availability of different chemical fractions of phosphorus. </w:t>
      </w:r>
      <w:r w:rsidRPr="00A56274">
        <w:rPr>
          <w:rFonts w:ascii="Times New Roman" w:eastAsia="Times New Roman" w:hAnsi="Times New Roman" w:cs="Times New Roman"/>
          <w:i/>
          <w:iCs/>
          <w:lang w:val="en-US" w:eastAsia="en-US"/>
          <w14:ligatures w14:val="none"/>
        </w:rPr>
        <w:t>Agricultural Science Digest, 35</w:t>
      </w:r>
      <w:r w:rsidRPr="00A56274">
        <w:rPr>
          <w:rFonts w:ascii="Times New Roman" w:eastAsia="Times New Roman" w:hAnsi="Times New Roman" w:cs="Times New Roman"/>
          <w:lang w:val="en-US" w:eastAsia="en-US"/>
          <w14:ligatures w14:val="none"/>
        </w:rPr>
        <w:t xml:space="preserve">(2), 83–88. </w:t>
      </w:r>
      <w:hyperlink r:id="rId29" w:tgtFrame="_new" w:history="1">
        <w:r w:rsidRPr="00A56274">
          <w:rPr>
            <w:rFonts w:ascii="Times New Roman" w:eastAsia="Times New Roman" w:hAnsi="Times New Roman" w:cs="Times New Roman"/>
            <w:color w:val="0000FF"/>
            <w:u w:val="single"/>
            <w:lang w:val="en-US" w:eastAsia="en-US"/>
            <w14:ligatures w14:val="none"/>
          </w:rPr>
          <w:t>https://doi.org/10.5958/0976-0547.2015.00033.6</w:t>
        </w:r>
      </w:hyperlink>
    </w:p>
    <w:p w14:paraId="6CEE38EE"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Melo, D. M. A. de, Pérez-Marín, A. M., Araújo, A. E. de, Oliveira, M. R. G. de, Macedo, R. S., &amp; Nascimento, S. M. S. G. do. (2024). Soil quality indicators in peasant agroecosystems in Paraíba State, Brazil. </w:t>
      </w:r>
      <w:r w:rsidRPr="00A56274">
        <w:rPr>
          <w:rFonts w:ascii="Times New Roman" w:eastAsia="Times New Roman" w:hAnsi="Times New Roman" w:cs="Times New Roman"/>
          <w:i/>
          <w:iCs/>
          <w:lang w:val="en-US" w:eastAsia="en-US"/>
          <w14:ligatures w14:val="none"/>
        </w:rPr>
        <w:t>Tropical Conservation Science, 17</w:t>
      </w:r>
      <w:r w:rsidRPr="00A56274">
        <w:rPr>
          <w:rFonts w:ascii="Times New Roman" w:eastAsia="Times New Roman" w:hAnsi="Times New Roman" w:cs="Times New Roman"/>
          <w:lang w:val="en-US" w:eastAsia="en-US"/>
          <w14:ligatures w14:val="none"/>
        </w:rPr>
        <w:t xml:space="preserve">, 1–5. </w:t>
      </w:r>
      <w:hyperlink r:id="rId30" w:tgtFrame="_new" w:history="1">
        <w:r w:rsidRPr="00A56274">
          <w:rPr>
            <w:rFonts w:ascii="Times New Roman" w:eastAsia="Times New Roman" w:hAnsi="Times New Roman" w:cs="Times New Roman"/>
            <w:color w:val="0000FF"/>
            <w:u w:val="single"/>
            <w:lang w:val="en-US" w:eastAsia="en-US"/>
            <w14:ligatures w14:val="none"/>
          </w:rPr>
          <w:t>https://doi.org/10.1177/19400829231215492</w:t>
        </w:r>
      </w:hyperlink>
    </w:p>
    <w:p w14:paraId="0A0AE2BF"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Michael-</w:t>
      </w:r>
      <w:proofErr w:type="spellStart"/>
      <w:r w:rsidRPr="00A56274">
        <w:rPr>
          <w:rFonts w:ascii="Times New Roman" w:eastAsia="Times New Roman" w:hAnsi="Times New Roman" w:cs="Times New Roman"/>
          <w:lang w:val="en-US" w:eastAsia="en-US"/>
          <w14:ligatures w14:val="none"/>
        </w:rPr>
        <w:t>Igolima</w:t>
      </w:r>
      <w:proofErr w:type="spellEnd"/>
      <w:r w:rsidRPr="00A56274">
        <w:rPr>
          <w:rFonts w:ascii="Times New Roman" w:eastAsia="Times New Roman" w:hAnsi="Times New Roman" w:cs="Times New Roman"/>
          <w:lang w:val="en-US" w:eastAsia="en-US"/>
          <w14:ligatures w14:val="none"/>
        </w:rPr>
        <w:t xml:space="preserve">, U., Abbey, S. J., &amp; </w:t>
      </w:r>
      <w:proofErr w:type="spellStart"/>
      <w:r w:rsidRPr="00A56274">
        <w:rPr>
          <w:rFonts w:ascii="Times New Roman" w:eastAsia="Times New Roman" w:hAnsi="Times New Roman" w:cs="Times New Roman"/>
          <w:lang w:val="en-US" w:eastAsia="en-US"/>
          <w14:ligatures w14:val="none"/>
        </w:rPr>
        <w:t>Ifelebuegu</w:t>
      </w:r>
      <w:proofErr w:type="spellEnd"/>
      <w:r w:rsidRPr="00A56274">
        <w:rPr>
          <w:rFonts w:ascii="Times New Roman" w:eastAsia="Times New Roman" w:hAnsi="Times New Roman" w:cs="Times New Roman"/>
          <w:lang w:val="en-US" w:eastAsia="en-US"/>
          <w14:ligatures w14:val="none"/>
        </w:rPr>
        <w:t xml:space="preserve">, A. O. (2022). A systematic review on the effectiveness of remediation methods for oil-contaminated soils. </w:t>
      </w:r>
      <w:r w:rsidRPr="00A56274">
        <w:rPr>
          <w:rFonts w:ascii="Times New Roman" w:eastAsia="Times New Roman" w:hAnsi="Times New Roman" w:cs="Times New Roman"/>
          <w:i/>
          <w:iCs/>
          <w:lang w:val="en-US" w:eastAsia="en-US"/>
          <w14:ligatures w14:val="none"/>
        </w:rPr>
        <w:t>Environmental Advances, 9</w:t>
      </w:r>
      <w:r w:rsidRPr="00A56274">
        <w:rPr>
          <w:rFonts w:ascii="Times New Roman" w:eastAsia="Times New Roman" w:hAnsi="Times New Roman" w:cs="Times New Roman"/>
          <w:lang w:val="en-US" w:eastAsia="en-US"/>
          <w14:ligatures w14:val="none"/>
        </w:rPr>
        <w:t xml:space="preserve">, Article 100319. </w:t>
      </w:r>
      <w:hyperlink r:id="rId31" w:tgtFrame="_new" w:history="1">
        <w:r w:rsidRPr="00A56274">
          <w:rPr>
            <w:rFonts w:ascii="Times New Roman" w:eastAsia="Times New Roman" w:hAnsi="Times New Roman" w:cs="Times New Roman"/>
            <w:color w:val="0000FF"/>
            <w:u w:val="single"/>
            <w:lang w:val="en-US" w:eastAsia="en-US"/>
            <w14:ligatures w14:val="none"/>
          </w:rPr>
          <w:t>https://doi.org/10.1016/j.envadv.2022.100319</w:t>
        </w:r>
      </w:hyperlink>
    </w:p>
    <w:p w14:paraId="5EA97C99"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Nwokoro</w:t>
      </w:r>
      <w:proofErr w:type="spellEnd"/>
      <w:r w:rsidRPr="00A56274">
        <w:rPr>
          <w:rFonts w:ascii="Times New Roman" w:eastAsia="Times New Roman" w:hAnsi="Times New Roman" w:cs="Times New Roman"/>
          <w:lang w:val="en-US" w:eastAsia="en-US"/>
          <w14:ligatures w14:val="none"/>
        </w:rPr>
        <w:t xml:space="preserve">, C. V., &amp; Chima, F. O. (2017). Impact of environmental degradation on agricultural production and poverty in rural Nigeria. </w:t>
      </w:r>
      <w:r w:rsidRPr="00A56274">
        <w:rPr>
          <w:rFonts w:ascii="Times New Roman" w:eastAsia="Times New Roman" w:hAnsi="Times New Roman" w:cs="Times New Roman"/>
          <w:i/>
          <w:iCs/>
          <w:lang w:val="en-US" w:eastAsia="en-US"/>
          <w14:ligatures w14:val="none"/>
        </w:rPr>
        <w:t>American International Journal of Contemporary Research, 7</w:t>
      </w:r>
      <w:r w:rsidRPr="00A56274">
        <w:rPr>
          <w:rFonts w:ascii="Times New Roman" w:eastAsia="Times New Roman" w:hAnsi="Times New Roman" w:cs="Times New Roman"/>
          <w:lang w:val="en-US" w:eastAsia="en-US"/>
          <w14:ligatures w14:val="none"/>
        </w:rPr>
        <w:t xml:space="preserve">(2), 1–9. </w:t>
      </w:r>
      <w:hyperlink r:id="rId32" w:tgtFrame="_new" w:history="1">
        <w:r w:rsidRPr="00A56274">
          <w:rPr>
            <w:rFonts w:ascii="Times New Roman" w:eastAsia="Times New Roman" w:hAnsi="Times New Roman" w:cs="Times New Roman"/>
            <w:color w:val="0000FF"/>
            <w:u w:val="single"/>
            <w:lang w:val="en-US" w:eastAsia="en-US"/>
            <w14:ligatures w14:val="none"/>
          </w:rPr>
          <w:t>https://aijcr.thebrpi.org/journals/Vol_7_No_2_June_2017/2.pdf</w:t>
        </w:r>
      </w:hyperlink>
    </w:p>
    <w:p w14:paraId="271DD0CD" w14:textId="1511DD30"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nl-BE" w:eastAsia="en-US"/>
          <w14:ligatures w14:val="none"/>
        </w:rPr>
        <w:t xml:space="preserve">Nwokoro, C. V., &amp; Chima, F. O. (2018). </w:t>
      </w:r>
      <w:r w:rsidRPr="00A56274">
        <w:rPr>
          <w:rFonts w:ascii="Times New Roman" w:eastAsia="Times New Roman" w:hAnsi="Times New Roman" w:cs="Times New Roman"/>
          <w:lang w:val="en-US" w:eastAsia="en-US"/>
          <w14:ligatures w14:val="none"/>
        </w:rPr>
        <w:t xml:space="preserve">Evaluation of impact of unsustainable agricultural practices on rural poverty and environmental resource management in Ogoni, Nigeria. </w:t>
      </w:r>
      <w:r w:rsidRPr="00A56274">
        <w:rPr>
          <w:rFonts w:ascii="Times New Roman" w:eastAsia="Times New Roman" w:hAnsi="Times New Roman" w:cs="Times New Roman"/>
          <w:i/>
          <w:iCs/>
          <w:lang w:val="en-US" w:eastAsia="en-US"/>
          <w14:ligatures w14:val="none"/>
        </w:rPr>
        <w:t>International Journal of Education and Human Developments, 4</w:t>
      </w:r>
      <w:r w:rsidRPr="00A56274">
        <w:rPr>
          <w:rFonts w:ascii="Times New Roman" w:eastAsia="Times New Roman" w:hAnsi="Times New Roman" w:cs="Times New Roman"/>
          <w:lang w:val="en-US" w:eastAsia="en-US"/>
          <w14:ligatures w14:val="none"/>
        </w:rPr>
        <w:t xml:space="preserve">(4), 11–25. </w:t>
      </w:r>
    </w:p>
    <w:p w14:paraId="3DE00C6F"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Omokaro</w:t>
      </w:r>
      <w:proofErr w:type="spellEnd"/>
      <w:r w:rsidRPr="00A56274">
        <w:rPr>
          <w:rFonts w:ascii="Times New Roman" w:eastAsia="Times New Roman" w:hAnsi="Times New Roman" w:cs="Times New Roman"/>
          <w:lang w:val="en-US" w:eastAsia="en-US"/>
          <w14:ligatures w14:val="none"/>
        </w:rPr>
        <w:t xml:space="preserve">, G. O. (2024). Oil extraction and the environment in Nigeria’s Niger Delta: A political-industrial ecology (PIE) perspective. </w:t>
      </w:r>
      <w:r w:rsidRPr="00A56274">
        <w:rPr>
          <w:rFonts w:ascii="Times New Roman" w:eastAsia="Times New Roman" w:hAnsi="Times New Roman" w:cs="Times New Roman"/>
          <w:i/>
          <w:iCs/>
          <w:lang w:val="en-US" w:eastAsia="en-US"/>
          <w14:ligatures w14:val="none"/>
        </w:rPr>
        <w:t>Asian Journal of Advanced Research and Reports, 18</w:t>
      </w:r>
      <w:r w:rsidRPr="00A56274">
        <w:rPr>
          <w:rFonts w:ascii="Times New Roman" w:eastAsia="Times New Roman" w:hAnsi="Times New Roman" w:cs="Times New Roman"/>
          <w:lang w:val="en-US" w:eastAsia="en-US"/>
          <w14:ligatures w14:val="none"/>
        </w:rPr>
        <w:t xml:space="preserve">(11), 161–169. </w:t>
      </w:r>
      <w:hyperlink r:id="rId33" w:tgtFrame="_new" w:history="1">
        <w:r w:rsidRPr="00A56274">
          <w:rPr>
            <w:rFonts w:ascii="Times New Roman" w:eastAsia="Times New Roman" w:hAnsi="Times New Roman" w:cs="Times New Roman"/>
            <w:color w:val="0000FF"/>
            <w:u w:val="single"/>
            <w:lang w:val="en-US" w:eastAsia="en-US"/>
            <w14:ligatures w14:val="none"/>
          </w:rPr>
          <w:t>https://doi.org/10.9734/ajarr/2024/v18i11784</w:t>
        </w:r>
      </w:hyperlink>
    </w:p>
    <w:p w14:paraId="5749CE7F"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Ramadass</w:t>
      </w:r>
      <w:proofErr w:type="spellEnd"/>
      <w:r w:rsidRPr="00A56274">
        <w:rPr>
          <w:rFonts w:ascii="Times New Roman" w:eastAsia="Times New Roman" w:hAnsi="Times New Roman" w:cs="Times New Roman"/>
          <w:lang w:val="en-US" w:eastAsia="en-US"/>
          <w14:ligatures w14:val="none"/>
        </w:rPr>
        <w:t xml:space="preserve">, K., Megharaj, M., </w:t>
      </w:r>
      <w:proofErr w:type="spellStart"/>
      <w:r w:rsidRPr="00A56274">
        <w:rPr>
          <w:rFonts w:ascii="Times New Roman" w:eastAsia="Times New Roman" w:hAnsi="Times New Roman" w:cs="Times New Roman"/>
          <w:lang w:val="en-US" w:eastAsia="en-US"/>
          <w14:ligatures w14:val="none"/>
        </w:rPr>
        <w:t>Venkateswarlu</w:t>
      </w:r>
      <w:proofErr w:type="spellEnd"/>
      <w:r w:rsidRPr="00A56274">
        <w:rPr>
          <w:rFonts w:ascii="Times New Roman" w:eastAsia="Times New Roman" w:hAnsi="Times New Roman" w:cs="Times New Roman"/>
          <w:lang w:val="en-US" w:eastAsia="en-US"/>
          <w14:ligatures w14:val="none"/>
        </w:rPr>
        <w:t xml:space="preserve">, K., &amp; Naidu, R. (2017). Ecotoxicity of measured concentrations of soil-applied diesel: Effects on earthworm survival, dehydrogenase, urease and </w:t>
      </w:r>
      <w:r w:rsidRPr="00A56274">
        <w:rPr>
          <w:rFonts w:ascii="Times New Roman" w:eastAsia="Times New Roman" w:hAnsi="Times New Roman" w:cs="Times New Roman"/>
          <w:lang w:val="en-US" w:eastAsia="en-US"/>
          <w14:ligatures w14:val="none"/>
        </w:rPr>
        <w:lastRenderedPageBreak/>
        <w:t xml:space="preserve">nitrification activities. </w:t>
      </w:r>
      <w:r w:rsidRPr="00A56274">
        <w:rPr>
          <w:rFonts w:ascii="Times New Roman" w:eastAsia="Times New Roman" w:hAnsi="Times New Roman" w:cs="Times New Roman"/>
          <w:i/>
          <w:iCs/>
          <w:lang w:val="en-US" w:eastAsia="en-US"/>
          <w14:ligatures w14:val="none"/>
        </w:rPr>
        <w:t>Applied Soil Ecology, 119</w:t>
      </w:r>
      <w:r w:rsidRPr="00A56274">
        <w:rPr>
          <w:rFonts w:ascii="Times New Roman" w:eastAsia="Times New Roman" w:hAnsi="Times New Roman" w:cs="Times New Roman"/>
          <w:lang w:val="en-US" w:eastAsia="en-US"/>
          <w14:ligatures w14:val="none"/>
        </w:rPr>
        <w:t xml:space="preserve">, 1–7. </w:t>
      </w:r>
      <w:hyperlink r:id="rId34" w:tgtFrame="_new" w:history="1">
        <w:r w:rsidRPr="00A56274">
          <w:rPr>
            <w:rFonts w:ascii="Times New Roman" w:eastAsia="Times New Roman" w:hAnsi="Times New Roman" w:cs="Times New Roman"/>
            <w:color w:val="0000FF"/>
            <w:u w:val="single"/>
            <w:lang w:val="en-US" w:eastAsia="en-US"/>
            <w14:ligatures w14:val="none"/>
          </w:rPr>
          <w:t>https://doi.org/10.1016/j.apsoil.2017.05.017</w:t>
        </w:r>
      </w:hyperlink>
    </w:p>
    <w:p w14:paraId="4583C59D"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Rana, S., Swain, D. K., Bhattacharya, P., Roy, A., Samanta, S., </w:t>
      </w:r>
      <w:proofErr w:type="spellStart"/>
      <w:r w:rsidRPr="00A56274">
        <w:rPr>
          <w:rFonts w:ascii="Times New Roman" w:eastAsia="Times New Roman" w:hAnsi="Times New Roman" w:cs="Times New Roman"/>
          <w:lang w:val="en-US" w:eastAsia="en-US"/>
          <w14:ligatures w14:val="none"/>
        </w:rPr>
        <w:t>Seleiman</w:t>
      </w:r>
      <w:proofErr w:type="spellEnd"/>
      <w:r w:rsidRPr="00A56274">
        <w:rPr>
          <w:rFonts w:ascii="Times New Roman" w:eastAsia="Times New Roman" w:hAnsi="Times New Roman" w:cs="Times New Roman"/>
          <w:lang w:val="en-US" w:eastAsia="en-US"/>
          <w14:ligatures w14:val="none"/>
        </w:rPr>
        <w:t xml:space="preserve">, M. F., Ali, N., &amp; Dey, P. (2025). Soil biochemical quality indices can capture transitional changes of tillage and residue regime in lateritic soils. </w:t>
      </w:r>
      <w:r w:rsidRPr="00A56274">
        <w:rPr>
          <w:rFonts w:ascii="Times New Roman" w:eastAsia="Times New Roman" w:hAnsi="Times New Roman" w:cs="Times New Roman"/>
          <w:i/>
          <w:iCs/>
          <w:lang w:val="en-US" w:eastAsia="en-US"/>
          <w14:ligatures w14:val="none"/>
        </w:rPr>
        <w:t>BMC Plant Biology, 25</w:t>
      </w:r>
      <w:r w:rsidRPr="00A56274">
        <w:rPr>
          <w:rFonts w:ascii="Times New Roman" w:eastAsia="Times New Roman" w:hAnsi="Times New Roman" w:cs="Times New Roman"/>
          <w:lang w:val="en-US" w:eastAsia="en-US"/>
          <w14:ligatures w14:val="none"/>
        </w:rPr>
        <w:t xml:space="preserve">, Article 1128. </w:t>
      </w:r>
      <w:hyperlink r:id="rId35" w:tgtFrame="_new" w:history="1">
        <w:r w:rsidRPr="00A56274">
          <w:rPr>
            <w:rFonts w:ascii="Times New Roman" w:eastAsia="Times New Roman" w:hAnsi="Times New Roman" w:cs="Times New Roman"/>
            <w:color w:val="0000FF"/>
            <w:u w:val="single"/>
            <w:lang w:val="en-US" w:eastAsia="en-US"/>
            <w14:ligatures w14:val="none"/>
          </w:rPr>
          <w:t>https://doi.org/10.1186/s12870-025-07212-3</w:t>
        </w:r>
      </w:hyperlink>
    </w:p>
    <w:p w14:paraId="6B40EBF4" w14:textId="35AE0FCD"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Lee, S. H., Lee, J. H., Jung, W. C., Park, M., Kim, M. S., Lee, S. J., &amp; Park, H. (2020). Changes in soil health with remediation of petroleum hydrocarbon contaminated soils using two different remediation technologies. </w:t>
      </w:r>
      <w:r w:rsidRPr="00A56274">
        <w:rPr>
          <w:rFonts w:ascii="Times New Roman" w:eastAsia="Times New Roman" w:hAnsi="Times New Roman" w:cs="Times New Roman"/>
          <w:i/>
          <w:iCs/>
          <w:lang w:val="en-US" w:eastAsia="en-US"/>
          <w14:ligatures w14:val="none"/>
        </w:rPr>
        <w:t>Sustainability, 12</w:t>
      </w:r>
      <w:r w:rsidRPr="00A56274">
        <w:rPr>
          <w:rFonts w:ascii="Times New Roman" w:eastAsia="Times New Roman" w:hAnsi="Times New Roman" w:cs="Times New Roman"/>
          <w:lang w:val="en-US" w:eastAsia="en-US"/>
          <w14:ligatures w14:val="none"/>
        </w:rPr>
        <w:t xml:space="preserve">(23), Article 10078. </w:t>
      </w:r>
      <w:hyperlink r:id="rId36" w:tgtFrame="_new" w:history="1">
        <w:r w:rsidRPr="00A56274">
          <w:rPr>
            <w:rFonts w:ascii="Times New Roman" w:eastAsia="Times New Roman" w:hAnsi="Times New Roman" w:cs="Times New Roman"/>
            <w:color w:val="0000FF"/>
            <w:u w:val="single"/>
            <w:lang w:val="en-US" w:eastAsia="en-US"/>
            <w14:ligatures w14:val="none"/>
          </w:rPr>
          <w:t>https://doi.org/10.3390/su122310078</w:t>
        </w:r>
      </w:hyperlink>
      <w:r w:rsidRPr="00A56274">
        <w:rPr>
          <w:rFonts w:ascii="Times New Roman" w:eastAsia="Times New Roman" w:hAnsi="Times New Roman" w:cs="Times New Roman"/>
          <w:lang w:val="en-US" w:eastAsia="en-US"/>
          <w14:ligatures w14:val="none"/>
        </w:rPr>
        <w:t xml:space="preserve"> </w:t>
      </w:r>
    </w:p>
    <w:p w14:paraId="34A8DA44" w14:textId="6FF08273"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Agboola, S. T., &amp; </w:t>
      </w:r>
      <w:proofErr w:type="spellStart"/>
      <w:r w:rsidRPr="00A56274">
        <w:rPr>
          <w:rFonts w:ascii="Times New Roman" w:eastAsia="Times New Roman" w:hAnsi="Times New Roman" w:cs="Times New Roman"/>
          <w:lang w:val="en-US" w:eastAsia="en-US"/>
          <w14:ligatures w14:val="none"/>
        </w:rPr>
        <w:t>Nyiayaana</w:t>
      </w:r>
      <w:proofErr w:type="spellEnd"/>
      <w:r w:rsidRPr="00A56274">
        <w:rPr>
          <w:rFonts w:ascii="Times New Roman" w:eastAsia="Times New Roman" w:hAnsi="Times New Roman" w:cs="Times New Roman"/>
          <w:lang w:val="en-US" w:eastAsia="en-US"/>
          <w14:ligatures w14:val="none"/>
        </w:rPr>
        <w:t xml:space="preserve">, K. (2024). Oil exploitation and conflict in </w:t>
      </w:r>
      <w:proofErr w:type="spellStart"/>
      <w:r w:rsidRPr="00A56274">
        <w:rPr>
          <w:rFonts w:ascii="Times New Roman" w:eastAsia="Times New Roman" w:hAnsi="Times New Roman" w:cs="Times New Roman"/>
          <w:lang w:val="en-US" w:eastAsia="en-US"/>
          <w14:ligatures w14:val="none"/>
        </w:rPr>
        <w:t>Kegbara</w:t>
      </w:r>
      <w:proofErr w:type="spellEnd"/>
      <w:r w:rsidRPr="00A56274">
        <w:rPr>
          <w:rFonts w:ascii="Times New Roman" w:eastAsia="Times New Roman" w:hAnsi="Times New Roman" w:cs="Times New Roman"/>
          <w:lang w:val="en-US" w:eastAsia="en-US"/>
          <w14:ligatures w14:val="none"/>
        </w:rPr>
        <w:t xml:space="preserve"> Dere community in Rivers State, Nigeria. </w:t>
      </w:r>
      <w:r w:rsidRPr="00A56274">
        <w:rPr>
          <w:rFonts w:ascii="Times New Roman" w:eastAsia="Times New Roman" w:hAnsi="Times New Roman" w:cs="Times New Roman"/>
          <w:i/>
          <w:iCs/>
          <w:lang w:val="en-US" w:eastAsia="en-US"/>
          <w14:ligatures w14:val="none"/>
        </w:rPr>
        <w:t>American Journal of Social and Humanitarian Research, 5</w:t>
      </w:r>
      <w:r w:rsidRPr="00A56274">
        <w:rPr>
          <w:rFonts w:ascii="Times New Roman" w:eastAsia="Times New Roman" w:hAnsi="Times New Roman" w:cs="Times New Roman"/>
          <w:lang w:val="en-US" w:eastAsia="en-US"/>
          <w14:ligatures w14:val="none"/>
        </w:rPr>
        <w:t xml:space="preserve">(3), 73–85. https://doi.org/10.31150/ajshr.v5i3.2733 </w:t>
      </w:r>
    </w:p>
    <w:p w14:paraId="4CCA2876" w14:textId="78C96558"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Gorai, T., Yadav, P. K., &amp; Saha, R. (2021). Conservation of soil biodiversity for agricultural productivity and sustainability. </w:t>
      </w:r>
      <w:r w:rsidRPr="00A56274">
        <w:rPr>
          <w:rFonts w:ascii="Times New Roman" w:eastAsia="Times New Roman" w:hAnsi="Times New Roman" w:cs="Times New Roman"/>
          <w:i/>
          <w:iCs/>
          <w:lang w:val="en-US" w:eastAsia="en-US"/>
          <w14:ligatures w14:val="none"/>
        </w:rPr>
        <w:t>Agriculture Letters, 2</w:t>
      </w:r>
      <w:r w:rsidRPr="00A56274">
        <w:rPr>
          <w:rFonts w:ascii="Times New Roman" w:eastAsia="Times New Roman" w:hAnsi="Times New Roman" w:cs="Times New Roman"/>
          <w:lang w:val="en-US" w:eastAsia="en-US"/>
          <w14:ligatures w14:val="none"/>
        </w:rPr>
        <w:t xml:space="preserve">(1), 24–25. </w:t>
      </w:r>
    </w:p>
    <w:p w14:paraId="027F14D5"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Toková</w:t>
      </w:r>
      <w:proofErr w:type="spellEnd"/>
      <w:r w:rsidRPr="00A56274">
        <w:rPr>
          <w:rFonts w:ascii="Times New Roman" w:eastAsia="Times New Roman" w:hAnsi="Times New Roman" w:cs="Times New Roman"/>
          <w:lang w:val="en-US" w:eastAsia="en-US"/>
          <w14:ligatures w14:val="none"/>
        </w:rPr>
        <w:t xml:space="preserve">, L., Igaz, D., Horák, J., &amp; Aydin, E. (2020). Effect of biochar application and re-application on soil bulk density, porosity, saturated hydraulic conductivity, water content and soil water availability in a silty loam Haplic </w:t>
      </w:r>
      <w:proofErr w:type="spellStart"/>
      <w:r w:rsidRPr="00A56274">
        <w:rPr>
          <w:rFonts w:ascii="Times New Roman" w:eastAsia="Times New Roman" w:hAnsi="Times New Roman" w:cs="Times New Roman"/>
          <w:lang w:val="en-US" w:eastAsia="en-US"/>
          <w14:ligatures w14:val="none"/>
        </w:rPr>
        <w:t>Luvisol</w:t>
      </w:r>
      <w:proofErr w:type="spellEnd"/>
      <w:r w:rsidRPr="00A56274">
        <w:rPr>
          <w:rFonts w:ascii="Times New Roman" w:eastAsia="Times New Roman" w:hAnsi="Times New Roman" w:cs="Times New Roman"/>
          <w:lang w:val="en-US" w:eastAsia="en-US"/>
          <w14:ligatures w14:val="none"/>
        </w:rPr>
        <w:t xml:space="preserve">. </w:t>
      </w:r>
      <w:r w:rsidRPr="00A56274">
        <w:rPr>
          <w:rFonts w:ascii="Times New Roman" w:eastAsia="Times New Roman" w:hAnsi="Times New Roman" w:cs="Times New Roman"/>
          <w:i/>
          <w:iCs/>
          <w:lang w:val="en-US" w:eastAsia="en-US"/>
          <w14:ligatures w14:val="none"/>
        </w:rPr>
        <w:t>Agronomy, 10</w:t>
      </w:r>
      <w:r w:rsidRPr="00A56274">
        <w:rPr>
          <w:rFonts w:ascii="Times New Roman" w:eastAsia="Times New Roman" w:hAnsi="Times New Roman" w:cs="Times New Roman"/>
          <w:lang w:val="en-US" w:eastAsia="en-US"/>
          <w14:ligatures w14:val="none"/>
        </w:rPr>
        <w:t xml:space="preserve">(7), Article 1005. </w:t>
      </w:r>
      <w:hyperlink r:id="rId37" w:tgtFrame="_new" w:history="1">
        <w:r w:rsidRPr="00A56274">
          <w:rPr>
            <w:rFonts w:ascii="Times New Roman" w:eastAsia="Times New Roman" w:hAnsi="Times New Roman" w:cs="Times New Roman"/>
            <w:color w:val="0000FF"/>
            <w:u w:val="single"/>
            <w:lang w:val="en-US" w:eastAsia="en-US"/>
            <w14:ligatures w14:val="none"/>
          </w:rPr>
          <w:t>https://doi.org/10.3390/agronomy10071005</w:t>
        </w:r>
      </w:hyperlink>
    </w:p>
    <w:p w14:paraId="604EDA50"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United Nations Environment </w:t>
      </w:r>
      <w:proofErr w:type="spellStart"/>
      <w:r w:rsidRPr="00A56274">
        <w:rPr>
          <w:rFonts w:ascii="Times New Roman" w:eastAsia="Times New Roman" w:hAnsi="Times New Roman" w:cs="Times New Roman"/>
          <w:lang w:val="en-US" w:eastAsia="en-US"/>
          <w14:ligatures w14:val="none"/>
        </w:rPr>
        <w:t>Programme</w:t>
      </w:r>
      <w:proofErr w:type="spellEnd"/>
      <w:r w:rsidRPr="00A56274">
        <w:rPr>
          <w:rFonts w:ascii="Times New Roman" w:eastAsia="Times New Roman" w:hAnsi="Times New Roman" w:cs="Times New Roman"/>
          <w:lang w:val="en-US" w:eastAsia="en-US"/>
          <w14:ligatures w14:val="none"/>
        </w:rPr>
        <w:t xml:space="preserve">. (2011). </w:t>
      </w:r>
      <w:r w:rsidRPr="00A56274">
        <w:rPr>
          <w:rFonts w:ascii="Times New Roman" w:eastAsia="Times New Roman" w:hAnsi="Times New Roman" w:cs="Times New Roman"/>
          <w:i/>
          <w:iCs/>
          <w:lang w:val="en-US" w:eastAsia="en-US"/>
          <w14:ligatures w14:val="none"/>
        </w:rPr>
        <w:t xml:space="preserve">Environmental assessment of </w:t>
      </w:r>
      <w:proofErr w:type="spellStart"/>
      <w:r w:rsidRPr="00A56274">
        <w:rPr>
          <w:rFonts w:ascii="Times New Roman" w:eastAsia="Times New Roman" w:hAnsi="Times New Roman" w:cs="Times New Roman"/>
          <w:i/>
          <w:iCs/>
          <w:lang w:val="en-US" w:eastAsia="en-US"/>
          <w14:ligatures w14:val="none"/>
        </w:rPr>
        <w:t>Ogoniland</w:t>
      </w:r>
      <w:proofErr w:type="spellEnd"/>
      <w:r w:rsidRPr="00A56274">
        <w:rPr>
          <w:rFonts w:ascii="Times New Roman" w:eastAsia="Times New Roman" w:hAnsi="Times New Roman" w:cs="Times New Roman"/>
          <w:lang w:val="en-US" w:eastAsia="en-US"/>
          <w14:ligatures w14:val="none"/>
        </w:rPr>
        <w:t xml:space="preserve">. </w:t>
      </w:r>
      <w:hyperlink r:id="rId38" w:tgtFrame="_new" w:history="1">
        <w:r w:rsidRPr="00A56274">
          <w:rPr>
            <w:rFonts w:ascii="Times New Roman" w:eastAsia="Times New Roman" w:hAnsi="Times New Roman" w:cs="Times New Roman"/>
            <w:color w:val="0000FF"/>
            <w:u w:val="single"/>
            <w:lang w:val="en-US" w:eastAsia="en-US"/>
            <w14:ligatures w14:val="none"/>
          </w:rPr>
          <w:t>https://www.unep.org/resources/report/environmental-assessment-ogoniland</w:t>
        </w:r>
      </w:hyperlink>
    </w:p>
    <w:p w14:paraId="4C1A0BFA"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United States Department of Agriculture, Natural Resources Conservation Service. (2001). </w:t>
      </w:r>
      <w:r w:rsidRPr="00A56274">
        <w:rPr>
          <w:rFonts w:ascii="Times New Roman" w:eastAsia="Times New Roman" w:hAnsi="Times New Roman" w:cs="Times New Roman"/>
          <w:i/>
          <w:iCs/>
          <w:lang w:val="en-US" w:eastAsia="en-US"/>
          <w14:ligatures w14:val="none"/>
        </w:rPr>
        <w:t>Guidelines for soil quality assessment in conservation planning</w:t>
      </w:r>
      <w:r w:rsidRPr="00A56274">
        <w:rPr>
          <w:rFonts w:ascii="Times New Roman" w:eastAsia="Times New Roman" w:hAnsi="Times New Roman" w:cs="Times New Roman"/>
          <w:lang w:val="en-US" w:eastAsia="en-US"/>
          <w14:ligatures w14:val="none"/>
        </w:rPr>
        <w:t xml:space="preserve">. </w:t>
      </w:r>
      <w:hyperlink r:id="rId39" w:tgtFrame="_new" w:history="1">
        <w:r w:rsidRPr="00A56274">
          <w:rPr>
            <w:rFonts w:ascii="Times New Roman" w:eastAsia="Times New Roman" w:hAnsi="Times New Roman" w:cs="Times New Roman"/>
            <w:color w:val="0000FF"/>
            <w:u w:val="single"/>
            <w:lang w:val="en-US" w:eastAsia="en-US"/>
            <w14:ligatures w14:val="none"/>
          </w:rPr>
          <w:t>https://www.nrcs.usda.gov/sites/default/files/2023-04/nrcs142p2_050963.pdf</w:t>
        </w:r>
      </w:hyperlink>
    </w:p>
    <w:p w14:paraId="1E4A494B"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United States Department of Agriculture, Natural Resources Conservation Service. (2015a). </w:t>
      </w:r>
      <w:r w:rsidRPr="00A56274">
        <w:rPr>
          <w:rFonts w:ascii="Times New Roman" w:eastAsia="Times New Roman" w:hAnsi="Times New Roman" w:cs="Times New Roman"/>
          <w:i/>
          <w:iCs/>
          <w:lang w:val="en-US" w:eastAsia="en-US"/>
          <w14:ligatures w14:val="none"/>
        </w:rPr>
        <w:t>Soil quality indicators: Physical, chemical, and biological indicators for soil quality assessment and management</w:t>
      </w:r>
      <w:r w:rsidRPr="00A56274">
        <w:rPr>
          <w:rFonts w:ascii="Times New Roman" w:eastAsia="Times New Roman" w:hAnsi="Times New Roman" w:cs="Times New Roman"/>
          <w:lang w:val="en-US" w:eastAsia="en-US"/>
          <w14:ligatures w14:val="none"/>
        </w:rPr>
        <w:t xml:space="preserve">. </w:t>
      </w:r>
      <w:hyperlink r:id="rId40" w:tgtFrame="_new" w:history="1">
        <w:r w:rsidRPr="00A56274">
          <w:rPr>
            <w:rFonts w:ascii="Times New Roman" w:eastAsia="Times New Roman" w:hAnsi="Times New Roman" w:cs="Times New Roman"/>
            <w:color w:val="0000FF"/>
            <w:u w:val="single"/>
            <w:lang w:val="en-US" w:eastAsia="en-US"/>
            <w14:ligatures w14:val="none"/>
          </w:rPr>
          <w:t>https://www.nrcs.usda.gov/sites/default/files/2022-10/indicator_sheet_guide_sheet.pdf</w:t>
        </w:r>
      </w:hyperlink>
    </w:p>
    <w:p w14:paraId="22EA8310"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United States Department of Agriculture, Natural Resources Conservation Service. (2015b). </w:t>
      </w:r>
      <w:r w:rsidRPr="00A56274">
        <w:rPr>
          <w:rFonts w:ascii="Times New Roman" w:eastAsia="Times New Roman" w:hAnsi="Times New Roman" w:cs="Times New Roman"/>
          <w:i/>
          <w:iCs/>
          <w:lang w:val="en-US" w:eastAsia="en-US"/>
          <w14:ligatures w14:val="none"/>
        </w:rPr>
        <w:t>Soil quality indicators: Chemical indicators and soil functions</w:t>
      </w:r>
      <w:r w:rsidRPr="00A56274">
        <w:rPr>
          <w:rFonts w:ascii="Times New Roman" w:eastAsia="Times New Roman" w:hAnsi="Times New Roman" w:cs="Times New Roman"/>
          <w:lang w:val="en-US" w:eastAsia="en-US"/>
          <w14:ligatures w14:val="none"/>
        </w:rPr>
        <w:t xml:space="preserve">. </w:t>
      </w:r>
      <w:hyperlink r:id="rId41" w:tgtFrame="_new" w:history="1">
        <w:r w:rsidRPr="00A56274">
          <w:rPr>
            <w:rFonts w:ascii="Times New Roman" w:eastAsia="Times New Roman" w:hAnsi="Times New Roman" w:cs="Times New Roman"/>
            <w:color w:val="0000FF"/>
            <w:u w:val="single"/>
            <w:lang w:val="en-US" w:eastAsia="en-US"/>
            <w14:ligatures w14:val="none"/>
          </w:rPr>
          <w:t>https://www.nrcs.usda.gov/sites/default/files/2022-10/chemical_indicators_overview.pdf</w:t>
        </w:r>
      </w:hyperlink>
    </w:p>
    <w:p w14:paraId="19B2B4DD"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United States Department of Agriculture, Natural Resources Conservation Service. (2019). </w:t>
      </w:r>
      <w:r w:rsidRPr="00A56274">
        <w:rPr>
          <w:rFonts w:ascii="Times New Roman" w:eastAsia="Times New Roman" w:hAnsi="Times New Roman" w:cs="Times New Roman"/>
          <w:i/>
          <w:iCs/>
          <w:lang w:val="en-US" w:eastAsia="en-US"/>
          <w14:ligatures w14:val="none"/>
        </w:rPr>
        <w:t>Soil health—Bulk density, moisture, and aeration: Guide for educators</w:t>
      </w:r>
      <w:r w:rsidRPr="00A56274">
        <w:rPr>
          <w:rFonts w:ascii="Times New Roman" w:eastAsia="Times New Roman" w:hAnsi="Times New Roman" w:cs="Times New Roman"/>
          <w:lang w:val="en-US" w:eastAsia="en-US"/>
          <w14:ligatures w14:val="none"/>
        </w:rPr>
        <w:t xml:space="preserve">. </w:t>
      </w:r>
      <w:hyperlink r:id="rId42" w:tgtFrame="_new" w:history="1">
        <w:r w:rsidRPr="00A56274">
          <w:rPr>
            <w:rFonts w:ascii="Times New Roman" w:eastAsia="Times New Roman" w:hAnsi="Times New Roman" w:cs="Times New Roman"/>
            <w:color w:val="0000FF"/>
            <w:u w:val="single"/>
            <w:lang w:val="en-US" w:eastAsia="en-US"/>
            <w14:ligatures w14:val="none"/>
          </w:rPr>
          <w:t>https://www.nrcs.usda.gov/sites/default/files/2022-10/Soil%20Bulk%20Density%20Moisture%20Aeration.pdf</w:t>
        </w:r>
      </w:hyperlink>
    </w:p>
    <w:p w14:paraId="77D130AA"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nl-BE" w:eastAsia="en-US"/>
          <w14:ligatures w14:val="none"/>
        </w:rPr>
        <w:lastRenderedPageBreak/>
        <w:t xml:space="preserve">Wang, S., Wu, M., Zhong, S., Sun, J., Mao, X., Qiu, N., &amp; Zhou, F. (2023). </w:t>
      </w:r>
      <w:r w:rsidRPr="00A56274">
        <w:rPr>
          <w:rFonts w:ascii="Times New Roman" w:eastAsia="Times New Roman" w:hAnsi="Times New Roman" w:cs="Times New Roman"/>
          <w:lang w:val="en-US" w:eastAsia="en-US"/>
          <w14:ligatures w14:val="none"/>
        </w:rPr>
        <w:t xml:space="preserve">A rapid and quantitative method for determining seed viability using 2,3,5-triphenyl tetrazolium chloride (TTC): With the example of wheat seed. </w:t>
      </w:r>
      <w:r w:rsidRPr="00A56274">
        <w:rPr>
          <w:rFonts w:ascii="Times New Roman" w:eastAsia="Times New Roman" w:hAnsi="Times New Roman" w:cs="Times New Roman"/>
          <w:i/>
          <w:iCs/>
          <w:lang w:val="en-US" w:eastAsia="en-US"/>
          <w14:ligatures w14:val="none"/>
        </w:rPr>
        <w:t>Molecules, 28</w:t>
      </w:r>
      <w:r w:rsidRPr="00A56274">
        <w:rPr>
          <w:rFonts w:ascii="Times New Roman" w:eastAsia="Times New Roman" w:hAnsi="Times New Roman" w:cs="Times New Roman"/>
          <w:lang w:val="en-US" w:eastAsia="en-US"/>
          <w14:ligatures w14:val="none"/>
        </w:rPr>
        <w:t xml:space="preserve">(19), Article 6828. </w:t>
      </w:r>
      <w:hyperlink r:id="rId43" w:tgtFrame="_new" w:history="1">
        <w:r w:rsidRPr="00A56274">
          <w:rPr>
            <w:rFonts w:ascii="Times New Roman" w:eastAsia="Times New Roman" w:hAnsi="Times New Roman" w:cs="Times New Roman"/>
            <w:color w:val="0000FF"/>
            <w:u w:val="single"/>
            <w:lang w:val="en-US" w:eastAsia="en-US"/>
            <w14:ligatures w14:val="none"/>
          </w:rPr>
          <w:t>https://doi.org/10.3390/molecules28196828</w:t>
        </w:r>
      </w:hyperlink>
    </w:p>
    <w:p w14:paraId="2F44D44F" w14:textId="6141CCA4"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Ward Laboratories, Inc. (2019). </w:t>
      </w:r>
      <w:r w:rsidRPr="00A56274">
        <w:rPr>
          <w:rFonts w:ascii="Times New Roman" w:eastAsia="Times New Roman" w:hAnsi="Times New Roman" w:cs="Times New Roman"/>
          <w:i/>
          <w:iCs/>
          <w:lang w:val="en-US" w:eastAsia="en-US"/>
          <w14:ligatures w14:val="none"/>
        </w:rPr>
        <w:t>Soil enzyme interpretation guide</w:t>
      </w:r>
      <w:r w:rsidRPr="00A56274">
        <w:rPr>
          <w:rFonts w:ascii="Times New Roman" w:eastAsia="Times New Roman" w:hAnsi="Times New Roman" w:cs="Times New Roman"/>
          <w:lang w:val="en-US" w:eastAsia="en-US"/>
          <w14:ligatures w14:val="none"/>
        </w:rPr>
        <w:t xml:space="preserve"> (Rev. 1.0). </w:t>
      </w:r>
    </w:p>
    <w:p w14:paraId="7E919990"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proofErr w:type="spellStart"/>
      <w:r w:rsidRPr="00A56274">
        <w:rPr>
          <w:rFonts w:ascii="Times New Roman" w:eastAsia="Times New Roman" w:hAnsi="Times New Roman" w:cs="Times New Roman"/>
          <w:lang w:val="en-US" w:eastAsia="en-US"/>
          <w14:ligatures w14:val="none"/>
        </w:rPr>
        <w:t>Wonodi</w:t>
      </w:r>
      <w:proofErr w:type="spellEnd"/>
      <w:r w:rsidRPr="00A56274">
        <w:rPr>
          <w:rFonts w:ascii="Times New Roman" w:eastAsia="Times New Roman" w:hAnsi="Times New Roman" w:cs="Times New Roman"/>
          <w:lang w:val="en-US" w:eastAsia="en-US"/>
          <w14:ligatures w14:val="none"/>
        </w:rPr>
        <w:t xml:space="preserve">, A., &amp; </w:t>
      </w:r>
      <w:proofErr w:type="spellStart"/>
      <w:r w:rsidRPr="00A56274">
        <w:rPr>
          <w:rFonts w:ascii="Times New Roman" w:eastAsia="Times New Roman" w:hAnsi="Times New Roman" w:cs="Times New Roman"/>
          <w:lang w:val="en-US" w:eastAsia="en-US"/>
          <w14:ligatures w14:val="none"/>
        </w:rPr>
        <w:t>Ekpete</w:t>
      </w:r>
      <w:proofErr w:type="spellEnd"/>
      <w:r w:rsidRPr="00A56274">
        <w:rPr>
          <w:rFonts w:ascii="Times New Roman" w:eastAsia="Times New Roman" w:hAnsi="Times New Roman" w:cs="Times New Roman"/>
          <w:lang w:val="en-US" w:eastAsia="en-US"/>
          <w14:ligatures w14:val="none"/>
        </w:rPr>
        <w:t xml:space="preserve">, O. A. (2021). Impact of cement production factories on the physical and chemical characteristics of soil within production areas in Port Harcourt metropolis, Rivers State, Niger Delta, Nigeria. </w:t>
      </w:r>
      <w:r w:rsidRPr="00A56274">
        <w:rPr>
          <w:rFonts w:ascii="Times New Roman" w:eastAsia="Times New Roman" w:hAnsi="Times New Roman" w:cs="Times New Roman"/>
          <w:i/>
          <w:iCs/>
          <w:lang w:val="en-US" w:eastAsia="en-US"/>
          <w14:ligatures w14:val="none"/>
        </w:rPr>
        <w:t>Faculty of Natural and Applied Sciences Journal of Scientific Innovations, 3</w:t>
      </w:r>
      <w:r w:rsidRPr="00A56274">
        <w:rPr>
          <w:rFonts w:ascii="Times New Roman" w:eastAsia="Times New Roman" w:hAnsi="Times New Roman" w:cs="Times New Roman"/>
          <w:lang w:val="en-US" w:eastAsia="en-US"/>
          <w14:ligatures w14:val="none"/>
        </w:rPr>
        <w:t xml:space="preserve">(1), 50–59. </w:t>
      </w:r>
      <w:hyperlink r:id="rId44" w:tgtFrame="_new" w:history="1">
        <w:r w:rsidRPr="00A56274">
          <w:rPr>
            <w:rFonts w:ascii="Times New Roman" w:eastAsia="Times New Roman" w:hAnsi="Times New Roman" w:cs="Times New Roman"/>
            <w:color w:val="0000FF"/>
            <w:u w:val="single"/>
            <w:lang w:val="en-US" w:eastAsia="en-US"/>
            <w14:ligatures w14:val="none"/>
          </w:rPr>
          <w:t>https://fnasjournals.com/index.php/FNAS-JSI/article/view/21</w:t>
        </w:r>
      </w:hyperlink>
    </w:p>
    <w:p w14:paraId="32BD125D" w14:textId="77777777" w:rsidR="00A56274" w:rsidRPr="00A56274" w:rsidRDefault="00A56274" w:rsidP="00A56274">
      <w:pPr>
        <w:spacing w:before="100" w:beforeAutospacing="1" w:after="100" w:afterAutospacing="1" w:line="240" w:lineRule="auto"/>
        <w:rPr>
          <w:rFonts w:ascii="Times New Roman" w:eastAsia="Times New Roman" w:hAnsi="Times New Roman" w:cs="Times New Roman"/>
          <w:lang w:val="en-US" w:eastAsia="en-US"/>
          <w14:ligatures w14:val="none"/>
        </w:rPr>
      </w:pPr>
      <w:r w:rsidRPr="00A56274">
        <w:rPr>
          <w:rFonts w:ascii="Times New Roman" w:eastAsia="Times New Roman" w:hAnsi="Times New Roman" w:cs="Times New Roman"/>
          <w:lang w:val="en-US" w:eastAsia="en-US"/>
          <w14:ligatures w14:val="none"/>
        </w:rPr>
        <w:t xml:space="preserve">Zubairu, A. M., </w:t>
      </w:r>
      <w:proofErr w:type="spellStart"/>
      <w:r w:rsidRPr="00A56274">
        <w:rPr>
          <w:rFonts w:ascii="Times New Roman" w:eastAsia="Times New Roman" w:hAnsi="Times New Roman" w:cs="Times New Roman"/>
          <w:lang w:val="en-US" w:eastAsia="en-US"/>
          <w14:ligatures w14:val="none"/>
        </w:rPr>
        <w:t>Michéli</w:t>
      </w:r>
      <w:proofErr w:type="spellEnd"/>
      <w:r w:rsidRPr="00A56274">
        <w:rPr>
          <w:rFonts w:ascii="Times New Roman" w:eastAsia="Times New Roman" w:hAnsi="Times New Roman" w:cs="Times New Roman"/>
          <w:lang w:val="en-US" w:eastAsia="en-US"/>
          <w14:ligatures w14:val="none"/>
        </w:rPr>
        <w:t xml:space="preserve">, E., Ocansey, C. M., Boros, N., </w:t>
      </w:r>
      <w:proofErr w:type="spellStart"/>
      <w:r w:rsidRPr="00A56274">
        <w:rPr>
          <w:rFonts w:ascii="Times New Roman" w:eastAsia="Times New Roman" w:hAnsi="Times New Roman" w:cs="Times New Roman"/>
          <w:lang w:val="en-US" w:eastAsia="en-US"/>
          <w14:ligatures w14:val="none"/>
        </w:rPr>
        <w:t>Rétháti</w:t>
      </w:r>
      <w:proofErr w:type="spellEnd"/>
      <w:r w:rsidRPr="00A56274">
        <w:rPr>
          <w:rFonts w:ascii="Times New Roman" w:eastAsia="Times New Roman" w:hAnsi="Times New Roman" w:cs="Times New Roman"/>
          <w:lang w:val="en-US" w:eastAsia="en-US"/>
          <w14:ligatures w14:val="none"/>
        </w:rPr>
        <w:t xml:space="preserve">, G., Lehoczky, É., &amp; Gulyás, M. (2023). Biochar improves soil fertility and crop performance: A case study of Nigeria. </w:t>
      </w:r>
      <w:r w:rsidRPr="00A56274">
        <w:rPr>
          <w:rFonts w:ascii="Times New Roman" w:eastAsia="Times New Roman" w:hAnsi="Times New Roman" w:cs="Times New Roman"/>
          <w:i/>
          <w:iCs/>
          <w:lang w:val="en-US" w:eastAsia="en-US"/>
          <w14:ligatures w14:val="none"/>
        </w:rPr>
        <w:t>Soil Systems, 7</w:t>
      </w:r>
      <w:r w:rsidRPr="00A56274">
        <w:rPr>
          <w:rFonts w:ascii="Times New Roman" w:eastAsia="Times New Roman" w:hAnsi="Times New Roman" w:cs="Times New Roman"/>
          <w:lang w:val="en-US" w:eastAsia="en-US"/>
          <w14:ligatures w14:val="none"/>
        </w:rPr>
        <w:t xml:space="preserve">(4), Article 105. </w:t>
      </w:r>
      <w:hyperlink r:id="rId45" w:tgtFrame="_new" w:history="1">
        <w:r w:rsidRPr="00A56274">
          <w:rPr>
            <w:rFonts w:ascii="Times New Roman" w:eastAsia="Times New Roman" w:hAnsi="Times New Roman" w:cs="Times New Roman"/>
            <w:color w:val="0000FF"/>
            <w:u w:val="single"/>
            <w:lang w:val="en-US" w:eastAsia="en-US"/>
            <w14:ligatures w14:val="none"/>
          </w:rPr>
          <w:t>https://doi.org/10.3390/soilsystems7040105</w:t>
        </w:r>
      </w:hyperlink>
    </w:p>
    <w:p w14:paraId="29B75913" w14:textId="1D1553F8" w:rsidR="005E68D4" w:rsidRPr="00A56274" w:rsidRDefault="005E68D4" w:rsidP="00A56274">
      <w:pPr>
        <w:ind w:left="810" w:hanging="810"/>
        <w:jc w:val="both"/>
        <w:rPr>
          <w:rFonts w:ascii="Times New Roman" w:hAnsi="Times New Roman" w:cs="Times New Roman"/>
        </w:rPr>
      </w:pPr>
    </w:p>
    <w:sectPr w:rsidR="005E68D4" w:rsidRPr="00A56274">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B34F" w14:textId="77777777" w:rsidR="00FA1E71" w:rsidRDefault="00FA1E71" w:rsidP="004E14DC">
      <w:pPr>
        <w:spacing w:after="0" w:line="240" w:lineRule="auto"/>
      </w:pPr>
      <w:r>
        <w:separator/>
      </w:r>
    </w:p>
  </w:endnote>
  <w:endnote w:type="continuationSeparator" w:id="0">
    <w:p w14:paraId="5CE588C5" w14:textId="77777777" w:rsidR="00FA1E71" w:rsidRDefault="00FA1E71" w:rsidP="004E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9390" w14:textId="77777777" w:rsidR="004E14DC" w:rsidRDefault="004E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9DFC" w14:textId="77777777" w:rsidR="004E14DC" w:rsidRDefault="004E1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3FF5" w14:textId="77777777" w:rsidR="004E14DC" w:rsidRDefault="004E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9D93" w14:textId="77777777" w:rsidR="00FA1E71" w:rsidRDefault="00FA1E71" w:rsidP="004E14DC">
      <w:pPr>
        <w:spacing w:after="0" w:line="240" w:lineRule="auto"/>
      </w:pPr>
      <w:r>
        <w:separator/>
      </w:r>
    </w:p>
  </w:footnote>
  <w:footnote w:type="continuationSeparator" w:id="0">
    <w:p w14:paraId="33D8772C" w14:textId="77777777" w:rsidR="00FA1E71" w:rsidRDefault="00FA1E71" w:rsidP="004E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D8AB" w14:textId="77777777" w:rsidR="004E14DC" w:rsidRDefault="00000000">
    <w:pPr>
      <w:pStyle w:val="Header"/>
    </w:pPr>
    <w:r>
      <w:rPr>
        <w:noProof/>
      </w:rPr>
      <w:pict w14:anchorId="39B30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476C" w14:textId="77777777" w:rsidR="004E14DC" w:rsidRDefault="00000000">
    <w:pPr>
      <w:pStyle w:val="Header"/>
    </w:pPr>
    <w:r>
      <w:rPr>
        <w:noProof/>
      </w:rPr>
      <w:pict w14:anchorId="34B5B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7F5B" w14:textId="77777777" w:rsidR="004E14DC" w:rsidRDefault="00000000">
    <w:pPr>
      <w:pStyle w:val="Header"/>
    </w:pPr>
    <w:r>
      <w:rPr>
        <w:noProof/>
      </w:rPr>
      <w:pict w14:anchorId="0FE0E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48"/>
    <w:rsid w:val="00025F41"/>
    <w:rsid w:val="00043064"/>
    <w:rsid w:val="0011395F"/>
    <w:rsid w:val="00172822"/>
    <w:rsid w:val="00321648"/>
    <w:rsid w:val="00385E43"/>
    <w:rsid w:val="00455107"/>
    <w:rsid w:val="00465A10"/>
    <w:rsid w:val="004D14F1"/>
    <w:rsid w:val="004E14DC"/>
    <w:rsid w:val="005E68D4"/>
    <w:rsid w:val="00666A07"/>
    <w:rsid w:val="00681A0A"/>
    <w:rsid w:val="0073307A"/>
    <w:rsid w:val="00803EA3"/>
    <w:rsid w:val="00877164"/>
    <w:rsid w:val="00890E03"/>
    <w:rsid w:val="009327FD"/>
    <w:rsid w:val="00A32143"/>
    <w:rsid w:val="00A56274"/>
    <w:rsid w:val="00A93CD5"/>
    <w:rsid w:val="00B3564E"/>
    <w:rsid w:val="00B94E10"/>
    <w:rsid w:val="00C100D1"/>
    <w:rsid w:val="00C13822"/>
    <w:rsid w:val="00CB03B1"/>
    <w:rsid w:val="00CF1196"/>
    <w:rsid w:val="00DA0B4C"/>
    <w:rsid w:val="00DB2A59"/>
    <w:rsid w:val="00E20908"/>
    <w:rsid w:val="00EA647B"/>
    <w:rsid w:val="00EC4922"/>
    <w:rsid w:val="00F34463"/>
    <w:rsid w:val="00FA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1409"/>
  <w15:chartTrackingRefBased/>
  <w15:docId w15:val="{3A84E460-C550-48B2-ACD4-53ECFB1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SimSun" w:hAnsi="Calibri" w:cs="SimSun"/>
      <w:lang w:val="en-GB"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lang w:val="en-US" w:eastAsia="en-US"/>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lang w:val="en-US" w:eastAsia="en-US"/>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ED7D31" w:themeColor="accent2"/>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rPr>
      <w:rFonts w:asciiTheme="minorHAnsi" w:eastAsiaTheme="minorHAnsi" w:hAnsiTheme="minorHAnsi" w:cstheme="minorBidi"/>
      <w:lang w:val="en-US" w:eastAsia="en-US"/>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US" w:eastAsia="en-US"/>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0044">
      <w:bodyDiv w:val="1"/>
      <w:marLeft w:val="0"/>
      <w:marRight w:val="0"/>
      <w:marTop w:val="0"/>
      <w:marBottom w:val="0"/>
      <w:divBdr>
        <w:top w:val="none" w:sz="0" w:space="0" w:color="auto"/>
        <w:left w:val="none" w:sz="0" w:space="0" w:color="auto"/>
        <w:bottom w:val="none" w:sz="0" w:space="0" w:color="auto"/>
        <w:right w:val="none" w:sz="0" w:space="0" w:color="auto"/>
      </w:divBdr>
    </w:div>
    <w:div w:id="20514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22059/poll.2023.357572.1863" TargetMode="External"/><Relationship Id="rId26" Type="http://schemas.openxmlformats.org/officeDocument/2006/relationships/hyperlink" Target="https://www.iso.org/standard/37718.html?utm_source=chatgpt.com" TargetMode="External"/><Relationship Id="rId39" Type="http://schemas.openxmlformats.org/officeDocument/2006/relationships/hyperlink" Target="https://www.nrcs.usda.gov/sites/default/files/2023-04/nrcs142p2_050963.pdf" TargetMode="External"/><Relationship Id="rId21" Type="http://schemas.openxmlformats.org/officeDocument/2006/relationships/hyperlink" Target="https://doi.org/10.3390/microorganisms11102577" TargetMode="External"/><Relationship Id="rId34" Type="http://schemas.openxmlformats.org/officeDocument/2006/relationships/hyperlink" Target="https://doi.org/10.1016/j.apsoil.2017.05.017" TargetMode="External"/><Relationship Id="rId42" Type="http://schemas.openxmlformats.org/officeDocument/2006/relationships/hyperlink" Target="https://www.nrcs.usda.gov/sites/default/files/2022-10/Soil%20Bulk%20Density%20Moisture%20Aeration.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2136/sssaj2004.1945" TargetMode="External"/><Relationship Id="rId29" Type="http://schemas.openxmlformats.org/officeDocument/2006/relationships/hyperlink" Target="https://doi.org/10.5958/0976-0547.2015.00033.6" TargetMode="External"/><Relationship Id="rId11" Type="http://schemas.openxmlformats.org/officeDocument/2006/relationships/chart" Target="charts/chart3.xml"/><Relationship Id="rId24" Type="http://schemas.openxmlformats.org/officeDocument/2006/relationships/hyperlink" Target="https://doi.org/10.1155/2014/506356" TargetMode="External"/><Relationship Id="rId32" Type="http://schemas.openxmlformats.org/officeDocument/2006/relationships/hyperlink" Target="https://aijcr.thebrpi.org/journals/Vol_7_No_2_June_2017/2.pdf?utm_source=chatgpt.com" TargetMode="External"/><Relationship Id="rId37" Type="http://schemas.openxmlformats.org/officeDocument/2006/relationships/hyperlink" Target="https://doi.org/10.3390/agronomy10071005" TargetMode="External"/><Relationship Id="rId40" Type="http://schemas.openxmlformats.org/officeDocument/2006/relationships/hyperlink" Target="https://www.nrcs.usda.gov/sites/default/files/2022-10/indicator_sheet_guide_sheet.pdf" TargetMode="External"/><Relationship Id="rId45" Type="http://schemas.openxmlformats.org/officeDocument/2006/relationships/hyperlink" Target="https://doi.org/10.3390/soilsystems7040105"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chart" Target="charts/chart2.xml"/><Relationship Id="rId19" Type="http://schemas.openxmlformats.org/officeDocument/2006/relationships/hyperlink" Target="https://doi.org/10.3390/microorganisms13061245" TargetMode="External"/><Relationship Id="rId31" Type="http://schemas.openxmlformats.org/officeDocument/2006/relationships/hyperlink" Target="https://doi.org/10.1016/j.envadv.2022.100319" TargetMode="External"/><Relationship Id="rId44" Type="http://schemas.openxmlformats.org/officeDocument/2006/relationships/hyperlink" Target="https://fnasjournals.com/index.php/FNAS-JSI/article/view/21?utm_source=chatgpt.com"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fao.org/4/a0541e/a0541e.pdf?utm_source=chatgpt.com" TargetMode="External"/><Relationship Id="rId27" Type="http://schemas.openxmlformats.org/officeDocument/2006/relationships/hyperlink" Target="https://www.iso.org/standard/53728.html?utm_source=chatgpt.com" TargetMode="External"/><Relationship Id="rId30" Type="http://schemas.openxmlformats.org/officeDocument/2006/relationships/hyperlink" Target="https://doi.org/10.1177/19400829231215492" TargetMode="External"/><Relationship Id="rId35" Type="http://schemas.openxmlformats.org/officeDocument/2006/relationships/hyperlink" Target="https://doi.org/10.1186/s12870-025-07212-3" TargetMode="External"/><Relationship Id="rId43" Type="http://schemas.openxmlformats.org/officeDocument/2006/relationships/hyperlink" Target="https://doi.org/10.3390/molecules28196828" TargetMode="External"/><Relationship Id="rId48" Type="http://schemas.openxmlformats.org/officeDocument/2006/relationships/footer" Target="footer1.xml"/><Relationship Id="rId8" Type="http://schemas.openxmlformats.org/officeDocument/2006/relationships/image" Target="media/image3.png"/><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chart" Target="charts/chart4.xml"/><Relationship Id="rId17" Type="http://schemas.openxmlformats.org/officeDocument/2006/relationships/hyperlink" Target="https://members.aoac.org/AOAC/AOAC/Item_Detail.aspx?Category=OMA&amp;iProductCode=1121&amp;utm_source=chatgpt.com" TargetMode="External"/><Relationship Id="rId25" Type="http://schemas.openxmlformats.org/officeDocument/2006/relationships/hyperlink" Target="https://www.iso.org/standard/80891.html?utm_source=chatgpt.com" TargetMode="External"/><Relationship Id="rId33" Type="http://schemas.openxmlformats.org/officeDocument/2006/relationships/hyperlink" Target="https://doi.org/10.9734/ajarr/2024/v18i11784" TargetMode="External"/><Relationship Id="rId38" Type="http://schemas.openxmlformats.org/officeDocument/2006/relationships/hyperlink" Target="https://www.unep.org/resources/report/environmental-assessment-ogoniland" TargetMode="External"/><Relationship Id="rId46" Type="http://schemas.openxmlformats.org/officeDocument/2006/relationships/header" Target="header1.xml"/><Relationship Id="rId20" Type="http://schemas.openxmlformats.org/officeDocument/2006/relationships/hyperlink" Target="https://doi.org/10.2136/sssaspecpub35.c1" TargetMode="External"/><Relationship Id="rId41" Type="http://schemas.openxmlformats.org/officeDocument/2006/relationships/hyperlink" Target="https://www.nrcs.usda.gov/sites/default/files/2022-10/chemical_indicators_overview.pdf"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e-wef.org/Store/ProductDetails.aspx?productId=58296758&amp;utm_source=chatgpt.com" TargetMode="External"/><Relationship Id="rId23" Type="http://schemas.openxmlformats.org/officeDocument/2006/relationships/hyperlink" Target="https://doi.org/10.3390/agronomy11010080" TargetMode="External"/><Relationship Id="rId28" Type="http://schemas.openxmlformats.org/officeDocument/2006/relationships/hyperlink" Target="https://doi.org/10.1016/j.heliyon.2024.e41185" TargetMode="External"/><Relationship Id="rId36" Type="http://schemas.openxmlformats.org/officeDocument/2006/relationships/hyperlink" Target="https://doi.org/10.3390/su122310078"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Bacteria (cfu/g)</c:v>
                </c:pt>
                <c:pt idx="1">
                  <c:v>Fungi (cfu/g)</c:v>
                </c:pt>
              </c:strCache>
            </c:strRef>
          </c:cat>
          <c:val>
            <c:numRef>
              <c:f>Sheet1!$B$2:$B$3</c:f>
              <c:numCache>
                <c:formatCode>0.00E+00</c:formatCode>
                <c:ptCount val="2"/>
                <c:pt idx="0">
                  <c:v>4000000</c:v>
                </c:pt>
                <c:pt idx="1">
                  <c:v>2600000</c:v>
                </c:pt>
              </c:numCache>
            </c:numRef>
          </c:val>
          <c:extLst>
            <c:ext xmlns:c16="http://schemas.microsoft.com/office/drawing/2014/chart" uri="{C3380CC4-5D6E-409C-BE32-E72D297353CC}">
              <c16:uniqueId val="{00000000-3397-4A71-8B3E-64B165771A54}"/>
            </c:ext>
          </c:extLst>
        </c:ser>
        <c:ser>
          <c:idx val="1"/>
          <c:order val="1"/>
          <c:tx>
            <c:strRef>
              <c:f>Sheet1!$C$1</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Bacteria (cfu/g)</c:v>
                </c:pt>
                <c:pt idx="1">
                  <c:v>Fungi (cfu/g)</c:v>
                </c:pt>
              </c:strCache>
            </c:strRef>
          </c:cat>
          <c:val>
            <c:numRef>
              <c:f>Sheet1!$C$2:$C$3</c:f>
              <c:numCache>
                <c:formatCode>0.00E+00</c:formatCode>
                <c:ptCount val="2"/>
                <c:pt idx="0">
                  <c:v>390000</c:v>
                </c:pt>
                <c:pt idx="1">
                  <c:v>300000</c:v>
                </c:pt>
              </c:numCache>
            </c:numRef>
          </c:val>
          <c:extLst>
            <c:ext xmlns:c16="http://schemas.microsoft.com/office/drawing/2014/chart" uri="{C3380CC4-5D6E-409C-BE32-E72D297353CC}">
              <c16:uniqueId val="{00000001-3397-4A71-8B3E-64B165771A54}"/>
            </c:ext>
          </c:extLst>
        </c:ser>
        <c:dLbls>
          <c:dLblPos val="outEnd"/>
          <c:showLegendKey val="0"/>
          <c:showVal val="1"/>
          <c:showCatName val="0"/>
          <c:showSerName val="0"/>
          <c:showPercent val="0"/>
          <c:showBubbleSize val="0"/>
        </c:dLbls>
        <c:gapWidth val="219"/>
        <c:axId val="909883808"/>
        <c:axId val="909885248"/>
      </c:barChart>
      <c:catAx>
        <c:axId val="909883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885248"/>
        <c:crosses val="autoZero"/>
        <c:auto val="1"/>
        <c:lblAlgn val="ctr"/>
        <c:lblOffset val="100"/>
        <c:noMultiLvlLbl val="0"/>
      </c:catAx>
      <c:valAx>
        <c:axId val="909885248"/>
        <c:scaling>
          <c:orientation val="minMax"/>
        </c:scaling>
        <c:delete val="0"/>
        <c:axPos val="b"/>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883808"/>
        <c:crosses val="autoZero"/>
        <c:crossBetween val="between"/>
      </c:valAx>
      <c:spPr>
        <a:noFill/>
        <a:ln>
          <a:noFill/>
        </a:ln>
        <a:effectLst/>
      </c:spPr>
    </c:plotArea>
    <c:legend>
      <c:legendPos val="t"/>
      <c:layout>
        <c:manualLayout>
          <c:xMode val="edge"/>
          <c:yMode val="edge"/>
          <c:x val="0.78251337508642604"/>
          <c:y val="0.18210361067503925"/>
          <c:w val="0.17836625920481167"/>
          <c:h val="0.105966204773853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Sheet1!$A$7:$A$9</c:f>
              <c:strCache>
                <c:ptCount val="3"/>
                <c:pt idx="0">
                  <c:v>DHA</c:v>
                </c:pt>
                <c:pt idx="1">
                  <c:v>UREASE</c:v>
                </c:pt>
                <c:pt idx="2">
                  <c:v>PHOSPHATE</c:v>
                </c:pt>
              </c:strCache>
            </c:strRef>
          </c:cat>
          <c:val>
            <c:numRef>
              <c:f>Sheet1!$B$7:$B$9</c:f>
              <c:numCache>
                <c:formatCode>General</c:formatCode>
                <c:ptCount val="3"/>
                <c:pt idx="0">
                  <c:v>2.6</c:v>
                </c:pt>
                <c:pt idx="1">
                  <c:v>28</c:v>
                </c:pt>
                <c:pt idx="2">
                  <c:v>55</c:v>
                </c:pt>
              </c:numCache>
            </c:numRef>
          </c:val>
          <c:extLst>
            <c:ext xmlns:c16="http://schemas.microsoft.com/office/drawing/2014/chart" uri="{C3380CC4-5D6E-409C-BE32-E72D297353CC}">
              <c16:uniqueId val="{00000000-45D5-468A-BF37-3C6F882A0F02}"/>
            </c:ext>
          </c:extLst>
        </c:ser>
        <c:ser>
          <c:idx val="1"/>
          <c:order val="1"/>
          <c:tx>
            <c:strRef>
              <c:f>Sheet1!$C$6</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Sheet1!$A$7:$A$9</c:f>
              <c:strCache>
                <c:ptCount val="3"/>
                <c:pt idx="0">
                  <c:v>DHA</c:v>
                </c:pt>
                <c:pt idx="1">
                  <c:v>UREASE</c:v>
                </c:pt>
                <c:pt idx="2">
                  <c:v>PHOSPHATE</c:v>
                </c:pt>
              </c:strCache>
            </c:strRef>
          </c:cat>
          <c:val>
            <c:numRef>
              <c:f>Sheet1!$C$7:$C$9</c:f>
              <c:numCache>
                <c:formatCode>General</c:formatCode>
                <c:ptCount val="3"/>
                <c:pt idx="0">
                  <c:v>0.7</c:v>
                </c:pt>
                <c:pt idx="1">
                  <c:v>7.1</c:v>
                </c:pt>
                <c:pt idx="2">
                  <c:v>16.5</c:v>
                </c:pt>
              </c:numCache>
            </c:numRef>
          </c:val>
          <c:extLst>
            <c:ext xmlns:c16="http://schemas.microsoft.com/office/drawing/2014/chart" uri="{C3380CC4-5D6E-409C-BE32-E72D297353CC}">
              <c16:uniqueId val="{00000001-45D5-468A-BF37-3C6F882A0F02}"/>
            </c:ext>
          </c:extLst>
        </c:ser>
        <c:dLbls>
          <c:dLblPos val="outEnd"/>
          <c:showLegendKey val="0"/>
          <c:showVal val="1"/>
          <c:showCatName val="0"/>
          <c:showSerName val="0"/>
          <c:showPercent val="0"/>
          <c:showBubbleSize val="0"/>
        </c:dLbls>
        <c:gapWidth val="219"/>
        <c:overlap val="-27"/>
        <c:axId val="1575506480"/>
        <c:axId val="1575507440"/>
      </c:barChart>
      <c:catAx>
        <c:axId val="157550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507440"/>
        <c:crosses val="autoZero"/>
        <c:auto val="1"/>
        <c:lblAlgn val="ctr"/>
        <c:lblOffset val="100"/>
        <c:noMultiLvlLbl val="0"/>
      </c:catAx>
      <c:valAx>
        <c:axId val="1575507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506480"/>
        <c:crosses val="autoZero"/>
        <c:crossBetween val="between"/>
      </c:valAx>
      <c:spPr>
        <a:noFill/>
        <a:ln>
          <a:noFill/>
        </a:ln>
        <a:effectLst/>
      </c:spPr>
    </c:plotArea>
    <c:legend>
      <c:legendPos val="t"/>
      <c:layout>
        <c:manualLayout>
          <c:xMode val="edge"/>
          <c:yMode val="edge"/>
          <c:x val="0.82179724409448818"/>
          <c:y val="3.4188034188034191E-2"/>
          <c:w val="0.14529418197725286"/>
          <c:h val="9.61545191466451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Sheet1!$A$16:$A$17</c:f>
              <c:strCache>
                <c:ptCount val="2"/>
                <c:pt idx="0">
                  <c:v>TOC </c:v>
                </c:pt>
                <c:pt idx="1">
                  <c:v>TON </c:v>
                </c:pt>
              </c:strCache>
            </c:strRef>
          </c:cat>
          <c:val>
            <c:numRef>
              <c:f>Sheet1!$B$16:$B$17</c:f>
              <c:numCache>
                <c:formatCode>General</c:formatCode>
                <c:ptCount val="2"/>
                <c:pt idx="0">
                  <c:v>2.1</c:v>
                </c:pt>
                <c:pt idx="1">
                  <c:v>0.2</c:v>
                </c:pt>
              </c:numCache>
            </c:numRef>
          </c:val>
          <c:extLst>
            <c:ext xmlns:c16="http://schemas.microsoft.com/office/drawing/2014/chart" uri="{C3380CC4-5D6E-409C-BE32-E72D297353CC}">
              <c16:uniqueId val="{00000000-EF2B-447E-8810-93F9BD663589}"/>
            </c:ext>
          </c:extLst>
        </c:ser>
        <c:ser>
          <c:idx val="1"/>
          <c:order val="1"/>
          <c:tx>
            <c:strRef>
              <c:f>Sheet1!$C$15</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Sheet1!$A$16:$A$17</c:f>
              <c:strCache>
                <c:ptCount val="2"/>
                <c:pt idx="0">
                  <c:v>TOC </c:v>
                </c:pt>
                <c:pt idx="1">
                  <c:v>TON </c:v>
                </c:pt>
              </c:strCache>
            </c:strRef>
          </c:cat>
          <c:val>
            <c:numRef>
              <c:f>Sheet1!$C$16:$C$17</c:f>
              <c:numCache>
                <c:formatCode>General</c:formatCode>
                <c:ptCount val="2"/>
                <c:pt idx="0">
                  <c:v>0.55000000000000004</c:v>
                </c:pt>
                <c:pt idx="1">
                  <c:v>0.4</c:v>
                </c:pt>
              </c:numCache>
            </c:numRef>
          </c:val>
          <c:extLst>
            <c:ext xmlns:c16="http://schemas.microsoft.com/office/drawing/2014/chart" uri="{C3380CC4-5D6E-409C-BE32-E72D297353CC}">
              <c16:uniqueId val="{00000001-EF2B-447E-8810-93F9BD663589}"/>
            </c:ext>
          </c:extLst>
        </c:ser>
        <c:dLbls>
          <c:dLblPos val="outEnd"/>
          <c:showLegendKey val="0"/>
          <c:showVal val="1"/>
          <c:showCatName val="0"/>
          <c:showSerName val="0"/>
          <c:showPercent val="0"/>
          <c:showBubbleSize val="0"/>
        </c:dLbls>
        <c:gapWidth val="219"/>
        <c:overlap val="-27"/>
        <c:axId val="1581493280"/>
        <c:axId val="1581494240"/>
      </c:barChart>
      <c:catAx>
        <c:axId val="158149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94240"/>
        <c:crosses val="autoZero"/>
        <c:auto val="1"/>
        <c:lblAlgn val="ctr"/>
        <c:lblOffset val="100"/>
        <c:noMultiLvlLbl val="0"/>
      </c:catAx>
      <c:valAx>
        <c:axId val="1581494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93280"/>
        <c:crosses val="autoZero"/>
        <c:crossBetween val="between"/>
      </c:valAx>
      <c:spPr>
        <a:noFill/>
        <a:ln>
          <a:noFill/>
        </a:ln>
        <a:effectLst/>
      </c:spPr>
    </c:plotArea>
    <c:legend>
      <c:legendPos val="t"/>
      <c:layout>
        <c:manualLayout>
          <c:xMode val="edge"/>
          <c:yMode val="edge"/>
          <c:x val="0.82504510276686505"/>
          <c:y val="2.2962112514351322E-2"/>
          <c:w val="0.14933877376676952"/>
          <c:h val="7.749767214804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5"/>
                <c:pt idx="0">
                  <c:v>SO₄²⁻ (mg/kg)</c:v>
                </c:pt>
                <c:pt idx="2">
                  <c:v>NO₃⁻ (mg/kg)</c:v>
                </c:pt>
                <c:pt idx="4">
                  <c:v>PO₄³⁻ (mg/kg)</c:v>
                </c:pt>
              </c:strCache>
            </c:strRef>
          </c:cat>
          <c:val>
            <c:numRef>
              <c:f>Sheet1!$B$23:$B$28</c:f>
              <c:numCache>
                <c:formatCode>General</c:formatCode>
                <c:ptCount val="6"/>
                <c:pt idx="0">
                  <c:v>56.98</c:v>
                </c:pt>
                <c:pt idx="2">
                  <c:v>5.88</c:v>
                </c:pt>
                <c:pt idx="4">
                  <c:v>4.5999999999999996</c:v>
                </c:pt>
              </c:numCache>
            </c:numRef>
          </c:val>
          <c:extLst>
            <c:ext xmlns:c16="http://schemas.microsoft.com/office/drawing/2014/chart" uri="{C3380CC4-5D6E-409C-BE32-E72D297353CC}">
              <c16:uniqueId val="{00000000-6FD2-4E3A-965E-2DA614EEEB35}"/>
            </c:ext>
          </c:extLst>
        </c:ser>
        <c:ser>
          <c:idx val="1"/>
          <c:order val="1"/>
          <c:tx>
            <c:strRef>
              <c:f>Sheet1!$C$22</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5"/>
                <c:pt idx="0">
                  <c:v>SO₄²⁻ (mg/kg)</c:v>
                </c:pt>
                <c:pt idx="2">
                  <c:v>NO₃⁻ (mg/kg)</c:v>
                </c:pt>
                <c:pt idx="4">
                  <c:v>PO₄³⁻ (mg/kg)</c:v>
                </c:pt>
              </c:strCache>
            </c:strRef>
          </c:cat>
          <c:val>
            <c:numRef>
              <c:f>Sheet1!$C$23:$C$28</c:f>
              <c:numCache>
                <c:formatCode>General</c:formatCode>
                <c:ptCount val="6"/>
                <c:pt idx="0">
                  <c:v>66.3</c:v>
                </c:pt>
                <c:pt idx="2">
                  <c:v>23.4</c:v>
                </c:pt>
                <c:pt idx="4">
                  <c:v>10.7</c:v>
                </c:pt>
              </c:numCache>
            </c:numRef>
          </c:val>
          <c:extLst>
            <c:ext xmlns:c16="http://schemas.microsoft.com/office/drawing/2014/chart" uri="{C3380CC4-5D6E-409C-BE32-E72D297353CC}">
              <c16:uniqueId val="{00000001-6FD2-4E3A-965E-2DA614EEEB35}"/>
            </c:ext>
          </c:extLst>
        </c:ser>
        <c:dLbls>
          <c:dLblPos val="outEnd"/>
          <c:showLegendKey val="0"/>
          <c:showVal val="1"/>
          <c:showCatName val="0"/>
          <c:showSerName val="0"/>
          <c:showPercent val="0"/>
          <c:showBubbleSize val="0"/>
        </c:dLbls>
        <c:gapWidth val="219"/>
        <c:overlap val="-27"/>
        <c:axId val="928914016"/>
        <c:axId val="928915456"/>
      </c:barChart>
      <c:catAx>
        <c:axId val="92891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15456"/>
        <c:crosses val="autoZero"/>
        <c:auto val="1"/>
        <c:lblAlgn val="ctr"/>
        <c:lblOffset val="100"/>
        <c:noMultiLvlLbl val="0"/>
      </c:catAx>
      <c:valAx>
        <c:axId val="92891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14016"/>
        <c:crosses val="autoZero"/>
        <c:crossBetween val="between"/>
      </c:valAx>
      <c:spPr>
        <a:noFill/>
        <a:ln>
          <a:noFill/>
        </a:ln>
        <a:effectLst/>
      </c:spPr>
    </c:plotArea>
    <c:legend>
      <c:legendPos val="t"/>
      <c:layout>
        <c:manualLayout>
          <c:xMode val="edge"/>
          <c:yMode val="edge"/>
          <c:x val="0.84116899998505879"/>
          <c:y val="1.5384615384615385E-2"/>
          <c:w val="0.13233625682937641"/>
          <c:h val="6.4904300423985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Sheet1!$B$31</c:f>
              <c:strCache>
                <c:ptCount val="1"/>
                <c:pt idx="0">
                  <c:v>URS</c:v>
                </c:pt>
              </c:strCache>
            </c:strRef>
          </c:tx>
          <c:spPr>
            <a:solidFill>
              <a:schemeClr val="accent1"/>
            </a:solidFill>
            <a:ln>
              <a:noFill/>
            </a:ln>
            <a:effectLst/>
          </c:spPr>
          <c:invertIfNegative val="0"/>
          <c:cat>
            <c:strRef>
              <c:f>Sheet1!$A$32:$A$39</c:f>
              <c:strCache>
                <c:ptCount val="7"/>
                <c:pt idx="0">
                  <c:v>Bulk density (g/cm³)</c:v>
                </c:pt>
                <c:pt idx="2">
                  <c:v>Water retention capacity</c:v>
                </c:pt>
                <c:pt idx="4">
                  <c:v>Soil compaction</c:v>
                </c:pt>
                <c:pt idx="6">
                  <c:v>CEC (cmol/kg)</c:v>
                </c:pt>
              </c:strCache>
            </c:strRef>
          </c:cat>
          <c:val>
            <c:numRef>
              <c:f>Sheet1!$B$32:$B$39</c:f>
              <c:numCache>
                <c:formatCode>General</c:formatCode>
                <c:ptCount val="8"/>
                <c:pt idx="0">
                  <c:v>7.59</c:v>
                </c:pt>
                <c:pt idx="2">
                  <c:v>0.375</c:v>
                </c:pt>
                <c:pt idx="4">
                  <c:v>12.1</c:v>
                </c:pt>
                <c:pt idx="6">
                  <c:v>5.0999999999999996</c:v>
                </c:pt>
              </c:numCache>
            </c:numRef>
          </c:val>
          <c:extLst>
            <c:ext xmlns:c16="http://schemas.microsoft.com/office/drawing/2014/chart" uri="{C3380CC4-5D6E-409C-BE32-E72D297353CC}">
              <c16:uniqueId val="{00000000-50E4-49FE-880F-17B8D61E0BF5}"/>
            </c:ext>
          </c:extLst>
        </c:ser>
        <c:ser>
          <c:idx val="1"/>
          <c:order val="1"/>
          <c:tx>
            <c:strRef>
              <c:f>Sheet1!$C$31</c:f>
              <c:strCache>
                <c:ptCount val="1"/>
                <c:pt idx="0">
                  <c:v>RS</c:v>
                </c:pt>
              </c:strCache>
            </c:strRef>
          </c:tx>
          <c:spPr>
            <a:solidFill>
              <a:schemeClr val="accent2"/>
            </a:solidFill>
            <a:ln>
              <a:noFill/>
            </a:ln>
            <a:effectLst/>
          </c:spPr>
          <c:invertIfNegative val="0"/>
          <c:cat>
            <c:strRef>
              <c:f>Sheet1!$A$32:$A$39</c:f>
              <c:strCache>
                <c:ptCount val="7"/>
                <c:pt idx="0">
                  <c:v>Bulk density (g/cm³)</c:v>
                </c:pt>
                <c:pt idx="2">
                  <c:v>Water retention capacity</c:v>
                </c:pt>
                <c:pt idx="4">
                  <c:v>Soil compaction</c:v>
                </c:pt>
                <c:pt idx="6">
                  <c:v>CEC (cmol/kg)</c:v>
                </c:pt>
              </c:strCache>
            </c:strRef>
          </c:cat>
          <c:val>
            <c:numRef>
              <c:f>Sheet1!$C$32:$C$39</c:f>
              <c:numCache>
                <c:formatCode>General</c:formatCode>
                <c:ptCount val="8"/>
                <c:pt idx="0">
                  <c:v>5.24</c:v>
                </c:pt>
                <c:pt idx="2">
                  <c:v>0.433</c:v>
                </c:pt>
                <c:pt idx="4">
                  <c:v>45.8</c:v>
                </c:pt>
                <c:pt idx="6">
                  <c:v>18.5</c:v>
                </c:pt>
              </c:numCache>
            </c:numRef>
          </c:val>
          <c:extLst>
            <c:ext xmlns:c16="http://schemas.microsoft.com/office/drawing/2014/chart" uri="{C3380CC4-5D6E-409C-BE32-E72D297353CC}">
              <c16:uniqueId val="{00000001-50E4-49FE-880F-17B8D61E0BF5}"/>
            </c:ext>
          </c:extLst>
        </c:ser>
        <c:dLbls>
          <c:showLegendKey val="0"/>
          <c:showVal val="0"/>
          <c:showCatName val="0"/>
          <c:showSerName val="0"/>
          <c:showPercent val="0"/>
          <c:showBubbleSize val="0"/>
        </c:dLbls>
        <c:gapWidth val="182"/>
        <c:axId val="1557642336"/>
        <c:axId val="1557644736"/>
      </c:barChart>
      <c:catAx>
        <c:axId val="155764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644736"/>
        <c:crosses val="autoZero"/>
        <c:auto val="1"/>
        <c:lblAlgn val="ctr"/>
        <c:lblOffset val="100"/>
        <c:noMultiLvlLbl val="0"/>
      </c:catAx>
      <c:valAx>
        <c:axId val="1557644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642336"/>
        <c:crosses val="autoZero"/>
        <c:crossBetween val="between"/>
      </c:valAx>
      <c:spPr>
        <a:noFill/>
        <a:ln>
          <a:noFill/>
        </a:ln>
        <a:effectLst/>
      </c:spPr>
    </c:plotArea>
    <c:legend>
      <c:legendPos val="t"/>
      <c:layout>
        <c:manualLayout>
          <c:xMode val="edge"/>
          <c:yMode val="edge"/>
          <c:x val="0.80513057742782146"/>
          <c:y val="2.3148148148148147E-2"/>
          <c:w val="0.1452941819772528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Sheet2!$H$2</c:f>
              <c:strCache>
                <c:ptCount val="1"/>
                <c:pt idx="0">
                  <c:v>Weighted Score (W-RS)</c:v>
                </c:pt>
              </c:strCache>
            </c:strRef>
          </c:tx>
          <c:spPr>
            <a:solidFill>
              <a:schemeClr val="accent1"/>
            </a:solidFill>
            <a:ln>
              <a:noFill/>
            </a:ln>
            <a:effectLst/>
          </c:spPr>
          <c:invertIfNegative val="0"/>
          <c:cat>
            <c:strRef>
              <c:f>Sheet2!$A$3:$A$20</c:f>
              <c:strCache>
                <c:ptCount val="18"/>
                <c:pt idx="0">
                  <c:v>Bacteria</c:v>
                </c:pt>
                <c:pt idx="1">
                  <c:v>Fungi</c:v>
                </c:pt>
                <c:pt idx="2">
                  <c:v>Dehydrogenase</c:v>
                </c:pt>
                <c:pt idx="3">
                  <c:v>Urease</c:v>
                </c:pt>
                <c:pt idx="4">
                  <c:v>Phosphatase</c:v>
                </c:pt>
                <c:pt idx="5">
                  <c:v>pH</c:v>
                </c:pt>
                <c:pt idx="6">
                  <c:v>TOC</c:v>
                </c:pt>
                <c:pt idx="7">
                  <c:v>TON</c:v>
                </c:pt>
                <c:pt idx="8">
                  <c:v>SO₄² </c:v>
                </c:pt>
                <c:pt idx="10">
                  <c:v>NO₃⁻ </c:v>
                </c:pt>
                <c:pt idx="12">
                  <c:v>PO₄³ </c:v>
                </c:pt>
                <c:pt idx="14">
                  <c:v>Bulk Density</c:v>
                </c:pt>
                <c:pt idx="15">
                  <c:v>Water Retention</c:v>
                </c:pt>
                <c:pt idx="16">
                  <c:v>Soil Compaction</c:v>
                </c:pt>
                <c:pt idx="17">
                  <c:v>CEC</c:v>
                </c:pt>
              </c:strCache>
            </c:strRef>
          </c:cat>
          <c:val>
            <c:numRef>
              <c:f>Sheet2!$H$3:$H$20</c:f>
              <c:numCache>
                <c:formatCode>General</c:formatCode>
                <c:ptCount val="18"/>
                <c:pt idx="0">
                  <c:v>6.6E-3</c:v>
                </c:pt>
                <c:pt idx="1">
                  <c:v>7.7000000000000002E-3</c:v>
                </c:pt>
                <c:pt idx="2">
                  <c:v>1.7899999999999999E-2</c:v>
                </c:pt>
                <c:pt idx="3">
                  <c:v>1.6899999999999998E-2</c:v>
                </c:pt>
                <c:pt idx="4">
                  <c:v>1.9900000000000001E-2</c:v>
                </c:pt>
                <c:pt idx="5">
                  <c:v>6.6600000000000006E-2</c:v>
                </c:pt>
                <c:pt idx="6">
                  <c:v>1.7399999999999999E-2</c:v>
                </c:pt>
                <c:pt idx="7">
                  <c:v>6.6600000000000006E-2</c:v>
                </c:pt>
                <c:pt idx="8">
                  <c:v>6.6600000000000006E-2</c:v>
                </c:pt>
                <c:pt idx="10">
                  <c:v>6.6600000000000006E-2</c:v>
                </c:pt>
                <c:pt idx="12">
                  <c:v>6.6600000000000006E-2</c:v>
                </c:pt>
                <c:pt idx="14">
                  <c:v>6.6600000000000006E-2</c:v>
                </c:pt>
                <c:pt idx="15">
                  <c:v>6.6600000000000006E-2</c:v>
                </c:pt>
                <c:pt idx="16">
                  <c:v>1.7600000000000001E-2</c:v>
                </c:pt>
                <c:pt idx="17">
                  <c:v>6.6600000000000006E-2</c:v>
                </c:pt>
              </c:numCache>
            </c:numRef>
          </c:val>
          <c:extLst>
            <c:ext xmlns:c16="http://schemas.microsoft.com/office/drawing/2014/chart" uri="{C3380CC4-5D6E-409C-BE32-E72D297353CC}">
              <c16:uniqueId val="{00000000-55A0-4260-9153-986995BD1401}"/>
            </c:ext>
          </c:extLst>
        </c:ser>
        <c:ser>
          <c:idx val="1"/>
          <c:order val="1"/>
          <c:tx>
            <c:strRef>
              <c:f>Sheet2!$I$2</c:f>
              <c:strCache>
                <c:ptCount val="1"/>
                <c:pt idx="0">
                  <c:v>Weighted Score (W-URS)</c:v>
                </c:pt>
              </c:strCache>
            </c:strRef>
          </c:tx>
          <c:spPr>
            <a:solidFill>
              <a:schemeClr val="accent2"/>
            </a:solidFill>
            <a:ln>
              <a:noFill/>
            </a:ln>
            <a:effectLst/>
          </c:spPr>
          <c:invertIfNegative val="0"/>
          <c:cat>
            <c:strRef>
              <c:f>Sheet2!$A$3:$A$20</c:f>
              <c:strCache>
                <c:ptCount val="18"/>
                <c:pt idx="0">
                  <c:v>Bacteria</c:v>
                </c:pt>
                <c:pt idx="1">
                  <c:v>Fungi</c:v>
                </c:pt>
                <c:pt idx="2">
                  <c:v>Dehydrogenase</c:v>
                </c:pt>
                <c:pt idx="3">
                  <c:v>Urease</c:v>
                </c:pt>
                <c:pt idx="4">
                  <c:v>Phosphatase</c:v>
                </c:pt>
                <c:pt idx="5">
                  <c:v>pH</c:v>
                </c:pt>
                <c:pt idx="6">
                  <c:v>TOC</c:v>
                </c:pt>
                <c:pt idx="7">
                  <c:v>TON</c:v>
                </c:pt>
                <c:pt idx="8">
                  <c:v>SO₄² </c:v>
                </c:pt>
                <c:pt idx="10">
                  <c:v>NO₃⁻ </c:v>
                </c:pt>
                <c:pt idx="12">
                  <c:v>PO₄³ </c:v>
                </c:pt>
                <c:pt idx="14">
                  <c:v>Bulk Density</c:v>
                </c:pt>
                <c:pt idx="15">
                  <c:v>Water Retention</c:v>
                </c:pt>
                <c:pt idx="16">
                  <c:v>Soil Compaction</c:v>
                </c:pt>
                <c:pt idx="17">
                  <c:v>CEC</c:v>
                </c:pt>
              </c:strCache>
            </c:strRef>
          </c:cat>
          <c:val>
            <c:numRef>
              <c:f>Sheet2!$I$3:$I$20</c:f>
              <c:numCache>
                <c:formatCode>General</c:formatCode>
                <c:ptCount val="18"/>
                <c:pt idx="0">
                  <c:v>6.6600000000000006E-2</c:v>
                </c:pt>
                <c:pt idx="1">
                  <c:v>6.6600000000000006E-2</c:v>
                </c:pt>
                <c:pt idx="2">
                  <c:v>6.6600000000000006E-2</c:v>
                </c:pt>
                <c:pt idx="3">
                  <c:v>6.6600000000000006E-2</c:v>
                </c:pt>
                <c:pt idx="4">
                  <c:v>6.6600000000000006E-2</c:v>
                </c:pt>
                <c:pt idx="5">
                  <c:v>6.6600000000000006E-2</c:v>
                </c:pt>
                <c:pt idx="6">
                  <c:v>6.6600000000000006E-2</c:v>
                </c:pt>
                <c:pt idx="7">
                  <c:v>3.3300000000000003E-2</c:v>
                </c:pt>
                <c:pt idx="8">
                  <c:v>5.7200000000000001E-2</c:v>
                </c:pt>
                <c:pt idx="10">
                  <c:v>2.86E-2</c:v>
                </c:pt>
                <c:pt idx="12">
                  <c:v>1.67E-2</c:v>
                </c:pt>
                <c:pt idx="14">
                  <c:v>4.5900000000000003E-2</c:v>
                </c:pt>
                <c:pt idx="15">
                  <c:v>5.7700000000000001E-2</c:v>
                </c:pt>
                <c:pt idx="16">
                  <c:v>6.6600000000000006E-2</c:v>
                </c:pt>
                <c:pt idx="17">
                  <c:v>1.84E-2</c:v>
                </c:pt>
              </c:numCache>
            </c:numRef>
          </c:val>
          <c:extLst>
            <c:ext xmlns:c16="http://schemas.microsoft.com/office/drawing/2014/chart" uri="{C3380CC4-5D6E-409C-BE32-E72D297353CC}">
              <c16:uniqueId val="{00000001-55A0-4260-9153-986995BD1401}"/>
            </c:ext>
          </c:extLst>
        </c:ser>
        <c:dLbls>
          <c:showLegendKey val="0"/>
          <c:showVal val="0"/>
          <c:showCatName val="0"/>
          <c:showSerName val="0"/>
          <c:showPercent val="0"/>
          <c:showBubbleSize val="0"/>
        </c:dLbls>
        <c:gapWidth val="219"/>
        <c:overlap val="-27"/>
        <c:axId val="1568253936"/>
        <c:axId val="1568257776"/>
      </c:barChart>
      <c:catAx>
        <c:axId val="156825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7776"/>
        <c:crosses val="autoZero"/>
        <c:auto val="1"/>
        <c:lblAlgn val="ctr"/>
        <c:lblOffset val="100"/>
        <c:noMultiLvlLbl val="0"/>
      </c:catAx>
      <c:valAx>
        <c:axId val="1568257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Prosper Ezekiel</dc:creator>
  <cp:lastModifiedBy>Editor-90</cp:lastModifiedBy>
  <cp:revision>12</cp:revision>
  <dcterms:created xsi:type="dcterms:W3CDTF">2026-05-28T09:13:00Z</dcterms:created>
  <dcterms:modified xsi:type="dcterms:W3CDTF">2026-06-25T07:34:00Z</dcterms:modified>
</cp:coreProperties>
</file>