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4F386E" w14:textId="50204D15" w:rsidR="000E168F" w:rsidRDefault="00FD2BCF">
      <w:pPr>
        <w:pStyle w:val="Heading1"/>
        <w:keepNext w:val="0"/>
        <w:keepLines w:val="0"/>
        <w:spacing w:after="120" w:line="360" w:lineRule="auto"/>
        <w:jc w:val="both"/>
        <w:rPr>
          <w:rFonts w:ascii="Times New Roman" w:eastAsia="Times New Roman" w:hAnsi="Times New Roman" w:cs="Times New Roman"/>
          <w:color w:val="000000"/>
          <w:sz w:val="24"/>
          <w:szCs w:val="24"/>
        </w:rPr>
      </w:pPr>
      <w:bookmarkStart w:id="0" w:name="_heading=h.uy8vxankdlo3" w:colFirst="0" w:colLast="0"/>
      <w:bookmarkEnd w:id="0"/>
      <w:r>
        <w:rPr>
          <w:rFonts w:ascii="Times New Roman" w:eastAsia="Times New Roman" w:hAnsi="Times New Roman" w:cs="Times New Roman"/>
          <w:color w:val="000000"/>
          <w:sz w:val="24"/>
          <w:szCs w:val="24"/>
        </w:rPr>
        <w:t>Green Economics and Household Consumption in Maharashtra</w:t>
      </w:r>
      <w:r w:rsidR="008E5E71">
        <w:rPr>
          <w:rFonts w:ascii="Times New Roman" w:eastAsia="Times New Roman" w:hAnsi="Times New Roman" w:cs="Times New Roman"/>
          <w:color w:val="000000"/>
          <w:sz w:val="24"/>
          <w:szCs w:val="24"/>
        </w:rPr>
        <w:t xml:space="preserve">, India </w:t>
      </w:r>
    </w:p>
    <w:p w14:paraId="2C34C10F" w14:textId="77777777" w:rsidR="000E168F" w:rsidRDefault="000E168F"/>
    <w:p w14:paraId="7EDF21E7" w14:textId="77777777" w:rsidR="000E168F" w:rsidRDefault="000E168F">
      <w:bookmarkStart w:id="1" w:name="_heading=h.b6o3f2ebc1x3" w:colFirst="0" w:colLast="0"/>
      <w:bookmarkEnd w:id="1"/>
    </w:p>
    <w:p w14:paraId="5124A9BB" w14:textId="77777777" w:rsidR="000E168F" w:rsidRDefault="000E168F"/>
    <w:p w14:paraId="06904CDE" w14:textId="77777777" w:rsidR="000E168F" w:rsidRDefault="000E168F"/>
    <w:p w14:paraId="68E1A3A2" w14:textId="77777777" w:rsidR="000E168F" w:rsidRDefault="00FD2BCF">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334F6687"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Comparative data for March 2024 and March 2025 is used to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the household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from the perspective of Green Economics and Sustainable Development in Maharashtra. The study examines the connection between income, food expenditure, health expenditure, leisure expenditure, recreation spending, restaurant spending and vacation spending and how these determine sustainable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The data is secondary data from Centre for Monitoring Indian Economy (CMIE) Consumer Pyramids Household Survey (CPHS). The research methodology used are descriptive statistics, comparative analysi</w:t>
      </w:r>
      <w:r>
        <w:rPr>
          <w:rFonts w:ascii="Times New Roman" w:eastAsia="Times New Roman" w:hAnsi="Times New Roman" w:cs="Times New Roman"/>
          <w:sz w:val="24"/>
          <w:szCs w:val="24"/>
        </w:rPr>
        <w:t xml:space="preserve">s, correlation matrix, Chi-square association, OLS regression. </w:t>
      </w:r>
    </w:p>
    <w:p w14:paraId="081D195F"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reveal that increases in household income are significantly associated with an increase in expenditure, especially food consumption, among the households. But too much discretionary and lifestyle spending has negative impacts on sustainability orientation. Expenditure on food and health has a positive impact on sustainable development practices and expenditure on leisure and luxury has a negative impact on sustainable development indicators. The Green Economics Sustainability Index that was crea</w:t>
      </w:r>
      <w:r>
        <w:rPr>
          <w:rFonts w:ascii="Times New Roman" w:eastAsia="Times New Roman" w:hAnsi="Times New Roman" w:cs="Times New Roman"/>
          <w:sz w:val="24"/>
          <w:szCs w:val="24"/>
        </w:rPr>
        <w:t xml:space="preserve">ted for this study shows that homes which spend in a balanced and </w:t>
      </w:r>
      <w:proofErr w:type="gramStart"/>
      <w:r>
        <w:rPr>
          <w:rFonts w:ascii="Times New Roman" w:eastAsia="Times New Roman" w:hAnsi="Times New Roman" w:cs="Times New Roman"/>
          <w:sz w:val="24"/>
          <w:szCs w:val="24"/>
        </w:rPr>
        <w:t>welfare oriented</w:t>
      </w:r>
      <w:proofErr w:type="gramEnd"/>
      <w:r>
        <w:rPr>
          <w:rFonts w:ascii="Times New Roman" w:eastAsia="Times New Roman" w:hAnsi="Times New Roman" w:cs="Times New Roman"/>
          <w:sz w:val="24"/>
          <w:szCs w:val="24"/>
        </w:rPr>
        <w:t xml:space="preserve"> way possess a higher sustainability orientation.</w:t>
      </w:r>
    </w:p>
    <w:p w14:paraId="5F62FA32"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comparative analysis with 2025 shows that although income and expenditure has increased, the sustainability index has decreased slightly because of the rise in lifestyle-related consumption. The study adds to the body of literature on Green Economics and household sustainability by combining the concepts of sustainability with the econometric </w:t>
      </w:r>
      <w:r>
        <w:rPr>
          <w:rFonts w:ascii="Times New Roman" w:eastAsia="Times New Roman" w:hAnsi="Times New Roman" w:cs="Times New Roman"/>
          <w:sz w:val="24"/>
          <w:szCs w:val="24"/>
        </w:rPr>
        <w:lastRenderedPageBreak/>
        <w:t>analysis based on the household level in the state of Maharashtra. The findings show that there is a significant relationship between an increase in income and an increase in expenditure, especially in food consumption. Increased spending on food and health has a positive impact on sustainable development while spending on discretionary items and lifestyle items, such as leisure and luxury, has a negative impact on sustainable development outcomes. The Green Economics Sustainability Index created for the pu</w:t>
      </w:r>
      <w:r>
        <w:rPr>
          <w:rFonts w:ascii="Times New Roman" w:eastAsia="Times New Roman" w:hAnsi="Times New Roman" w:cs="Times New Roman"/>
          <w:sz w:val="24"/>
          <w:szCs w:val="24"/>
        </w:rPr>
        <w:t>rpose of this study suggests that household consumption patterns demonstrating balance and welfare orientation have higher sustainability orientations. The comparative analysis of March 2024 and March 2025 reveals that the sustainability index decreased slightly despite the increase in income and general spending, as a result of an increase in spending on "lifestyle" items.  The Household sustainability orientation was measured by the Green Economics Sustainability Index based on the indicators of the House</w:t>
      </w:r>
      <w:r>
        <w:rPr>
          <w:rFonts w:ascii="Times New Roman" w:eastAsia="Times New Roman" w:hAnsi="Times New Roman" w:cs="Times New Roman"/>
          <w:sz w:val="24"/>
          <w:szCs w:val="24"/>
        </w:rPr>
        <w:t xml:space="preserve">hold expenditure pattern, with positive values for welfare enhancing expenditures on food and health and negative values for discretionary expenditures on leisure, recreation, restaurants and </w:t>
      </w:r>
      <w:proofErr w:type="spellStart"/>
      <w:r>
        <w:rPr>
          <w:rFonts w:ascii="Times New Roman" w:eastAsia="Times New Roman" w:hAnsi="Times New Roman" w:cs="Times New Roman"/>
          <w:sz w:val="24"/>
          <w:szCs w:val="24"/>
        </w:rPr>
        <w:t>vacations.The</w:t>
      </w:r>
      <w:proofErr w:type="spellEnd"/>
      <w:r>
        <w:rPr>
          <w:rFonts w:ascii="Times New Roman" w:eastAsia="Times New Roman" w:hAnsi="Times New Roman" w:cs="Times New Roman"/>
          <w:sz w:val="24"/>
          <w:szCs w:val="24"/>
        </w:rPr>
        <w:t xml:space="preserve"> results are a reminder of the need for responsible consumption patterns and policy lessons for sustainable development taken from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interventions at the household level.</w:t>
      </w:r>
    </w:p>
    <w:p w14:paraId="73254234"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Green Economics, Sustainable Development, Household Consumption, Sustainability Index, OLS Regression, Maharashtra, CPHS.</w:t>
      </w:r>
    </w:p>
    <w:p w14:paraId="7769B043" w14:textId="77777777" w:rsidR="000E168F" w:rsidRDefault="00FD2BCF">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2C9BDF6B"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past few years, the concern for degradation of environment, climate change, depletion of natural resources and unsustainable consumption pattern has been the concern and has given rise to Green Economics as an important field of economic thought. The Green Economics focuses on sustainable development, responsible use of resources, environment protection, social welfare and economic stability in the long term. It promotes a development paradigm that involves a harmonious development between economy a</w:t>
      </w:r>
      <w:r>
        <w:rPr>
          <w:rFonts w:ascii="Times New Roman" w:eastAsia="Times New Roman" w:hAnsi="Times New Roman" w:cs="Times New Roman"/>
          <w:sz w:val="24"/>
          <w:szCs w:val="24"/>
        </w:rPr>
        <w:t xml:space="preserve">nd ecology and human welfare. In this context, it is important to note that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households directly affects the systems of production, utilization of resources, choice of health and healthcare services, environmental sustainability and social welfare.</w:t>
      </w:r>
    </w:p>
    <w:p w14:paraId="72D6E70E"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Household consumption is tightly linked with sustainable development, as it is a reflection of the distribution of resources between the essential and not essential items and services. Spending on food and on activities that provide medical care and welfare are positive aspects of human development and quality of life, but spending on luxury-oriented and environmentally intensive activities can lead to unsustainable consumption. Thus, a study of household spending based on the concept of Green Economics fac</w:t>
      </w:r>
      <w:r>
        <w:rPr>
          <w:rFonts w:ascii="Times New Roman" w:eastAsia="Times New Roman" w:hAnsi="Times New Roman" w:cs="Times New Roman"/>
          <w:sz w:val="24"/>
          <w:szCs w:val="24"/>
        </w:rPr>
        <w:t xml:space="preserve">ilitates in knowing the connection between economic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environmental responsibility and social welfare.</w:t>
      </w:r>
    </w:p>
    <w:p w14:paraId="396B0676" w14:textId="77777777" w:rsidR="000E168F" w:rsidRDefault="000E168F">
      <w:pPr>
        <w:spacing w:before="240" w:after="240" w:line="360" w:lineRule="auto"/>
        <w:jc w:val="both"/>
        <w:rPr>
          <w:rFonts w:ascii="Times New Roman" w:eastAsia="Times New Roman" w:hAnsi="Times New Roman" w:cs="Times New Roman"/>
          <w:sz w:val="24"/>
          <w:szCs w:val="24"/>
        </w:rPr>
      </w:pPr>
    </w:p>
    <w:p w14:paraId="59E3B8CE"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global COVID-19 pandemic resulted in a significant shift in economic activity and in household expenditure patterns. Households reallocated funds to essentials like food and health care during the pandemic due to economic uncertainty, income instability, mobility restrictions, and increasing health concerns. Spending on leisure activities such as recreation, restaurants and vacations dropped significantly during this period. During the post-pandemic period, however, the pattern of household consumption </w:t>
      </w:r>
      <w:r>
        <w:rPr>
          <w:rFonts w:ascii="Times New Roman" w:eastAsia="Times New Roman" w:hAnsi="Times New Roman" w:cs="Times New Roman"/>
          <w:sz w:val="24"/>
          <w:szCs w:val="24"/>
        </w:rPr>
        <w:t xml:space="preserve">has slowly shifted to more lifestyle-related, with more expenditure on leisure and non-essential consumption. These changes in expenditure priorities have important implications for sustainability and responsible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w:t>
      </w:r>
    </w:p>
    <w:p w14:paraId="10358BCF"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state of Maharashtra is a good context to understand sustainable household expenditure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due to its high </w:t>
      </w:r>
      <w:proofErr w:type="spellStart"/>
      <w:r>
        <w:rPr>
          <w:rFonts w:ascii="Times New Roman" w:eastAsia="Times New Roman" w:hAnsi="Times New Roman" w:cs="Times New Roman"/>
          <w:sz w:val="24"/>
          <w:szCs w:val="24"/>
        </w:rPr>
        <w:t>urbanisation</w:t>
      </w:r>
      <w:proofErr w:type="spellEnd"/>
      <w:r>
        <w:rPr>
          <w:rFonts w:ascii="Times New Roman" w:eastAsia="Times New Roman" w:hAnsi="Times New Roman" w:cs="Times New Roman"/>
          <w:sz w:val="24"/>
          <w:szCs w:val="24"/>
        </w:rPr>
        <w:t xml:space="preserve"> rate, economic diversity, demographic variation, and regional variation. There are significant differences between consumption patterns in rural and urban areas, income groups, education groups, occupational groups and family groups. Thus, the study of expenditure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Maharashtra could give valuable insights into the practice of sustainable development and consumption patterns for welfare in a fast-growing economy.</w:t>
      </w:r>
    </w:p>
    <w:p w14:paraId="714136EC"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the relationship between household income, food expenditure, leisure expenditure, recreation expenditure, restaurant expenditure, vacation expenditure, health expenditure, and the orientation towards sustainability, the present study uses data from Consumer Pyramids Household Survey (CPHS) for March 2024 and March 2025. The </w:t>
      </w:r>
      <w:r>
        <w:rPr>
          <w:rFonts w:ascii="Times New Roman" w:eastAsia="Times New Roman" w:hAnsi="Times New Roman" w:cs="Times New Roman"/>
          <w:sz w:val="24"/>
          <w:szCs w:val="24"/>
        </w:rPr>
        <w:lastRenderedPageBreak/>
        <w:t xml:space="preserve">study also creates a Green Economics Sustainability Index in order to assess the sustainable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the oriented expenditure towards welfare.</w:t>
      </w:r>
    </w:p>
    <w:p w14:paraId="6DE4FACF"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is important because it brings together the theoretical approach of Green Economics and the statistical approach. Household expenditure patterns and sustainability relationships are analyzed using various analytical tools including descriptive statistics, correlation analysis, Chi-square tests, and Ordinary Least Squares (OLS) regression. The combination of sustainability ideas and econometric and statistical approaches gives a holistic understanding of the shift in household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the post-pandemic recovery phase.</w:t>
      </w:r>
    </w:p>
    <w:p w14:paraId="0476D9CE"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need for this study arises from the increasing significance of sustainable development and the need to understand expenditure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from a sustainable development perspective. The trends of </w:t>
      </w:r>
      <w:proofErr w:type="spellStart"/>
      <w:r>
        <w:rPr>
          <w:rFonts w:ascii="Times New Roman" w:eastAsia="Times New Roman" w:hAnsi="Times New Roman" w:cs="Times New Roman"/>
          <w:sz w:val="24"/>
          <w:szCs w:val="24"/>
        </w:rPr>
        <w:t>urbanisation</w:t>
      </w:r>
      <w:proofErr w:type="spellEnd"/>
      <w:r>
        <w:rPr>
          <w:rFonts w:ascii="Times New Roman" w:eastAsia="Times New Roman" w:hAnsi="Times New Roman" w:cs="Times New Roman"/>
          <w:sz w:val="24"/>
          <w:szCs w:val="24"/>
        </w:rPr>
        <w:t xml:space="preserve">, lifestyle changes, rising healthcare costs, technological growth and economic recovery from the pandemic have significantly impacted Indian consumption. The changes have heightened fears about over-consumption, environmental pressures and inequities in access to welfare-enhancing resources. It is then important to assess the implications for social welfare, environmental sustainability and future economic security of the </w:t>
      </w:r>
      <w:proofErr w:type="spellStart"/>
      <w:r>
        <w:rPr>
          <w:rFonts w:ascii="Times New Roman" w:eastAsia="Times New Roman" w:hAnsi="Times New Roman" w:cs="Times New Roman"/>
          <w:sz w:val="24"/>
          <w:szCs w:val="24"/>
        </w:rPr>
        <w:t>behav</w:t>
      </w:r>
      <w:r>
        <w:rPr>
          <w:rFonts w:ascii="Times New Roman" w:eastAsia="Times New Roman" w:hAnsi="Times New Roman" w:cs="Times New Roman"/>
          <w:sz w:val="24"/>
          <w:szCs w:val="24"/>
        </w:rPr>
        <w:t>iour</w:t>
      </w:r>
      <w:proofErr w:type="spellEnd"/>
      <w:r>
        <w:rPr>
          <w:rFonts w:ascii="Times New Roman" w:eastAsia="Times New Roman" w:hAnsi="Times New Roman" w:cs="Times New Roman"/>
          <w:sz w:val="24"/>
          <w:szCs w:val="24"/>
        </w:rPr>
        <w:t xml:space="preserve"> of household expenditure.</w:t>
      </w:r>
    </w:p>
    <w:p w14:paraId="5E8E5806"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link between household consumption and sustainable development has been pointed out by some researchers. In his book, The Global Ethics of Technology, published in 2017, Tim Jackson proposed that modern economies need to shift away from the growth driven by consumption to a commitment to "sustainable welfare", and "</w:t>
      </w:r>
      <w:proofErr w:type="spellStart"/>
      <w:r>
        <w:rPr>
          <w:rFonts w:ascii="Times New Roman" w:eastAsia="Times New Roman" w:hAnsi="Times New Roman" w:cs="Times New Roman"/>
          <w:sz w:val="24"/>
          <w:szCs w:val="24"/>
        </w:rPr>
        <w:t>well being</w:t>
      </w:r>
      <w:proofErr w:type="spellEnd"/>
      <w:r>
        <w:rPr>
          <w:rFonts w:ascii="Times New Roman" w:eastAsia="Times New Roman" w:hAnsi="Times New Roman" w:cs="Times New Roman"/>
          <w:sz w:val="24"/>
          <w:szCs w:val="24"/>
        </w:rPr>
        <w:t xml:space="preserve"> in the long term". Herman Daly (2020) emphasized the need for economy and ecology to become balanced, emphasizing the need to use resources responsibly. The United Nations Development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(2022) and the United Nations Environment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(2024) also bring to light the significance of responsible consumption and effective resource management on a global scale, underlining SDG 12 on Sustainable Consumption and Production.</w:t>
      </w:r>
    </w:p>
    <w:p w14:paraId="15D3D41F"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and Sharma (2021) noted that rise in disposable income in developing countries usually results in increment of non-essential spending which is a negative effect on </w:t>
      </w:r>
      <w:r>
        <w:rPr>
          <w:rFonts w:ascii="Times New Roman" w:eastAsia="Times New Roman" w:hAnsi="Times New Roman" w:cs="Times New Roman"/>
          <w:sz w:val="24"/>
          <w:szCs w:val="24"/>
        </w:rPr>
        <w:lastRenderedPageBreak/>
        <w:t xml:space="preserve">sustainable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Bose (2023) found that the expenditure on welfare, food, and healthcare is positively associated with sustainable welfare while luxury expenditure is negatively associated with environmental sustainability. Sen (2020) considered expenditure on health as an investment in human capability and sustainable development. Likewise, Stiglitz, Sen and Fitoussi (2021) suggested multi-dimensional welfare measures beyond GDP and include sustainability and quality of life measures.</w:t>
      </w:r>
    </w:p>
    <w:p w14:paraId="7A7D58FD"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studies done in Maharashtra too give an insight into the sustainable expenditure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From this study, </w:t>
      </w:r>
      <w:proofErr w:type="spellStart"/>
      <w:r>
        <w:rPr>
          <w:rFonts w:ascii="Times New Roman" w:eastAsia="Times New Roman" w:hAnsi="Times New Roman" w:cs="Times New Roman"/>
          <w:sz w:val="24"/>
          <w:szCs w:val="24"/>
        </w:rPr>
        <w:t>Jagannarayan</w:t>
      </w:r>
      <w:proofErr w:type="spellEnd"/>
      <w:r>
        <w:rPr>
          <w:rFonts w:ascii="Times New Roman" w:eastAsia="Times New Roman" w:hAnsi="Times New Roman" w:cs="Times New Roman"/>
          <w:sz w:val="24"/>
          <w:szCs w:val="24"/>
        </w:rPr>
        <w:t xml:space="preserve"> and Prasuna (2024) found that female headed households with welfare-oriented expenditures are beneficial to sustainable household behaviors. A separate study conducted by </w:t>
      </w:r>
      <w:proofErr w:type="spellStart"/>
      <w:r>
        <w:rPr>
          <w:rFonts w:ascii="Times New Roman" w:eastAsia="Times New Roman" w:hAnsi="Times New Roman" w:cs="Times New Roman"/>
          <w:sz w:val="24"/>
          <w:szCs w:val="24"/>
        </w:rPr>
        <w:t>Jagannarayan</w:t>
      </w:r>
      <w:proofErr w:type="spellEnd"/>
      <w:r>
        <w:rPr>
          <w:rFonts w:ascii="Times New Roman" w:eastAsia="Times New Roman" w:hAnsi="Times New Roman" w:cs="Times New Roman"/>
          <w:sz w:val="24"/>
          <w:szCs w:val="24"/>
        </w:rPr>
        <w:t xml:space="preserve"> (2024) showed that post-pandemic households in Maharashtra had more food and health care expenditures due to their heightened focus on welfare and health security.</w:t>
      </w:r>
    </w:p>
    <w:p w14:paraId="35CBD6CD"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there is a lot of literature available on sustainability and household expenditure, very little research has combined the concepts of Green Economics with the advanced econometric approach to the analysis of household expenditure patterns in Maharashtra. The present study tries to address this research gap by integrating sustainability approach in economic theory with empirical statistical analysis to investigate expenditure behavior among households in the post-pandemic period. The objectives of the </w:t>
      </w:r>
      <w:r>
        <w:rPr>
          <w:rFonts w:ascii="Times New Roman" w:eastAsia="Times New Roman" w:hAnsi="Times New Roman" w:cs="Times New Roman"/>
          <w:sz w:val="24"/>
          <w:szCs w:val="24"/>
        </w:rPr>
        <w:t xml:space="preserve">study are to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household expenditure pattern in the context of Green Economics, to compare the indicators of Sustainable Development goal 2024 and 2025, to investigate the relationship between the demographic characteristics of the household and expenditure variables from sustainable development, and to determine the determinants of sustainable household expenditure with OLS regression analysis.</w:t>
      </w:r>
    </w:p>
    <w:p w14:paraId="67FC37BC" w14:textId="12518A2F" w:rsidR="000E168F" w:rsidRDefault="00FD2BCF">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Methodology</w:t>
      </w:r>
    </w:p>
    <w:p w14:paraId="51F30927"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used for the study has been sourced from the Centre for Monitoring Indian Economy's Consumer Pyramids Household Survey (CPHS) and is secondary data. This analysis is based on the household expenditure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during March 2024 and March 2025 in Maharashtra.</w:t>
      </w:r>
    </w:p>
    <w:p w14:paraId="73B2FF8C" w14:textId="77777777" w:rsidR="000E168F" w:rsidRDefault="00FD2BCF">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Variables Used in the Study</w:t>
      </w:r>
    </w:p>
    <w:p w14:paraId="35028AA8"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Dependent </w:t>
      </w:r>
      <w:proofErr w:type="gramStart"/>
      <w:r>
        <w:rPr>
          <w:rFonts w:ascii="Times New Roman" w:eastAsia="Times New Roman" w:hAnsi="Times New Roman" w:cs="Times New Roman"/>
          <w:b/>
          <w:bCs/>
          <w:sz w:val="24"/>
          <w:szCs w:val="24"/>
        </w:rPr>
        <w:t>Variable :</w:t>
      </w:r>
      <w:proofErr w:type="gram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The Green Economics Sustainability Index (GREEN_INDEX)</w:t>
      </w:r>
    </w:p>
    <w:p w14:paraId="3D8E1EFB"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Independent </w:t>
      </w:r>
      <w:proofErr w:type="gramStart"/>
      <w:r>
        <w:rPr>
          <w:rFonts w:ascii="Times New Roman" w:eastAsia="Times New Roman" w:hAnsi="Times New Roman" w:cs="Times New Roman"/>
          <w:b/>
          <w:bCs/>
          <w:sz w:val="24"/>
          <w:szCs w:val="24"/>
        </w:rPr>
        <w:t>Variables :</w:t>
      </w:r>
      <w:r>
        <w:rPr>
          <w:rFonts w:ascii="Times New Roman" w:eastAsia="Times New Roman" w:hAnsi="Times New Roman" w:cs="Times New Roman"/>
          <w:sz w:val="24"/>
          <w:szCs w:val="24"/>
        </w:rPr>
        <w:t>Total</w:t>
      </w:r>
      <w:proofErr w:type="gramEnd"/>
      <w:r>
        <w:rPr>
          <w:rFonts w:ascii="Times New Roman" w:eastAsia="Times New Roman" w:hAnsi="Times New Roman" w:cs="Times New Roman"/>
          <w:sz w:val="24"/>
          <w:szCs w:val="24"/>
        </w:rPr>
        <w:t xml:space="preserve"> Income (TOT_INC), Total Expenditure (TOT_EXP), Food Expenditure (EXP_FOOD), Leisure Expenditure (</w:t>
      </w:r>
      <w:proofErr w:type="spellStart"/>
      <w:r>
        <w:rPr>
          <w:rFonts w:ascii="Times New Roman" w:eastAsia="Times New Roman" w:hAnsi="Times New Roman" w:cs="Times New Roman"/>
          <w:sz w:val="24"/>
          <w:szCs w:val="24"/>
        </w:rPr>
        <w:t>EXP_Leisure</w:t>
      </w:r>
      <w:proofErr w:type="spellEnd"/>
      <w:r>
        <w:rPr>
          <w:rFonts w:ascii="Times New Roman" w:eastAsia="Times New Roman" w:hAnsi="Times New Roman" w:cs="Times New Roman"/>
          <w:sz w:val="24"/>
          <w:szCs w:val="24"/>
        </w:rPr>
        <w:t>), Recreation Expenditure (M_EXP_RECREATION), Restaurant Expenditure (EXP_RESTAURANTS</w:t>
      </w:r>
      <w:proofErr w:type="gramStart"/>
      <w:r>
        <w:rPr>
          <w:rFonts w:ascii="Times New Roman" w:eastAsia="Times New Roman" w:hAnsi="Times New Roman" w:cs="Times New Roman"/>
          <w:sz w:val="24"/>
          <w:szCs w:val="24"/>
        </w:rPr>
        <w:t>),  Vacation</w:t>
      </w:r>
      <w:proofErr w:type="gramEnd"/>
      <w:r>
        <w:rPr>
          <w:rFonts w:ascii="Times New Roman" w:eastAsia="Times New Roman" w:hAnsi="Times New Roman" w:cs="Times New Roman"/>
          <w:sz w:val="24"/>
          <w:szCs w:val="24"/>
        </w:rPr>
        <w:t xml:space="preserve"> Expenditure (M_EXP_VACATION), Health Expenditure (M_EXP_HEALTH)</w:t>
      </w:r>
    </w:p>
    <w:p w14:paraId="104755C2"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Statistical Tools </w:t>
      </w:r>
      <w:proofErr w:type="gramStart"/>
      <w:r>
        <w:rPr>
          <w:rFonts w:ascii="Times New Roman" w:eastAsia="Times New Roman" w:hAnsi="Times New Roman" w:cs="Times New Roman"/>
          <w:b/>
          <w:bCs/>
          <w:sz w:val="24"/>
          <w:szCs w:val="24"/>
        </w:rPr>
        <w:t>Used :</w:t>
      </w:r>
      <w:proofErr w:type="gramEnd"/>
      <w:r>
        <w:rPr>
          <w:rFonts w:ascii="Times New Roman" w:eastAsia="Times New Roman" w:hAnsi="Times New Roman" w:cs="Times New Roman"/>
          <w:sz w:val="24"/>
          <w:szCs w:val="24"/>
        </w:rPr>
        <w:t xml:space="preserve"> Descriptive </w:t>
      </w:r>
      <w:proofErr w:type="gramStart"/>
      <w:r>
        <w:rPr>
          <w:rFonts w:ascii="Times New Roman" w:eastAsia="Times New Roman" w:hAnsi="Times New Roman" w:cs="Times New Roman"/>
          <w:sz w:val="24"/>
          <w:szCs w:val="24"/>
        </w:rPr>
        <w:t>Statistics,  Comparative</w:t>
      </w:r>
      <w:proofErr w:type="gramEnd"/>
      <w:r>
        <w:rPr>
          <w:rFonts w:ascii="Times New Roman" w:eastAsia="Times New Roman" w:hAnsi="Times New Roman" w:cs="Times New Roman"/>
          <w:sz w:val="24"/>
          <w:szCs w:val="24"/>
        </w:rPr>
        <w:t xml:space="preserve"> Analysis, Correlation Matrix, Chi-square Association Test, Ordinary Least Squares (OLS) Regression</w:t>
      </w:r>
    </w:p>
    <w:p w14:paraId="1BB1AD66"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quantitative research design and explanatory research design were used for the analysis of the relationships between expenditure variables and sustainability orientation.</w:t>
      </w:r>
    </w:p>
    <w:p w14:paraId="0A55E532" w14:textId="77777777" w:rsidR="000E168F" w:rsidRDefault="000E168F">
      <w:pPr>
        <w:spacing w:before="240" w:after="240" w:line="360" w:lineRule="auto"/>
        <w:jc w:val="both"/>
        <w:rPr>
          <w:rFonts w:ascii="Times New Roman" w:eastAsia="Times New Roman" w:hAnsi="Times New Roman" w:cs="Times New Roman"/>
          <w:sz w:val="24"/>
          <w:szCs w:val="24"/>
        </w:rPr>
      </w:pPr>
    </w:p>
    <w:p w14:paraId="1C46590D" w14:textId="77777777" w:rsidR="000E168F" w:rsidRDefault="00FD2BCF">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 and Discussion</w:t>
      </w:r>
    </w:p>
    <w:p w14:paraId="51D30FCE" w14:textId="77777777" w:rsidR="000E168F" w:rsidRDefault="00FD2BCF">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Descriptive Statistics and Comparative Analysis.</w:t>
      </w:r>
    </w:p>
    <w:p w14:paraId="291221A3"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comprised of 22688 observations of household data from Maharashtra. The mean income of the household was ₹43,287.93 and the mean total expenditure was ₹23,957.78.</w:t>
      </w:r>
    </w:p>
    <w:p w14:paraId="37A12EDA"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an average, the total expenditure of food was found to be ₹9,766.39, which makes food one of the major expenditure categories of the households. The average value of expenditure on leisure was ₹1,718.30 and the average expenditure on health was ₹845.84.</w:t>
      </w:r>
    </w:p>
    <w:p w14:paraId="3D8F235C"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average, households were moderately oriented towards sustainability (GESI = 44.56).</w:t>
      </w:r>
    </w:p>
    <w:p w14:paraId="374C42CF" w14:textId="77777777" w:rsidR="000E168F" w:rsidRDefault="00FD2BCF">
      <w:pPr>
        <w:pStyle w:val="Heading2"/>
        <w:keepNext w:val="0"/>
        <w:keepLines w:val="0"/>
        <w:spacing w:before="360" w:after="80" w:line="360" w:lineRule="auto"/>
        <w:jc w:val="both"/>
        <w:rPr>
          <w:rFonts w:ascii="Times New Roman" w:eastAsia="Times New Roman" w:hAnsi="Times New Roman" w:cs="Times New Roman"/>
          <w:color w:val="000000"/>
          <w:sz w:val="24"/>
          <w:szCs w:val="24"/>
        </w:rPr>
      </w:pPr>
      <w:bookmarkStart w:id="2" w:name="_heading=h.b5bh7ktt7e0h" w:colFirst="0" w:colLast="0"/>
      <w:bookmarkEnd w:id="2"/>
      <w:r>
        <w:rPr>
          <w:rFonts w:ascii="Times New Roman" w:eastAsia="Times New Roman" w:hAnsi="Times New Roman" w:cs="Times New Roman"/>
          <w:color w:val="000000"/>
          <w:sz w:val="24"/>
          <w:szCs w:val="24"/>
        </w:rPr>
        <w:t>Table No</w:t>
      </w:r>
      <w:proofErr w:type="gramStart"/>
      <w:r>
        <w:rPr>
          <w:rFonts w:ascii="Times New Roman" w:eastAsia="Times New Roman" w:hAnsi="Times New Roman" w:cs="Times New Roman"/>
          <w:color w:val="000000"/>
          <w:sz w:val="24"/>
          <w:szCs w:val="24"/>
        </w:rPr>
        <w:t>1 :</w:t>
      </w:r>
      <w:proofErr w:type="gramEnd"/>
      <w:r>
        <w:rPr>
          <w:rFonts w:ascii="Times New Roman" w:eastAsia="Times New Roman" w:hAnsi="Times New Roman" w:cs="Times New Roman"/>
          <w:color w:val="000000"/>
          <w:sz w:val="24"/>
          <w:szCs w:val="24"/>
        </w:rPr>
        <w:t xml:space="preserve"> Comparative Analysis: 2024 vs 2025</w:t>
      </w:r>
    </w:p>
    <w:tbl>
      <w:tblPr>
        <w:tblStyle w:val="a"/>
        <w:tblW w:w="48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95"/>
        <w:gridCol w:w="1190"/>
        <w:gridCol w:w="1190"/>
      </w:tblGrid>
      <w:tr w:rsidR="000E168F" w14:paraId="1533A1FB" w14:textId="77777777">
        <w:trPr>
          <w:trHeight w:val="515"/>
        </w:trPr>
        <w:tc>
          <w:tcPr>
            <w:tcW w:w="2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3ABD67F" w14:textId="77777777" w:rsidR="000E168F" w:rsidRDefault="00FD2BCF">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Variable</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2506AB3" w14:textId="77777777" w:rsidR="000E168F" w:rsidRDefault="00FD2BCF">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2024</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21A4772" w14:textId="77777777" w:rsidR="000E168F" w:rsidRDefault="00FD2BCF">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2025</w:t>
            </w:r>
          </w:p>
        </w:tc>
      </w:tr>
      <w:tr w:rsidR="000E168F" w14:paraId="5C91D114" w14:textId="77777777">
        <w:trPr>
          <w:trHeight w:val="515"/>
        </w:trPr>
        <w:tc>
          <w:tcPr>
            <w:tcW w:w="2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D9CB2F"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Total Income</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654C255"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37,335.42</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CB02540"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49,304.80</w:t>
            </w:r>
          </w:p>
        </w:tc>
      </w:tr>
      <w:tr w:rsidR="000E168F" w14:paraId="7B262BB6" w14:textId="77777777">
        <w:trPr>
          <w:trHeight w:val="515"/>
        </w:trPr>
        <w:tc>
          <w:tcPr>
            <w:tcW w:w="2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10EDB62"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Expenditure</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20326C1"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21,842.33</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DF28006"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26,096.10</w:t>
            </w:r>
          </w:p>
        </w:tc>
      </w:tr>
      <w:tr w:rsidR="000E168F" w14:paraId="737319AC" w14:textId="77777777">
        <w:trPr>
          <w:trHeight w:val="515"/>
        </w:trPr>
        <w:tc>
          <w:tcPr>
            <w:tcW w:w="2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267D48A"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Food Expenditure</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516981"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9,087.90</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2495CA0"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10,452.21</w:t>
            </w:r>
          </w:p>
        </w:tc>
      </w:tr>
      <w:tr w:rsidR="000E168F" w14:paraId="15C06CD6" w14:textId="77777777">
        <w:trPr>
          <w:trHeight w:val="515"/>
        </w:trPr>
        <w:tc>
          <w:tcPr>
            <w:tcW w:w="2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ACDA7D"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Leisure Expenditure</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F46C2C0"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1,600.09</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8AA3BAE"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1,837.78</w:t>
            </w:r>
          </w:p>
        </w:tc>
      </w:tr>
      <w:tr w:rsidR="000E168F" w14:paraId="544522F7" w14:textId="77777777">
        <w:trPr>
          <w:trHeight w:val="515"/>
        </w:trPr>
        <w:tc>
          <w:tcPr>
            <w:tcW w:w="2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21C136E"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Recreation Expenditure</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A221397"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73.97</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565D46"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85.71</w:t>
            </w:r>
          </w:p>
        </w:tc>
      </w:tr>
      <w:tr w:rsidR="000E168F" w14:paraId="4E809342" w14:textId="77777777">
        <w:trPr>
          <w:trHeight w:val="515"/>
        </w:trPr>
        <w:tc>
          <w:tcPr>
            <w:tcW w:w="2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B5B4414"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Restaurant Expenditure</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74FB81C"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654.59</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570C52"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822.30</w:t>
            </w:r>
          </w:p>
        </w:tc>
      </w:tr>
      <w:tr w:rsidR="000E168F" w14:paraId="0FD2B2D2" w14:textId="77777777">
        <w:trPr>
          <w:trHeight w:val="515"/>
        </w:trPr>
        <w:tc>
          <w:tcPr>
            <w:tcW w:w="2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59E3347"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Vacation Expenditure</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21FEA4"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87.37</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03296DE"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20.68</w:t>
            </w:r>
          </w:p>
        </w:tc>
      </w:tr>
      <w:tr w:rsidR="000E168F" w14:paraId="05970FB7" w14:textId="77777777">
        <w:trPr>
          <w:trHeight w:val="515"/>
        </w:trPr>
        <w:tc>
          <w:tcPr>
            <w:tcW w:w="2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22D28C"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Health Expenditure</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FF3F76F"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784.15</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D684E77"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908.20</w:t>
            </w:r>
          </w:p>
        </w:tc>
      </w:tr>
      <w:tr w:rsidR="000E168F" w14:paraId="7C2126CA" w14:textId="77777777">
        <w:trPr>
          <w:trHeight w:val="515"/>
        </w:trPr>
        <w:tc>
          <w:tcPr>
            <w:tcW w:w="2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4282DA"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Green Index</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5A28E7C"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45.70</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40E1BF"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43.40</w:t>
            </w:r>
          </w:p>
        </w:tc>
      </w:tr>
    </w:tbl>
    <w:p w14:paraId="1ED9FB63"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(Note: Source: Based on Author’s analysis of Secondary data collected from CPHS)</w:t>
      </w:r>
    </w:p>
    <w:p w14:paraId="2B8DBCF0"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show that the income and expenditure increased drastically in 2025. Agrofood and health expenditure also grew, which indicates an increased purchasing power and better economic recovery. The Green Economics Sustainability Index was, however, reduced from 45.70 to 43.40, which suggests that there might have been a loss of sustainability orientation as a result of higher discretionary spending.</w:t>
      </w:r>
    </w:p>
    <w:p w14:paraId="779610F6" w14:textId="77777777" w:rsidR="000E168F" w:rsidRDefault="00FD2BCF">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Correlation Analysis</w:t>
      </w:r>
    </w:p>
    <w:p w14:paraId="53159C09"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correlation matrix shows important relationships between sustainability orientation and the variables of household expenditure.</w:t>
      </w:r>
    </w:p>
    <w:p w14:paraId="7F0FEA0B" w14:textId="77777777" w:rsidR="000E168F" w:rsidRDefault="00FD2BCF">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Relationships between income and expenditure.</w:t>
      </w:r>
    </w:p>
    <w:p w14:paraId="2092B3F7"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key relationships between sustainability orientation, household income and expenditure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identified through the correlation analysis were important. Moderate positive correlation found between total income and total expenditure (r = 0.526), that is, the higher the income level the higher the total expenditure level. This is an expression of the general economic behavior that increasing the purchasing power of households raises the capacity of the household to consume. Likewise, there was a positive correlation between the total income and food expenditure (r = 0.456) meaning that an i</w:t>
      </w:r>
      <w:r>
        <w:rPr>
          <w:rFonts w:ascii="Times New Roman" w:eastAsia="Times New Roman" w:hAnsi="Times New Roman" w:cs="Times New Roman"/>
          <w:sz w:val="24"/>
          <w:szCs w:val="24"/>
        </w:rPr>
        <w:t>ncrement in the total income results to an increment in food expenditure and hence nutrition welfare. This discovery corroborates the hypothesis that food spending is a priority category in the budgeting decisions of households, especially in developing economies.</w:t>
      </w:r>
    </w:p>
    <w:p w14:paraId="370EC9E5"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was also a moderate positive relationship between income and leisure spending (r = 0.315), suggesting that people with higher incomes spend a larger proportion of income on leisure activities. This reflects the increasing trend of discretionary consumption in the post-pandemic period, when households are spending more on leisure activities or visiting destinations and enjoying entertainment. The sign of the regression coefficient of health expenditure is positive, although the bivariate correlation is</w:t>
      </w:r>
      <w:r>
        <w:rPr>
          <w:rFonts w:ascii="Times New Roman" w:eastAsia="Times New Roman" w:hAnsi="Times New Roman" w:cs="Times New Roman"/>
          <w:sz w:val="24"/>
          <w:szCs w:val="24"/>
        </w:rPr>
        <w:t xml:space="preserve"> negative, suggesting a positive association between health expenditure and the Green Economics Sustainability Index. This apparent difference is due to the difference in the methods that are used to calculate correlation and OLS </w:t>
      </w:r>
      <w:proofErr w:type="spellStart"/>
      <w:proofErr w:type="gramStart"/>
      <w:r>
        <w:rPr>
          <w:rFonts w:ascii="Times New Roman" w:eastAsia="Times New Roman" w:hAnsi="Times New Roman" w:cs="Times New Roman"/>
          <w:sz w:val="24"/>
          <w:szCs w:val="24"/>
        </w:rPr>
        <w:t>regression.This</w:t>
      </w:r>
      <w:proofErr w:type="spellEnd"/>
      <w:proofErr w:type="gramEnd"/>
      <w:r>
        <w:rPr>
          <w:rFonts w:ascii="Times New Roman" w:eastAsia="Times New Roman" w:hAnsi="Times New Roman" w:cs="Times New Roman"/>
          <w:sz w:val="24"/>
          <w:szCs w:val="24"/>
        </w:rPr>
        <w:t xml:space="preserve"> apparent difference is because of the methods used to calculate correlation and the methods used to calculate OLS regression. When the impacts of income, food spending and leisure spending are taken into account, there is a positive regression coefficient indicating</w:t>
      </w:r>
      <w:r>
        <w:rPr>
          <w:rFonts w:ascii="Times New Roman" w:eastAsia="Times New Roman" w:hAnsi="Times New Roman" w:cs="Times New Roman"/>
          <w:sz w:val="24"/>
          <w:szCs w:val="24"/>
        </w:rPr>
        <w:t xml:space="preserve"> that health expenditure has a positive contribution to sustainability orientation. This pattern could be due to suppression effects due to interrelationships among expenditure variables.</w:t>
      </w:r>
    </w:p>
    <w:p w14:paraId="4D6434C0"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But the correlation between Green Economics Sustainability Index and Total income was negative (r = -0.327). This indicates that, with a growing level of household income, sustainability orientation could decrease because of a greater tendency to engage in discretionary and resource-consuming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Luxury spending, over-spending on recreation and environmentally more damaging lifestyles may be more likely among the higher income households and impact sustainable expenditure patterns. The discovery indicates that, without responsible and welfare-oriented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economic prosperity is not sufficient to ensure sustainable development.</w:t>
      </w:r>
    </w:p>
    <w:p w14:paraId="18488C6F" w14:textId="77777777" w:rsidR="000E168F" w:rsidRDefault="000E168F">
      <w:pPr>
        <w:spacing w:before="240" w:after="240" w:line="360" w:lineRule="auto"/>
        <w:jc w:val="both"/>
        <w:rPr>
          <w:rFonts w:ascii="Times New Roman" w:eastAsia="Times New Roman" w:hAnsi="Times New Roman" w:cs="Times New Roman"/>
          <w:b/>
          <w:bCs/>
          <w:sz w:val="24"/>
          <w:szCs w:val="24"/>
        </w:rPr>
      </w:pPr>
    </w:p>
    <w:p w14:paraId="32403A45" w14:textId="77777777" w:rsidR="000E168F" w:rsidRDefault="00FD2BCF">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Expenditure Relationships</w:t>
      </w:r>
    </w:p>
    <w:p w14:paraId="65082887"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correlation analysis also revealed high correlation between the various categories of household expenditure. There was a high positive correlation between total expenditure and food expenditure (r = 0.754), which suggests that the food expenditure is a significant portion of the total expenditure by the household. This indicates that while there is an increase in expenditure by the households, there is still a significant share of household expenditure going towards food consumption which shows the impo</w:t>
      </w:r>
      <w:r>
        <w:rPr>
          <w:rFonts w:ascii="Times New Roman" w:eastAsia="Times New Roman" w:hAnsi="Times New Roman" w:cs="Times New Roman"/>
          <w:sz w:val="24"/>
          <w:szCs w:val="24"/>
        </w:rPr>
        <w:t>rtance of food expenditure for sustaining household welfare and living standards.</w:t>
      </w:r>
    </w:p>
    <w:p w14:paraId="0507BD7B"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Important findings were the very high correlation of leisure expenditure with health expenditure (r = 0.804). The result suggests that there is a relationship between household spending on recreation and leisure and spending on health. The relationship may be an indication of the general lifestyle of higher income households where a greater ability to spend leads to higher proportions of spending on personal health and on recreation. It also implies that the modern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is increasingly a blend of enhancing lifestyles and paying attention to one's health.</w:t>
      </w:r>
    </w:p>
    <w:p w14:paraId="14FCC385"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strong positive correlation was found between the amount of money spent on restaurant and leisure expenditure (r = 0.614), indicating a close link between the amount spent on eating out and recreational and entertainment activities. It's indicative of the increasing </w:t>
      </w:r>
      <w:r>
        <w:rPr>
          <w:rFonts w:ascii="Times New Roman" w:eastAsia="Times New Roman" w:hAnsi="Times New Roman" w:cs="Times New Roman"/>
          <w:sz w:val="24"/>
          <w:szCs w:val="24"/>
        </w:rPr>
        <w:lastRenderedPageBreak/>
        <w:t>urban consumption culture, especially in the post-pandemic recovery phase, during which households invest more in social and lifestyle experiences.</w:t>
      </w:r>
    </w:p>
    <w:p w14:paraId="3FE582C2"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Likewise, there was a positive correlation between leisure expenditure and vacation expenditure (r = 0.538). This suggests that those families that spend more on recreation are more likely to spend on travel and tourism activities. The finding underscores the links between categories of discretionary spending and the growth of experience-oriented consumption by the public. But imbalanced growth in these individual expenditure categories can also have negative impacts on sustainability orientation, as they c</w:t>
      </w:r>
      <w:r>
        <w:rPr>
          <w:rFonts w:ascii="Times New Roman" w:eastAsia="Times New Roman" w:hAnsi="Times New Roman" w:cs="Times New Roman"/>
          <w:sz w:val="24"/>
          <w:szCs w:val="24"/>
        </w:rPr>
        <w:t>an lead to environmentally intensive consumption.</w:t>
      </w:r>
    </w:p>
    <w:p w14:paraId="62D62437" w14:textId="77777777" w:rsidR="000E168F" w:rsidRDefault="00FD2BCF">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Sustainability Relationships</w:t>
      </w:r>
    </w:p>
    <w:p w14:paraId="4C3846B8"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correlation analysis showed that the total household expenditure has a strong negative relationship with the Green Economics Sustainability Index (r = -0.553). This suggests that households are becoming less sustainable as the overall level of their expenditure rises. The discovery indicates that increases in spending might increasingly go into resource-heavy and discretionary uses of resources instead of welfare or environmentally friendly ones. It emphasizes the fact that the economic growth and incre</w:t>
      </w:r>
      <w:r>
        <w:rPr>
          <w:rFonts w:ascii="Times New Roman" w:eastAsia="Times New Roman" w:hAnsi="Times New Roman" w:cs="Times New Roman"/>
          <w:sz w:val="24"/>
          <w:szCs w:val="24"/>
        </w:rPr>
        <w:t>ased consumption are not by themselves indicators of sustainable development, unless they are balanced and socially responsible.</w:t>
      </w:r>
    </w:p>
    <w:p w14:paraId="25FDDA89"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was also a negative correlation between the Green Economics Sustainability Index and the amount spent on leisure (r = -0.403). This suggests that increasing expenditures on leisure and recreation activities could be associated with a decrease in sustainability orientation. Leisure spending may involve more environmental cost and be unsustainable and include non-essential activities like entertainment and tourism, luxury services, and lifestyle activities. The result therefore confirms the view taken b</w:t>
      </w:r>
      <w:r>
        <w:rPr>
          <w:rFonts w:ascii="Times New Roman" w:eastAsia="Times New Roman" w:hAnsi="Times New Roman" w:cs="Times New Roman"/>
          <w:sz w:val="24"/>
          <w:szCs w:val="24"/>
        </w:rPr>
        <w:t>y Green Economics that a high level of discretionary consumption can undermine long-term sustainability practices.</w:t>
      </w:r>
    </w:p>
    <w:p w14:paraId="16B57D82"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Likewise, moderate negative correlations between the Green Economics Sustainability Index and health expenditure (r = -0.321) were observed. While in general, the amount of </w:t>
      </w:r>
      <w:r>
        <w:rPr>
          <w:rFonts w:ascii="Times New Roman" w:eastAsia="Times New Roman" w:hAnsi="Times New Roman" w:cs="Times New Roman"/>
          <w:sz w:val="24"/>
          <w:szCs w:val="24"/>
        </w:rPr>
        <w:lastRenderedPageBreak/>
        <w:t>money spent on health care is an indicator of investment in human welfare, an increase in medical expenditure can also be an indicator of increased medical dependence, increased stress of living in the city, increased lifestyle-related diseases and increased cost of living. Thus, health spending is beneficial for welfare production, but too high levels of health spending can have negative effects on overall household sustainability balance, indirectly driven by socio-economic pressures.</w:t>
      </w:r>
    </w:p>
    <w:p w14:paraId="4B9C9F7F"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these results indicate that a sustainable orientation is reinforced if households have more balanced expenditure patterns with a focus on categories that are important for welfare, such as food and basic health needs. The opposite effect is seen when consumption is too high in non-essential and non-lifestyle sectors, which seems to have a negative effect on sustainability orientation. The findings confirm the significance of responsible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achieving the greater goals of Green Economics and sustainable development.</w:t>
      </w:r>
    </w:p>
    <w:p w14:paraId="529F989D" w14:textId="77777777" w:rsidR="000E168F" w:rsidRDefault="000E168F">
      <w:pPr>
        <w:spacing w:before="240" w:after="240" w:line="360" w:lineRule="auto"/>
        <w:jc w:val="both"/>
        <w:rPr>
          <w:rFonts w:ascii="Times New Roman" w:eastAsia="Times New Roman" w:hAnsi="Times New Roman" w:cs="Times New Roman"/>
          <w:sz w:val="24"/>
          <w:szCs w:val="24"/>
        </w:rPr>
      </w:pPr>
    </w:p>
    <w:p w14:paraId="4FAE91D5" w14:textId="77777777" w:rsidR="000E168F" w:rsidRDefault="00FD2BCF">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Green Economics Sustainability Index</w:t>
      </w:r>
    </w:p>
    <w:p w14:paraId="771D6733" w14:textId="77777777" w:rsidR="000E168F" w:rsidRDefault="00FD2BCF">
      <w:pPr>
        <w:spacing w:before="240" w:after="240" w:line="360" w:lineRule="auto"/>
        <w:jc w:val="both"/>
        <w:rPr>
          <w:rFonts w:ascii="Times New Roman" w:eastAsia="Times New Roman" w:hAnsi="Times New Roman" w:cs="Times New Roman"/>
          <w:sz w:val="24"/>
          <w:szCs w:val="24"/>
          <w:shd w:val="clear" w:color="auto" w:fill="FCE5CD"/>
        </w:rPr>
      </w:pPr>
      <w:r>
        <w:rPr>
          <w:rFonts w:ascii="Times New Roman" w:eastAsia="Times New Roman" w:hAnsi="Times New Roman" w:cs="Times New Roman"/>
          <w:sz w:val="24"/>
          <w:szCs w:val="24"/>
        </w:rPr>
        <w:t xml:space="preserve">The Green Economics Sustainability Index (GREEN_INDEX) was created to quantify the sustainability orientation of expenditure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the household.</w:t>
      </w:r>
    </w:p>
    <w:p w14:paraId="3E0D1307" w14:textId="77777777" w:rsidR="000E168F" w:rsidRDefault="00FD2BCF">
      <w:pPr>
        <w:pStyle w:val="Heading2"/>
        <w:keepNext w:val="0"/>
        <w:keepLines w:val="0"/>
        <w:spacing w:before="360" w:after="80" w:line="360" w:lineRule="auto"/>
        <w:jc w:val="both"/>
        <w:rPr>
          <w:rFonts w:ascii="Times New Roman" w:eastAsia="Times New Roman" w:hAnsi="Times New Roman" w:cs="Times New Roman"/>
          <w:color w:val="000000"/>
          <w:sz w:val="24"/>
          <w:szCs w:val="24"/>
        </w:rPr>
      </w:pPr>
      <w:bookmarkStart w:id="3" w:name="_heading=h.5ufywh1mb09q" w:colFirst="0" w:colLast="0"/>
      <w:bookmarkEnd w:id="3"/>
      <w:r>
        <w:rPr>
          <w:rFonts w:ascii="Times New Roman" w:eastAsia="Times New Roman" w:hAnsi="Times New Roman" w:cs="Times New Roman"/>
          <w:color w:val="000000"/>
          <w:sz w:val="24"/>
          <w:szCs w:val="24"/>
        </w:rPr>
        <w:t>Formula Used</w:t>
      </w:r>
    </w:p>
    <w:p w14:paraId="169FC4FE"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GREEN_INDEX = ((EXP_FOOD / (TOT_EXP + 1)) * 100) - ((M_EXP_VACATION / (TOT_EXP + 1)) * 10) + ((M_EXP_HEALTH / (TOT_EXP + 1)) * 5)</w:t>
      </w:r>
    </w:p>
    <w:p w14:paraId="0A5508C3" w14:textId="77777777" w:rsidR="000E168F" w:rsidRDefault="00FD2BCF">
      <w:pPr>
        <w:pStyle w:val="Heading2"/>
        <w:keepNext w:val="0"/>
        <w:keepLines w:val="0"/>
        <w:spacing w:before="360" w:after="80" w:line="360" w:lineRule="auto"/>
        <w:jc w:val="both"/>
        <w:rPr>
          <w:rFonts w:ascii="Times New Roman" w:eastAsia="Times New Roman" w:hAnsi="Times New Roman" w:cs="Times New Roman"/>
          <w:color w:val="000000"/>
          <w:sz w:val="24"/>
          <w:szCs w:val="24"/>
        </w:rPr>
      </w:pPr>
      <w:bookmarkStart w:id="4" w:name="_heading=h.nq4rlpu3t261" w:colFirst="0" w:colLast="0"/>
      <w:bookmarkEnd w:id="4"/>
      <w:r>
        <w:rPr>
          <w:rFonts w:ascii="Times New Roman" w:eastAsia="Times New Roman" w:hAnsi="Times New Roman" w:cs="Times New Roman"/>
          <w:color w:val="000000"/>
          <w:sz w:val="24"/>
          <w:szCs w:val="24"/>
        </w:rPr>
        <w:t>Interpretation of Components</w:t>
      </w:r>
    </w:p>
    <w:p w14:paraId="7B3DD510"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Food expenditure is considered as an essential expenditure for human survival and consumption needs and has been included as an expenditure category for welfare in the calculation of the Green Economics Sustainability Index. A larger share of food allocation suggests that consumption behavior of households is oriented toward welfare and human development, where essential goods are given a higher priority. In the field of Green </w:t>
      </w:r>
      <w:r>
        <w:rPr>
          <w:rFonts w:ascii="Times New Roman" w:eastAsia="Times New Roman" w:hAnsi="Times New Roman" w:cs="Times New Roman"/>
          <w:sz w:val="24"/>
          <w:szCs w:val="24"/>
        </w:rPr>
        <w:lastRenderedPageBreak/>
        <w:t>Economics, food expenditure is viewed as positively related to sustainable living if it aims at achieving a balance in nutrition and household security.</w:t>
      </w:r>
    </w:p>
    <w:p w14:paraId="0E23B7CF"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index also normalized the expenditure components, using the total expenditure as a normalization factor, so that expenditure components could be related to households of various income and spending level groups. Normalization aids comparisons of sustainability orientation better when it provides data on the share of expenditure on a specific category of expenditures in relation to the total spending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rather than the absolute amount of money.</w:t>
      </w:r>
    </w:p>
    <w:p w14:paraId="0B4F3062"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Vacation spending was deemed to be an environmentally intensive discretionary spending category because, in general, tourism, recreation and luxury vacation activities consume more energy, transportation, fuel and other environmental resources. The amount of money spent on vacations might thus be a sign of lifestyle patterns that are heavy on resources and unsustainable. In the context of Green Economics, these are usually regarded as being linked to higher ecological pressure and lower sustainability orien</w:t>
      </w:r>
      <w:r>
        <w:rPr>
          <w:rFonts w:ascii="Times New Roman" w:eastAsia="Times New Roman" w:hAnsi="Times New Roman" w:cs="Times New Roman"/>
          <w:sz w:val="24"/>
          <w:szCs w:val="24"/>
        </w:rPr>
        <w:t>tation in the context of the discretionary expenditure categories.</w:t>
      </w:r>
    </w:p>
    <w:p w14:paraId="77FFCB35"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Health expenditure was viewed as an investment in human welfare and sustainable living. Healthcare spending enhances people's ability to contribute to society, their productivity, their quality of life, and social welfare in the long term. Health has been seen as an important aspect of human capital formation and inclusive development in the field of sustainable development. Thus, there is an expectation that households that allocate resources to health are more concerned about well-being and sustainable hu</w:t>
      </w:r>
      <w:r>
        <w:rPr>
          <w:rFonts w:ascii="Times New Roman" w:eastAsia="Times New Roman" w:hAnsi="Times New Roman" w:cs="Times New Roman"/>
          <w:sz w:val="24"/>
          <w:szCs w:val="24"/>
        </w:rPr>
        <w:t>man development.</w:t>
      </w:r>
    </w:p>
    <w:p w14:paraId="2B23A585" w14:textId="77777777" w:rsidR="000E168F" w:rsidRDefault="00FD2BCF">
      <w:pPr>
        <w:pStyle w:val="Heading2"/>
        <w:keepNext w:val="0"/>
        <w:keepLines w:val="0"/>
        <w:spacing w:before="360" w:after="80" w:line="360" w:lineRule="auto"/>
        <w:jc w:val="both"/>
        <w:rPr>
          <w:rFonts w:ascii="Times New Roman" w:eastAsia="Times New Roman" w:hAnsi="Times New Roman" w:cs="Times New Roman"/>
          <w:color w:val="000000"/>
          <w:sz w:val="24"/>
          <w:szCs w:val="24"/>
        </w:rPr>
      </w:pPr>
      <w:bookmarkStart w:id="5" w:name="_heading=h.oyfn6289ey63" w:colFirst="0" w:colLast="0"/>
      <w:bookmarkEnd w:id="5"/>
      <w:r>
        <w:rPr>
          <w:rFonts w:ascii="Times New Roman" w:eastAsia="Times New Roman" w:hAnsi="Times New Roman" w:cs="Times New Roman"/>
          <w:color w:val="000000"/>
          <w:sz w:val="24"/>
          <w:szCs w:val="24"/>
        </w:rPr>
        <w:t>Table 2 Interpretation of Index Values</w:t>
      </w:r>
    </w:p>
    <w:tbl>
      <w:tblPr>
        <w:tblStyle w:val="a0"/>
        <w:tblW w:w="60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90"/>
        <w:gridCol w:w="3395"/>
      </w:tblGrid>
      <w:tr w:rsidR="000E168F" w14:paraId="08EAC22D" w14:textId="77777777">
        <w:trPr>
          <w:trHeight w:val="515"/>
        </w:trPr>
        <w:tc>
          <w:tcPr>
            <w:tcW w:w="26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919D23" w14:textId="77777777" w:rsidR="000E168F" w:rsidRDefault="00FD2BCF">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GREEN_INDEX Range</w:t>
            </w:r>
          </w:p>
        </w:tc>
        <w:tc>
          <w:tcPr>
            <w:tcW w:w="33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A45F593" w14:textId="77777777" w:rsidR="000E168F" w:rsidRDefault="00FD2BCF">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Interpretation</w:t>
            </w:r>
          </w:p>
        </w:tc>
      </w:tr>
      <w:tr w:rsidR="000E168F" w14:paraId="61080006" w14:textId="77777777">
        <w:trPr>
          <w:trHeight w:val="515"/>
        </w:trPr>
        <w:tc>
          <w:tcPr>
            <w:tcW w:w="26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127ED8C"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0–30</w:t>
            </w:r>
          </w:p>
        </w:tc>
        <w:tc>
          <w:tcPr>
            <w:tcW w:w="33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3D0EC59"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Low sustainability orientation</w:t>
            </w:r>
          </w:p>
        </w:tc>
      </w:tr>
      <w:tr w:rsidR="000E168F" w14:paraId="0E1A3E32" w14:textId="77777777">
        <w:trPr>
          <w:trHeight w:val="515"/>
        </w:trPr>
        <w:tc>
          <w:tcPr>
            <w:tcW w:w="26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AF5E363"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31–50</w:t>
            </w:r>
          </w:p>
        </w:tc>
        <w:tc>
          <w:tcPr>
            <w:tcW w:w="33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6211473"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sustainability practices</w:t>
            </w:r>
          </w:p>
        </w:tc>
      </w:tr>
      <w:tr w:rsidR="000E168F" w14:paraId="40D3C179" w14:textId="77777777">
        <w:trPr>
          <w:trHeight w:val="515"/>
        </w:trPr>
        <w:tc>
          <w:tcPr>
            <w:tcW w:w="26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FD0C368"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51–70</w:t>
            </w:r>
          </w:p>
        </w:tc>
        <w:tc>
          <w:tcPr>
            <w:tcW w:w="33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E52BF3"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Strong sustainable </w:t>
            </w:r>
            <w:proofErr w:type="spellStart"/>
            <w:r>
              <w:rPr>
                <w:rFonts w:ascii="Times New Roman" w:eastAsia="Times New Roman" w:hAnsi="Times New Roman" w:cs="Times New Roman"/>
                <w:sz w:val="24"/>
                <w:szCs w:val="24"/>
              </w:rPr>
              <w:t>behaviour</w:t>
            </w:r>
            <w:proofErr w:type="spellEnd"/>
          </w:p>
        </w:tc>
      </w:tr>
      <w:tr w:rsidR="000E168F" w14:paraId="74A17024" w14:textId="77777777">
        <w:trPr>
          <w:trHeight w:val="515"/>
        </w:trPr>
        <w:tc>
          <w:tcPr>
            <w:tcW w:w="26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6B221A4"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Above 70</w:t>
            </w:r>
          </w:p>
        </w:tc>
        <w:tc>
          <w:tcPr>
            <w:tcW w:w="33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AC14C85"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Highly sustainable household</w:t>
            </w:r>
          </w:p>
        </w:tc>
      </w:tr>
    </w:tbl>
    <w:p w14:paraId="70580F82"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(Note: Source: Based on Author’s analysis of secondary data collected from CPHS)</w:t>
      </w:r>
    </w:p>
    <w:p w14:paraId="7D57E6EF"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index is based on the principles of Green Economics, Sustainable Development, Human Welfare Economics and Sustainable Consumption Theory.</w:t>
      </w:r>
    </w:p>
    <w:p w14:paraId="304350A4" w14:textId="77777777" w:rsidR="000E168F" w:rsidRDefault="00FD2BCF">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Chi-Square Association</w:t>
      </w:r>
    </w:p>
    <w:p w14:paraId="21797A1F"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Chi-square test was performed for REGION_TYPE with GENDER_GROUP, and found to have a Chi-square of 32.62 and a p-value of &lt;0.05, which was statistically significant. This shows that the demographic factors have a strong effect on sustainability practices.</w:t>
      </w:r>
    </w:p>
    <w:p w14:paraId="4C4EC93C" w14:textId="77777777" w:rsidR="000E168F" w:rsidRDefault="00FD2BCF">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OLS Regression Analysis</w:t>
      </w:r>
    </w:p>
    <w:p w14:paraId="058AD1B3"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Green Economics Sustainability Index was modeled using OLS regression to analyze the factors that determine the </w:t>
      </w:r>
      <w:proofErr w:type="gramStart"/>
      <w:r>
        <w:rPr>
          <w:rFonts w:ascii="Times New Roman" w:eastAsia="Times New Roman" w:hAnsi="Times New Roman" w:cs="Times New Roman"/>
          <w:sz w:val="24"/>
          <w:szCs w:val="24"/>
        </w:rPr>
        <w:t>index..</w:t>
      </w:r>
      <w:proofErr w:type="gramEnd"/>
    </w:p>
    <w:p w14:paraId="399B7DC5"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3 </w:t>
      </w:r>
      <w:r>
        <w:rPr>
          <w:rFonts w:ascii="Times New Roman" w:eastAsia="Times New Roman" w:hAnsi="Times New Roman" w:cs="Times New Roman"/>
          <w:b/>
          <w:bCs/>
          <w:sz w:val="24"/>
          <w:szCs w:val="24"/>
        </w:rPr>
        <w:t>OLS Regression Analysis</w:t>
      </w:r>
    </w:p>
    <w:tbl>
      <w:tblPr>
        <w:tblStyle w:val="a1"/>
        <w:tblW w:w="35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75"/>
        <w:gridCol w:w="1445"/>
      </w:tblGrid>
      <w:tr w:rsidR="000E168F" w14:paraId="6B9D30E5" w14:textId="77777777">
        <w:trPr>
          <w:trHeight w:val="515"/>
        </w:trPr>
        <w:tc>
          <w:tcPr>
            <w:tcW w:w="20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D34BBD2" w14:textId="77777777" w:rsidR="000E168F" w:rsidRDefault="00FD2BCF">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Variable</w:t>
            </w:r>
          </w:p>
        </w:tc>
        <w:tc>
          <w:tcPr>
            <w:tcW w:w="14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B16252F" w14:textId="77777777" w:rsidR="000E168F" w:rsidRDefault="00FD2BCF">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Coefficient</w:t>
            </w:r>
          </w:p>
        </w:tc>
      </w:tr>
      <w:tr w:rsidR="000E168F" w14:paraId="45F9F501" w14:textId="77777777">
        <w:trPr>
          <w:trHeight w:val="515"/>
        </w:trPr>
        <w:tc>
          <w:tcPr>
            <w:tcW w:w="20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69C392"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4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806D9D"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46.4593</w:t>
            </w:r>
          </w:p>
        </w:tc>
      </w:tr>
      <w:tr w:rsidR="000E168F" w14:paraId="1C85BFCC" w14:textId="77777777">
        <w:trPr>
          <w:trHeight w:val="515"/>
        </w:trPr>
        <w:tc>
          <w:tcPr>
            <w:tcW w:w="20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390075"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TOT_INC</w:t>
            </w:r>
          </w:p>
        </w:tc>
        <w:tc>
          <w:tcPr>
            <w:tcW w:w="14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2D33ADC"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-0.00007023</w:t>
            </w:r>
          </w:p>
        </w:tc>
      </w:tr>
      <w:tr w:rsidR="000E168F" w14:paraId="2D5DA515" w14:textId="77777777">
        <w:trPr>
          <w:trHeight w:val="515"/>
        </w:trPr>
        <w:tc>
          <w:tcPr>
            <w:tcW w:w="20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21BBF96"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M_EXP_HEALTH</w:t>
            </w:r>
          </w:p>
        </w:tc>
        <w:tc>
          <w:tcPr>
            <w:tcW w:w="14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D91CC77"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0.0002</w:t>
            </w:r>
          </w:p>
        </w:tc>
      </w:tr>
      <w:tr w:rsidR="000E168F" w14:paraId="2F5B6C4D" w14:textId="77777777">
        <w:trPr>
          <w:trHeight w:val="515"/>
        </w:trPr>
        <w:tc>
          <w:tcPr>
            <w:tcW w:w="20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C92E4C7"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EXP_FOOD</w:t>
            </w:r>
          </w:p>
        </w:tc>
        <w:tc>
          <w:tcPr>
            <w:tcW w:w="14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A5F9171"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0.0004</w:t>
            </w:r>
          </w:p>
        </w:tc>
      </w:tr>
      <w:tr w:rsidR="000E168F" w14:paraId="6BD48F19" w14:textId="77777777">
        <w:trPr>
          <w:trHeight w:val="515"/>
        </w:trPr>
        <w:tc>
          <w:tcPr>
            <w:tcW w:w="20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1568E0D" w14:textId="77777777" w:rsidR="000E168F" w:rsidRDefault="00FD2BCF">
            <w:pPr>
              <w:spacing w:before="280" w:after="28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EXP_Leisure</w:t>
            </w:r>
            <w:proofErr w:type="spellEnd"/>
          </w:p>
        </w:tc>
        <w:tc>
          <w:tcPr>
            <w:tcW w:w="14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0947EE2" w14:textId="77777777" w:rsidR="000E168F" w:rsidRDefault="00FD2BC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-0.0019</w:t>
            </w:r>
          </w:p>
        </w:tc>
      </w:tr>
    </w:tbl>
    <w:p w14:paraId="54829A9B" w14:textId="77777777" w:rsidR="000E168F" w:rsidRDefault="00FD2BCF">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(Note: Source: Based on Author’s analysis of secondary data collected from CPHS)</w:t>
      </w:r>
    </w:p>
    <w:p w14:paraId="31721522" w14:textId="77777777" w:rsidR="000E168F" w:rsidRDefault="00FD2BCF">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Model Statistics</w:t>
      </w:r>
    </w:p>
    <w:p w14:paraId="00A1979E"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R-squared = 0.231</w:t>
      </w:r>
    </w:p>
    <w:p w14:paraId="524228D7"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R-squared = 0.230</w:t>
      </w:r>
    </w:p>
    <w:p w14:paraId="4F25B2E5"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F-statistic is significant at the 1% level.</w:t>
      </w:r>
    </w:p>
    <w:p w14:paraId="744CEAFB"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observations = 22,688</w:t>
      </w:r>
    </w:p>
    <w:p w14:paraId="45DF9FB0"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model accounts for about 23.1% of the variance in the sustainability index.</w:t>
      </w:r>
    </w:p>
    <w:p w14:paraId="2EFDEA32"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Higher household income is negatively associated with sustainability orientation, suggesting that the higher income households may spend more on discretionary items.</w:t>
      </w:r>
    </w:p>
    <w:p w14:paraId="5E0E5009"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Food expenditure positively contributes towards sustainable household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w:t>
      </w:r>
    </w:p>
    <w:p w14:paraId="66215B3C"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 positive relationship between health expenditure and sustainability orientation. The positive regression coefficient for health expenditure needs to be read in conjunction with the correlation results. The health expenditure shows negative bivariate correlation with the Green Economics Sustainability Index but multivariate regression model adjusts for income and other expenditure categories. As a result, health expenditure is indicative of a positive independent contribution to sustainability ori</w:t>
      </w:r>
      <w:r>
        <w:rPr>
          <w:rFonts w:ascii="Times New Roman" w:eastAsia="Times New Roman" w:hAnsi="Times New Roman" w:cs="Times New Roman"/>
          <w:sz w:val="24"/>
          <w:szCs w:val="24"/>
        </w:rPr>
        <w:t>entation. This implies that any explanatory variable is likely to have an intercorrelation with others and possible suppression effect in the regression model.</w:t>
      </w:r>
    </w:p>
    <w:p w14:paraId="28B5F134"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non-essential expenditure on leisure is also found to have a negative impact on sustainability, with higher levels of non-essential spending having a detrimental effect on sustainable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w:t>
      </w:r>
    </w:p>
    <w:p w14:paraId="66F31AA6"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overall examination of the regression model is statistically significant and results in the validity of the categories of expenditure in the model in the context of the promotion of sustainable development.</w:t>
      </w:r>
    </w:p>
    <w:p w14:paraId="17524C71" w14:textId="77777777" w:rsidR="000E168F" w:rsidRDefault="00FD2BCF">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Discussions and policy implications</w:t>
      </w:r>
    </w:p>
    <w:p w14:paraId="4B4B4160"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shows that household consumption patterns have an important impact on the sustainability orientation. Funding of necessities like food and health care are positive for welfare and sustainable development. However, a high level of consumption of leisure and lifestyle is a negative socio-economic driver of sustainability indicators, as described above.</w:t>
      </w:r>
    </w:p>
    <w:p w14:paraId="2117CDCD"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comparative analysis, one can easily see that the economic recovery after the pandemic has enhanced the income of households and their consumption. But the increase in discretionary spending has brought down the sustainability orientation of households.</w:t>
      </w:r>
    </w:p>
    <w:p w14:paraId="293F07B8"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To </w:t>
      </w:r>
      <w:proofErr w:type="spellStart"/>
      <w:r>
        <w:rPr>
          <w:rFonts w:ascii="Times New Roman" w:eastAsia="Times New Roman" w:hAnsi="Times New Roman" w:cs="Times New Roman"/>
          <w:b/>
          <w:bCs/>
          <w:sz w:val="24"/>
          <w:szCs w:val="24"/>
        </w:rPr>
        <w:t>summarise</w:t>
      </w:r>
      <w:proofErr w:type="spellEnd"/>
      <w:r>
        <w:rPr>
          <w:rFonts w:ascii="Times New Roman" w:eastAsia="Times New Roman" w:hAnsi="Times New Roman" w:cs="Times New Roman"/>
          <w:b/>
          <w:bCs/>
          <w:sz w:val="24"/>
          <w:szCs w:val="24"/>
        </w:rPr>
        <w:t xml:space="preserve"> the discussion, </w:t>
      </w:r>
    </w:p>
    <w:p w14:paraId="7217D3F0"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empirical evidence from 22,688 households in Maharashtra shows significant shifts in household spending patterns in the post-pandemic recovery (2024-2025). The results show that an increase in income per household was accompanied by a significant rise in both the total expenditure on essentials and the total expenditure on non-essentials. The increase in spending, however, was not homogeneously related to sustainable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indicating an important contradiction between economic recovery and sustainability orientation.</w:t>
      </w:r>
    </w:p>
    <w:p w14:paraId="172AA3F0"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descriptive statistics reveal that the average income of households in Maharashtra was ₹43,287.93 whereas the mean expenditure of households was ₹23,957.78. Household expenditure on food items was the highest at ₹9,766.39, on average. This supports Engel's hypothesis that food is one of the most important categories of spending in developing </w:t>
      </w:r>
      <w:r>
        <w:rPr>
          <w:rFonts w:ascii="Times New Roman" w:eastAsia="Times New Roman" w:hAnsi="Times New Roman" w:cs="Times New Roman"/>
          <w:sz w:val="24"/>
          <w:szCs w:val="24"/>
        </w:rPr>
        <w:lastRenderedPageBreak/>
        <w:t xml:space="preserve">economies, especially for </w:t>
      </w:r>
      <w:proofErr w:type="gramStart"/>
      <w:r>
        <w:rPr>
          <w:rFonts w:ascii="Times New Roman" w:eastAsia="Times New Roman" w:hAnsi="Times New Roman" w:cs="Times New Roman"/>
          <w:sz w:val="24"/>
          <w:szCs w:val="24"/>
        </w:rPr>
        <w:t>middle and lower income</w:t>
      </w:r>
      <w:proofErr w:type="gramEnd"/>
      <w:r>
        <w:rPr>
          <w:rFonts w:ascii="Times New Roman" w:eastAsia="Times New Roman" w:hAnsi="Times New Roman" w:cs="Times New Roman"/>
          <w:sz w:val="24"/>
          <w:szCs w:val="24"/>
        </w:rPr>
        <w:t xml:space="preserve"> people. The gradual growth in the consumption of lifestyle was reflected in the average expenditure of ₹845.84 on health and ₹1,718.30 on leisure.</w:t>
      </w:r>
    </w:p>
    <w:p w14:paraId="59DFEA81"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mean scores of the Green Economics Sustainability Index (GESI) constructed for this study indicate that most of the households had a moderate level of orientation towards sustainability (44.56). At this moderate level of sustainability, households still make welfare-oriented spending, including food and health, a top priority but a rise in discretionary spending could reduce long-term sustainable consumption.</w:t>
      </w:r>
    </w:p>
    <w:p w14:paraId="7E34392A" w14:textId="77777777" w:rsidR="000E168F" w:rsidRDefault="000E168F">
      <w:pPr>
        <w:spacing w:before="240" w:after="240" w:line="360" w:lineRule="auto"/>
        <w:jc w:val="both"/>
        <w:rPr>
          <w:rFonts w:ascii="Times New Roman" w:eastAsia="Times New Roman" w:hAnsi="Times New Roman" w:cs="Times New Roman"/>
          <w:sz w:val="24"/>
          <w:szCs w:val="24"/>
        </w:rPr>
      </w:pPr>
    </w:p>
    <w:p w14:paraId="34820C73"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Comparative analysis of March 2024 and March 2025 shows a large degree of structural change in the patterns of expenditure. The rise in the household income between 2024 and 2025 from ₹37,335.42 to ₹49,304.80 shows that the current economy is recovering well from the pandemic and the purchasing power has improved. Likewise, overall household spending amount increased from ₹21,842.33 to ₹26,096.10 during the same period. Food expenditure increased from ₹9,087.90 to ₹10,452.21, while health expenditure rose f</w:t>
      </w:r>
      <w:r>
        <w:rPr>
          <w:rFonts w:ascii="Times New Roman" w:eastAsia="Times New Roman" w:hAnsi="Times New Roman" w:cs="Times New Roman"/>
          <w:sz w:val="24"/>
          <w:szCs w:val="24"/>
        </w:rPr>
        <w:t>rom ₹784.15 to ₹908.20. The results indicate that basic welfare and health security remained a key priority for households even during and beyond the pandemic.</w:t>
      </w:r>
    </w:p>
    <w:p w14:paraId="7C246BEB" w14:textId="77777777" w:rsidR="000E168F" w:rsidRDefault="000E168F">
      <w:pPr>
        <w:spacing w:before="240" w:after="240" w:line="360" w:lineRule="auto"/>
        <w:jc w:val="both"/>
        <w:rPr>
          <w:rFonts w:ascii="Times New Roman" w:eastAsia="Times New Roman" w:hAnsi="Times New Roman" w:cs="Times New Roman"/>
          <w:sz w:val="24"/>
          <w:szCs w:val="24"/>
        </w:rPr>
      </w:pPr>
    </w:p>
    <w:p w14:paraId="1C4D15E7"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Meanwhile, spending on discretionary items like leisure, restaurant and recreation spending also were seesawing significantly. The shares of leisure and restaurant expenditure both increased, from ₹1,600.09 to ₹1,837.78 and from ₹654.59 to ₹822.30 respectively. The results show the shift in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to lifestyle-related consumption patterns following the end of the pandemic restrictions. Such spending increases are signals of increasing economic confidence and consumer sentiment, but are also indicators of increased consumption that is resource-intensive and environmentally unsustainable.</w:t>
      </w:r>
    </w:p>
    <w:p w14:paraId="544DF863"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key finding of the study is that even though income and consumption increased, the Green Economics Sustainability Index decreased, from 45.70 in 2024 to 43.40 in 2025. This downward trend indicates that there is no positive correlation between economic </w:t>
      </w:r>
      <w:r>
        <w:rPr>
          <w:rFonts w:ascii="Times New Roman" w:eastAsia="Times New Roman" w:hAnsi="Times New Roman" w:cs="Times New Roman"/>
          <w:sz w:val="24"/>
          <w:szCs w:val="24"/>
        </w:rPr>
        <w:lastRenderedPageBreak/>
        <w:t xml:space="preserve">prosperity and the sustainability orientation. Rather, the sustainability balance in household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seems to have been growing more negative as a result of increased growth in discretionary and luxury consumption. The results, therefore, do support the arguments put forward by the Green Economics researchers that development should not only be assessed in the realm of income production, but also consumption levels that are more welfare-driven and environmentally friendly.</w:t>
      </w:r>
    </w:p>
    <w:p w14:paraId="4E3ED404" w14:textId="77777777" w:rsidR="000E168F" w:rsidRDefault="000E168F">
      <w:pPr>
        <w:spacing w:before="240" w:after="240" w:line="360" w:lineRule="auto"/>
        <w:jc w:val="both"/>
        <w:rPr>
          <w:rFonts w:ascii="Times New Roman" w:eastAsia="Times New Roman" w:hAnsi="Times New Roman" w:cs="Times New Roman"/>
          <w:sz w:val="24"/>
          <w:szCs w:val="24"/>
        </w:rPr>
      </w:pPr>
    </w:p>
    <w:p w14:paraId="5B58866D"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observations are supported by a correlation analysis. There was a positive correlation between total income and total expenditure (r = 0.526), which indicated that the higher income of a household the higher its consumption expenditure. Similarly, food expenditure was positively correlated with income r = 0.456, suggesting that the food purchasing power plays a significant role in improving the food consumption and nutritional welfare. The negative correlation between income and the Green Economics Su</w:t>
      </w:r>
      <w:r>
        <w:rPr>
          <w:rFonts w:ascii="Times New Roman" w:eastAsia="Times New Roman" w:hAnsi="Times New Roman" w:cs="Times New Roman"/>
          <w:sz w:val="24"/>
          <w:szCs w:val="24"/>
        </w:rPr>
        <w:t>stainability Index, however, (r = – 0.327) indicates that consumption activities of higher-income households may shift toward being less sustainability oriented.</w:t>
      </w:r>
    </w:p>
    <w:p w14:paraId="6E29EFCB" w14:textId="77777777" w:rsidR="000E168F" w:rsidRDefault="000E168F">
      <w:pPr>
        <w:spacing w:before="240" w:after="240" w:line="360" w:lineRule="auto"/>
        <w:jc w:val="both"/>
        <w:rPr>
          <w:rFonts w:ascii="Times New Roman" w:eastAsia="Times New Roman" w:hAnsi="Times New Roman" w:cs="Times New Roman"/>
          <w:sz w:val="24"/>
          <w:szCs w:val="24"/>
        </w:rPr>
      </w:pPr>
    </w:p>
    <w:p w14:paraId="59E123AC"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relationship between total expenditure and food expenditure was also found to be positive and strong (r = 0.754), showing that food expenditure is still important in people's budget allocation problem. There was a positive correlation between restaurant expenditure and leisure expenditure (r = 0.614), and a positive significant correlation between leisure expenditure and vacation expenditure (r = 0.538). Such associations are an amalgamation of the growing convergence of entertainment, tourism and lifes</w:t>
      </w:r>
      <w:r>
        <w:rPr>
          <w:rFonts w:ascii="Times New Roman" w:eastAsia="Times New Roman" w:hAnsi="Times New Roman" w:cs="Times New Roman"/>
          <w:sz w:val="24"/>
          <w:szCs w:val="24"/>
        </w:rPr>
        <w:t xml:space="preserve">tyle in today's household expenditure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w:t>
      </w:r>
    </w:p>
    <w:p w14:paraId="2D22711A" w14:textId="77777777" w:rsidR="000E168F" w:rsidRDefault="000E168F">
      <w:pPr>
        <w:spacing w:before="240" w:after="240" w:line="360" w:lineRule="auto"/>
        <w:jc w:val="both"/>
        <w:rPr>
          <w:rFonts w:ascii="Times New Roman" w:eastAsia="Times New Roman" w:hAnsi="Times New Roman" w:cs="Times New Roman"/>
          <w:sz w:val="24"/>
          <w:szCs w:val="24"/>
        </w:rPr>
      </w:pPr>
    </w:p>
    <w:p w14:paraId="1D59B057"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most important results were that there was a negative correlation between the Green Economics Sustainability Index and total expenditure (r = –0.553), leisure expenditure (r = –0.403) and health expenditure (r = –0.321). The OLS regression analysis results, however, indicated that the sustainability index had a positive coefficient when other </w:t>
      </w:r>
      <w:r>
        <w:rPr>
          <w:rFonts w:ascii="Times New Roman" w:eastAsia="Times New Roman" w:hAnsi="Times New Roman" w:cs="Times New Roman"/>
          <w:sz w:val="24"/>
          <w:szCs w:val="24"/>
        </w:rPr>
        <w:lastRenderedPageBreak/>
        <w:t xml:space="preserve">categories of expenditure have been taken into account, whereas the correlation between health expenditure and sustainability index showed negative bivariate correlation. This suggests that there is an independent effect of health spending on sustainability orientation that is positive after controlling for income and discretionary spending. The differences between the correlation coefficient and the regression coefficients may be caused by suppression and interrelationships of the explanatory </w:t>
      </w:r>
      <w:proofErr w:type="spellStart"/>
      <w:proofErr w:type="gramStart"/>
      <w:r>
        <w:rPr>
          <w:rFonts w:ascii="Times New Roman" w:eastAsia="Times New Roman" w:hAnsi="Times New Roman" w:cs="Times New Roman"/>
          <w:sz w:val="24"/>
          <w:szCs w:val="24"/>
        </w:rPr>
        <w:t>variables.The</w:t>
      </w:r>
      <w:proofErr w:type="spellEnd"/>
      <w:proofErr w:type="gramEnd"/>
      <w:r>
        <w:rPr>
          <w:rFonts w:ascii="Times New Roman" w:eastAsia="Times New Roman" w:hAnsi="Times New Roman" w:cs="Times New Roman"/>
          <w:sz w:val="24"/>
          <w:szCs w:val="24"/>
        </w:rPr>
        <w:t xml:space="preserve"> negative correlation to leisure expenditure suggest that the more one spends on leisure, the less sustainable one is oriented. While the overall trend of increasing expenditure on health care is associated with an improvement in welfare, the increasing health care expenditure also underscores increased healthcare dependency and increased health cost in the city, thus complicating the sustainability relationship.</w:t>
      </w:r>
    </w:p>
    <w:p w14:paraId="14CEAE6F" w14:textId="77777777" w:rsidR="000E168F" w:rsidRDefault="000E168F">
      <w:pPr>
        <w:spacing w:before="240" w:after="240" w:line="360" w:lineRule="auto"/>
        <w:jc w:val="both"/>
        <w:rPr>
          <w:rFonts w:ascii="Times New Roman" w:eastAsia="Times New Roman" w:hAnsi="Times New Roman" w:cs="Times New Roman"/>
          <w:sz w:val="24"/>
          <w:szCs w:val="24"/>
        </w:rPr>
      </w:pPr>
    </w:p>
    <w:p w14:paraId="58068DF9"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OLS regression analysis gives some additional clues to the determinants of sustainable household expenditure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The regression model was statistically significant at 1 percent level, and explained about 23.1 percent of the variation in the Green Economics Sustainability Index. The items that had positive effects on sustainability orientation were: food expenditure, meaning those households that spend a higher share of their budget on food were more sustainable oriented. Health expenditure also positively contributed to sustainability orientation, supporting the capability approach proposed by Amartya Sen w</w:t>
      </w:r>
      <w:r>
        <w:rPr>
          <w:rFonts w:ascii="Times New Roman" w:eastAsia="Times New Roman" w:hAnsi="Times New Roman" w:cs="Times New Roman"/>
          <w:sz w:val="24"/>
          <w:szCs w:val="24"/>
        </w:rPr>
        <w:t>hich emphasizes investment in human welfare and health as elements of sustainable development.</w:t>
      </w:r>
    </w:p>
    <w:p w14:paraId="0E816566" w14:textId="77777777" w:rsidR="000E168F" w:rsidRDefault="000E168F">
      <w:pPr>
        <w:spacing w:before="240" w:after="240" w:line="360" w:lineRule="auto"/>
        <w:jc w:val="both"/>
        <w:rPr>
          <w:rFonts w:ascii="Times New Roman" w:eastAsia="Times New Roman" w:hAnsi="Times New Roman" w:cs="Times New Roman"/>
          <w:sz w:val="24"/>
          <w:szCs w:val="24"/>
        </w:rPr>
      </w:pPr>
    </w:p>
    <w:p w14:paraId="151BA8AA"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contrary, the coefficient for leisure spending was negative, which indicates that an excessive share of non-essential spending correlates negatively with sustainability orientation. Likewise, an increase in the household income was negatively related to the sustainability index, indicating that people with higher income may be more likely to engage in environmentally more intensive consumption patterns, such as luxury purchases, leisure trips and lifestyle spending.</w:t>
      </w:r>
    </w:p>
    <w:p w14:paraId="6122347C" w14:textId="77777777" w:rsidR="000E168F" w:rsidRDefault="000E168F">
      <w:pPr>
        <w:spacing w:before="240" w:after="240" w:line="360" w:lineRule="auto"/>
        <w:jc w:val="both"/>
        <w:rPr>
          <w:rFonts w:ascii="Times New Roman" w:eastAsia="Times New Roman" w:hAnsi="Times New Roman" w:cs="Times New Roman"/>
          <w:sz w:val="24"/>
          <w:szCs w:val="24"/>
        </w:rPr>
      </w:pPr>
    </w:p>
    <w:p w14:paraId="784451C2"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are in line with the theoretical background of Green Economics where the progress of the economy should be measured in terms of responsible consumption, social welfare and ecological sustainability in addition to the increase of income. The findings also corroborate earlier research by Jackson (2017), Daly (2020), and Raworth (2019) that overconsumption and lifestyles that require a lot of resources pose a threat to sustainability in the long run.</w:t>
      </w:r>
    </w:p>
    <w:p w14:paraId="70018213" w14:textId="77777777" w:rsidR="000E168F" w:rsidRDefault="000E168F">
      <w:pPr>
        <w:spacing w:before="240" w:after="240" w:line="360" w:lineRule="auto"/>
        <w:jc w:val="both"/>
        <w:rPr>
          <w:rFonts w:ascii="Times New Roman" w:eastAsia="Times New Roman" w:hAnsi="Times New Roman" w:cs="Times New Roman"/>
          <w:sz w:val="24"/>
          <w:szCs w:val="24"/>
        </w:rPr>
      </w:pPr>
    </w:p>
    <w:p w14:paraId="04E803D3"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Chi-square association analysis also showed that demographic variables are also significant factors and influence sustainability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The statistically significant relationship between region </w:t>
      </w:r>
      <w:proofErr w:type="gramStart"/>
      <w:r>
        <w:rPr>
          <w:rFonts w:ascii="Times New Roman" w:eastAsia="Times New Roman" w:hAnsi="Times New Roman" w:cs="Times New Roman"/>
          <w:sz w:val="24"/>
          <w:szCs w:val="24"/>
        </w:rPr>
        <w:t>type</w:t>
      </w:r>
      <w:proofErr w:type="gramEnd"/>
      <w:r>
        <w:rPr>
          <w:rFonts w:ascii="Times New Roman" w:eastAsia="Times New Roman" w:hAnsi="Times New Roman" w:cs="Times New Roman"/>
          <w:sz w:val="24"/>
          <w:szCs w:val="24"/>
        </w:rPr>
        <w:t xml:space="preserve"> and gender group indicates that there are differences between the demographic and regional groups in terms of household sustainability orientation. This means that the social structure, the composition of households and regional economic conditions are significant factors in determining sustainable expenditure practices.</w:t>
      </w:r>
    </w:p>
    <w:p w14:paraId="53E75EF0" w14:textId="77777777" w:rsidR="000E168F" w:rsidRDefault="000E168F">
      <w:pPr>
        <w:spacing w:before="240" w:after="240" w:line="360" w:lineRule="auto"/>
        <w:jc w:val="both"/>
        <w:rPr>
          <w:rFonts w:ascii="Times New Roman" w:eastAsia="Times New Roman" w:hAnsi="Times New Roman" w:cs="Times New Roman"/>
          <w:sz w:val="24"/>
          <w:szCs w:val="24"/>
        </w:rPr>
      </w:pPr>
    </w:p>
    <w:p w14:paraId="6E31FA3F"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results show that the post-pandemic economic recovery in Maharashtra has enhanced the income and consumption capacity but they have also reduced the sustainability orientation of the economy due to increasing discretionary expenditure. Thus, the study highlights the significance of achieving a balance between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spending on </w:t>
      </w:r>
      <w:proofErr w:type="gramStart"/>
      <w:r>
        <w:rPr>
          <w:rFonts w:ascii="Times New Roman" w:eastAsia="Times New Roman" w:hAnsi="Times New Roman" w:cs="Times New Roman"/>
          <w:sz w:val="24"/>
          <w:szCs w:val="24"/>
        </w:rPr>
        <w:t>welfare oriented</w:t>
      </w:r>
      <w:proofErr w:type="gramEnd"/>
      <w:r>
        <w:rPr>
          <w:rFonts w:ascii="Times New Roman" w:eastAsia="Times New Roman" w:hAnsi="Times New Roman" w:cs="Times New Roman"/>
          <w:sz w:val="24"/>
          <w:szCs w:val="24"/>
        </w:rPr>
        <w:t xml:space="preserve"> consumption to reduce the environmentally intensive lifestyle consumption. Income growth alone is not enough to attain sustainable development if there is not careful allocation of expenditure and mindful consumption patterns by households.</w:t>
      </w:r>
    </w:p>
    <w:p w14:paraId="0E5A33A8" w14:textId="77777777" w:rsidR="000E168F" w:rsidRDefault="00FD2BCF">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Limitations of the Study</w:t>
      </w:r>
    </w:p>
    <w:p w14:paraId="357C75BF"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there are certain limitations of this study that must be taken into account when interpreting the results of this study. The analysis is based on secondary data collected from </w:t>
      </w:r>
      <w:r>
        <w:rPr>
          <w:rFonts w:ascii="Times New Roman" w:eastAsia="Times New Roman" w:hAnsi="Times New Roman" w:cs="Times New Roman"/>
          <w:sz w:val="24"/>
          <w:szCs w:val="24"/>
        </w:rPr>
        <w:lastRenderedPageBreak/>
        <w:t xml:space="preserve">the Consumer Pyramids Household Survey (CPHS) and focuses only on household observations in Maharashtra for March 2024 and March 2025. The findings are thus not necessarily representative of seasonal changes or long-term changes in the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households.</w:t>
      </w:r>
    </w:p>
    <w:p w14:paraId="02BDDF55"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 the Green Economics Sustainability Index created for the purpose of this study is a composite index composed of some expenditure categories. The index is based on the concepts of Green Economics and sustainable consumption but is designed using different weighting methods and other sustainability indicators may yield different outcomes. The index could be expanded and further developed and confirmed in future studies with more wide-ranging environmental, social and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data.</w:t>
      </w:r>
    </w:p>
    <w:p w14:paraId="492D632B"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Third, descriptive analysis, correlation analysis, Chi-square tests and OLS regression are the primary method of analysis used in the study. These approaches detect strong relationships but cannot provide causal links linking household spending habits with the sustainability orientation.</w:t>
      </w:r>
    </w:p>
    <w:p w14:paraId="6D4257AA"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Thirdly, the empirical model did not explicitly include some of the most important determinants of sustainable consumption due to data restrictions: education level, awareness of the environment, household size, occupation, public services received, and cultural factors.</w:t>
      </w:r>
    </w:p>
    <w:p w14:paraId="252A0CF2"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the study does not capture the environmental outcomes, like carbon emissions, energy consumption, waste generation, and ecological footprints, at the household level. These studies could be combined with an expenditure measurement of the environment, thus allowing for a more complete evaluation of sustainable household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w:t>
      </w:r>
    </w:p>
    <w:p w14:paraId="593F60E0" w14:textId="77777777" w:rsidR="000E168F" w:rsidRDefault="000E168F">
      <w:pPr>
        <w:spacing w:before="240" w:after="240" w:line="360" w:lineRule="auto"/>
        <w:jc w:val="both"/>
        <w:rPr>
          <w:rFonts w:ascii="Times New Roman" w:eastAsia="Times New Roman" w:hAnsi="Times New Roman" w:cs="Times New Roman"/>
          <w:sz w:val="24"/>
          <w:szCs w:val="24"/>
        </w:rPr>
      </w:pPr>
    </w:p>
    <w:p w14:paraId="6F745DB8" w14:textId="77777777" w:rsidR="000E168F" w:rsidRDefault="00FD2BCF">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5E3C4EB5"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concludes that Green Economics offers a valuable tool for understanding sustainable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households. The analysis shows that there are strong </w:t>
      </w:r>
      <w:r>
        <w:rPr>
          <w:rFonts w:ascii="Times New Roman" w:eastAsia="Times New Roman" w:hAnsi="Times New Roman" w:cs="Times New Roman"/>
          <w:sz w:val="24"/>
          <w:szCs w:val="24"/>
        </w:rPr>
        <w:lastRenderedPageBreak/>
        <w:t>linkages between the orientation of sustainability, income, and expenditure patterns of households in Maharashtra.</w:t>
      </w:r>
    </w:p>
    <w:p w14:paraId="4AA46120"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suggest that sustainable development positively relates with the food and healthcare spending while non-essential and luxury spending have negative relationship with sustainable development orientation.</w:t>
      </w:r>
    </w:p>
    <w:p w14:paraId="1F2EEDA1"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Green Economics Sustainability Index decreased from 45.70 in 2024 to 43.40 in 2025, despite a rise in incomes and total expenditures of households during the period of post-pandemic recovery. This indicates that the increase in discretionary and lifestyle spending could have been greater than the sustainability benefits of spending on welfare items like food and health.</w:t>
      </w:r>
    </w:p>
    <w:p w14:paraId="665F0DA1"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highlights that for sustainable development it is not enough to increase the amount of income, but also the way the expenditure is allocated and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is balanced in a responsible manner. Households that spend the money on welfare-oriented expenditure are more sustainable oriented.</w:t>
      </w:r>
    </w:p>
    <w:p w14:paraId="679AD904"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paper also brings a contribution to the field of Green Economics by incorporating the concepts of sustainability with the analysis of household expenditure with the help of statistical and econometric techniques. The findings contribute to the design of economic policies built to the welfare and sustainability concerns of policy makers, researchers and development planners.</w:t>
      </w:r>
    </w:p>
    <w:p w14:paraId="3A844E23"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reveals the current need of financial literacy and planning in household expenditure among the households in Maharashtra. Increased awareness programs are needed to inform families of the importance of maintaining a balance between consumption and a sustainable financial management strategy, especially when there is an increase in household income. Households should be encouraged to spend more on non-excessive lifestyle-oriented spending on </w:t>
      </w:r>
      <w:proofErr w:type="gramStart"/>
      <w:r>
        <w:rPr>
          <w:rFonts w:ascii="Times New Roman" w:eastAsia="Times New Roman" w:hAnsi="Times New Roman" w:cs="Times New Roman"/>
          <w:sz w:val="24"/>
          <w:szCs w:val="24"/>
        </w:rPr>
        <w:t>welfare oriented</w:t>
      </w:r>
      <w:proofErr w:type="gramEnd"/>
      <w:r>
        <w:rPr>
          <w:rFonts w:ascii="Times New Roman" w:eastAsia="Times New Roman" w:hAnsi="Times New Roman" w:cs="Times New Roman"/>
          <w:sz w:val="24"/>
          <w:szCs w:val="24"/>
        </w:rPr>
        <w:t xml:space="preserve"> categories like food, health, education, long term saving, etc.</w:t>
      </w:r>
    </w:p>
    <w:p w14:paraId="00B66CD6"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also emphasizes the need to raise awareness on sustainable consumption practices. There is a need for a collaboration among government agencies, educational </w:t>
      </w:r>
      <w:r>
        <w:rPr>
          <w:rFonts w:ascii="Times New Roman" w:eastAsia="Times New Roman" w:hAnsi="Times New Roman" w:cs="Times New Roman"/>
          <w:sz w:val="24"/>
          <w:szCs w:val="24"/>
        </w:rPr>
        <w:lastRenderedPageBreak/>
        <w:t xml:space="preserve">institutions and civil society organizations to carry out sustainability campaigns to promote sustainable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These can help to teach households about redirecting wasteful spending, lowering environmentally intensive consumption, and living in an environmentally friendly way.</w:t>
      </w:r>
    </w:p>
    <w:p w14:paraId="7179F23B" w14:textId="77777777" w:rsidR="000E168F" w:rsidRDefault="000E168F">
      <w:pPr>
        <w:spacing w:before="240" w:after="240" w:line="360" w:lineRule="auto"/>
        <w:jc w:val="both"/>
        <w:rPr>
          <w:rFonts w:ascii="Times New Roman" w:eastAsia="Times New Roman" w:hAnsi="Times New Roman" w:cs="Times New Roman"/>
          <w:sz w:val="24"/>
          <w:szCs w:val="24"/>
        </w:rPr>
      </w:pPr>
    </w:p>
    <w:p w14:paraId="6E4EACE1"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key policy implication that has become clear from the study is the importance of investing in healthcare systems and on welfare-oriented expenditure. As health expenditure is found to be positively associated with sustainability orientation, access to affordable health care services can play a significant role in human development and sustainable living. Households can be sustained in a more preventive health, nutrition, sanitation and community friendly way through public policies.</w:t>
      </w:r>
    </w:p>
    <w:p w14:paraId="5B4B2B3F" w14:textId="77777777" w:rsidR="000E168F" w:rsidRDefault="000E168F">
      <w:pPr>
        <w:spacing w:before="240" w:after="240" w:line="360" w:lineRule="auto"/>
        <w:jc w:val="both"/>
        <w:rPr>
          <w:rFonts w:ascii="Times New Roman" w:eastAsia="Times New Roman" w:hAnsi="Times New Roman" w:cs="Times New Roman"/>
          <w:sz w:val="24"/>
          <w:szCs w:val="24"/>
        </w:rPr>
      </w:pPr>
    </w:p>
    <w:p w14:paraId="6DC7054C"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also indicated the need to mainstream the concept of Environmental Responsibility into the current lifestyle practices. Changes in consumption aspirations among households are reflected in the rapid growth of leisure and tourist spending, as well as restaurant spending. Thus, sustainable tourism, green recreational facilities, environmentally-friendly transport and environmentally-friendly hospitality services should be promoted. This can help to mitigate the environmental impact of overconsump</w:t>
      </w:r>
      <w:r>
        <w:rPr>
          <w:rFonts w:ascii="Times New Roman" w:eastAsia="Times New Roman" w:hAnsi="Times New Roman" w:cs="Times New Roman"/>
          <w:sz w:val="24"/>
          <w:szCs w:val="24"/>
        </w:rPr>
        <w:t>tion and waste.</w:t>
      </w:r>
    </w:p>
    <w:p w14:paraId="072326A7" w14:textId="77777777" w:rsidR="000E168F" w:rsidRDefault="000E168F">
      <w:pPr>
        <w:spacing w:before="240" w:after="240" w:line="360" w:lineRule="auto"/>
        <w:jc w:val="both"/>
        <w:rPr>
          <w:rFonts w:ascii="Times New Roman" w:eastAsia="Times New Roman" w:hAnsi="Times New Roman" w:cs="Times New Roman"/>
          <w:sz w:val="24"/>
          <w:szCs w:val="24"/>
        </w:rPr>
      </w:pPr>
    </w:p>
    <w:p w14:paraId="6A8E99D3"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further suggests that the concept of awareness building for sustainability must be undertaken at the regional level statewide in Maharashtra. The regional differences in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indicate that the sustainability programs need to be tailored to the socio-economic situation of urban and rural households. Local, municipal and district agencies can actively contribute to sustainable development campaigns at a regional level.</w:t>
      </w:r>
    </w:p>
    <w:p w14:paraId="7BB02697" w14:textId="77777777" w:rsidR="000E168F" w:rsidRDefault="000E168F">
      <w:pPr>
        <w:spacing w:before="240" w:after="240" w:line="360" w:lineRule="auto"/>
        <w:jc w:val="both"/>
        <w:rPr>
          <w:rFonts w:ascii="Times New Roman" w:eastAsia="Times New Roman" w:hAnsi="Times New Roman" w:cs="Times New Roman"/>
          <w:sz w:val="24"/>
          <w:szCs w:val="24"/>
        </w:rPr>
      </w:pPr>
    </w:p>
    <w:p w14:paraId="2FC5611F" w14:textId="77777777" w:rsidR="000E168F" w:rsidRDefault="00FD2BC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Last, the research highlights the importance of incorporating the principles of Green Economics into welfare and development policies of households. A policy for promoting economic growth should not only aim to increase incomes, but also promote responsible allocation of expenditures and sustainable consumption patterns. Inclusive growth, environmental protection, social welfare and responsible consumer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policies can help achieve the </w:t>
      </w:r>
      <w:proofErr w:type="gramStart"/>
      <w:r>
        <w:rPr>
          <w:rFonts w:ascii="Times New Roman" w:eastAsia="Times New Roman" w:hAnsi="Times New Roman" w:cs="Times New Roman"/>
          <w:sz w:val="24"/>
          <w:szCs w:val="24"/>
        </w:rPr>
        <w:t>long term</w:t>
      </w:r>
      <w:proofErr w:type="gramEnd"/>
      <w:r>
        <w:rPr>
          <w:rFonts w:ascii="Times New Roman" w:eastAsia="Times New Roman" w:hAnsi="Times New Roman" w:cs="Times New Roman"/>
          <w:sz w:val="24"/>
          <w:szCs w:val="24"/>
        </w:rPr>
        <w:t xml:space="preserve"> sustainable development goals in Maharashtra.</w:t>
      </w:r>
    </w:p>
    <w:p w14:paraId="422BBC40" w14:textId="77777777" w:rsidR="000E168F" w:rsidRDefault="000E168F">
      <w:pPr>
        <w:spacing w:before="240" w:after="240" w:line="360" w:lineRule="auto"/>
        <w:jc w:val="both"/>
        <w:rPr>
          <w:rFonts w:ascii="Times New Roman" w:eastAsia="Times New Roman" w:hAnsi="Times New Roman" w:cs="Times New Roman"/>
          <w:sz w:val="24"/>
          <w:szCs w:val="24"/>
        </w:rPr>
      </w:pPr>
    </w:p>
    <w:p w14:paraId="22E1C2DC" w14:textId="77777777" w:rsidR="000E168F" w:rsidRDefault="000E168F">
      <w:pPr>
        <w:rPr>
          <w:rFonts w:ascii="Arial" w:eastAsia="Arial" w:hAnsi="Arial" w:cs="Arial"/>
          <w:sz w:val="20"/>
          <w:szCs w:val="20"/>
        </w:rPr>
      </w:pPr>
      <w:bookmarkStart w:id="6" w:name="_heading=h.gzwh7vek98vy" w:colFirst="0" w:colLast="0"/>
      <w:bookmarkEnd w:id="6"/>
    </w:p>
    <w:p w14:paraId="49FD4312" w14:textId="77777777" w:rsidR="000E168F" w:rsidRDefault="00FD2BCF">
      <w:pPr>
        <w:pBdr>
          <w:top w:val="nil"/>
          <w:left w:val="nil"/>
          <w:bottom w:val="nil"/>
          <w:right w:val="nil"/>
          <w:between w:val="nil"/>
        </w:pBdr>
        <w:spacing w:after="0" w:line="240" w:lineRule="auto"/>
        <w:rPr>
          <w:rFonts w:ascii="Arial" w:eastAsia="Arial" w:hAnsi="Arial" w:cs="Arial"/>
          <w:color w:val="000000"/>
          <w:highlight w:val="yellow"/>
        </w:rPr>
      </w:pPr>
      <w:bookmarkStart w:id="7" w:name="_heading=h.86so2artfzib" w:colFirst="0" w:colLast="0"/>
      <w:bookmarkEnd w:id="7"/>
      <w:r>
        <w:rPr>
          <w:rFonts w:ascii="Arial" w:eastAsia="Arial" w:hAnsi="Arial" w:cs="Arial"/>
          <w:color w:val="000000"/>
          <w:highlight w:val="yellow"/>
        </w:rPr>
        <w:t>Disclaimer (Artificial intelligence)</w:t>
      </w:r>
    </w:p>
    <w:p w14:paraId="1402D884" w14:textId="77777777" w:rsidR="000E168F" w:rsidRDefault="000E168F">
      <w:pPr>
        <w:pBdr>
          <w:top w:val="nil"/>
          <w:left w:val="nil"/>
          <w:bottom w:val="nil"/>
          <w:right w:val="nil"/>
          <w:between w:val="nil"/>
        </w:pBdr>
        <w:spacing w:after="0" w:line="240" w:lineRule="auto"/>
        <w:rPr>
          <w:rFonts w:ascii="Arial" w:eastAsia="Arial" w:hAnsi="Arial" w:cs="Arial"/>
          <w:color w:val="000000"/>
          <w:highlight w:val="yellow"/>
        </w:rPr>
      </w:pPr>
    </w:p>
    <w:p w14:paraId="4C3904A9" w14:textId="77777777" w:rsidR="000E168F" w:rsidRDefault="00FD2BCF">
      <w:pPr>
        <w:pBdr>
          <w:top w:val="nil"/>
          <w:left w:val="nil"/>
          <w:bottom w:val="nil"/>
          <w:right w:val="nil"/>
          <w:between w:val="nil"/>
        </w:pBdr>
        <w:spacing w:after="0" w:line="240" w:lineRule="auto"/>
        <w:rPr>
          <w:rFonts w:ascii="Arial" w:eastAsia="Arial" w:hAnsi="Arial" w:cs="Arial"/>
          <w:color w:val="000000"/>
          <w:highlight w:val="yellow"/>
        </w:rPr>
      </w:pPr>
      <w:r>
        <w:rPr>
          <w:rFonts w:ascii="Arial" w:eastAsia="Arial" w:hAnsi="Arial" w:cs="Arial"/>
          <w:color w:val="000000"/>
          <w:highlight w:val="yellow"/>
        </w:rPr>
        <w:t xml:space="preserve">Author(s) hereby </w:t>
      </w:r>
      <w:proofErr w:type="gramStart"/>
      <w:r>
        <w:rPr>
          <w:rFonts w:ascii="Arial" w:eastAsia="Arial" w:hAnsi="Arial" w:cs="Arial"/>
          <w:color w:val="000000"/>
          <w:highlight w:val="yellow"/>
        </w:rPr>
        <w:t>declare</w:t>
      </w:r>
      <w:proofErr w:type="gramEnd"/>
      <w:r>
        <w:rPr>
          <w:rFonts w:ascii="Arial" w:eastAsia="Arial" w:hAnsi="Arial" w:cs="Arial"/>
          <w:color w:val="000000"/>
          <w:highlight w:val="yellow"/>
        </w:rPr>
        <w:t xml:space="preserve"> that NO generative AI technologies such as Large Language Models (ChatGPT, COPILOT, etc.) and text-to-image generators have been used during the writing or editing of this manuscript. </w:t>
      </w:r>
    </w:p>
    <w:p w14:paraId="4274B6E3" w14:textId="77777777" w:rsidR="000E168F" w:rsidRDefault="000E168F">
      <w:pPr>
        <w:pBdr>
          <w:top w:val="nil"/>
          <w:left w:val="nil"/>
          <w:bottom w:val="nil"/>
          <w:right w:val="nil"/>
          <w:between w:val="nil"/>
        </w:pBdr>
        <w:spacing w:after="0" w:line="240" w:lineRule="auto"/>
        <w:rPr>
          <w:rFonts w:ascii="Arial" w:eastAsia="Arial" w:hAnsi="Arial" w:cs="Arial"/>
          <w:color w:val="000000"/>
        </w:rPr>
      </w:pPr>
    </w:p>
    <w:p w14:paraId="12990719" w14:textId="77777777" w:rsidR="000E168F" w:rsidRDefault="000E168F">
      <w:pPr>
        <w:spacing w:before="240" w:after="240" w:line="360" w:lineRule="auto"/>
        <w:jc w:val="both"/>
        <w:rPr>
          <w:rFonts w:ascii="Times New Roman" w:eastAsia="Times New Roman" w:hAnsi="Times New Roman" w:cs="Times New Roman"/>
          <w:sz w:val="24"/>
          <w:szCs w:val="24"/>
        </w:rPr>
      </w:pPr>
    </w:p>
    <w:p w14:paraId="13B1FB63" w14:textId="77777777" w:rsidR="000E168F" w:rsidRDefault="00FD2BCF">
      <w:pPr>
        <w:pStyle w:val="Heading1"/>
        <w:keepNext w:val="0"/>
        <w:keepLines w:val="0"/>
        <w:spacing w:after="120" w:line="360" w:lineRule="auto"/>
        <w:jc w:val="both"/>
        <w:rPr>
          <w:rFonts w:ascii="Times New Roman" w:eastAsia="Times New Roman" w:hAnsi="Times New Roman" w:cs="Times New Roman"/>
          <w:color w:val="000000"/>
          <w:sz w:val="24"/>
          <w:szCs w:val="24"/>
        </w:rPr>
      </w:pPr>
      <w:bookmarkStart w:id="8" w:name="_heading=h.wj648ws1t40u" w:colFirst="0" w:colLast="0"/>
      <w:bookmarkEnd w:id="8"/>
      <w:r>
        <w:rPr>
          <w:rFonts w:ascii="Times New Roman" w:eastAsia="Times New Roman" w:hAnsi="Times New Roman" w:cs="Times New Roman"/>
          <w:color w:val="000000"/>
          <w:sz w:val="24"/>
          <w:szCs w:val="24"/>
        </w:rPr>
        <w:t>References</w:t>
      </w:r>
    </w:p>
    <w:p w14:paraId="2E05CC5F" w14:textId="77777777" w:rsidR="000E168F" w:rsidRPr="00BD68B2" w:rsidRDefault="00FD2BCF" w:rsidP="00BD68B2">
      <w:pPr>
        <w:pStyle w:val="ListParagraph"/>
        <w:numPr>
          <w:ilvl w:val="0"/>
          <w:numId w:val="1"/>
        </w:numPr>
        <w:spacing w:before="280" w:after="280" w:line="360" w:lineRule="auto"/>
        <w:jc w:val="both"/>
        <w:rPr>
          <w:rFonts w:ascii="Times New Roman" w:eastAsia="Times New Roman" w:hAnsi="Times New Roman" w:cs="Times New Roman"/>
          <w:sz w:val="24"/>
          <w:szCs w:val="24"/>
        </w:rPr>
      </w:pPr>
      <w:r w:rsidRPr="00BD68B2">
        <w:rPr>
          <w:rFonts w:ascii="Times New Roman" w:eastAsia="Times New Roman" w:hAnsi="Times New Roman" w:cs="Times New Roman"/>
          <w:sz w:val="24"/>
          <w:szCs w:val="24"/>
        </w:rPr>
        <w:t>Agarwal, B. (2016). Gender challenges: Volume 2: Property, family and the state. Oxford University Press. https://doi.org/10.1093/acprof:oso/9780199463541.001.0001</w:t>
      </w:r>
    </w:p>
    <w:p w14:paraId="2F7E3653" w14:textId="77777777" w:rsidR="000E168F" w:rsidRPr="00BD68B2" w:rsidRDefault="00FD2BCF" w:rsidP="00BD68B2">
      <w:pPr>
        <w:pStyle w:val="ListParagraph"/>
        <w:numPr>
          <w:ilvl w:val="0"/>
          <w:numId w:val="1"/>
        </w:numPr>
        <w:spacing w:before="280" w:after="280" w:line="360" w:lineRule="auto"/>
        <w:jc w:val="both"/>
        <w:rPr>
          <w:rFonts w:ascii="Times New Roman" w:eastAsia="Times New Roman" w:hAnsi="Times New Roman" w:cs="Times New Roman"/>
          <w:sz w:val="24"/>
          <w:szCs w:val="24"/>
        </w:rPr>
      </w:pPr>
      <w:r w:rsidRPr="00BD68B2">
        <w:rPr>
          <w:rFonts w:ascii="Times New Roman" w:eastAsia="Times New Roman" w:hAnsi="Times New Roman" w:cs="Times New Roman"/>
          <w:sz w:val="24"/>
          <w:szCs w:val="24"/>
        </w:rPr>
        <w:t>Ahuja, H. L. (2018). Macroeconomics: Theory and Policy (20th Edition). S. Chand Publishing.</w:t>
      </w:r>
    </w:p>
    <w:p w14:paraId="17F6D184" w14:textId="77777777" w:rsidR="000E168F" w:rsidRPr="00BD68B2" w:rsidRDefault="00FD2BCF" w:rsidP="00BD68B2">
      <w:pPr>
        <w:pStyle w:val="ListParagraph"/>
        <w:numPr>
          <w:ilvl w:val="0"/>
          <w:numId w:val="1"/>
        </w:numPr>
        <w:spacing w:before="280" w:after="280" w:line="360" w:lineRule="auto"/>
        <w:jc w:val="both"/>
        <w:rPr>
          <w:rFonts w:ascii="Times New Roman" w:eastAsia="Times New Roman" w:hAnsi="Times New Roman" w:cs="Times New Roman"/>
          <w:sz w:val="24"/>
          <w:szCs w:val="24"/>
        </w:rPr>
      </w:pPr>
      <w:r w:rsidRPr="00BD68B2">
        <w:rPr>
          <w:rFonts w:ascii="Times New Roman" w:eastAsia="Times New Roman" w:hAnsi="Times New Roman" w:cs="Times New Roman"/>
          <w:sz w:val="24"/>
          <w:szCs w:val="24"/>
        </w:rPr>
        <w:t xml:space="preserve">Arrow, K. J., Dasgupta, P., &amp; </w:t>
      </w:r>
      <w:proofErr w:type="spellStart"/>
      <w:r w:rsidRPr="00BD68B2">
        <w:rPr>
          <w:rFonts w:ascii="Times New Roman" w:eastAsia="Times New Roman" w:hAnsi="Times New Roman" w:cs="Times New Roman"/>
          <w:sz w:val="24"/>
          <w:szCs w:val="24"/>
        </w:rPr>
        <w:t>Mäler</w:t>
      </w:r>
      <w:proofErr w:type="spellEnd"/>
      <w:r w:rsidRPr="00BD68B2">
        <w:rPr>
          <w:rFonts w:ascii="Times New Roman" w:eastAsia="Times New Roman" w:hAnsi="Times New Roman" w:cs="Times New Roman"/>
          <w:sz w:val="24"/>
          <w:szCs w:val="24"/>
        </w:rPr>
        <w:t>, K. G. (2003). Assessing sustainable development in imperfect economies and evaluating projects. Environmental and Resource Economics, 26(4), 647–685. https://doi.org/10.1023/B:EARE.0000004692.38547.18</w:t>
      </w:r>
    </w:p>
    <w:p w14:paraId="72D073BE" w14:textId="77777777" w:rsidR="000E168F" w:rsidRPr="00BD68B2" w:rsidRDefault="00FD2BCF" w:rsidP="00BD68B2">
      <w:pPr>
        <w:pStyle w:val="ListParagraph"/>
        <w:numPr>
          <w:ilvl w:val="0"/>
          <w:numId w:val="1"/>
        </w:numPr>
        <w:spacing w:before="280" w:after="280" w:line="360" w:lineRule="auto"/>
        <w:jc w:val="both"/>
        <w:rPr>
          <w:rFonts w:ascii="Times New Roman" w:eastAsia="Times New Roman" w:hAnsi="Times New Roman" w:cs="Times New Roman"/>
          <w:sz w:val="24"/>
          <w:szCs w:val="24"/>
        </w:rPr>
      </w:pPr>
      <w:r w:rsidRPr="00BD68B2">
        <w:rPr>
          <w:rFonts w:ascii="Times New Roman" w:eastAsia="Times New Roman" w:hAnsi="Times New Roman" w:cs="Times New Roman"/>
          <w:sz w:val="24"/>
          <w:szCs w:val="24"/>
        </w:rPr>
        <w:t>Banerjee, A. V., &amp; Duflo, E. (2019). Better Solutions to our Largest Problems: The Economics Good for Hard Times. PublicAffairs.</w:t>
      </w:r>
    </w:p>
    <w:p w14:paraId="41F5221B" w14:textId="77777777" w:rsidR="000E168F" w:rsidRPr="00BD68B2" w:rsidRDefault="00FD2BCF" w:rsidP="00BD68B2">
      <w:pPr>
        <w:pStyle w:val="ListParagraph"/>
        <w:numPr>
          <w:ilvl w:val="0"/>
          <w:numId w:val="1"/>
        </w:numPr>
        <w:spacing w:before="280" w:after="280" w:line="360" w:lineRule="auto"/>
        <w:jc w:val="both"/>
        <w:rPr>
          <w:rFonts w:ascii="Times New Roman" w:eastAsia="Times New Roman" w:hAnsi="Times New Roman" w:cs="Times New Roman"/>
          <w:sz w:val="24"/>
          <w:szCs w:val="24"/>
        </w:rPr>
      </w:pPr>
      <w:r w:rsidRPr="00BD68B2">
        <w:rPr>
          <w:rFonts w:ascii="Times New Roman" w:eastAsia="Times New Roman" w:hAnsi="Times New Roman" w:cs="Times New Roman"/>
          <w:sz w:val="24"/>
          <w:szCs w:val="24"/>
        </w:rPr>
        <w:t>Bina, O. (2013). Do the green economy and sustainable development go hand in hand? Environment and Planning C: Government and Policy, 31(6), 1023–1047. https://doi.org/10.1068/c1310j</w:t>
      </w:r>
    </w:p>
    <w:p w14:paraId="742A36CE" w14:textId="77777777" w:rsidR="000E168F" w:rsidRPr="00BD68B2" w:rsidRDefault="00FD2BCF" w:rsidP="00BD68B2">
      <w:pPr>
        <w:pStyle w:val="ListParagraph"/>
        <w:numPr>
          <w:ilvl w:val="0"/>
          <w:numId w:val="1"/>
        </w:numPr>
        <w:spacing w:before="280" w:after="280" w:line="360" w:lineRule="auto"/>
        <w:jc w:val="both"/>
        <w:rPr>
          <w:rFonts w:ascii="Times New Roman" w:eastAsia="Times New Roman" w:hAnsi="Times New Roman" w:cs="Times New Roman"/>
          <w:sz w:val="24"/>
          <w:szCs w:val="24"/>
        </w:rPr>
      </w:pPr>
      <w:r w:rsidRPr="00BD68B2">
        <w:rPr>
          <w:rFonts w:ascii="Times New Roman" w:eastAsia="Times New Roman" w:hAnsi="Times New Roman" w:cs="Times New Roman"/>
          <w:sz w:val="24"/>
          <w:szCs w:val="24"/>
        </w:rPr>
        <w:lastRenderedPageBreak/>
        <w:t>Costanza, R., Cumberland, J. H., Daly, H. E., Goodland, R., &amp; Norgaard, R. B. (1997). Introduction to ecological economics. St. Lucie Press.</w:t>
      </w:r>
    </w:p>
    <w:p w14:paraId="1285643D" w14:textId="77777777" w:rsidR="000E168F" w:rsidRDefault="000E168F">
      <w:pPr>
        <w:spacing w:before="280" w:after="280" w:line="360" w:lineRule="auto"/>
        <w:jc w:val="both"/>
        <w:rPr>
          <w:rFonts w:ascii="Times New Roman" w:eastAsia="Times New Roman" w:hAnsi="Times New Roman" w:cs="Times New Roman"/>
          <w:sz w:val="24"/>
          <w:szCs w:val="24"/>
        </w:rPr>
      </w:pPr>
    </w:p>
    <w:p w14:paraId="2263451D" w14:textId="77777777" w:rsidR="000E168F" w:rsidRPr="00BD68B2" w:rsidRDefault="00FD2BCF" w:rsidP="00BD68B2">
      <w:pPr>
        <w:pStyle w:val="ListParagraph"/>
        <w:numPr>
          <w:ilvl w:val="0"/>
          <w:numId w:val="1"/>
        </w:numPr>
        <w:spacing w:before="280" w:after="280" w:line="360" w:lineRule="auto"/>
        <w:jc w:val="both"/>
        <w:rPr>
          <w:rFonts w:ascii="Times New Roman" w:eastAsia="Times New Roman" w:hAnsi="Times New Roman" w:cs="Times New Roman"/>
          <w:sz w:val="24"/>
          <w:szCs w:val="24"/>
        </w:rPr>
      </w:pPr>
      <w:r w:rsidRPr="00BD68B2">
        <w:rPr>
          <w:rFonts w:ascii="Times New Roman" w:eastAsia="Times New Roman" w:hAnsi="Times New Roman" w:cs="Times New Roman"/>
          <w:sz w:val="24"/>
          <w:szCs w:val="24"/>
        </w:rPr>
        <w:t>Daly, H. E. (2007). Selected essays of Herman Daly; ecological economics and sustainable development. Edward Elgar Publishing. https://doi.org/10.4337/9781847209887</w:t>
      </w:r>
    </w:p>
    <w:p w14:paraId="555F31EA" w14:textId="77777777" w:rsidR="000E168F" w:rsidRPr="00BD68B2" w:rsidRDefault="00FD2BCF" w:rsidP="00BD68B2">
      <w:pPr>
        <w:pStyle w:val="ListParagraph"/>
        <w:numPr>
          <w:ilvl w:val="0"/>
          <w:numId w:val="1"/>
        </w:numPr>
        <w:spacing w:before="280" w:after="280" w:line="360" w:lineRule="auto"/>
        <w:jc w:val="both"/>
        <w:rPr>
          <w:rFonts w:ascii="Times New Roman" w:eastAsia="Times New Roman" w:hAnsi="Times New Roman" w:cs="Times New Roman"/>
          <w:sz w:val="24"/>
          <w:szCs w:val="24"/>
        </w:rPr>
      </w:pPr>
      <w:r w:rsidRPr="00BD68B2">
        <w:rPr>
          <w:rFonts w:ascii="Times New Roman" w:eastAsia="Times New Roman" w:hAnsi="Times New Roman" w:cs="Times New Roman"/>
          <w:sz w:val="24"/>
          <w:szCs w:val="24"/>
        </w:rPr>
        <w:t>Dasgupta, P. (2021). The economics of biodiversity: The Dasgupta review. HM Treasury.</w:t>
      </w:r>
    </w:p>
    <w:p w14:paraId="400AC9AE" w14:textId="77777777" w:rsidR="000E168F" w:rsidRPr="00BD68B2" w:rsidRDefault="00FD2BCF" w:rsidP="00BD68B2">
      <w:pPr>
        <w:pStyle w:val="ListParagraph"/>
        <w:numPr>
          <w:ilvl w:val="0"/>
          <w:numId w:val="1"/>
        </w:numPr>
        <w:spacing w:before="280" w:after="280" w:line="360" w:lineRule="auto"/>
        <w:jc w:val="both"/>
        <w:rPr>
          <w:rFonts w:ascii="Times New Roman" w:eastAsia="Times New Roman" w:hAnsi="Times New Roman" w:cs="Times New Roman"/>
          <w:sz w:val="24"/>
          <w:szCs w:val="24"/>
        </w:rPr>
      </w:pPr>
      <w:r w:rsidRPr="00BD68B2">
        <w:rPr>
          <w:rFonts w:ascii="Times New Roman" w:eastAsia="Times New Roman" w:hAnsi="Times New Roman" w:cs="Times New Roman"/>
          <w:sz w:val="24"/>
          <w:szCs w:val="24"/>
        </w:rPr>
        <w:t>Engel, E. (1895/2010). The Engel law and consumption patterns of the households. In A. Deaton (Ed.), Understanding consumption, (pp. 45–58). Oxford University Press.</w:t>
      </w:r>
    </w:p>
    <w:p w14:paraId="78E7F2B9" w14:textId="77777777" w:rsidR="000E168F" w:rsidRPr="00BD68B2" w:rsidRDefault="00FD2BCF" w:rsidP="00BD68B2">
      <w:pPr>
        <w:pStyle w:val="ListParagraph"/>
        <w:numPr>
          <w:ilvl w:val="0"/>
          <w:numId w:val="1"/>
        </w:numPr>
        <w:spacing w:before="280" w:after="280" w:line="360" w:lineRule="auto"/>
        <w:jc w:val="both"/>
        <w:rPr>
          <w:rFonts w:ascii="Times New Roman" w:eastAsia="Times New Roman" w:hAnsi="Times New Roman" w:cs="Times New Roman"/>
          <w:sz w:val="24"/>
          <w:szCs w:val="24"/>
        </w:rPr>
      </w:pPr>
      <w:r w:rsidRPr="00BD68B2">
        <w:rPr>
          <w:rFonts w:ascii="Times New Roman" w:eastAsia="Times New Roman" w:hAnsi="Times New Roman" w:cs="Times New Roman"/>
          <w:sz w:val="24"/>
          <w:szCs w:val="24"/>
        </w:rPr>
        <w:t>Jackson, T. (2017). Prosperity without growth: Foundations for the economy of tomorrow (2nd edition). Routledge. https://doi.org/10.4324/9781315677453</w:t>
      </w:r>
    </w:p>
    <w:p w14:paraId="75578D3A" w14:textId="77777777" w:rsidR="000E168F" w:rsidRPr="00BD68B2" w:rsidRDefault="00FD2BCF" w:rsidP="00BD68B2">
      <w:pPr>
        <w:pStyle w:val="ListParagraph"/>
        <w:numPr>
          <w:ilvl w:val="0"/>
          <w:numId w:val="1"/>
        </w:numPr>
        <w:spacing w:before="280" w:after="280" w:line="360" w:lineRule="auto"/>
        <w:jc w:val="both"/>
        <w:rPr>
          <w:rFonts w:ascii="Times New Roman" w:eastAsia="Times New Roman" w:hAnsi="Times New Roman" w:cs="Times New Roman"/>
          <w:sz w:val="24"/>
          <w:szCs w:val="24"/>
        </w:rPr>
      </w:pPr>
      <w:proofErr w:type="spellStart"/>
      <w:r w:rsidRPr="00BD68B2">
        <w:rPr>
          <w:rFonts w:ascii="Times New Roman" w:eastAsia="Times New Roman" w:hAnsi="Times New Roman" w:cs="Times New Roman"/>
          <w:sz w:val="24"/>
          <w:szCs w:val="24"/>
        </w:rPr>
        <w:t>Jagannarayan</w:t>
      </w:r>
      <w:proofErr w:type="spellEnd"/>
      <w:r w:rsidRPr="00BD68B2">
        <w:rPr>
          <w:rFonts w:ascii="Times New Roman" w:eastAsia="Times New Roman" w:hAnsi="Times New Roman" w:cs="Times New Roman"/>
          <w:sz w:val="24"/>
          <w:szCs w:val="24"/>
        </w:rPr>
        <w:t>, N. (2024). Pre- and post-pandemic socio-economic analysis of the household's consumption. Frontiers in Health Informatics, 13(3), 2595–2600. https://doi.org/10.2139/ssrn.5001675</w:t>
      </w:r>
    </w:p>
    <w:p w14:paraId="3AD1EB2C" w14:textId="77777777" w:rsidR="000E168F" w:rsidRPr="00BD68B2" w:rsidRDefault="00FD2BCF" w:rsidP="00BD68B2">
      <w:pPr>
        <w:pStyle w:val="ListParagraph"/>
        <w:numPr>
          <w:ilvl w:val="0"/>
          <w:numId w:val="1"/>
        </w:numPr>
        <w:spacing w:before="280" w:after="280" w:line="360" w:lineRule="auto"/>
        <w:jc w:val="both"/>
        <w:rPr>
          <w:rFonts w:ascii="Times New Roman" w:eastAsia="Times New Roman" w:hAnsi="Times New Roman" w:cs="Times New Roman"/>
          <w:sz w:val="24"/>
          <w:szCs w:val="24"/>
        </w:rPr>
      </w:pPr>
      <w:proofErr w:type="spellStart"/>
      <w:r w:rsidRPr="00BD68B2">
        <w:rPr>
          <w:rFonts w:ascii="Times New Roman" w:eastAsia="Times New Roman" w:hAnsi="Times New Roman" w:cs="Times New Roman"/>
          <w:sz w:val="24"/>
          <w:szCs w:val="24"/>
        </w:rPr>
        <w:t>Jagannarayan</w:t>
      </w:r>
      <w:proofErr w:type="spellEnd"/>
      <w:r w:rsidRPr="00BD68B2">
        <w:rPr>
          <w:rFonts w:ascii="Times New Roman" w:eastAsia="Times New Roman" w:hAnsi="Times New Roman" w:cs="Times New Roman"/>
          <w:sz w:val="24"/>
          <w:szCs w:val="24"/>
        </w:rPr>
        <w:t>, M. N. &amp; Prasuna, D. A. (2024). In the month of March 2020, gender (women led households) as an influence on consumption expenditure on food: A case study of Maharashtra. Published in South Eastern European Journal of Public Health, 269–276. https://doi.org/10.70135/seejph.vi.1636</w:t>
      </w:r>
    </w:p>
    <w:p w14:paraId="2237CFA0" w14:textId="77777777" w:rsidR="000E168F" w:rsidRPr="00BD68B2" w:rsidRDefault="00FD2BCF" w:rsidP="00BD68B2">
      <w:pPr>
        <w:pStyle w:val="ListParagraph"/>
        <w:numPr>
          <w:ilvl w:val="0"/>
          <w:numId w:val="1"/>
        </w:numPr>
        <w:spacing w:before="280" w:after="280" w:line="360" w:lineRule="auto"/>
        <w:jc w:val="both"/>
        <w:rPr>
          <w:rFonts w:ascii="Times New Roman" w:eastAsia="Times New Roman" w:hAnsi="Times New Roman" w:cs="Times New Roman"/>
          <w:sz w:val="24"/>
          <w:szCs w:val="24"/>
        </w:rPr>
      </w:pPr>
      <w:proofErr w:type="spellStart"/>
      <w:r w:rsidRPr="00BD68B2">
        <w:rPr>
          <w:rFonts w:ascii="Times New Roman" w:eastAsia="Times New Roman" w:hAnsi="Times New Roman" w:cs="Times New Roman"/>
          <w:sz w:val="24"/>
          <w:szCs w:val="24"/>
        </w:rPr>
        <w:t>Jagannarayan</w:t>
      </w:r>
      <w:proofErr w:type="spellEnd"/>
      <w:r w:rsidRPr="00BD68B2">
        <w:rPr>
          <w:rFonts w:ascii="Times New Roman" w:eastAsia="Times New Roman" w:hAnsi="Times New Roman" w:cs="Times New Roman"/>
          <w:sz w:val="24"/>
          <w:szCs w:val="24"/>
        </w:rPr>
        <w:t>, N. (2025). Factors influencing household income: An empirical analysis of urban Maharashtra in the times of COVID-19. Advanced Research in Science, Communication and Technology International Journal of (IJARSCT). https://doi.org/10.48175/568</w:t>
      </w:r>
    </w:p>
    <w:p w14:paraId="52250265" w14:textId="77777777" w:rsidR="000E168F" w:rsidRPr="00BD68B2" w:rsidRDefault="00FD2BCF" w:rsidP="00BD68B2">
      <w:pPr>
        <w:pStyle w:val="ListParagraph"/>
        <w:numPr>
          <w:ilvl w:val="0"/>
          <w:numId w:val="1"/>
        </w:numPr>
        <w:spacing w:before="280" w:after="280" w:line="360" w:lineRule="auto"/>
        <w:jc w:val="both"/>
        <w:rPr>
          <w:rFonts w:ascii="Times New Roman" w:eastAsia="Times New Roman" w:hAnsi="Times New Roman" w:cs="Times New Roman"/>
          <w:sz w:val="24"/>
          <w:szCs w:val="24"/>
        </w:rPr>
      </w:pPr>
      <w:r w:rsidRPr="00BD68B2">
        <w:rPr>
          <w:rFonts w:ascii="Times New Roman" w:eastAsia="Times New Roman" w:hAnsi="Times New Roman" w:cs="Times New Roman"/>
          <w:sz w:val="24"/>
          <w:szCs w:val="24"/>
        </w:rPr>
        <w:t>Kahneman, D. (2011). Thinking in Two Ways. Farrar, Straus and Giroux.</w:t>
      </w:r>
    </w:p>
    <w:p w14:paraId="70D9AB4A" w14:textId="77777777" w:rsidR="000E168F" w:rsidRPr="00BD68B2" w:rsidRDefault="00FD2BCF" w:rsidP="00BD68B2">
      <w:pPr>
        <w:pStyle w:val="ListParagraph"/>
        <w:numPr>
          <w:ilvl w:val="0"/>
          <w:numId w:val="1"/>
        </w:numPr>
        <w:spacing w:before="280" w:after="280" w:line="360" w:lineRule="auto"/>
        <w:jc w:val="both"/>
        <w:rPr>
          <w:rFonts w:ascii="Times New Roman" w:eastAsia="Times New Roman" w:hAnsi="Times New Roman" w:cs="Times New Roman"/>
          <w:sz w:val="24"/>
          <w:szCs w:val="24"/>
        </w:rPr>
      </w:pPr>
      <w:r w:rsidRPr="00BD68B2">
        <w:rPr>
          <w:rFonts w:ascii="Times New Roman" w:eastAsia="Times New Roman" w:hAnsi="Times New Roman" w:cs="Times New Roman"/>
          <w:sz w:val="24"/>
          <w:szCs w:val="24"/>
        </w:rPr>
        <w:t>Keynes, J. M. (2018). General theory of employment, interest and money. Palgrave Macmillan. (Original work published 1936)</w:t>
      </w:r>
    </w:p>
    <w:p w14:paraId="698D247A" w14:textId="77777777" w:rsidR="000E168F" w:rsidRPr="00BD68B2" w:rsidRDefault="00FD2BCF" w:rsidP="00BD68B2">
      <w:pPr>
        <w:pStyle w:val="ListParagraph"/>
        <w:numPr>
          <w:ilvl w:val="0"/>
          <w:numId w:val="1"/>
        </w:numPr>
        <w:spacing w:before="280" w:after="280" w:line="360" w:lineRule="auto"/>
        <w:jc w:val="both"/>
        <w:rPr>
          <w:rFonts w:ascii="Times New Roman" w:eastAsia="Times New Roman" w:hAnsi="Times New Roman" w:cs="Times New Roman"/>
          <w:sz w:val="24"/>
          <w:szCs w:val="24"/>
        </w:rPr>
      </w:pPr>
      <w:r w:rsidRPr="00BD68B2">
        <w:rPr>
          <w:rFonts w:ascii="Times New Roman" w:eastAsia="Times New Roman" w:hAnsi="Times New Roman" w:cs="Times New Roman"/>
          <w:sz w:val="24"/>
          <w:szCs w:val="24"/>
        </w:rPr>
        <w:t>Kothari, C. R., &amp; Garg, G. (2019). Research methodology: Methods and techniques (Fourth Edition). New Age International Publishers.</w:t>
      </w:r>
    </w:p>
    <w:p w14:paraId="66BD3A0E" w14:textId="77777777" w:rsidR="000E168F" w:rsidRPr="00BD68B2" w:rsidRDefault="00FD2BCF" w:rsidP="00BD68B2">
      <w:pPr>
        <w:pStyle w:val="ListParagraph"/>
        <w:numPr>
          <w:ilvl w:val="0"/>
          <w:numId w:val="1"/>
        </w:numPr>
        <w:spacing w:before="280" w:after="280" w:line="360" w:lineRule="auto"/>
        <w:jc w:val="both"/>
        <w:rPr>
          <w:rFonts w:ascii="Times New Roman" w:eastAsia="Times New Roman" w:hAnsi="Times New Roman" w:cs="Times New Roman"/>
          <w:sz w:val="24"/>
          <w:szCs w:val="24"/>
        </w:rPr>
      </w:pPr>
      <w:r w:rsidRPr="00BD68B2">
        <w:rPr>
          <w:rFonts w:ascii="Times New Roman" w:eastAsia="Times New Roman" w:hAnsi="Times New Roman" w:cs="Times New Roman"/>
          <w:sz w:val="24"/>
          <w:szCs w:val="24"/>
        </w:rPr>
        <w:t>Maslow, A. H. (1987). Motivation and personality (3rd edition). Harper &amp; Row.</w:t>
      </w:r>
    </w:p>
    <w:p w14:paraId="04690DD8" w14:textId="77777777" w:rsidR="000E168F" w:rsidRPr="00BD68B2" w:rsidRDefault="00FD2BCF" w:rsidP="00BD68B2">
      <w:pPr>
        <w:pStyle w:val="ListParagraph"/>
        <w:numPr>
          <w:ilvl w:val="0"/>
          <w:numId w:val="1"/>
        </w:numPr>
        <w:spacing w:before="280" w:after="280" w:line="360" w:lineRule="auto"/>
        <w:jc w:val="both"/>
        <w:rPr>
          <w:rFonts w:ascii="Times New Roman" w:eastAsia="Times New Roman" w:hAnsi="Times New Roman" w:cs="Times New Roman"/>
          <w:sz w:val="24"/>
          <w:szCs w:val="24"/>
        </w:rPr>
      </w:pPr>
      <w:r w:rsidRPr="00BD68B2">
        <w:rPr>
          <w:rFonts w:ascii="Times New Roman" w:eastAsia="Times New Roman" w:hAnsi="Times New Roman" w:cs="Times New Roman"/>
          <w:sz w:val="24"/>
          <w:szCs w:val="24"/>
        </w:rPr>
        <w:lastRenderedPageBreak/>
        <w:t>Meadows, D. H., Meadows, D. L., Randers, J., &amp; Behrens, W. W. (1972). The limits to growth. Universe Books.</w:t>
      </w:r>
    </w:p>
    <w:p w14:paraId="4D44DA61" w14:textId="77777777" w:rsidR="000E168F" w:rsidRPr="00BD68B2" w:rsidRDefault="00FD2BCF" w:rsidP="00BD68B2">
      <w:pPr>
        <w:pStyle w:val="ListParagraph"/>
        <w:numPr>
          <w:ilvl w:val="0"/>
          <w:numId w:val="1"/>
        </w:numPr>
        <w:spacing w:before="280" w:after="280" w:line="360" w:lineRule="auto"/>
        <w:jc w:val="both"/>
        <w:rPr>
          <w:rFonts w:ascii="Times New Roman" w:eastAsia="Times New Roman" w:hAnsi="Times New Roman" w:cs="Times New Roman"/>
          <w:sz w:val="24"/>
          <w:szCs w:val="24"/>
        </w:rPr>
      </w:pPr>
      <w:r w:rsidRPr="00BD68B2">
        <w:rPr>
          <w:rFonts w:ascii="Times New Roman" w:eastAsia="Times New Roman" w:hAnsi="Times New Roman" w:cs="Times New Roman"/>
          <w:sz w:val="24"/>
          <w:szCs w:val="24"/>
        </w:rPr>
        <w:t>NITI Aayog. (2024). Track of SDG India index 2023-24. Government of India.</w:t>
      </w:r>
    </w:p>
    <w:p w14:paraId="657A9CF1" w14:textId="77777777" w:rsidR="000E168F" w:rsidRPr="00BD68B2" w:rsidRDefault="00FD2BCF" w:rsidP="00BD68B2">
      <w:pPr>
        <w:pStyle w:val="ListParagraph"/>
        <w:numPr>
          <w:ilvl w:val="0"/>
          <w:numId w:val="1"/>
        </w:numPr>
        <w:spacing w:before="280" w:after="280" w:line="360" w:lineRule="auto"/>
        <w:jc w:val="both"/>
        <w:rPr>
          <w:rFonts w:ascii="Times New Roman" w:eastAsia="Times New Roman" w:hAnsi="Times New Roman" w:cs="Times New Roman"/>
          <w:sz w:val="24"/>
          <w:szCs w:val="24"/>
        </w:rPr>
      </w:pPr>
      <w:r w:rsidRPr="00BD68B2">
        <w:rPr>
          <w:rFonts w:ascii="Times New Roman" w:eastAsia="Times New Roman" w:hAnsi="Times New Roman" w:cs="Times New Roman"/>
          <w:sz w:val="24"/>
          <w:szCs w:val="24"/>
        </w:rPr>
        <w:t xml:space="preserve">The </w:t>
      </w:r>
      <w:proofErr w:type="spellStart"/>
      <w:r w:rsidRPr="00BD68B2">
        <w:rPr>
          <w:rFonts w:ascii="Times New Roman" w:eastAsia="Times New Roman" w:hAnsi="Times New Roman" w:cs="Times New Roman"/>
          <w:sz w:val="24"/>
          <w:szCs w:val="24"/>
        </w:rPr>
        <w:t>Organisation</w:t>
      </w:r>
      <w:proofErr w:type="spellEnd"/>
      <w:r w:rsidRPr="00BD68B2">
        <w:rPr>
          <w:rFonts w:ascii="Times New Roman" w:eastAsia="Times New Roman" w:hAnsi="Times New Roman" w:cs="Times New Roman"/>
          <w:sz w:val="24"/>
          <w:szCs w:val="24"/>
        </w:rPr>
        <w:t xml:space="preserve"> for Economic Co-operation and Development. (2020). Measuring distance to the SDG targets 2020. OECD Publishing.</w:t>
      </w:r>
    </w:p>
    <w:p w14:paraId="2BE3C45C" w14:textId="77777777" w:rsidR="000E168F" w:rsidRPr="00BD68B2" w:rsidRDefault="00FD2BCF" w:rsidP="00BD68B2">
      <w:pPr>
        <w:pStyle w:val="ListParagraph"/>
        <w:numPr>
          <w:ilvl w:val="0"/>
          <w:numId w:val="1"/>
        </w:numPr>
        <w:spacing w:before="280" w:after="280" w:line="360" w:lineRule="auto"/>
        <w:jc w:val="both"/>
        <w:rPr>
          <w:rFonts w:ascii="Times New Roman" w:eastAsia="Times New Roman" w:hAnsi="Times New Roman" w:cs="Times New Roman"/>
          <w:sz w:val="24"/>
          <w:szCs w:val="24"/>
        </w:rPr>
      </w:pPr>
      <w:r w:rsidRPr="00BD68B2">
        <w:rPr>
          <w:rFonts w:ascii="Times New Roman" w:eastAsia="Times New Roman" w:hAnsi="Times New Roman" w:cs="Times New Roman"/>
          <w:sz w:val="24"/>
          <w:szCs w:val="24"/>
        </w:rPr>
        <w:t>Pigou, A. C. (2018). Welfare economics. Routledge. https://doi.org/10.4324/9781351304344</w:t>
      </w:r>
    </w:p>
    <w:p w14:paraId="5BF0CC18" w14:textId="77777777" w:rsidR="000E168F" w:rsidRPr="00BD68B2" w:rsidRDefault="00FD2BCF" w:rsidP="00BD68B2">
      <w:pPr>
        <w:pStyle w:val="ListParagraph"/>
        <w:numPr>
          <w:ilvl w:val="0"/>
          <w:numId w:val="1"/>
        </w:numPr>
        <w:spacing w:before="280" w:after="280" w:line="360" w:lineRule="auto"/>
        <w:jc w:val="both"/>
        <w:rPr>
          <w:rFonts w:ascii="Times New Roman" w:eastAsia="Times New Roman" w:hAnsi="Times New Roman" w:cs="Times New Roman"/>
          <w:sz w:val="24"/>
          <w:szCs w:val="24"/>
        </w:rPr>
      </w:pPr>
      <w:r w:rsidRPr="00BD68B2">
        <w:rPr>
          <w:rFonts w:ascii="Times New Roman" w:eastAsia="Times New Roman" w:hAnsi="Times New Roman" w:cs="Times New Roman"/>
          <w:sz w:val="24"/>
          <w:szCs w:val="24"/>
        </w:rPr>
        <w:t>Raworth, K. (2017). Doughnut Economics: Seven ways to think like a 21st century economist. Chelsea Green Publishing.</w:t>
      </w:r>
    </w:p>
    <w:p w14:paraId="3FD2AA48" w14:textId="77777777" w:rsidR="000E168F" w:rsidRPr="00BD68B2" w:rsidRDefault="00FD2BCF" w:rsidP="00BD68B2">
      <w:pPr>
        <w:pStyle w:val="ListParagraph"/>
        <w:numPr>
          <w:ilvl w:val="0"/>
          <w:numId w:val="1"/>
        </w:numPr>
        <w:spacing w:before="280" w:after="280" w:line="360" w:lineRule="auto"/>
        <w:jc w:val="both"/>
        <w:rPr>
          <w:rFonts w:ascii="Times New Roman" w:eastAsia="Times New Roman" w:hAnsi="Times New Roman" w:cs="Times New Roman"/>
          <w:sz w:val="24"/>
          <w:szCs w:val="24"/>
        </w:rPr>
      </w:pPr>
      <w:r w:rsidRPr="00BD68B2">
        <w:rPr>
          <w:rFonts w:ascii="Times New Roman" w:eastAsia="Times New Roman" w:hAnsi="Times New Roman" w:cs="Times New Roman"/>
          <w:sz w:val="24"/>
          <w:szCs w:val="24"/>
        </w:rPr>
        <w:t>Reserve bank of India. (2024). The handbook of statistics on the Indian economy 2023-24. The Reserve Bank of India.</w:t>
      </w:r>
    </w:p>
    <w:p w14:paraId="0FDB65C6" w14:textId="77777777" w:rsidR="000E168F" w:rsidRPr="00BD68B2" w:rsidRDefault="00FD2BCF" w:rsidP="00BD68B2">
      <w:pPr>
        <w:pStyle w:val="ListParagraph"/>
        <w:numPr>
          <w:ilvl w:val="0"/>
          <w:numId w:val="1"/>
        </w:numPr>
        <w:spacing w:before="280" w:after="280" w:line="360" w:lineRule="auto"/>
        <w:jc w:val="both"/>
        <w:rPr>
          <w:rFonts w:ascii="Times New Roman" w:eastAsia="Times New Roman" w:hAnsi="Times New Roman" w:cs="Times New Roman"/>
          <w:sz w:val="24"/>
          <w:szCs w:val="24"/>
        </w:rPr>
      </w:pPr>
      <w:r w:rsidRPr="00BD68B2">
        <w:rPr>
          <w:rFonts w:ascii="Times New Roman" w:eastAsia="Times New Roman" w:hAnsi="Times New Roman" w:cs="Times New Roman"/>
          <w:sz w:val="24"/>
          <w:szCs w:val="24"/>
        </w:rPr>
        <w:t>Schumacher, E. F. (1973). Small is beautiful: Economics as if people mattered. Blond &amp; Briggs.</w:t>
      </w:r>
    </w:p>
    <w:p w14:paraId="6EDC19B2" w14:textId="77777777" w:rsidR="000E168F" w:rsidRPr="00BD68B2" w:rsidRDefault="00FD2BCF" w:rsidP="00BD68B2">
      <w:pPr>
        <w:pStyle w:val="ListParagraph"/>
        <w:numPr>
          <w:ilvl w:val="0"/>
          <w:numId w:val="1"/>
        </w:numPr>
        <w:spacing w:before="280" w:after="280" w:line="360" w:lineRule="auto"/>
        <w:jc w:val="both"/>
        <w:rPr>
          <w:rFonts w:ascii="Times New Roman" w:eastAsia="Times New Roman" w:hAnsi="Times New Roman" w:cs="Times New Roman"/>
          <w:sz w:val="24"/>
          <w:szCs w:val="24"/>
        </w:rPr>
      </w:pPr>
      <w:r w:rsidRPr="00BD68B2">
        <w:rPr>
          <w:rFonts w:ascii="Times New Roman" w:eastAsia="Times New Roman" w:hAnsi="Times New Roman" w:cs="Times New Roman"/>
          <w:sz w:val="24"/>
          <w:szCs w:val="24"/>
        </w:rPr>
        <w:t>Sen, A. (1999). Development as freedom. Oxford University Press. https://doi.org/10.1093/0198297584.001.0001</w:t>
      </w:r>
    </w:p>
    <w:p w14:paraId="0CD2A76C" w14:textId="77777777" w:rsidR="000E168F" w:rsidRPr="00BD68B2" w:rsidRDefault="00FD2BCF" w:rsidP="00BD68B2">
      <w:pPr>
        <w:pStyle w:val="ListParagraph"/>
        <w:numPr>
          <w:ilvl w:val="0"/>
          <w:numId w:val="1"/>
        </w:numPr>
        <w:spacing w:before="280" w:after="280" w:line="360" w:lineRule="auto"/>
        <w:jc w:val="both"/>
        <w:rPr>
          <w:rFonts w:ascii="Times New Roman" w:eastAsia="Times New Roman" w:hAnsi="Times New Roman" w:cs="Times New Roman"/>
          <w:sz w:val="24"/>
          <w:szCs w:val="24"/>
        </w:rPr>
      </w:pPr>
      <w:r w:rsidRPr="00BD68B2">
        <w:rPr>
          <w:rFonts w:ascii="Times New Roman" w:eastAsia="Times New Roman" w:hAnsi="Times New Roman" w:cs="Times New Roman"/>
          <w:sz w:val="24"/>
          <w:szCs w:val="24"/>
        </w:rPr>
        <w:t>Stern, N. (2007). The economics of climate change: The Stern review. Cambridge University Press.</w:t>
      </w:r>
    </w:p>
    <w:p w14:paraId="086D8120" w14:textId="77777777" w:rsidR="000E168F" w:rsidRPr="00BD68B2" w:rsidRDefault="00FD2BCF" w:rsidP="00BD68B2">
      <w:pPr>
        <w:pStyle w:val="ListParagraph"/>
        <w:numPr>
          <w:ilvl w:val="0"/>
          <w:numId w:val="1"/>
        </w:numPr>
        <w:spacing w:before="280" w:after="280" w:line="360" w:lineRule="auto"/>
        <w:jc w:val="both"/>
        <w:rPr>
          <w:rFonts w:ascii="Times New Roman" w:eastAsia="Times New Roman" w:hAnsi="Times New Roman" w:cs="Times New Roman"/>
          <w:sz w:val="24"/>
          <w:szCs w:val="24"/>
        </w:rPr>
      </w:pPr>
      <w:r w:rsidRPr="00BD68B2">
        <w:rPr>
          <w:rFonts w:ascii="Times New Roman" w:eastAsia="Times New Roman" w:hAnsi="Times New Roman" w:cs="Times New Roman"/>
          <w:sz w:val="24"/>
          <w:szCs w:val="24"/>
        </w:rPr>
        <w:t>Stiglitz, J. E., Sen, A., &amp; Fitoussi, J. P. (2010). Why GDP doesn't add up is a book by Arthur Dobbs about the limitations of GDP as an indicator of a country's development. The New Press.</w:t>
      </w:r>
    </w:p>
    <w:p w14:paraId="6BFF6683" w14:textId="77777777" w:rsidR="000E168F" w:rsidRPr="00BD68B2" w:rsidRDefault="00FD2BCF" w:rsidP="00BD68B2">
      <w:pPr>
        <w:pStyle w:val="ListParagraph"/>
        <w:numPr>
          <w:ilvl w:val="0"/>
          <w:numId w:val="1"/>
        </w:numPr>
        <w:spacing w:before="280" w:after="280" w:line="360" w:lineRule="auto"/>
        <w:jc w:val="both"/>
        <w:rPr>
          <w:rFonts w:ascii="Times New Roman" w:eastAsia="Times New Roman" w:hAnsi="Times New Roman" w:cs="Times New Roman"/>
          <w:sz w:val="24"/>
          <w:szCs w:val="24"/>
        </w:rPr>
      </w:pPr>
      <w:r w:rsidRPr="00BD68B2">
        <w:rPr>
          <w:rFonts w:ascii="Times New Roman" w:eastAsia="Times New Roman" w:hAnsi="Times New Roman" w:cs="Times New Roman"/>
          <w:sz w:val="24"/>
          <w:szCs w:val="24"/>
        </w:rPr>
        <w:t>United Nations. (2015). The 2030 agenda for sustainable development which transforms our world. United Nations.</w:t>
      </w:r>
    </w:p>
    <w:p w14:paraId="400CB124" w14:textId="77777777" w:rsidR="000E168F" w:rsidRPr="00BD68B2" w:rsidRDefault="00FD2BCF" w:rsidP="00BD68B2">
      <w:pPr>
        <w:pStyle w:val="ListParagraph"/>
        <w:numPr>
          <w:ilvl w:val="0"/>
          <w:numId w:val="1"/>
        </w:numPr>
        <w:spacing w:before="280" w:after="280" w:line="360" w:lineRule="auto"/>
        <w:jc w:val="both"/>
        <w:rPr>
          <w:rFonts w:ascii="Times New Roman" w:eastAsia="Times New Roman" w:hAnsi="Times New Roman" w:cs="Times New Roman"/>
          <w:sz w:val="24"/>
          <w:szCs w:val="24"/>
        </w:rPr>
      </w:pPr>
      <w:r w:rsidRPr="00BD68B2">
        <w:rPr>
          <w:rFonts w:ascii="Times New Roman" w:eastAsia="Times New Roman" w:hAnsi="Times New Roman" w:cs="Times New Roman"/>
          <w:sz w:val="24"/>
          <w:szCs w:val="24"/>
        </w:rPr>
        <w:t xml:space="preserve">The United Nations Development </w:t>
      </w:r>
      <w:proofErr w:type="spellStart"/>
      <w:r w:rsidRPr="00BD68B2">
        <w:rPr>
          <w:rFonts w:ascii="Times New Roman" w:eastAsia="Times New Roman" w:hAnsi="Times New Roman" w:cs="Times New Roman"/>
          <w:sz w:val="24"/>
          <w:szCs w:val="24"/>
        </w:rPr>
        <w:t>Programme</w:t>
      </w:r>
      <w:proofErr w:type="spellEnd"/>
      <w:r w:rsidRPr="00BD68B2">
        <w:rPr>
          <w:rFonts w:ascii="Times New Roman" w:eastAsia="Times New Roman" w:hAnsi="Times New Roman" w:cs="Times New Roman"/>
          <w:sz w:val="24"/>
          <w:szCs w:val="24"/>
        </w:rPr>
        <w:t xml:space="preserve">. (2024). Breaking the gridlock – Reimagining cooperation in a polarized world is the title of the most recent Human development report, released in 2023/2024. The United Nations Development </w:t>
      </w:r>
      <w:proofErr w:type="spellStart"/>
      <w:r w:rsidRPr="00BD68B2">
        <w:rPr>
          <w:rFonts w:ascii="Times New Roman" w:eastAsia="Times New Roman" w:hAnsi="Times New Roman" w:cs="Times New Roman"/>
          <w:sz w:val="24"/>
          <w:szCs w:val="24"/>
        </w:rPr>
        <w:t>Programme</w:t>
      </w:r>
      <w:proofErr w:type="spellEnd"/>
      <w:r w:rsidRPr="00BD68B2">
        <w:rPr>
          <w:rFonts w:ascii="Times New Roman" w:eastAsia="Times New Roman" w:hAnsi="Times New Roman" w:cs="Times New Roman"/>
          <w:sz w:val="24"/>
          <w:szCs w:val="24"/>
        </w:rPr>
        <w:t>.</w:t>
      </w:r>
    </w:p>
    <w:p w14:paraId="41F48E2A" w14:textId="77777777" w:rsidR="000E168F" w:rsidRPr="00BD68B2" w:rsidRDefault="00FD2BCF" w:rsidP="00BD68B2">
      <w:pPr>
        <w:pStyle w:val="ListParagraph"/>
        <w:numPr>
          <w:ilvl w:val="0"/>
          <w:numId w:val="1"/>
        </w:numPr>
        <w:spacing w:before="280" w:after="280" w:line="360" w:lineRule="auto"/>
        <w:jc w:val="both"/>
        <w:rPr>
          <w:rFonts w:ascii="Times New Roman" w:eastAsia="Times New Roman" w:hAnsi="Times New Roman" w:cs="Times New Roman"/>
          <w:sz w:val="24"/>
          <w:szCs w:val="24"/>
        </w:rPr>
      </w:pPr>
      <w:r w:rsidRPr="00BD68B2">
        <w:rPr>
          <w:rFonts w:ascii="Times New Roman" w:eastAsia="Times New Roman" w:hAnsi="Times New Roman" w:cs="Times New Roman"/>
          <w:sz w:val="24"/>
          <w:szCs w:val="24"/>
        </w:rPr>
        <w:t xml:space="preserve">The UN Environment </w:t>
      </w:r>
      <w:proofErr w:type="spellStart"/>
      <w:r w:rsidRPr="00BD68B2">
        <w:rPr>
          <w:rFonts w:ascii="Times New Roman" w:eastAsia="Times New Roman" w:hAnsi="Times New Roman" w:cs="Times New Roman"/>
          <w:sz w:val="24"/>
          <w:szCs w:val="24"/>
        </w:rPr>
        <w:t>Programme</w:t>
      </w:r>
      <w:proofErr w:type="spellEnd"/>
      <w:r w:rsidRPr="00BD68B2">
        <w:rPr>
          <w:rFonts w:ascii="Times New Roman" w:eastAsia="Times New Roman" w:hAnsi="Times New Roman" w:cs="Times New Roman"/>
          <w:sz w:val="24"/>
          <w:szCs w:val="24"/>
        </w:rPr>
        <w:t xml:space="preserve">. (2024). Resources outlook 2024 - Global resources outlook: Bend the trend – Pathways to a </w:t>
      </w:r>
      <w:proofErr w:type="spellStart"/>
      <w:r w:rsidRPr="00BD68B2">
        <w:rPr>
          <w:rFonts w:ascii="Times New Roman" w:eastAsia="Times New Roman" w:hAnsi="Times New Roman" w:cs="Times New Roman"/>
          <w:sz w:val="24"/>
          <w:szCs w:val="24"/>
        </w:rPr>
        <w:t>liveable</w:t>
      </w:r>
      <w:proofErr w:type="spellEnd"/>
      <w:r w:rsidRPr="00BD68B2">
        <w:rPr>
          <w:rFonts w:ascii="Times New Roman" w:eastAsia="Times New Roman" w:hAnsi="Times New Roman" w:cs="Times New Roman"/>
          <w:sz w:val="24"/>
          <w:szCs w:val="24"/>
        </w:rPr>
        <w:t xml:space="preserve"> planet as resource use increases. United Nations Environment </w:t>
      </w:r>
      <w:proofErr w:type="spellStart"/>
      <w:r w:rsidRPr="00BD68B2">
        <w:rPr>
          <w:rFonts w:ascii="Times New Roman" w:eastAsia="Times New Roman" w:hAnsi="Times New Roman" w:cs="Times New Roman"/>
          <w:sz w:val="24"/>
          <w:szCs w:val="24"/>
        </w:rPr>
        <w:t>Programme</w:t>
      </w:r>
      <w:proofErr w:type="spellEnd"/>
      <w:r w:rsidRPr="00BD68B2">
        <w:rPr>
          <w:rFonts w:ascii="Times New Roman" w:eastAsia="Times New Roman" w:hAnsi="Times New Roman" w:cs="Times New Roman"/>
          <w:sz w:val="24"/>
          <w:szCs w:val="24"/>
        </w:rPr>
        <w:t>.</w:t>
      </w:r>
    </w:p>
    <w:p w14:paraId="5DFEC429" w14:textId="77777777" w:rsidR="000E168F" w:rsidRPr="00BD68B2" w:rsidRDefault="00FD2BCF" w:rsidP="00BD68B2">
      <w:pPr>
        <w:pStyle w:val="ListParagraph"/>
        <w:numPr>
          <w:ilvl w:val="0"/>
          <w:numId w:val="1"/>
        </w:numPr>
        <w:spacing w:before="280" w:after="280" w:line="360" w:lineRule="auto"/>
        <w:jc w:val="both"/>
        <w:rPr>
          <w:rFonts w:ascii="Times New Roman" w:eastAsia="Times New Roman" w:hAnsi="Times New Roman" w:cs="Times New Roman"/>
          <w:sz w:val="24"/>
          <w:szCs w:val="24"/>
        </w:rPr>
      </w:pPr>
      <w:r w:rsidRPr="00BD68B2">
        <w:rPr>
          <w:rFonts w:ascii="Times New Roman" w:eastAsia="Times New Roman" w:hAnsi="Times New Roman" w:cs="Times New Roman"/>
          <w:sz w:val="24"/>
          <w:szCs w:val="24"/>
        </w:rPr>
        <w:t>World Economic Forum. (2023). The 18th edition of the global risks report. World Economic Forum.</w:t>
      </w:r>
    </w:p>
    <w:p w14:paraId="11B8501C" w14:textId="77777777" w:rsidR="000E168F" w:rsidRPr="00BD68B2" w:rsidRDefault="00FD2BCF" w:rsidP="00BD68B2">
      <w:pPr>
        <w:pStyle w:val="ListParagraph"/>
        <w:numPr>
          <w:ilvl w:val="0"/>
          <w:numId w:val="1"/>
        </w:numPr>
        <w:spacing w:before="280" w:after="280" w:line="360" w:lineRule="auto"/>
        <w:jc w:val="both"/>
        <w:rPr>
          <w:rFonts w:ascii="Times New Roman" w:eastAsia="Times New Roman" w:hAnsi="Times New Roman" w:cs="Times New Roman"/>
          <w:sz w:val="24"/>
          <w:szCs w:val="24"/>
        </w:rPr>
      </w:pPr>
      <w:r w:rsidRPr="00BD68B2">
        <w:rPr>
          <w:rFonts w:ascii="Times New Roman" w:eastAsia="Times New Roman" w:hAnsi="Times New Roman" w:cs="Times New Roman"/>
          <w:sz w:val="24"/>
          <w:szCs w:val="24"/>
        </w:rPr>
        <w:lastRenderedPageBreak/>
        <w:t>World Health Organization. (2023). Global investment in health: Adapting to shocks of pandemics. World Health Organization.</w:t>
      </w:r>
    </w:p>
    <w:p w14:paraId="66E5F545" w14:textId="77777777" w:rsidR="000E168F" w:rsidRDefault="000E168F">
      <w:pPr>
        <w:spacing w:before="280" w:after="280" w:line="360" w:lineRule="auto"/>
        <w:jc w:val="both"/>
        <w:rPr>
          <w:rFonts w:ascii="Times New Roman" w:eastAsia="Times New Roman" w:hAnsi="Times New Roman" w:cs="Times New Roman"/>
          <w:sz w:val="24"/>
          <w:szCs w:val="24"/>
        </w:rPr>
      </w:pPr>
    </w:p>
    <w:p w14:paraId="1EFF53A0" w14:textId="77777777" w:rsidR="000E168F" w:rsidRDefault="000E168F">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p>
    <w:p w14:paraId="4437E8C2" w14:textId="77777777" w:rsidR="000E168F" w:rsidRDefault="000E168F">
      <w:pPr>
        <w:spacing w:line="360" w:lineRule="auto"/>
        <w:jc w:val="both"/>
        <w:rPr>
          <w:rFonts w:ascii="Times New Roman" w:eastAsia="Times New Roman" w:hAnsi="Times New Roman" w:cs="Times New Roman"/>
          <w:color w:val="000000"/>
          <w:sz w:val="24"/>
          <w:szCs w:val="24"/>
        </w:rPr>
      </w:pPr>
    </w:p>
    <w:sectPr w:rsidR="000E168F">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66CDE" w14:textId="77777777" w:rsidR="00FD2BCF" w:rsidRDefault="00FD2BCF">
      <w:pPr>
        <w:spacing w:after="0" w:line="240" w:lineRule="auto"/>
      </w:pPr>
      <w:r>
        <w:separator/>
      </w:r>
    </w:p>
  </w:endnote>
  <w:endnote w:type="continuationSeparator" w:id="0">
    <w:p w14:paraId="780C8EDB" w14:textId="77777777" w:rsidR="00FD2BCF" w:rsidRDefault="00FD2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15625278-5733-4772-96D4-E5EE3EBA3CD4}"/>
  </w:font>
  <w:font w:name="Calibri">
    <w:panose1 w:val="020F0502020204030204"/>
    <w:charset w:val="00"/>
    <w:family w:val="swiss"/>
    <w:pitch w:val="variable"/>
    <w:sig w:usb0="E4002EFF" w:usb1="C200247B" w:usb2="00000009" w:usb3="00000000" w:csb0="000001FF" w:csb1="00000000"/>
    <w:embedRegular r:id="rId2" w:fontKey="{923566C1-2155-4B20-B9AA-22B49FAC1ED3}"/>
    <w:embedBold r:id="rId3" w:fontKey="{67B076EB-788F-4A20-B962-430AF22A37D4}"/>
    <w:embedItalic r:id="rId4" w:fontKey="{F04D14BF-BD24-4B48-AC90-73641B9629D0}"/>
    <w:embedBoldItalic r:id="rId5" w:fontKey="{3D01CF70-3EB6-4A27-941E-8699F0948D7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F6979" w14:textId="77777777" w:rsidR="000E168F" w:rsidRDefault="000E168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E8537" w14:textId="77777777" w:rsidR="000E168F" w:rsidRDefault="00FD2BCF">
    <w:pPr>
      <w:jc w:val="right"/>
    </w:pPr>
    <w:r>
      <w:fldChar w:fldCharType="begin"/>
    </w:r>
    <w:r>
      <w:instrText>PAGE</w:instrText>
    </w:r>
    <w:r>
      <w:fldChar w:fldCharType="separate"/>
    </w:r>
    <w:r w:rsidR="00BD68B2">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72CF8" w14:textId="77777777" w:rsidR="000E168F" w:rsidRDefault="000E168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3C80F" w14:textId="77777777" w:rsidR="00FD2BCF" w:rsidRDefault="00FD2BCF">
      <w:pPr>
        <w:spacing w:after="0" w:line="240" w:lineRule="auto"/>
      </w:pPr>
      <w:r>
        <w:separator/>
      </w:r>
    </w:p>
  </w:footnote>
  <w:footnote w:type="continuationSeparator" w:id="0">
    <w:p w14:paraId="289EB5D6" w14:textId="77777777" w:rsidR="00FD2BCF" w:rsidRDefault="00FD2B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C32A7" w14:textId="77777777" w:rsidR="000E168F" w:rsidRDefault="00FD2BCF">
    <w:pPr>
      <w:pBdr>
        <w:top w:val="nil"/>
        <w:left w:val="nil"/>
        <w:bottom w:val="nil"/>
        <w:right w:val="nil"/>
        <w:between w:val="nil"/>
      </w:pBdr>
      <w:tabs>
        <w:tab w:val="center" w:pos="4680"/>
        <w:tab w:val="right" w:pos="9360"/>
      </w:tabs>
      <w:spacing w:after="0" w:line="240" w:lineRule="auto"/>
      <w:rPr>
        <w:color w:val="000000"/>
      </w:rPr>
    </w:pPr>
    <w:r>
      <w:rPr>
        <w:color w:val="000000"/>
      </w:rPr>
      <w:pict w14:anchorId="198E69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541.4pt;height:67.6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428F4" w14:textId="77777777" w:rsidR="000E168F" w:rsidRDefault="00FD2BCF">
    <w:pPr>
      <w:pBdr>
        <w:top w:val="nil"/>
        <w:left w:val="nil"/>
        <w:bottom w:val="nil"/>
        <w:right w:val="nil"/>
        <w:between w:val="nil"/>
      </w:pBdr>
      <w:tabs>
        <w:tab w:val="center" w:pos="4680"/>
        <w:tab w:val="right" w:pos="9360"/>
      </w:tabs>
      <w:spacing w:after="0" w:line="240" w:lineRule="auto"/>
      <w:rPr>
        <w:color w:val="000000"/>
      </w:rPr>
    </w:pPr>
    <w:r>
      <w:rPr>
        <w:color w:val="000000"/>
      </w:rPr>
      <w:pict w14:anchorId="076A52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541.4pt;height:67.6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0B90F" w14:textId="77777777" w:rsidR="000E168F" w:rsidRDefault="00FD2BCF">
    <w:pPr>
      <w:pBdr>
        <w:top w:val="nil"/>
        <w:left w:val="nil"/>
        <w:bottom w:val="nil"/>
        <w:right w:val="nil"/>
        <w:between w:val="nil"/>
      </w:pBdr>
      <w:tabs>
        <w:tab w:val="center" w:pos="4680"/>
        <w:tab w:val="right" w:pos="9360"/>
      </w:tabs>
      <w:spacing w:after="0" w:line="240" w:lineRule="auto"/>
      <w:rPr>
        <w:color w:val="000000"/>
      </w:rPr>
    </w:pPr>
    <w:r>
      <w:rPr>
        <w:color w:val="000000"/>
      </w:rPr>
      <w:pict w14:anchorId="14F6E2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41.4pt;height:67.6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135E3"/>
    <w:multiLevelType w:val="hybridMultilevel"/>
    <w:tmpl w:val="EED4D8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5291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68F"/>
    <w:rsid w:val="00011892"/>
    <w:rsid w:val="000E168F"/>
    <w:rsid w:val="00547968"/>
    <w:rsid w:val="00692766"/>
    <w:rsid w:val="008E5E71"/>
    <w:rsid w:val="00931630"/>
    <w:rsid w:val="00BD68B2"/>
    <w:rsid w:val="00F36EA2"/>
    <w:rsid w:val="00FD2BCF"/>
    <w:rsid w:val="00FD435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A68577"/>
  <w15:docId w15:val="{F2D9A9A6-359D-45DA-9261-952A10DD7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40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40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75E"/>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ListParagraph">
    <w:name w:val="List Paragraph"/>
    <w:basedOn w:val="Normal"/>
    <w:uiPriority w:val="34"/>
    <w:qFormat/>
    <w:rsid w:val="00BD68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hoAoz6tAI6F02xgiqckenF+QZg==">CgMxLjAyDmgudXk4dnhhbmtkbG8zMg5oLmI2bzNmMmViYzF4MzIOaC5iNWJoN2t0dDdlMGgyDmguNXVmeXdoMW1iMDlxMg5oLm5xNHJscHUzdDI2MTIOaC5veWZuNjI4OWV5NjMyDmguZ3p3aDd2ZWs5OHZ5Mg5oLjg2c28yYXJ0ZnppYjIOaC53ajY0OHdzMXQ0MHU4AHIhMXE4ZThtdVBqNC1GOG5KaUI4QlNlYkVTTnk0aEZDNDY1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6970</Words>
  <Characters>39731</Characters>
  <Application>Microsoft Office Word</Application>
  <DocSecurity>0</DocSecurity>
  <Lines>331</Lines>
  <Paragraphs>93</Paragraphs>
  <ScaleCrop>false</ScaleCrop>
  <Company/>
  <LinksUpToDate>false</LinksUpToDate>
  <CharactersWithSpaces>46608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4</cp:revision>
  <dcterms:created xsi:type="dcterms:W3CDTF">2026-06-02T11:50:00Z</dcterms:created>
  <dcterms:modified xsi:type="dcterms:W3CDTF">2026-06-11T06:55:00Z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1033-12.1.25867.25867</vt:lpwstr>
  </property>
  <property fmtid="{D5CDD505-2E9C-101B-9397-08002B2CF9AE}" pid="3" name="ICV">
    <vt:lpwstr>6E2358DFA13233AEF3C20F6AFCE57481_42</vt:lpwstr>
  </property>
</Properties>
</file>