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6AAB1" w14:textId="77777777" w:rsidR="00CD2E65" w:rsidRDefault="00000000">
      <w:pPr>
        <w:jc w:val="center"/>
      </w:pPr>
      <w:r>
        <w:rPr>
          <w:b/>
          <w:sz w:val="28"/>
          <w:highlight w:val="yellow"/>
        </w:rPr>
        <w:t xml:space="preserve">Lifestyle </w:t>
      </w:r>
      <w:proofErr w:type="spellStart"/>
      <w:r>
        <w:rPr>
          <w:b/>
          <w:sz w:val="28"/>
          <w:highlight w:val="yellow"/>
        </w:rPr>
        <w:t>Behaviours</w:t>
      </w:r>
      <w:proofErr w:type="spellEnd"/>
      <w:r>
        <w:rPr>
          <w:b/>
          <w:sz w:val="28"/>
          <w:highlight w:val="yellow"/>
        </w:rPr>
        <w:t xml:space="preserve"> and Self-Awareness Practices among Women with Polycystic Ovary Syndrome (PCOS) in the Sub-Himalayan Region</w:t>
      </w:r>
    </w:p>
    <w:p w14:paraId="58E7F21D" w14:textId="77777777" w:rsidR="00CD2E65" w:rsidRDefault="00000000">
      <w:r>
        <w:rPr>
          <w:b/>
          <w:highlight w:val="yellow"/>
        </w:rPr>
        <w:t>ABSTRACT</w:t>
      </w:r>
    </w:p>
    <w:p w14:paraId="55403759" w14:textId="77777777" w:rsidR="00CD2E65" w:rsidRDefault="00000000">
      <w:r>
        <w:rPr>
          <w:highlight w:val="yellow"/>
        </w:rPr>
        <w:t xml:space="preserve">Background: Polycystic ovary syndrome (PCOS) is a common endocrine disorder among women of reproductive age and is associated with reproductive, metabolic and psychological concerns. Lifestyle </w:t>
      </w:r>
      <w:proofErr w:type="spellStart"/>
      <w:r>
        <w:rPr>
          <w:highlight w:val="yellow"/>
        </w:rPr>
        <w:t>behaviour</w:t>
      </w:r>
      <w:proofErr w:type="spellEnd"/>
      <w:r>
        <w:rPr>
          <w:highlight w:val="yellow"/>
        </w:rPr>
        <w:t xml:space="preserve"> and self-awareness practices are important in the day-to-day management of PCOS, yet regional evidence from the Sub-Himalayan context remains limited. Objective: This study aimed to </w:t>
      </w:r>
      <w:proofErr w:type="spellStart"/>
      <w:r>
        <w:rPr>
          <w:highlight w:val="yellow"/>
        </w:rPr>
        <w:t>analyse</w:t>
      </w:r>
      <w:proofErr w:type="spellEnd"/>
      <w:r>
        <w:rPr>
          <w:highlight w:val="yellow"/>
        </w:rPr>
        <w:t xml:space="preserve"> lifestyle care and self-awareness practices among women with PCOS and to examine the association between nutritional awareness and daily meal-consumption patterns. Methods: A cross-sectional descriptive survey was conducted among 300 women aged 18-40 years from the Sub-Himalayan region of Pauri, Uttarakhand, India. Data were collected using a pre-tested structured questionnaire covering physical activity, nutrition, beverage consumption, sleep, stress, glucose awareness and related self-care practices. Descriptive statistics, including the mean, median and standard deviation, were used to </w:t>
      </w:r>
      <w:proofErr w:type="spellStart"/>
      <w:r>
        <w:rPr>
          <w:highlight w:val="yellow"/>
        </w:rPr>
        <w:t>summarise</w:t>
      </w:r>
      <w:proofErr w:type="spellEnd"/>
      <w:r>
        <w:rPr>
          <w:highlight w:val="yellow"/>
        </w:rPr>
        <w:t xml:space="preserve"> lifestyle and awareness variables. The Pearson chi-square test was used to assess the association between nutritional awareness and meal-consumption patterns, with statistical significance set at p &lt; 0.05. Results: The findings showed variation in lifestyle care and self-awareness practices. Participants reported comparatively high engagement in several physical activities, including yoga asanas, jogging, aerobic exercise and walking, but lower conceptual knowledge of physical activity. Nutrition and healthy lifestyle awareness were moderate, whereas glucose monitoring, meal-interval knowledge and sleep-pattern awareness showed areas for improvement. The chi-square analysis demonstrated a statistically significant association between nutritional awareness and daily meal-consumption patterns (χ² = 9.161, </w:t>
      </w:r>
      <w:proofErr w:type="spellStart"/>
      <w:r>
        <w:rPr>
          <w:highlight w:val="yellow"/>
        </w:rPr>
        <w:t>df</w:t>
      </w:r>
      <w:proofErr w:type="spellEnd"/>
      <w:r>
        <w:rPr>
          <w:highlight w:val="yellow"/>
        </w:rPr>
        <w:t xml:space="preserve"> = 2, p = 0.010). Conclusion: The study indicates that lifestyle practices and health-related awareness among women with PCOS in the Sub-Himalayan region are uneven. Strengthening region-specific health education may support improved nutritional practices, self-monitoring and sustainable lifestyle care.</w:t>
      </w:r>
    </w:p>
    <w:p w14:paraId="1B9831FE" w14:textId="0F44B3F1" w:rsidR="00CD2E65" w:rsidRDefault="00000000">
      <w:r>
        <w:rPr>
          <w:highlight w:val="yellow"/>
        </w:rPr>
        <w:t xml:space="preserve">Keywords: Polycystic ovary syndrome; PCOS; lifestyle </w:t>
      </w:r>
      <w:proofErr w:type="spellStart"/>
      <w:r>
        <w:rPr>
          <w:highlight w:val="yellow"/>
        </w:rPr>
        <w:t>behaviour</w:t>
      </w:r>
      <w:proofErr w:type="spellEnd"/>
      <w:r>
        <w:rPr>
          <w:highlight w:val="yellow"/>
        </w:rPr>
        <w:t>; self-awareness; nutritional awareness; physical activity; sleep patterns; stress; glucose monitoring</w:t>
      </w:r>
    </w:p>
    <w:p w14:paraId="38C29CE3" w14:textId="77777777" w:rsidR="00CD2E65" w:rsidRDefault="00000000">
      <w:r>
        <w:rPr>
          <w:b/>
          <w:highlight w:val="yellow"/>
        </w:rPr>
        <w:t>INTRODUCTION</w:t>
      </w:r>
    </w:p>
    <w:p w14:paraId="1D099279" w14:textId="1C8D795E" w:rsidR="00CD2E65" w:rsidRDefault="00000000">
      <w:r>
        <w:rPr>
          <w:highlight w:val="yellow"/>
        </w:rPr>
        <w:t xml:space="preserve">Polycystic ovary syndrome (PCOS) is one of the most common endocrine disorders among women of reproductive age globally, with an estimated prevalence of 6-20%. Estimates in Indian populations vary between 9% and 36%, depending on the population studied and diagnostic criteria applied </w:t>
      </w:r>
      <w:r w:rsidRPr="001567B3">
        <w:rPr>
          <w:highlight w:val="yellow"/>
        </w:rPr>
        <w:t>(</w:t>
      </w:r>
      <w:r w:rsidR="001567B3" w:rsidRPr="001567B3">
        <w:rPr>
          <w:highlight w:val="yellow"/>
        </w:rPr>
        <w:t>Deswal</w:t>
      </w:r>
      <w:r w:rsidR="001567B3">
        <w:rPr>
          <w:highlight w:val="yellow"/>
        </w:rPr>
        <w:t xml:space="preserve"> </w:t>
      </w:r>
      <w:r w:rsidRPr="001567B3">
        <w:rPr>
          <w:highlight w:val="yellow"/>
        </w:rPr>
        <w:t xml:space="preserve">et </w:t>
      </w:r>
      <w:r>
        <w:rPr>
          <w:highlight w:val="yellow"/>
        </w:rPr>
        <w:t xml:space="preserve">al., 2020; Bharali et al., 2022). In addition to reproductive concerns, women with PCOS may experience metabolic disorders, psychological stress and long-term risks, including type 2 diabetes and cardiovascular disease. Lifestyle </w:t>
      </w:r>
      <w:proofErr w:type="spellStart"/>
      <w:r>
        <w:rPr>
          <w:highlight w:val="yellow"/>
        </w:rPr>
        <w:t>behaviours</w:t>
      </w:r>
      <w:proofErr w:type="spellEnd"/>
      <w:r>
        <w:rPr>
          <w:highlight w:val="yellow"/>
        </w:rPr>
        <w:t>, including physical activity, diet, sleep quality and stress management, are important considerations in the development and management of PCOS.</w:t>
      </w:r>
    </w:p>
    <w:p w14:paraId="1344F5EA" w14:textId="77777777" w:rsidR="00CD2E65" w:rsidRDefault="00000000">
      <w:r>
        <w:rPr>
          <w:highlight w:val="yellow"/>
        </w:rPr>
        <w:t xml:space="preserve">PCOS is an endocrine disorder that occurs in women of reproductive age. It is </w:t>
      </w:r>
      <w:proofErr w:type="spellStart"/>
      <w:r>
        <w:rPr>
          <w:highlight w:val="yellow"/>
        </w:rPr>
        <w:t>characterised</w:t>
      </w:r>
      <w:proofErr w:type="spellEnd"/>
      <w:r>
        <w:rPr>
          <w:highlight w:val="yellow"/>
        </w:rPr>
        <w:t xml:space="preserve"> by irregular menstrual cycles, hyperandrogenism, hormonal imbalance and multiple ovarian cysts. </w:t>
      </w:r>
      <w:r>
        <w:rPr>
          <w:highlight w:val="yellow"/>
        </w:rPr>
        <w:lastRenderedPageBreak/>
        <w:t xml:space="preserve">Symptoms and associated concerns may include infertility, obesity, insulin resistance, type 2 diabetes, anxiety and depression. PCOS is a complex condition and is widely </w:t>
      </w:r>
      <w:proofErr w:type="spellStart"/>
      <w:r>
        <w:rPr>
          <w:highlight w:val="yellow"/>
        </w:rPr>
        <w:t>recognised</w:t>
      </w:r>
      <w:proofErr w:type="spellEnd"/>
      <w:r>
        <w:rPr>
          <w:highlight w:val="yellow"/>
        </w:rPr>
        <w:t xml:space="preserve"> as an important public health issue.</w:t>
      </w:r>
    </w:p>
    <w:p w14:paraId="579AD032" w14:textId="77777777" w:rsidR="00CD2E65" w:rsidRDefault="00000000">
      <w:r>
        <w:rPr>
          <w:highlight w:val="yellow"/>
        </w:rPr>
        <w:t xml:space="preserve">A healthy lifestyle is important in the management of PCOS. Unhealthy dietary habits, physical inactivity, sedentary </w:t>
      </w:r>
      <w:proofErr w:type="spellStart"/>
      <w:r>
        <w:rPr>
          <w:highlight w:val="yellow"/>
        </w:rPr>
        <w:t>behaviour</w:t>
      </w:r>
      <w:proofErr w:type="spellEnd"/>
      <w:r>
        <w:rPr>
          <w:highlight w:val="yellow"/>
        </w:rPr>
        <w:t>, sleep disturbances and high stress levels may exacerbate hormonal and metabolic imbalances associated with the syndrome. In contrast, a nutrient-balanced diet, regular physical activity, adequate sleep and stress management may help to reduce symptoms and lower the risk of long-term complications.</w:t>
      </w:r>
    </w:p>
    <w:p w14:paraId="69320539" w14:textId="77777777" w:rsidR="00CD2E65" w:rsidRDefault="00000000">
      <w:r>
        <w:rPr>
          <w:highlight w:val="yellow"/>
        </w:rPr>
        <w:t xml:space="preserve">In India, PCOS has been reported increasingly in recent years, especially among adolescents and young women. Important contributing factors include rapid </w:t>
      </w:r>
      <w:proofErr w:type="spellStart"/>
      <w:r>
        <w:rPr>
          <w:highlight w:val="yellow"/>
        </w:rPr>
        <w:t>urbanisation</w:t>
      </w:r>
      <w:proofErr w:type="spellEnd"/>
      <w:r>
        <w:rPr>
          <w:highlight w:val="yellow"/>
        </w:rPr>
        <w:t>, changes in dietary patterns, inadequate physical activity and excess body weight. However, lifestyle patterns can vary across geographical regions because of cultural, environmental, occupational and socio-economic factors.</w:t>
      </w:r>
    </w:p>
    <w:p w14:paraId="3EFF4D99" w14:textId="77777777" w:rsidR="00CD2E65" w:rsidRDefault="00000000">
      <w:r>
        <w:rPr>
          <w:highlight w:val="yellow"/>
        </w:rPr>
        <w:t xml:space="preserve">The demographic and lifestyle profiles of women in the Sub-Himalayan region differ from those of women in many urban and metropolitan settings. These regional differences may influence health </w:t>
      </w:r>
      <w:proofErr w:type="spellStart"/>
      <w:r>
        <w:rPr>
          <w:highlight w:val="yellow"/>
        </w:rPr>
        <w:t>behaviours</w:t>
      </w:r>
      <w:proofErr w:type="spellEnd"/>
      <w:r>
        <w:rPr>
          <w:highlight w:val="yellow"/>
        </w:rPr>
        <w:t xml:space="preserve"> among women diagnosed with PCOS. Although PCOS is increasingly </w:t>
      </w:r>
      <w:proofErr w:type="spellStart"/>
      <w:r>
        <w:rPr>
          <w:highlight w:val="yellow"/>
        </w:rPr>
        <w:t>recognised</w:t>
      </w:r>
      <w:proofErr w:type="spellEnd"/>
      <w:r>
        <w:rPr>
          <w:highlight w:val="yellow"/>
        </w:rPr>
        <w:t xml:space="preserve">, limited evidence is available on lifestyle practices among women with PCOS in this geographical context. Therefore, the present study, entitled 'Lifestyle </w:t>
      </w:r>
      <w:proofErr w:type="spellStart"/>
      <w:r>
        <w:rPr>
          <w:highlight w:val="yellow"/>
        </w:rPr>
        <w:t>Behaviours</w:t>
      </w:r>
      <w:proofErr w:type="spellEnd"/>
      <w:r>
        <w:rPr>
          <w:highlight w:val="yellow"/>
        </w:rPr>
        <w:t xml:space="preserve"> and Self-Awareness Practices among Women with Polycystic Ovary Syndrome (PCOS) in the Sub-Himalayan Region', was conducted to evaluate lifestyle practices and support the development of region-specific intervention plans to improve health and quality of life.</w:t>
      </w:r>
    </w:p>
    <w:p w14:paraId="6350C404" w14:textId="77777777" w:rsidR="00CD2E65" w:rsidRDefault="00000000">
      <w:r>
        <w:rPr>
          <w:b/>
          <w:highlight w:val="yellow"/>
        </w:rPr>
        <w:t>Review of International Studies</w:t>
      </w:r>
    </w:p>
    <w:p w14:paraId="2C7CBAB3" w14:textId="77777777" w:rsidR="00CD2E65" w:rsidRDefault="00000000">
      <w:r>
        <w:rPr>
          <w:highlight w:val="yellow"/>
        </w:rPr>
        <w:t>International research has shown that lifestyle modification is an important component of PCOS management. Moran et al. (2011) reported that healthy eating and regular exercise improved insulin sensitivity, body composition and reproductive outcomes in women with PCOS.</w:t>
      </w:r>
    </w:p>
    <w:p w14:paraId="4813386C" w14:textId="77777777" w:rsidR="00CD2E65" w:rsidRDefault="00000000">
      <w:proofErr w:type="spellStart"/>
      <w:r>
        <w:rPr>
          <w:highlight w:val="yellow"/>
        </w:rPr>
        <w:t>Teede</w:t>
      </w:r>
      <w:proofErr w:type="spellEnd"/>
      <w:r>
        <w:rPr>
          <w:highlight w:val="yellow"/>
        </w:rPr>
        <w:t xml:space="preserve"> et al. (2018), in evidence-based international guidelines for PCOS management, recommended lifestyle interventions as first-line treatment, irrespective of body weight. The guidelines </w:t>
      </w:r>
      <w:proofErr w:type="spellStart"/>
      <w:r>
        <w:rPr>
          <w:highlight w:val="yellow"/>
        </w:rPr>
        <w:t>emphasised</w:t>
      </w:r>
      <w:proofErr w:type="spellEnd"/>
      <w:r>
        <w:rPr>
          <w:highlight w:val="yellow"/>
        </w:rPr>
        <w:t xml:space="preserve"> healthy dietary patterns, physical activity and lifestyle changes to </w:t>
      </w:r>
      <w:proofErr w:type="spellStart"/>
      <w:r>
        <w:rPr>
          <w:highlight w:val="yellow"/>
        </w:rPr>
        <w:t>optimise</w:t>
      </w:r>
      <w:proofErr w:type="spellEnd"/>
      <w:r>
        <w:rPr>
          <w:highlight w:val="yellow"/>
        </w:rPr>
        <w:t xml:space="preserve"> metabolic and reproductive outcomes.</w:t>
      </w:r>
    </w:p>
    <w:p w14:paraId="24686772" w14:textId="77777777" w:rsidR="00CD2E65" w:rsidRDefault="00000000">
      <w:r>
        <w:rPr>
          <w:highlight w:val="yellow"/>
        </w:rPr>
        <w:t xml:space="preserve">Ee et al. (2021) </w:t>
      </w:r>
      <w:proofErr w:type="spellStart"/>
      <w:r>
        <w:rPr>
          <w:highlight w:val="yellow"/>
        </w:rPr>
        <w:t>summarised</w:t>
      </w:r>
      <w:proofErr w:type="spellEnd"/>
      <w:r>
        <w:rPr>
          <w:highlight w:val="yellow"/>
        </w:rPr>
        <w:t xml:space="preserve"> barriers that women with PCOS experience in lifestyle management. They reported that poor adherence to healthy lifestyle </w:t>
      </w:r>
      <w:proofErr w:type="spellStart"/>
      <w:r>
        <w:rPr>
          <w:highlight w:val="yellow"/>
        </w:rPr>
        <w:t>behaviours</w:t>
      </w:r>
      <w:proofErr w:type="spellEnd"/>
      <w:r>
        <w:rPr>
          <w:highlight w:val="yellow"/>
        </w:rPr>
        <w:t xml:space="preserve"> may be related to psychological distress, reduced motivation and metabolic disturbances. The authors recommended </w:t>
      </w:r>
      <w:proofErr w:type="spellStart"/>
      <w:r>
        <w:rPr>
          <w:highlight w:val="yellow"/>
        </w:rPr>
        <w:t>individualised</w:t>
      </w:r>
      <w:proofErr w:type="spellEnd"/>
      <w:r>
        <w:rPr>
          <w:highlight w:val="yellow"/>
        </w:rPr>
        <w:t xml:space="preserve"> lifestyle counselling to support long-term adherence.</w:t>
      </w:r>
    </w:p>
    <w:p w14:paraId="54553C95" w14:textId="77777777" w:rsidR="00CD2E65" w:rsidRDefault="00000000">
      <w:r>
        <w:rPr>
          <w:highlight w:val="yellow"/>
        </w:rPr>
        <w:t xml:space="preserve">Cowan et al. (2023) extended the discussion of lifestyle management by </w:t>
      </w:r>
      <w:proofErr w:type="spellStart"/>
      <w:r>
        <w:rPr>
          <w:highlight w:val="yellow"/>
        </w:rPr>
        <w:t>emphasising</w:t>
      </w:r>
      <w:proofErr w:type="spellEnd"/>
      <w:r>
        <w:rPr>
          <w:highlight w:val="yellow"/>
        </w:rPr>
        <w:t xml:space="preserve"> sleep quality, mental health and </w:t>
      </w:r>
      <w:proofErr w:type="spellStart"/>
      <w:r>
        <w:rPr>
          <w:highlight w:val="yellow"/>
        </w:rPr>
        <w:t>behavioural</w:t>
      </w:r>
      <w:proofErr w:type="spellEnd"/>
      <w:r>
        <w:rPr>
          <w:highlight w:val="yellow"/>
        </w:rPr>
        <w:t xml:space="preserve"> strategies in PCOS management. They reported that poor sleep and psychological stress may aggravate metabolic and hormonal dysfunction in women with PCOS.</w:t>
      </w:r>
    </w:p>
    <w:p w14:paraId="6501F47F" w14:textId="77777777" w:rsidR="00CD2E65" w:rsidRDefault="00000000">
      <w:r>
        <w:rPr>
          <w:highlight w:val="yellow"/>
        </w:rPr>
        <w:lastRenderedPageBreak/>
        <w:t>Butt et al. (2023), in a systematic review, concluded that physical activity interventions had positive effects on reproductive function, menstrual regularity, psychological well-being and hormonal balance among women with PCOS.</w:t>
      </w:r>
    </w:p>
    <w:p w14:paraId="170D9A36" w14:textId="77777777" w:rsidR="00CD2E65" w:rsidRDefault="00000000">
      <w:r>
        <w:rPr>
          <w:highlight w:val="yellow"/>
        </w:rPr>
        <w:t xml:space="preserve">Recent international studies have also shown that women with PCOS may have less </w:t>
      </w:r>
      <w:proofErr w:type="spellStart"/>
      <w:r>
        <w:rPr>
          <w:highlight w:val="yellow"/>
        </w:rPr>
        <w:t>favourable</w:t>
      </w:r>
      <w:proofErr w:type="spellEnd"/>
      <w:r>
        <w:rPr>
          <w:highlight w:val="yellow"/>
        </w:rPr>
        <w:t xml:space="preserve"> eating </w:t>
      </w:r>
      <w:proofErr w:type="spellStart"/>
      <w:r>
        <w:rPr>
          <w:highlight w:val="yellow"/>
        </w:rPr>
        <w:t>behaviours</w:t>
      </w:r>
      <w:proofErr w:type="spellEnd"/>
      <w:r>
        <w:rPr>
          <w:highlight w:val="yellow"/>
        </w:rPr>
        <w:t xml:space="preserve"> and dietary patterns, including higher intake of energy-dense and processed foods and lower levels of physical activity than women without PCOS. These lifestyle factors may contribute to obesity and metabolic concerns associated with PCOS.</w:t>
      </w:r>
    </w:p>
    <w:p w14:paraId="7FE1B692" w14:textId="77777777" w:rsidR="00CD2E65" w:rsidRDefault="00000000">
      <w:r>
        <w:rPr>
          <w:b/>
          <w:highlight w:val="yellow"/>
        </w:rPr>
        <w:t>Review of National Studies</w:t>
      </w:r>
    </w:p>
    <w:p w14:paraId="1125FEA5" w14:textId="77777777" w:rsidR="00CD2E65" w:rsidRDefault="00000000">
      <w:r>
        <w:rPr>
          <w:highlight w:val="yellow"/>
        </w:rPr>
        <w:t>PCOS has been identified as an important public health issue among women of reproductive age in India. Bharali et al. (2022), in a systematic review and meta-analysis, reported that the pooled prevalence of PCOS among women in India was 11.33%, indicating a notable disease burden.</w:t>
      </w:r>
    </w:p>
    <w:p w14:paraId="79A6C04D" w14:textId="77777777" w:rsidR="00CD2E65" w:rsidRDefault="00000000">
      <w:r>
        <w:rPr>
          <w:highlight w:val="yellow"/>
        </w:rPr>
        <w:t>Several Indian studies have examined lifestyle factors related to PCOS. Overweight and obesity, physical inactivity, unhealthy dietary habits and high stress levels have been reported across different regions of India.</w:t>
      </w:r>
    </w:p>
    <w:p w14:paraId="0D2C4B4D" w14:textId="77777777" w:rsidR="00CD2E65" w:rsidRDefault="00000000">
      <w:r>
        <w:rPr>
          <w:highlight w:val="yellow"/>
        </w:rPr>
        <w:t>Mehrotra et al. (2023) assessed the effects of lifestyle modification among women with PCOS. They observed improvements in menstrual function, body weight and metabolic parameters following dietary and lifestyle modification.</w:t>
      </w:r>
    </w:p>
    <w:p w14:paraId="7751903A" w14:textId="77777777" w:rsidR="00CD2E65" w:rsidRDefault="00000000">
      <w:r>
        <w:rPr>
          <w:highlight w:val="yellow"/>
        </w:rPr>
        <w:t>Rao et al. (2023) discussed the use of traditional and complementary medicine among ethnic Indian women living with PCOS. Participants reported using lifestyle-based approaches, including diet, yoga and exercise, for symptom management.</w:t>
      </w:r>
    </w:p>
    <w:p w14:paraId="0F16F74F" w14:textId="77777777" w:rsidR="00CD2E65" w:rsidRDefault="00000000">
      <w:r>
        <w:rPr>
          <w:highlight w:val="yellow"/>
        </w:rPr>
        <w:t xml:space="preserve">Kulshrestha (2025) reiterated the importance of nutrition and physical activity as key components of PCOS management and </w:t>
      </w:r>
      <w:proofErr w:type="spellStart"/>
      <w:r>
        <w:rPr>
          <w:highlight w:val="yellow"/>
        </w:rPr>
        <w:t>emphasised</w:t>
      </w:r>
      <w:proofErr w:type="spellEnd"/>
      <w:r>
        <w:rPr>
          <w:highlight w:val="yellow"/>
        </w:rPr>
        <w:t xml:space="preserve"> the need for </w:t>
      </w:r>
      <w:proofErr w:type="spellStart"/>
      <w:r>
        <w:rPr>
          <w:highlight w:val="yellow"/>
        </w:rPr>
        <w:t>personalised</w:t>
      </w:r>
      <w:proofErr w:type="spellEnd"/>
      <w:r>
        <w:rPr>
          <w:highlight w:val="yellow"/>
        </w:rPr>
        <w:t xml:space="preserve"> lifestyle approaches in the Indian context, considering traditional dietary patterns and cultural values.</w:t>
      </w:r>
    </w:p>
    <w:p w14:paraId="7F1A5D73" w14:textId="77777777" w:rsidR="00CD2E65" w:rsidRDefault="00000000">
      <w:r>
        <w:rPr>
          <w:highlight w:val="yellow"/>
        </w:rPr>
        <w:t>Many available Indian studies have been conducted in metropolitan and urban populations, while evidence from geographically diverse regions of India remains limited.</w:t>
      </w:r>
    </w:p>
    <w:p w14:paraId="317FF71F" w14:textId="77777777" w:rsidR="00CD2E65" w:rsidRDefault="00000000">
      <w:r>
        <w:rPr>
          <w:b/>
          <w:highlight w:val="yellow"/>
        </w:rPr>
        <w:t>Research Gap</w:t>
      </w:r>
    </w:p>
    <w:p w14:paraId="15381AEF" w14:textId="77777777" w:rsidR="00CD2E65" w:rsidRDefault="00000000">
      <w:r>
        <w:rPr>
          <w:highlight w:val="yellow"/>
        </w:rPr>
        <w:t xml:space="preserve">A review of the available literature reveals several important gaps. First, many national and international studies have focused on the effectiveness of lifestyle interventions rather than assessing existing lifestyle </w:t>
      </w:r>
      <w:proofErr w:type="spellStart"/>
      <w:r>
        <w:rPr>
          <w:highlight w:val="yellow"/>
        </w:rPr>
        <w:t>behaviours</w:t>
      </w:r>
      <w:proofErr w:type="spellEnd"/>
      <w:r>
        <w:rPr>
          <w:highlight w:val="yellow"/>
        </w:rPr>
        <w:t xml:space="preserve"> among women living with PCOS. Second, most Indian studies have been conducted in urban and metropolitan settings, with limited attention to women residing in ecologically and culturally distinct regions such as the Sub-Himalayan belt. Third, lifestyle </w:t>
      </w:r>
      <w:proofErr w:type="spellStart"/>
      <w:r>
        <w:rPr>
          <w:highlight w:val="yellow"/>
        </w:rPr>
        <w:t>behaviours</w:t>
      </w:r>
      <w:proofErr w:type="spellEnd"/>
      <w:r>
        <w:rPr>
          <w:highlight w:val="yellow"/>
        </w:rPr>
        <w:t xml:space="preserve"> are influenced by regional dietary patterns, socio-economic conditions, occupational activities and cultural practices; however, these contextual factors remain insufficiently explored in relation to PCOS. Fourth, there is a lack of comprehensive studies that simultaneously examine dietary habits, physical activity patterns, sleep </w:t>
      </w:r>
      <w:proofErr w:type="spellStart"/>
      <w:r>
        <w:rPr>
          <w:highlight w:val="yellow"/>
        </w:rPr>
        <w:t>behaviour</w:t>
      </w:r>
      <w:proofErr w:type="spellEnd"/>
      <w:r>
        <w:rPr>
          <w:highlight w:val="yellow"/>
        </w:rPr>
        <w:t xml:space="preserve"> and stress-related factors among women with PCOS in the Sub-Himalayan region.</w:t>
      </w:r>
    </w:p>
    <w:p w14:paraId="246DFEEB" w14:textId="77777777" w:rsidR="00CD2E65" w:rsidRDefault="00000000">
      <w:r>
        <w:rPr>
          <w:highlight w:val="yellow"/>
        </w:rPr>
        <w:lastRenderedPageBreak/>
        <w:t xml:space="preserve">Therefore, the present study was undertaken to address these gaps and generate region-specific evidence on lifestyle practices and self-awareness among women with PCOS. The findings may contribute to the development of targeted lifestyle education strategies and public health </w:t>
      </w:r>
      <w:proofErr w:type="spellStart"/>
      <w:r>
        <w:rPr>
          <w:highlight w:val="yellow"/>
        </w:rPr>
        <w:t>programmes</w:t>
      </w:r>
      <w:proofErr w:type="spellEnd"/>
      <w:r>
        <w:rPr>
          <w:highlight w:val="yellow"/>
        </w:rPr>
        <w:t xml:space="preserve"> for PCOS management in the Sub-Himalayan population.</w:t>
      </w:r>
    </w:p>
    <w:p w14:paraId="2AD94AC6" w14:textId="77777777" w:rsidR="00CD2E65" w:rsidRDefault="00000000">
      <w:r>
        <w:rPr>
          <w:b/>
          <w:highlight w:val="yellow"/>
        </w:rPr>
        <w:t>Objective:</w:t>
      </w:r>
    </w:p>
    <w:p w14:paraId="6D1659C1" w14:textId="77777777" w:rsidR="00CD2E65" w:rsidRDefault="00000000">
      <w:r>
        <w:rPr>
          <w:highlight w:val="yellow"/>
        </w:rPr>
        <w:t xml:space="preserve">To </w:t>
      </w:r>
      <w:proofErr w:type="spellStart"/>
      <w:r>
        <w:rPr>
          <w:highlight w:val="yellow"/>
        </w:rPr>
        <w:t>analyse</w:t>
      </w:r>
      <w:proofErr w:type="spellEnd"/>
      <w:r>
        <w:rPr>
          <w:highlight w:val="yellow"/>
        </w:rPr>
        <w:t xml:space="preserve"> lifestyle care and self-awareness practices among women with PCOS and to examine the association between nutritional awareness and daily meal-consumption patterns.</w:t>
      </w:r>
    </w:p>
    <w:p w14:paraId="0D7E3A6D" w14:textId="77777777" w:rsidR="00CD2E65" w:rsidRDefault="00000000">
      <w:r>
        <w:rPr>
          <w:b/>
          <w:highlight w:val="yellow"/>
        </w:rPr>
        <w:t>Limitations of the Study:</w:t>
      </w:r>
    </w:p>
    <w:p w14:paraId="3E941E12" w14:textId="77777777" w:rsidR="00CD2E65" w:rsidRDefault="00000000">
      <w:r>
        <w:rPr>
          <w:highlight w:val="yellow"/>
        </w:rPr>
        <w:t xml:space="preserve">This study has certain limitations that should be considered when interpreting the findings. First, the data were collected through a self-reported questionnaire; therefore, responses may have been affected by recall bias, social desirability bias or differences in individual interpretation of the questions. Second, the study was conducted among women from a specific Sub-Himalayan region of Pauri, Uttarakhand, and the findings may not be fully </w:t>
      </w:r>
      <w:proofErr w:type="spellStart"/>
      <w:r>
        <w:rPr>
          <w:highlight w:val="yellow"/>
        </w:rPr>
        <w:t>generalisable</w:t>
      </w:r>
      <w:proofErr w:type="spellEnd"/>
      <w:r>
        <w:rPr>
          <w:highlight w:val="yellow"/>
        </w:rPr>
        <w:t xml:space="preserve"> to women with PCOS from other geographical, cultural or socio-economic settings. Third, the cross-sectional design allows the assessment of associations but does not establish causality between awareness and lifestyle practices. Fourth, the study relied on descriptive statistics and chi-square analysis, which limits deeper examination of possible confounding factors. Finally, clinical, biochemical and anthropometric parameters were not incorporated into the analysis; therefore, lifestyle practices could not be directly linked with objective clinical outcomes. Future studies may benefit from larger samples and longitudinal designs.</w:t>
      </w:r>
    </w:p>
    <w:p w14:paraId="53527466" w14:textId="77777777" w:rsidR="00CD2E65" w:rsidRDefault="00000000">
      <w:r>
        <w:rPr>
          <w:b/>
          <w:highlight w:val="yellow"/>
        </w:rPr>
        <w:t>METHODOLOGY</w:t>
      </w:r>
    </w:p>
    <w:p w14:paraId="1D48616C" w14:textId="77777777" w:rsidR="00CD2E65" w:rsidRDefault="00000000">
      <w:r>
        <w:rPr>
          <w:b/>
          <w:highlight w:val="yellow"/>
        </w:rPr>
        <w:t>Study Design and Setting:</w:t>
      </w:r>
    </w:p>
    <w:p w14:paraId="7CCE2314" w14:textId="77777777" w:rsidR="00CD2E65" w:rsidRDefault="00000000">
      <w:r>
        <w:rPr>
          <w:highlight w:val="yellow"/>
        </w:rPr>
        <w:t>A cross-sectional descriptive study was conducted among women of reproductive age in the Sub-Himalayan region of Pauri, Uttarakhand, India. The study aimed to evaluate lifestyle care, self-awareness practices and the association between nutritional awareness and daily meal-consumption patterns.</w:t>
      </w:r>
    </w:p>
    <w:p w14:paraId="0B24B4F9" w14:textId="77777777" w:rsidR="00CD2E65" w:rsidRDefault="00000000">
      <w:r>
        <w:rPr>
          <w:b/>
          <w:highlight w:val="yellow"/>
        </w:rPr>
        <w:t>Participants:</w:t>
      </w:r>
    </w:p>
    <w:p w14:paraId="1A3F6DEE" w14:textId="77777777" w:rsidR="00CD2E65" w:rsidRDefault="00000000">
      <w:r>
        <w:rPr>
          <w:highlight w:val="yellow"/>
        </w:rPr>
        <w:t>A total of 300 women aged 18-40 years were selected using purposive random sampling. The inclusion criteria comprised women in the reproductive age group who provided consent to participate. Pregnant women, women with chronic endocrine disorders other than PCOS and women unwilling to participate were excluded.</w:t>
      </w:r>
    </w:p>
    <w:p w14:paraId="0E690327" w14:textId="77777777" w:rsidR="00CD2E65" w:rsidRDefault="00000000">
      <w:r>
        <w:rPr>
          <w:b/>
          <w:highlight w:val="yellow"/>
        </w:rPr>
        <w:t>Data Collection:</w:t>
      </w:r>
    </w:p>
    <w:p w14:paraId="6DAAB1C7" w14:textId="77777777" w:rsidR="00CD2E65" w:rsidRDefault="00000000">
      <w:r>
        <w:rPr>
          <w:highlight w:val="yellow"/>
        </w:rPr>
        <w:t>Data were gathered using a pre-tested structured questionnaire covering the following domains:</w:t>
      </w:r>
    </w:p>
    <w:p w14:paraId="48730B7D" w14:textId="77777777" w:rsidR="00CD2E65" w:rsidRDefault="00000000">
      <w:pPr>
        <w:pStyle w:val="ListNumber"/>
      </w:pPr>
      <w:r>
        <w:rPr>
          <w:highlight w:val="yellow"/>
        </w:rPr>
        <w:t>Lifestyle care and self-awareness practices: exercise, nutrition, beverage consumption, sleep and stress.</w:t>
      </w:r>
    </w:p>
    <w:p w14:paraId="008C9F58" w14:textId="77777777" w:rsidR="00CD2E65" w:rsidRDefault="00000000">
      <w:pPr>
        <w:pStyle w:val="ListNumber"/>
      </w:pPr>
      <w:r>
        <w:rPr>
          <w:highlight w:val="yellow"/>
        </w:rPr>
        <w:lastRenderedPageBreak/>
        <w:t>Awareness of PCOS: symptom awareness, awareness of complications and awareness of lifestyle management.</w:t>
      </w:r>
    </w:p>
    <w:p w14:paraId="2DC999C8" w14:textId="77777777" w:rsidR="00CD2E65" w:rsidRDefault="00000000">
      <w:r>
        <w:rPr>
          <w:b/>
          <w:highlight w:val="yellow"/>
        </w:rPr>
        <w:t>Statistical Analysis:</w:t>
      </w:r>
    </w:p>
    <w:p w14:paraId="2A1D6AF2" w14:textId="77777777" w:rsidR="00CD2E65" w:rsidRDefault="00000000">
      <w:r>
        <w:rPr>
          <w:highlight w:val="yellow"/>
        </w:rPr>
        <w:t>The mean, median and standard deviation were used to describe lifestyle and self-awareness variables. The Pearson chi-square test was used to assess the association between nutritional awareness and daily meal-consumption patterns. A p-value of 0.05 was considered statistically significant. IBM SPSS Statistics version 26 was used for data analysis.</w:t>
      </w:r>
    </w:p>
    <w:p w14:paraId="459C8A5C" w14:textId="77777777" w:rsidR="00CD2E65" w:rsidRDefault="00000000">
      <w:r>
        <w:rPr>
          <w:b/>
          <w:highlight w:val="yellow"/>
        </w:rPr>
        <w:t>RESULTS</w:t>
      </w:r>
    </w:p>
    <w:p w14:paraId="2174D5B6" w14:textId="77777777" w:rsidR="00CD2E65" w:rsidRDefault="00000000">
      <w:r>
        <w:rPr>
          <w:b/>
          <w:highlight w:val="yellow"/>
        </w:rPr>
        <w:t>A) Lifestyle care and self-awareness practices:</w:t>
      </w:r>
    </w:p>
    <w:p w14:paraId="1A3760AA" w14:textId="77777777" w:rsidR="00CD2E65" w:rsidRDefault="00000000">
      <w:r>
        <w:rPr>
          <w:b/>
          <w:highlight w:val="yellow"/>
        </w:rPr>
        <w:t>Table 1: Descriptive Statistics of Lifestyle Habits and PCOS Awareness among Respondents (Pre-Intervention, n = 300)</w:t>
      </w:r>
    </w:p>
    <w:tbl>
      <w:tblPr>
        <w:tblStyle w:val="TableGrid"/>
        <w:tblW w:w="0" w:type="auto"/>
        <w:jc w:val="center"/>
        <w:tblLook w:val="04A0" w:firstRow="1" w:lastRow="0" w:firstColumn="1" w:lastColumn="0" w:noHBand="0" w:noVBand="1"/>
      </w:tblPr>
      <w:tblGrid>
        <w:gridCol w:w="1987"/>
        <w:gridCol w:w="1987"/>
        <w:gridCol w:w="1987"/>
        <w:gridCol w:w="1987"/>
        <w:gridCol w:w="1987"/>
      </w:tblGrid>
      <w:tr w:rsidR="00CD2E65" w14:paraId="575F2D99" w14:textId="77777777">
        <w:trPr>
          <w:jc w:val="center"/>
        </w:trPr>
        <w:tc>
          <w:tcPr>
            <w:tcW w:w="1987" w:type="dxa"/>
            <w:vAlign w:val="center"/>
          </w:tcPr>
          <w:p w14:paraId="5984206A" w14:textId="77777777" w:rsidR="00CD2E65" w:rsidRDefault="00000000">
            <w:r>
              <w:rPr>
                <w:b/>
                <w:sz w:val="20"/>
              </w:rPr>
              <w:t>S. No.</w:t>
            </w:r>
          </w:p>
        </w:tc>
        <w:tc>
          <w:tcPr>
            <w:tcW w:w="1987" w:type="dxa"/>
            <w:vAlign w:val="center"/>
          </w:tcPr>
          <w:p w14:paraId="3CDC675D" w14:textId="77777777" w:rsidR="00CD2E65" w:rsidRDefault="00000000">
            <w:r>
              <w:rPr>
                <w:b/>
                <w:sz w:val="20"/>
              </w:rPr>
              <w:t>Variables</w:t>
            </w:r>
          </w:p>
        </w:tc>
        <w:tc>
          <w:tcPr>
            <w:tcW w:w="1987" w:type="dxa"/>
            <w:vAlign w:val="center"/>
          </w:tcPr>
          <w:p w14:paraId="6E7620FE" w14:textId="77777777" w:rsidR="00CD2E65" w:rsidRDefault="00000000">
            <w:r>
              <w:rPr>
                <w:b/>
                <w:sz w:val="20"/>
              </w:rPr>
              <w:t>Mean</w:t>
            </w:r>
          </w:p>
        </w:tc>
        <w:tc>
          <w:tcPr>
            <w:tcW w:w="1987" w:type="dxa"/>
            <w:vAlign w:val="center"/>
          </w:tcPr>
          <w:p w14:paraId="44DC91AE" w14:textId="77777777" w:rsidR="00CD2E65" w:rsidRDefault="00000000">
            <w:r>
              <w:rPr>
                <w:b/>
                <w:sz w:val="20"/>
              </w:rPr>
              <w:t>Median</w:t>
            </w:r>
          </w:p>
        </w:tc>
        <w:tc>
          <w:tcPr>
            <w:tcW w:w="1987" w:type="dxa"/>
            <w:vAlign w:val="center"/>
          </w:tcPr>
          <w:p w14:paraId="5CCD9F25" w14:textId="77777777" w:rsidR="00CD2E65" w:rsidRDefault="00000000">
            <w:r>
              <w:rPr>
                <w:b/>
                <w:sz w:val="20"/>
              </w:rPr>
              <w:t>Standard Deviation</w:t>
            </w:r>
          </w:p>
        </w:tc>
      </w:tr>
      <w:tr w:rsidR="00CD2E65" w14:paraId="7501C23E" w14:textId="77777777">
        <w:trPr>
          <w:jc w:val="center"/>
        </w:trPr>
        <w:tc>
          <w:tcPr>
            <w:tcW w:w="1987" w:type="dxa"/>
            <w:vAlign w:val="center"/>
          </w:tcPr>
          <w:p w14:paraId="79653AA5" w14:textId="77777777" w:rsidR="00CD2E65" w:rsidRDefault="00000000">
            <w:r>
              <w:rPr>
                <w:sz w:val="20"/>
              </w:rPr>
              <w:t>1</w:t>
            </w:r>
          </w:p>
        </w:tc>
        <w:tc>
          <w:tcPr>
            <w:tcW w:w="1987" w:type="dxa"/>
            <w:vAlign w:val="center"/>
          </w:tcPr>
          <w:p w14:paraId="3B87B3A5" w14:textId="77777777" w:rsidR="00CD2E65" w:rsidRDefault="00000000">
            <w:r>
              <w:rPr>
                <w:sz w:val="20"/>
              </w:rPr>
              <w:t>Knowledge of Physical Activity</w:t>
            </w:r>
          </w:p>
        </w:tc>
        <w:tc>
          <w:tcPr>
            <w:tcW w:w="1987" w:type="dxa"/>
            <w:vAlign w:val="center"/>
          </w:tcPr>
          <w:p w14:paraId="60038367" w14:textId="77777777" w:rsidR="00CD2E65" w:rsidRDefault="00000000">
            <w:r>
              <w:rPr>
                <w:sz w:val="20"/>
              </w:rPr>
              <w:t>0.54</w:t>
            </w:r>
          </w:p>
        </w:tc>
        <w:tc>
          <w:tcPr>
            <w:tcW w:w="1987" w:type="dxa"/>
            <w:vAlign w:val="center"/>
          </w:tcPr>
          <w:p w14:paraId="01D4E4AF" w14:textId="77777777" w:rsidR="00CD2E65" w:rsidRDefault="00000000">
            <w:r>
              <w:rPr>
                <w:sz w:val="20"/>
              </w:rPr>
              <w:t>1.00</w:t>
            </w:r>
          </w:p>
        </w:tc>
        <w:tc>
          <w:tcPr>
            <w:tcW w:w="1987" w:type="dxa"/>
            <w:vAlign w:val="center"/>
          </w:tcPr>
          <w:p w14:paraId="5F55AE04" w14:textId="77777777" w:rsidR="00CD2E65" w:rsidRDefault="00000000">
            <w:r>
              <w:rPr>
                <w:sz w:val="20"/>
              </w:rPr>
              <w:t>0.50</w:t>
            </w:r>
          </w:p>
        </w:tc>
      </w:tr>
      <w:tr w:rsidR="00CD2E65" w14:paraId="24626A86" w14:textId="77777777">
        <w:trPr>
          <w:jc w:val="center"/>
        </w:trPr>
        <w:tc>
          <w:tcPr>
            <w:tcW w:w="1987" w:type="dxa"/>
            <w:vAlign w:val="center"/>
          </w:tcPr>
          <w:p w14:paraId="5F85BFDB" w14:textId="77777777" w:rsidR="00CD2E65" w:rsidRDefault="00000000">
            <w:r>
              <w:rPr>
                <w:sz w:val="20"/>
              </w:rPr>
              <w:t>2</w:t>
            </w:r>
          </w:p>
        </w:tc>
        <w:tc>
          <w:tcPr>
            <w:tcW w:w="1987" w:type="dxa"/>
            <w:vAlign w:val="center"/>
          </w:tcPr>
          <w:p w14:paraId="291E0DCD" w14:textId="77777777" w:rsidR="00CD2E65" w:rsidRDefault="00000000">
            <w:r>
              <w:rPr>
                <w:sz w:val="20"/>
              </w:rPr>
              <w:t>Practice of Yoga Asanas</w:t>
            </w:r>
          </w:p>
        </w:tc>
        <w:tc>
          <w:tcPr>
            <w:tcW w:w="1987" w:type="dxa"/>
            <w:vAlign w:val="center"/>
          </w:tcPr>
          <w:p w14:paraId="010431C4" w14:textId="77777777" w:rsidR="00CD2E65" w:rsidRDefault="00000000">
            <w:r>
              <w:rPr>
                <w:sz w:val="20"/>
              </w:rPr>
              <w:t>3.87</w:t>
            </w:r>
          </w:p>
        </w:tc>
        <w:tc>
          <w:tcPr>
            <w:tcW w:w="1987" w:type="dxa"/>
            <w:vAlign w:val="center"/>
          </w:tcPr>
          <w:p w14:paraId="18F5D9D6" w14:textId="77777777" w:rsidR="00CD2E65" w:rsidRDefault="00000000">
            <w:r>
              <w:rPr>
                <w:sz w:val="20"/>
              </w:rPr>
              <w:t>4.00</w:t>
            </w:r>
          </w:p>
        </w:tc>
        <w:tc>
          <w:tcPr>
            <w:tcW w:w="1987" w:type="dxa"/>
            <w:vAlign w:val="center"/>
          </w:tcPr>
          <w:p w14:paraId="2AB2B1F9" w14:textId="77777777" w:rsidR="00CD2E65" w:rsidRDefault="00000000">
            <w:r>
              <w:rPr>
                <w:sz w:val="20"/>
              </w:rPr>
              <w:t>0.59</w:t>
            </w:r>
          </w:p>
        </w:tc>
      </w:tr>
      <w:tr w:rsidR="00CD2E65" w14:paraId="107AECA4" w14:textId="77777777">
        <w:trPr>
          <w:jc w:val="center"/>
        </w:trPr>
        <w:tc>
          <w:tcPr>
            <w:tcW w:w="1987" w:type="dxa"/>
            <w:vAlign w:val="center"/>
          </w:tcPr>
          <w:p w14:paraId="6E9D5654" w14:textId="77777777" w:rsidR="00CD2E65" w:rsidRDefault="00000000">
            <w:r>
              <w:rPr>
                <w:sz w:val="20"/>
              </w:rPr>
              <w:t>3</w:t>
            </w:r>
          </w:p>
        </w:tc>
        <w:tc>
          <w:tcPr>
            <w:tcW w:w="1987" w:type="dxa"/>
            <w:vAlign w:val="center"/>
          </w:tcPr>
          <w:p w14:paraId="2505CD31" w14:textId="77777777" w:rsidR="00CD2E65" w:rsidRDefault="00000000">
            <w:r>
              <w:rPr>
                <w:sz w:val="20"/>
              </w:rPr>
              <w:t>Practice of Jogging</w:t>
            </w:r>
          </w:p>
        </w:tc>
        <w:tc>
          <w:tcPr>
            <w:tcW w:w="1987" w:type="dxa"/>
            <w:vAlign w:val="center"/>
          </w:tcPr>
          <w:p w14:paraId="6A9D859F" w14:textId="77777777" w:rsidR="00CD2E65" w:rsidRDefault="00000000">
            <w:r>
              <w:rPr>
                <w:sz w:val="20"/>
              </w:rPr>
              <w:t>3.95</w:t>
            </w:r>
          </w:p>
        </w:tc>
        <w:tc>
          <w:tcPr>
            <w:tcW w:w="1987" w:type="dxa"/>
            <w:vAlign w:val="center"/>
          </w:tcPr>
          <w:p w14:paraId="381C2723" w14:textId="77777777" w:rsidR="00CD2E65" w:rsidRDefault="00000000">
            <w:r>
              <w:rPr>
                <w:sz w:val="20"/>
              </w:rPr>
              <w:t>4.00</w:t>
            </w:r>
          </w:p>
        </w:tc>
        <w:tc>
          <w:tcPr>
            <w:tcW w:w="1987" w:type="dxa"/>
            <w:vAlign w:val="center"/>
          </w:tcPr>
          <w:p w14:paraId="2B1645A7" w14:textId="77777777" w:rsidR="00CD2E65" w:rsidRDefault="00000000">
            <w:r>
              <w:rPr>
                <w:sz w:val="20"/>
              </w:rPr>
              <w:t>0.38</w:t>
            </w:r>
          </w:p>
        </w:tc>
      </w:tr>
      <w:tr w:rsidR="00CD2E65" w14:paraId="7C5373F9" w14:textId="77777777">
        <w:trPr>
          <w:jc w:val="center"/>
        </w:trPr>
        <w:tc>
          <w:tcPr>
            <w:tcW w:w="1987" w:type="dxa"/>
            <w:vAlign w:val="center"/>
          </w:tcPr>
          <w:p w14:paraId="56D5024E" w14:textId="77777777" w:rsidR="00CD2E65" w:rsidRDefault="00000000">
            <w:r>
              <w:rPr>
                <w:sz w:val="20"/>
              </w:rPr>
              <w:t>4</w:t>
            </w:r>
          </w:p>
        </w:tc>
        <w:tc>
          <w:tcPr>
            <w:tcW w:w="1987" w:type="dxa"/>
            <w:vAlign w:val="center"/>
          </w:tcPr>
          <w:p w14:paraId="44C6430D" w14:textId="77777777" w:rsidR="00CD2E65" w:rsidRDefault="00000000">
            <w:r>
              <w:rPr>
                <w:sz w:val="20"/>
              </w:rPr>
              <w:t>Practice of Running</w:t>
            </w:r>
          </w:p>
        </w:tc>
        <w:tc>
          <w:tcPr>
            <w:tcW w:w="1987" w:type="dxa"/>
            <w:vAlign w:val="center"/>
          </w:tcPr>
          <w:p w14:paraId="050725F7" w14:textId="77777777" w:rsidR="00CD2E65" w:rsidRDefault="00000000">
            <w:r>
              <w:rPr>
                <w:sz w:val="20"/>
              </w:rPr>
              <w:t>0.40</w:t>
            </w:r>
          </w:p>
        </w:tc>
        <w:tc>
          <w:tcPr>
            <w:tcW w:w="1987" w:type="dxa"/>
            <w:vAlign w:val="center"/>
          </w:tcPr>
          <w:p w14:paraId="7E4818D8" w14:textId="77777777" w:rsidR="00CD2E65" w:rsidRDefault="00000000">
            <w:r>
              <w:rPr>
                <w:sz w:val="20"/>
              </w:rPr>
              <w:t>0.00</w:t>
            </w:r>
          </w:p>
        </w:tc>
        <w:tc>
          <w:tcPr>
            <w:tcW w:w="1987" w:type="dxa"/>
            <w:vAlign w:val="center"/>
          </w:tcPr>
          <w:p w14:paraId="2EEE0570" w14:textId="77777777" w:rsidR="00CD2E65" w:rsidRDefault="00000000">
            <w:r>
              <w:rPr>
                <w:sz w:val="20"/>
              </w:rPr>
              <w:t>0.49</w:t>
            </w:r>
          </w:p>
        </w:tc>
      </w:tr>
      <w:tr w:rsidR="00CD2E65" w14:paraId="76035522" w14:textId="77777777">
        <w:trPr>
          <w:jc w:val="center"/>
        </w:trPr>
        <w:tc>
          <w:tcPr>
            <w:tcW w:w="1987" w:type="dxa"/>
            <w:vAlign w:val="center"/>
          </w:tcPr>
          <w:p w14:paraId="289512F1" w14:textId="77777777" w:rsidR="00CD2E65" w:rsidRDefault="00000000">
            <w:r>
              <w:rPr>
                <w:sz w:val="20"/>
              </w:rPr>
              <w:t>5</w:t>
            </w:r>
          </w:p>
        </w:tc>
        <w:tc>
          <w:tcPr>
            <w:tcW w:w="1987" w:type="dxa"/>
            <w:vAlign w:val="center"/>
          </w:tcPr>
          <w:p w14:paraId="7A046836" w14:textId="77777777" w:rsidR="00CD2E65" w:rsidRDefault="00000000">
            <w:r>
              <w:rPr>
                <w:sz w:val="20"/>
              </w:rPr>
              <w:t>Practice of Aerobic Exercise</w:t>
            </w:r>
          </w:p>
        </w:tc>
        <w:tc>
          <w:tcPr>
            <w:tcW w:w="1987" w:type="dxa"/>
            <w:vAlign w:val="center"/>
          </w:tcPr>
          <w:p w14:paraId="161ED675" w14:textId="77777777" w:rsidR="00CD2E65" w:rsidRDefault="00000000">
            <w:r>
              <w:rPr>
                <w:sz w:val="20"/>
              </w:rPr>
              <w:t>3.98</w:t>
            </w:r>
          </w:p>
        </w:tc>
        <w:tc>
          <w:tcPr>
            <w:tcW w:w="1987" w:type="dxa"/>
            <w:vAlign w:val="center"/>
          </w:tcPr>
          <w:p w14:paraId="3815FD47" w14:textId="77777777" w:rsidR="00CD2E65" w:rsidRDefault="00000000">
            <w:r>
              <w:rPr>
                <w:sz w:val="20"/>
              </w:rPr>
              <w:t>4.00</w:t>
            </w:r>
          </w:p>
        </w:tc>
        <w:tc>
          <w:tcPr>
            <w:tcW w:w="1987" w:type="dxa"/>
            <w:vAlign w:val="center"/>
          </w:tcPr>
          <w:p w14:paraId="3EA25E2A" w14:textId="77777777" w:rsidR="00CD2E65" w:rsidRDefault="00000000">
            <w:r>
              <w:rPr>
                <w:sz w:val="20"/>
              </w:rPr>
              <w:t>0.24</w:t>
            </w:r>
          </w:p>
        </w:tc>
      </w:tr>
      <w:tr w:rsidR="00CD2E65" w14:paraId="3F4FA995" w14:textId="77777777">
        <w:trPr>
          <w:jc w:val="center"/>
        </w:trPr>
        <w:tc>
          <w:tcPr>
            <w:tcW w:w="1987" w:type="dxa"/>
            <w:vAlign w:val="center"/>
          </w:tcPr>
          <w:p w14:paraId="78E5FE6C" w14:textId="77777777" w:rsidR="00CD2E65" w:rsidRDefault="00000000">
            <w:r>
              <w:rPr>
                <w:sz w:val="20"/>
              </w:rPr>
              <w:t>6</w:t>
            </w:r>
          </w:p>
        </w:tc>
        <w:tc>
          <w:tcPr>
            <w:tcW w:w="1987" w:type="dxa"/>
            <w:vAlign w:val="center"/>
          </w:tcPr>
          <w:p w14:paraId="2A5E65DA" w14:textId="77777777" w:rsidR="00CD2E65" w:rsidRDefault="00000000">
            <w:r>
              <w:rPr>
                <w:sz w:val="20"/>
              </w:rPr>
              <w:t>Practice of Slow Walk</w:t>
            </w:r>
          </w:p>
        </w:tc>
        <w:tc>
          <w:tcPr>
            <w:tcW w:w="1987" w:type="dxa"/>
            <w:vAlign w:val="center"/>
          </w:tcPr>
          <w:p w14:paraId="02763657" w14:textId="77777777" w:rsidR="00CD2E65" w:rsidRDefault="00000000">
            <w:r>
              <w:rPr>
                <w:sz w:val="20"/>
              </w:rPr>
              <w:t>3.84</w:t>
            </w:r>
          </w:p>
        </w:tc>
        <w:tc>
          <w:tcPr>
            <w:tcW w:w="1987" w:type="dxa"/>
            <w:vAlign w:val="center"/>
          </w:tcPr>
          <w:p w14:paraId="0C0F486D" w14:textId="77777777" w:rsidR="00CD2E65" w:rsidRDefault="00000000">
            <w:r>
              <w:rPr>
                <w:sz w:val="20"/>
              </w:rPr>
              <w:t>4.00</w:t>
            </w:r>
          </w:p>
        </w:tc>
        <w:tc>
          <w:tcPr>
            <w:tcW w:w="1987" w:type="dxa"/>
            <w:vAlign w:val="center"/>
          </w:tcPr>
          <w:p w14:paraId="415A4681" w14:textId="77777777" w:rsidR="00CD2E65" w:rsidRDefault="00000000">
            <w:r>
              <w:rPr>
                <w:sz w:val="20"/>
              </w:rPr>
              <w:t>0.66</w:t>
            </w:r>
          </w:p>
        </w:tc>
      </w:tr>
      <w:tr w:rsidR="00CD2E65" w14:paraId="4E240F7C" w14:textId="77777777">
        <w:trPr>
          <w:jc w:val="center"/>
        </w:trPr>
        <w:tc>
          <w:tcPr>
            <w:tcW w:w="1987" w:type="dxa"/>
            <w:vAlign w:val="center"/>
          </w:tcPr>
          <w:p w14:paraId="6E2984CE" w14:textId="77777777" w:rsidR="00CD2E65" w:rsidRDefault="00000000">
            <w:r>
              <w:rPr>
                <w:sz w:val="20"/>
              </w:rPr>
              <w:t>7</w:t>
            </w:r>
          </w:p>
        </w:tc>
        <w:tc>
          <w:tcPr>
            <w:tcW w:w="1987" w:type="dxa"/>
            <w:vAlign w:val="center"/>
          </w:tcPr>
          <w:p w14:paraId="49D8BE35" w14:textId="77777777" w:rsidR="00CD2E65" w:rsidRDefault="00000000">
            <w:r>
              <w:rPr>
                <w:sz w:val="20"/>
              </w:rPr>
              <w:t>Practice of Moderate Walking</w:t>
            </w:r>
          </w:p>
        </w:tc>
        <w:tc>
          <w:tcPr>
            <w:tcW w:w="1987" w:type="dxa"/>
            <w:vAlign w:val="center"/>
          </w:tcPr>
          <w:p w14:paraId="1B05DC56" w14:textId="77777777" w:rsidR="00CD2E65" w:rsidRDefault="00000000">
            <w:r>
              <w:rPr>
                <w:sz w:val="20"/>
              </w:rPr>
              <w:t>3.93</w:t>
            </w:r>
          </w:p>
        </w:tc>
        <w:tc>
          <w:tcPr>
            <w:tcW w:w="1987" w:type="dxa"/>
            <w:vAlign w:val="center"/>
          </w:tcPr>
          <w:p w14:paraId="4AE283FE" w14:textId="77777777" w:rsidR="00CD2E65" w:rsidRDefault="00000000">
            <w:r>
              <w:rPr>
                <w:sz w:val="20"/>
              </w:rPr>
              <w:t>4.00</w:t>
            </w:r>
          </w:p>
        </w:tc>
        <w:tc>
          <w:tcPr>
            <w:tcW w:w="1987" w:type="dxa"/>
            <w:vAlign w:val="center"/>
          </w:tcPr>
          <w:p w14:paraId="6EEE7C51" w14:textId="77777777" w:rsidR="00CD2E65" w:rsidRDefault="00000000">
            <w:r>
              <w:rPr>
                <w:sz w:val="20"/>
              </w:rPr>
              <w:t>0.45</w:t>
            </w:r>
          </w:p>
        </w:tc>
      </w:tr>
      <w:tr w:rsidR="00CD2E65" w14:paraId="0DBA0286" w14:textId="77777777">
        <w:trPr>
          <w:jc w:val="center"/>
        </w:trPr>
        <w:tc>
          <w:tcPr>
            <w:tcW w:w="1987" w:type="dxa"/>
            <w:vAlign w:val="center"/>
          </w:tcPr>
          <w:p w14:paraId="5872DCCA" w14:textId="77777777" w:rsidR="00CD2E65" w:rsidRDefault="00000000">
            <w:r>
              <w:rPr>
                <w:sz w:val="20"/>
              </w:rPr>
              <w:t>8</w:t>
            </w:r>
          </w:p>
        </w:tc>
        <w:tc>
          <w:tcPr>
            <w:tcW w:w="1987" w:type="dxa"/>
            <w:vAlign w:val="center"/>
          </w:tcPr>
          <w:p w14:paraId="498D1BEE" w14:textId="77777777" w:rsidR="00CD2E65" w:rsidRDefault="00000000">
            <w:r>
              <w:rPr>
                <w:sz w:val="20"/>
              </w:rPr>
              <w:t>Field Work Activity</w:t>
            </w:r>
          </w:p>
        </w:tc>
        <w:tc>
          <w:tcPr>
            <w:tcW w:w="1987" w:type="dxa"/>
            <w:vAlign w:val="center"/>
          </w:tcPr>
          <w:p w14:paraId="45755E8A" w14:textId="77777777" w:rsidR="00CD2E65" w:rsidRDefault="00000000">
            <w:r>
              <w:rPr>
                <w:sz w:val="20"/>
              </w:rPr>
              <w:t>4.00</w:t>
            </w:r>
          </w:p>
        </w:tc>
        <w:tc>
          <w:tcPr>
            <w:tcW w:w="1987" w:type="dxa"/>
            <w:vAlign w:val="center"/>
          </w:tcPr>
          <w:p w14:paraId="42B8AF3F" w14:textId="77777777" w:rsidR="00CD2E65" w:rsidRDefault="00000000">
            <w:r>
              <w:rPr>
                <w:sz w:val="20"/>
              </w:rPr>
              <w:t>4.00</w:t>
            </w:r>
          </w:p>
        </w:tc>
        <w:tc>
          <w:tcPr>
            <w:tcW w:w="1987" w:type="dxa"/>
            <w:vAlign w:val="center"/>
          </w:tcPr>
          <w:p w14:paraId="4227D8EE" w14:textId="77777777" w:rsidR="00CD2E65" w:rsidRDefault="00000000">
            <w:r>
              <w:rPr>
                <w:sz w:val="20"/>
              </w:rPr>
              <w:t>0.00</w:t>
            </w:r>
          </w:p>
        </w:tc>
      </w:tr>
      <w:tr w:rsidR="00CD2E65" w14:paraId="65FCF279" w14:textId="77777777">
        <w:trPr>
          <w:jc w:val="center"/>
        </w:trPr>
        <w:tc>
          <w:tcPr>
            <w:tcW w:w="1987" w:type="dxa"/>
            <w:vAlign w:val="center"/>
          </w:tcPr>
          <w:p w14:paraId="33FF7CE9" w14:textId="77777777" w:rsidR="00CD2E65" w:rsidRDefault="00000000">
            <w:r>
              <w:rPr>
                <w:sz w:val="20"/>
              </w:rPr>
              <w:t>9</w:t>
            </w:r>
          </w:p>
        </w:tc>
        <w:tc>
          <w:tcPr>
            <w:tcW w:w="1987" w:type="dxa"/>
            <w:vAlign w:val="center"/>
          </w:tcPr>
          <w:p w14:paraId="6B67D341" w14:textId="77777777" w:rsidR="00CD2E65" w:rsidRDefault="00000000">
            <w:r>
              <w:rPr>
                <w:sz w:val="20"/>
              </w:rPr>
              <w:t>Addicted to Tea</w:t>
            </w:r>
          </w:p>
        </w:tc>
        <w:tc>
          <w:tcPr>
            <w:tcW w:w="1987" w:type="dxa"/>
            <w:vAlign w:val="center"/>
          </w:tcPr>
          <w:p w14:paraId="092051F0" w14:textId="77777777" w:rsidR="00CD2E65" w:rsidRDefault="00000000">
            <w:r>
              <w:rPr>
                <w:sz w:val="20"/>
              </w:rPr>
              <w:t>1.12</w:t>
            </w:r>
          </w:p>
        </w:tc>
        <w:tc>
          <w:tcPr>
            <w:tcW w:w="1987" w:type="dxa"/>
            <w:vAlign w:val="center"/>
          </w:tcPr>
          <w:p w14:paraId="37F41843" w14:textId="77777777" w:rsidR="00CD2E65" w:rsidRDefault="00000000">
            <w:r>
              <w:rPr>
                <w:sz w:val="20"/>
              </w:rPr>
              <w:t>1.00</w:t>
            </w:r>
          </w:p>
        </w:tc>
        <w:tc>
          <w:tcPr>
            <w:tcW w:w="1987" w:type="dxa"/>
            <w:vAlign w:val="center"/>
          </w:tcPr>
          <w:p w14:paraId="2A53A566" w14:textId="77777777" w:rsidR="00CD2E65" w:rsidRDefault="00000000">
            <w:r>
              <w:rPr>
                <w:sz w:val="20"/>
              </w:rPr>
              <w:t>0.32</w:t>
            </w:r>
          </w:p>
        </w:tc>
      </w:tr>
      <w:tr w:rsidR="00CD2E65" w14:paraId="0215F861" w14:textId="77777777">
        <w:trPr>
          <w:jc w:val="center"/>
        </w:trPr>
        <w:tc>
          <w:tcPr>
            <w:tcW w:w="1987" w:type="dxa"/>
            <w:vAlign w:val="center"/>
          </w:tcPr>
          <w:p w14:paraId="33EF038B" w14:textId="77777777" w:rsidR="00CD2E65" w:rsidRDefault="00000000">
            <w:r>
              <w:rPr>
                <w:sz w:val="20"/>
              </w:rPr>
              <w:t>10</w:t>
            </w:r>
          </w:p>
        </w:tc>
        <w:tc>
          <w:tcPr>
            <w:tcW w:w="1987" w:type="dxa"/>
            <w:vAlign w:val="center"/>
          </w:tcPr>
          <w:p w14:paraId="7367C170" w14:textId="77777777" w:rsidR="00CD2E65" w:rsidRDefault="00000000">
            <w:r>
              <w:rPr>
                <w:sz w:val="20"/>
              </w:rPr>
              <w:t>Addicted to Coffee</w:t>
            </w:r>
          </w:p>
        </w:tc>
        <w:tc>
          <w:tcPr>
            <w:tcW w:w="1987" w:type="dxa"/>
            <w:vAlign w:val="center"/>
          </w:tcPr>
          <w:p w14:paraId="6E74CCA3" w14:textId="77777777" w:rsidR="00CD2E65" w:rsidRDefault="00000000">
            <w:r>
              <w:rPr>
                <w:sz w:val="20"/>
              </w:rPr>
              <w:t>1.89</w:t>
            </w:r>
          </w:p>
        </w:tc>
        <w:tc>
          <w:tcPr>
            <w:tcW w:w="1987" w:type="dxa"/>
            <w:vAlign w:val="center"/>
          </w:tcPr>
          <w:p w14:paraId="11DB793C" w14:textId="77777777" w:rsidR="00CD2E65" w:rsidRDefault="00000000">
            <w:r>
              <w:rPr>
                <w:sz w:val="20"/>
              </w:rPr>
              <w:t>2.00</w:t>
            </w:r>
          </w:p>
        </w:tc>
        <w:tc>
          <w:tcPr>
            <w:tcW w:w="1987" w:type="dxa"/>
            <w:vAlign w:val="center"/>
          </w:tcPr>
          <w:p w14:paraId="2BC6BB8E" w14:textId="77777777" w:rsidR="00CD2E65" w:rsidRDefault="00000000">
            <w:r>
              <w:rPr>
                <w:sz w:val="20"/>
              </w:rPr>
              <w:t>0.31</w:t>
            </w:r>
          </w:p>
        </w:tc>
      </w:tr>
      <w:tr w:rsidR="00CD2E65" w14:paraId="51736F8F" w14:textId="77777777">
        <w:trPr>
          <w:jc w:val="center"/>
        </w:trPr>
        <w:tc>
          <w:tcPr>
            <w:tcW w:w="1987" w:type="dxa"/>
            <w:vAlign w:val="center"/>
          </w:tcPr>
          <w:p w14:paraId="1FE640C9" w14:textId="77777777" w:rsidR="00CD2E65" w:rsidRDefault="00000000">
            <w:r>
              <w:rPr>
                <w:sz w:val="20"/>
              </w:rPr>
              <w:t>11</w:t>
            </w:r>
          </w:p>
        </w:tc>
        <w:tc>
          <w:tcPr>
            <w:tcW w:w="1987" w:type="dxa"/>
            <w:vAlign w:val="center"/>
          </w:tcPr>
          <w:p w14:paraId="5F50248E" w14:textId="77777777" w:rsidR="00CD2E65" w:rsidRDefault="00000000">
            <w:r>
              <w:rPr>
                <w:sz w:val="20"/>
              </w:rPr>
              <w:t>Addicted to Energy Drinks</w:t>
            </w:r>
          </w:p>
        </w:tc>
        <w:tc>
          <w:tcPr>
            <w:tcW w:w="1987" w:type="dxa"/>
            <w:vAlign w:val="center"/>
          </w:tcPr>
          <w:p w14:paraId="20973BA5" w14:textId="77777777" w:rsidR="00CD2E65" w:rsidRDefault="00000000">
            <w:r>
              <w:rPr>
                <w:sz w:val="20"/>
              </w:rPr>
              <w:t>1.98</w:t>
            </w:r>
          </w:p>
        </w:tc>
        <w:tc>
          <w:tcPr>
            <w:tcW w:w="1987" w:type="dxa"/>
            <w:vAlign w:val="center"/>
          </w:tcPr>
          <w:p w14:paraId="64D7FD89" w14:textId="77777777" w:rsidR="00CD2E65" w:rsidRDefault="00000000">
            <w:r>
              <w:rPr>
                <w:sz w:val="20"/>
              </w:rPr>
              <w:t>2.00</w:t>
            </w:r>
          </w:p>
        </w:tc>
        <w:tc>
          <w:tcPr>
            <w:tcW w:w="1987" w:type="dxa"/>
            <w:vAlign w:val="center"/>
          </w:tcPr>
          <w:p w14:paraId="4D264D61" w14:textId="77777777" w:rsidR="00CD2E65" w:rsidRDefault="00000000">
            <w:r>
              <w:rPr>
                <w:sz w:val="20"/>
              </w:rPr>
              <w:t>0.15</w:t>
            </w:r>
          </w:p>
        </w:tc>
      </w:tr>
      <w:tr w:rsidR="00CD2E65" w14:paraId="225E6E5C" w14:textId="77777777">
        <w:trPr>
          <w:jc w:val="center"/>
        </w:trPr>
        <w:tc>
          <w:tcPr>
            <w:tcW w:w="1987" w:type="dxa"/>
            <w:vAlign w:val="center"/>
          </w:tcPr>
          <w:p w14:paraId="548B9B50" w14:textId="77777777" w:rsidR="00CD2E65" w:rsidRDefault="00000000">
            <w:r>
              <w:rPr>
                <w:sz w:val="20"/>
              </w:rPr>
              <w:t>12</w:t>
            </w:r>
          </w:p>
        </w:tc>
        <w:tc>
          <w:tcPr>
            <w:tcW w:w="1987" w:type="dxa"/>
            <w:vAlign w:val="center"/>
          </w:tcPr>
          <w:p w14:paraId="0AD22827" w14:textId="77777777" w:rsidR="00CD2E65" w:rsidRDefault="00000000">
            <w:r>
              <w:rPr>
                <w:sz w:val="20"/>
              </w:rPr>
              <w:t>Addicted to Carbonated Drinks</w:t>
            </w:r>
          </w:p>
        </w:tc>
        <w:tc>
          <w:tcPr>
            <w:tcW w:w="1987" w:type="dxa"/>
            <w:vAlign w:val="center"/>
          </w:tcPr>
          <w:p w14:paraId="3B5B1CB6" w14:textId="77777777" w:rsidR="00CD2E65" w:rsidRDefault="00000000">
            <w:r>
              <w:rPr>
                <w:sz w:val="20"/>
              </w:rPr>
              <w:t>1.96</w:t>
            </w:r>
          </w:p>
        </w:tc>
        <w:tc>
          <w:tcPr>
            <w:tcW w:w="1987" w:type="dxa"/>
            <w:vAlign w:val="center"/>
          </w:tcPr>
          <w:p w14:paraId="316942F7" w14:textId="77777777" w:rsidR="00CD2E65" w:rsidRDefault="00000000">
            <w:r>
              <w:rPr>
                <w:sz w:val="20"/>
              </w:rPr>
              <w:t>2.00</w:t>
            </w:r>
          </w:p>
        </w:tc>
        <w:tc>
          <w:tcPr>
            <w:tcW w:w="1987" w:type="dxa"/>
            <w:vAlign w:val="center"/>
          </w:tcPr>
          <w:p w14:paraId="2E3AD732" w14:textId="77777777" w:rsidR="00CD2E65" w:rsidRDefault="00000000">
            <w:r>
              <w:rPr>
                <w:sz w:val="20"/>
              </w:rPr>
              <w:t>0.20</w:t>
            </w:r>
          </w:p>
        </w:tc>
      </w:tr>
      <w:tr w:rsidR="00CD2E65" w14:paraId="00FB89C5" w14:textId="77777777">
        <w:trPr>
          <w:jc w:val="center"/>
        </w:trPr>
        <w:tc>
          <w:tcPr>
            <w:tcW w:w="1987" w:type="dxa"/>
            <w:vAlign w:val="center"/>
          </w:tcPr>
          <w:p w14:paraId="1BBC870E" w14:textId="77777777" w:rsidR="00CD2E65" w:rsidRDefault="00000000">
            <w:r>
              <w:rPr>
                <w:sz w:val="20"/>
              </w:rPr>
              <w:t>13</w:t>
            </w:r>
          </w:p>
        </w:tc>
        <w:tc>
          <w:tcPr>
            <w:tcW w:w="1987" w:type="dxa"/>
            <w:vAlign w:val="center"/>
          </w:tcPr>
          <w:p w14:paraId="2A95F071" w14:textId="77777777" w:rsidR="00CD2E65" w:rsidRDefault="00000000">
            <w:r>
              <w:rPr>
                <w:sz w:val="20"/>
              </w:rPr>
              <w:t>Knowledge of the Importance of Nutrition</w:t>
            </w:r>
          </w:p>
        </w:tc>
        <w:tc>
          <w:tcPr>
            <w:tcW w:w="1987" w:type="dxa"/>
            <w:vAlign w:val="center"/>
          </w:tcPr>
          <w:p w14:paraId="5535D60C" w14:textId="77777777" w:rsidR="00CD2E65" w:rsidRDefault="00000000">
            <w:r>
              <w:rPr>
                <w:sz w:val="20"/>
              </w:rPr>
              <w:t>1.69</w:t>
            </w:r>
          </w:p>
        </w:tc>
        <w:tc>
          <w:tcPr>
            <w:tcW w:w="1987" w:type="dxa"/>
            <w:vAlign w:val="center"/>
          </w:tcPr>
          <w:p w14:paraId="0D6170A4" w14:textId="77777777" w:rsidR="00CD2E65" w:rsidRDefault="00000000">
            <w:r>
              <w:rPr>
                <w:sz w:val="20"/>
              </w:rPr>
              <w:t>2.00</w:t>
            </w:r>
          </w:p>
        </w:tc>
        <w:tc>
          <w:tcPr>
            <w:tcW w:w="1987" w:type="dxa"/>
            <w:vAlign w:val="center"/>
          </w:tcPr>
          <w:p w14:paraId="6E2AF4BB" w14:textId="77777777" w:rsidR="00CD2E65" w:rsidRDefault="00000000">
            <w:r>
              <w:rPr>
                <w:sz w:val="20"/>
              </w:rPr>
              <w:t>0.46</w:t>
            </w:r>
          </w:p>
        </w:tc>
      </w:tr>
      <w:tr w:rsidR="00CD2E65" w14:paraId="715CD8A5" w14:textId="77777777">
        <w:trPr>
          <w:jc w:val="center"/>
        </w:trPr>
        <w:tc>
          <w:tcPr>
            <w:tcW w:w="1987" w:type="dxa"/>
            <w:vAlign w:val="center"/>
          </w:tcPr>
          <w:p w14:paraId="4CE10A54" w14:textId="77777777" w:rsidR="00CD2E65" w:rsidRDefault="00000000">
            <w:r>
              <w:rPr>
                <w:sz w:val="20"/>
              </w:rPr>
              <w:t>14</w:t>
            </w:r>
          </w:p>
        </w:tc>
        <w:tc>
          <w:tcPr>
            <w:tcW w:w="1987" w:type="dxa"/>
            <w:vAlign w:val="center"/>
          </w:tcPr>
          <w:p w14:paraId="70562875" w14:textId="77777777" w:rsidR="00CD2E65" w:rsidRDefault="00000000">
            <w:r>
              <w:rPr>
                <w:sz w:val="20"/>
              </w:rPr>
              <w:t>Knowledge of a Healthy Lifestyle</w:t>
            </w:r>
          </w:p>
        </w:tc>
        <w:tc>
          <w:tcPr>
            <w:tcW w:w="1987" w:type="dxa"/>
            <w:vAlign w:val="center"/>
          </w:tcPr>
          <w:p w14:paraId="345B040B" w14:textId="77777777" w:rsidR="00CD2E65" w:rsidRDefault="00000000">
            <w:r>
              <w:rPr>
                <w:sz w:val="20"/>
              </w:rPr>
              <w:t>1.87</w:t>
            </w:r>
          </w:p>
        </w:tc>
        <w:tc>
          <w:tcPr>
            <w:tcW w:w="1987" w:type="dxa"/>
            <w:vAlign w:val="center"/>
          </w:tcPr>
          <w:p w14:paraId="22B6F76F" w14:textId="77777777" w:rsidR="00CD2E65" w:rsidRDefault="00000000">
            <w:r>
              <w:rPr>
                <w:sz w:val="20"/>
              </w:rPr>
              <w:t>2.00</w:t>
            </w:r>
          </w:p>
        </w:tc>
        <w:tc>
          <w:tcPr>
            <w:tcW w:w="1987" w:type="dxa"/>
            <w:vAlign w:val="center"/>
          </w:tcPr>
          <w:p w14:paraId="603F2434" w14:textId="77777777" w:rsidR="00CD2E65" w:rsidRDefault="00000000">
            <w:r>
              <w:rPr>
                <w:sz w:val="20"/>
              </w:rPr>
              <w:t>0.33</w:t>
            </w:r>
          </w:p>
        </w:tc>
      </w:tr>
      <w:tr w:rsidR="00CD2E65" w14:paraId="61A7CFD8" w14:textId="77777777">
        <w:trPr>
          <w:jc w:val="center"/>
        </w:trPr>
        <w:tc>
          <w:tcPr>
            <w:tcW w:w="1987" w:type="dxa"/>
            <w:vAlign w:val="center"/>
          </w:tcPr>
          <w:p w14:paraId="11F03884" w14:textId="77777777" w:rsidR="00CD2E65" w:rsidRDefault="00000000">
            <w:r>
              <w:rPr>
                <w:sz w:val="20"/>
              </w:rPr>
              <w:t>15</w:t>
            </w:r>
          </w:p>
        </w:tc>
        <w:tc>
          <w:tcPr>
            <w:tcW w:w="1987" w:type="dxa"/>
            <w:vAlign w:val="center"/>
          </w:tcPr>
          <w:p w14:paraId="47B4DC1F" w14:textId="77777777" w:rsidR="00CD2E65" w:rsidRDefault="00000000">
            <w:r>
              <w:rPr>
                <w:sz w:val="20"/>
              </w:rPr>
              <w:t>Physical Activity Level</w:t>
            </w:r>
          </w:p>
        </w:tc>
        <w:tc>
          <w:tcPr>
            <w:tcW w:w="1987" w:type="dxa"/>
            <w:vAlign w:val="center"/>
          </w:tcPr>
          <w:p w14:paraId="006D65A3" w14:textId="77777777" w:rsidR="00CD2E65" w:rsidRDefault="00000000">
            <w:r>
              <w:rPr>
                <w:sz w:val="20"/>
              </w:rPr>
              <w:t>1.04</w:t>
            </w:r>
          </w:p>
        </w:tc>
        <w:tc>
          <w:tcPr>
            <w:tcW w:w="1987" w:type="dxa"/>
            <w:vAlign w:val="center"/>
          </w:tcPr>
          <w:p w14:paraId="7FE0BF8E" w14:textId="77777777" w:rsidR="00CD2E65" w:rsidRDefault="00000000">
            <w:r>
              <w:rPr>
                <w:sz w:val="20"/>
              </w:rPr>
              <w:t>1.00</w:t>
            </w:r>
          </w:p>
        </w:tc>
        <w:tc>
          <w:tcPr>
            <w:tcW w:w="1987" w:type="dxa"/>
            <w:vAlign w:val="center"/>
          </w:tcPr>
          <w:p w14:paraId="6C21A445" w14:textId="77777777" w:rsidR="00CD2E65" w:rsidRDefault="00000000">
            <w:r>
              <w:rPr>
                <w:sz w:val="20"/>
              </w:rPr>
              <w:t>0.29</w:t>
            </w:r>
          </w:p>
        </w:tc>
      </w:tr>
      <w:tr w:rsidR="00CD2E65" w14:paraId="2BF59C6F" w14:textId="77777777">
        <w:trPr>
          <w:jc w:val="center"/>
        </w:trPr>
        <w:tc>
          <w:tcPr>
            <w:tcW w:w="1987" w:type="dxa"/>
            <w:vAlign w:val="center"/>
          </w:tcPr>
          <w:p w14:paraId="7DDD7725" w14:textId="77777777" w:rsidR="00CD2E65" w:rsidRDefault="00000000">
            <w:r>
              <w:rPr>
                <w:sz w:val="20"/>
              </w:rPr>
              <w:t>16</w:t>
            </w:r>
          </w:p>
        </w:tc>
        <w:tc>
          <w:tcPr>
            <w:tcW w:w="1987" w:type="dxa"/>
            <w:vAlign w:val="center"/>
          </w:tcPr>
          <w:p w14:paraId="3430B2F0" w14:textId="77777777" w:rsidR="00CD2E65" w:rsidRDefault="00000000">
            <w:r>
              <w:rPr>
                <w:sz w:val="20"/>
              </w:rPr>
              <w:t>Physical Activity in a Week (Frequency)</w:t>
            </w:r>
          </w:p>
        </w:tc>
        <w:tc>
          <w:tcPr>
            <w:tcW w:w="1987" w:type="dxa"/>
            <w:vAlign w:val="center"/>
          </w:tcPr>
          <w:p w14:paraId="4B4D7BA0" w14:textId="77777777" w:rsidR="00CD2E65" w:rsidRDefault="00000000">
            <w:r>
              <w:rPr>
                <w:sz w:val="20"/>
              </w:rPr>
              <w:t>3.46</w:t>
            </w:r>
          </w:p>
        </w:tc>
        <w:tc>
          <w:tcPr>
            <w:tcW w:w="1987" w:type="dxa"/>
            <w:vAlign w:val="center"/>
          </w:tcPr>
          <w:p w14:paraId="768C8C2D" w14:textId="77777777" w:rsidR="00CD2E65" w:rsidRDefault="00000000">
            <w:r>
              <w:rPr>
                <w:sz w:val="20"/>
              </w:rPr>
              <w:t>4.00</w:t>
            </w:r>
          </w:p>
        </w:tc>
        <w:tc>
          <w:tcPr>
            <w:tcW w:w="1987" w:type="dxa"/>
            <w:vAlign w:val="center"/>
          </w:tcPr>
          <w:p w14:paraId="08EA9F80" w14:textId="77777777" w:rsidR="00CD2E65" w:rsidRDefault="00000000">
            <w:r>
              <w:rPr>
                <w:sz w:val="20"/>
              </w:rPr>
              <w:t>0.94</w:t>
            </w:r>
          </w:p>
        </w:tc>
      </w:tr>
      <w:tr w:rsidR="00CD2E65" w14:paraId="2B7FB30E" w14:textId="77777777">
        <w:trPr>
          <w:jc w:val="center"/>
        </w:trPr>
        <w:tc>
          <w:tcPr>
            <w:tcW w:w="1987" w:type="dxa"/>
            <w:vAlign w:val="center"/>
          </w:tcPr>
          <w:p w14:paraId="087F2B3D" w14:textId="77777777" w:rsidR="00CD2E65" w:rsidRDefault="00000000">
            <w:r>
              <w:rPr>
                <w:sz w:val="20"/>
              </w:rPr>
              <w:t>17</w:t>
            </w:r>
          </w:p>
        </w:tc>
        <w:tc>
          <w:tcPr>
            <w:tcW w:w="1987" w:type="dxa"/>
            <w:vAlign w:val="center"/>
          </w:tcPr>
          <w:p w14:paraId="11AA7FA1" w14:textId="77777777" w:rsidR="00CD2E65" w:rsidRDefault="00000000">
            <w:r>
              <w:rPr>
                <w:sz w:val="20"/>
              </w:rPr>
              <w:t>Frequency of Stress</w:t>
            </w:r>
          </w:p>
        </w:tc>
        <w:tc>
          <w:tcPr>
            <w:tcW w:w="1987" w:type="dxa"/>
            <w:vAlign w:val="center"/>
          </w:tcPr>
          <w:p w14:paraId="54EF0D5E" w14:textId="77777777" w:rsidR="00CD2E65" w:rsidRDefault="00000000">
            <w:r>
              <w:rPr>
                <w:sz w:val="20"/>
              </w:rPr>
              <w:t>1.64</w:t>
            </w:r>
          </w:p>
        </w:tc>
        <w:tc>
          <w:tcPr>
            <w:tcW w:w="1987" w:type="dxa"/>
            <w:vAlign w:val="center"/>
          </w:tcPr>
          <w:p w14:paraId="71E0ACBB" w14:textId="77777777" w:rsidR="00CD2E65" w:rsidRDefault="00000000">
            <w:r>
              <w:rPr>
                <w:sz w:val="20"/>
              </w:rPr>
              <w:t>2.00</w:t>
            </w:r>
          </w:p>
        </w:tc>
        <w:tc>
          <w:tcPr>
            <w:tcW w:w="1987" w:type="dxa"/>
            <w:vAlign w:val="center"/>
          </w:tcPr>
          <w:p w14:paraId="534F7D1D" w14:textId="77777777" w:rsidR="00CD2E65" w:rsidRDefault="00000000">
            <w:r>
              <w:rPr>
                <w:sz w:val="20"/>
              </w:rPr>
              <w:t>0.48</w:t>
            </w:r>
          </w:p>
        </w:tc>
      </w:tr>
      <w:tr w:rsidR="00CD2E65" w14:paraId="4004656E" w14:textId="77777777">
        <w:trPr>
          <w:jc w:val="center"/>
        </w:trPr>
        <w:tc>
          <w:tcPr>
            <w:tcW w:w="1987" w:type="dxa"/>
            <w:vAlign w:val="center"/>
          </w:tcPr>
          <w:p w14:paraId="5D04DAAE" w14:textId="77777777" w:rsidR="00CD2E65" w:rsidRDefault="00000000">
            <w:r>
              <w:rPr>
                <w:sz w:val="20"/>
              </w:rPr>
              <w:t>18</w:t>
            </w:r>
          </w:p>
        </w:tc>
        <w:tc>
          <w:tcPr>
            <w:tcW w:w="1987" w:type="dxa"/>
            <w:vAlign w:val="center"/>
          </w:tcPr>
          <w:p w14:paraId="1E4620B3" w14:textId="77777777" w:rsidR="00CD2E65" w:rsidRDefault="00000000">
            <w:r>
              <w:rPr>
                <w:sz w:val="20"/>
              </w:rPr>
              <w:t>Reason for Stress</w:t>
            </w:r>
          </w:p>
        </w:tc>
        <w:tc>
          <w:tcPr>
            <w:tcW w:w="1987" w:type="dxa"/>
            <w:vAlign w:val="center"/>
          </w:tcPr>
          <w:p w14:paraId="0361448E" w14:textId="77777777" w:rsidR="00CD2E65" w:rsidRDefault="00000000">
            <w:r>
              <w:rPr>
                <w:sz w:val="20"/>
              </w:rPr>
              <w:t>2.65</w:t>
            </w:r>
          </w:p>
        </w:tc>
        <w:tc>
          <w:tcPr>
            <w:tcW w:w="1987" w:type="dxa"/>
            <w:vAlign w:val="center"/>
          </w:tcPr>
          <w:p w14:paraId="458FA0AD" w14:textId="77777777" w:rsidR="00CD2E65" w:rsidRDefault="00000000">
            <w:r>
              <w:rPr>
                <w:sz w:val="20"/>
              </w:rPr>
              <w:t>2.00</w:t>
            </w:r>
          </w:p>
        </w:tc>
        <w:tc>
          <w:tcPr>
            <w:tcW w:w="1987" w:type="dxa"/>
            <w:vAlign w:val="center"/>
          </w:tcPr>
          <w:p w14:paraId="3213E351" w14:textId="77777777" w:rsidR="00CD2E65" w:rsidRDefault="00000000">
            <w:r>
              <w:rPr>
                <w:sz w:val="20"/>
              </w:rPr>
              <w:t>1.66</w:t>
            </w:r>
          </w:p>
        </w:tc>
      </w:tr>
      <w:tr w:rsidR="00CD2E65" w14:paraId="7001044D" w14:textId="77777777">
        <w:trPr>
          <w:jc w:val="center"/>
        </w:trPr>
        <w:tc>
          <w:tcPr>
            <w:tcW w:w="1987" w:type="dxa"/>
            <w:vAlign w:val="center"/>
          </w:tcPr>
          <w:p w14:paraId="03B3FFFC" w14:textId="77777777" w:rsidR="00CD2E65" w:rsidRDefault="00000000">
            <w:r>
              <w:rPr>
                <w:sz w:val="20"/>
              </w:rPr>
              <w:t>19</w:t>
            </w:r>
          </w:p>
        </w:tc>
        <w:tc>
          <w:tcPr>
            <w:tcW w:w="1987" w:type="dxa"/>
            <w:vAlign w:val="center"/>
          </w:tcPr>
          <w:p w14:paraId="2B7023EA" w14:textId="77777777" w:rsidR="00CD2E65" w:rsidRDefault="00000000">
            <w:r>
              <w:rPr>
                <w:sz w:val="20"/>
              </w:rPr>
              <w:t>Nap Duration Per Day</w:t>
            </w:r>
          </w:p>
        </w:tc>
        <w:tc>
          <w:tcPr>
            <w:tcW w:w="1987" w:type="dxa"/>
            <w:vAlign w:val="center"/>
          </w:tcPr>
          <w:p w14:paraId="081E98C9" w14:textId="77777777" w:rsidR="00CD2E65" w:rsidRDefault="00000000">
            <w:r>
              <w:rPr>
                <w:sz w:val="20"/>
              </w:rPr>
              <w:t>2.51</w:t>
            </w:r>
          </w:p>
        </w:tc>
        <w:tc>
          <w:tcPr>
            <w:tcW w:w="1987" w:type="dxa"/>
            <w:vAlign w:val="center"/>
          </w:tcPr>
          <w:p w14:paraId="18D80328" w14:textId="77777777" w:rsidR="00CD2E65" w:rsidRDefault="00000000">
            <w:r>
              <w:rPr>
                <w:sz w:val="20"/>
              </w:rPr>
              <w:t>2.00</w:t>
            </w:r>
          </w:p>
        </w:tc>
        <w:tc>
          <w:tcPr>
            <w:tcW w:w="1987" w:type="dxa"/>
            <w:vAlign w:val="center"/>
          </w:tcPr>
          <w:p w14:paraId="31FDC87C" w14:textId="77777777" w:rsidR="00CD2E65" w:rsidRDefault="00000000">
            <w:r>
              <w:rPr>
                <w:sz w:val="20"/>
              </w:rPr>
              <w:t>1.06</w:t>
            </w:r>
          </w:p>
        </w:tc>
      </w:tr>
      <w:tr w:rsidR="00CD2E65" w14:paraId="1AE98D0D" w14:textId="77777777">
        <w:trPr>
          <w:jc w:val="center"/>
        </w:trPr>
        <w:tc>
          <w:tcPr>
            <w:tcW w:w="1987" w:type="dxa"/>
            <w:vAlign w:val="center"/>
          </w:tcPr>
          <w:p w14:paraId="720EF435" w14:textId="77777777" w:rsidR="00CD2E65" w:rsidRDefault="00000000">
            <w:r>
              <w:rPr>
                <w:sz w:val="20"/>
              </w:rPr>
              <w:t>20</w:t>
            </w:r>
          </w:p>
        </w:tc>
        <w:tc>
          <w:tcPr>
            <w:tcW w:w="1987" w:type="dxa"/>
            <w:vAlign w:val="center"/>
          </w:tcPr>
          <w:p w14:paraId="42BB875F" w14:textId="77777777" w:rsidR="00CD2E65" w:rsidRDefault="00000000">
            <w:r>
              <w:rPr>
                <w:sz w:val="20"/>
              </w:rPr>
              <w:t>Awareness about Sleep Patterns</w:t>
            </w:r>
          </w:p>
        </w:tc>
        <w:tc>
          <w:tcPr>
            <w:tcW w:w="1987" w:type="dxa"/>
            <w:vAlign w:val="center"/>
          </w:tcPr>
          <w:p w14:paraId="2F451391" w14:textId="77777777" w:rsidR="00CD2E65" w:rsidRDefault="00000000">
            <w:r>
              <w:rPr>
                <w:sz w:val="20"/>
              </w:rPr>
              <w:t>1.93</w:t>
            </w:r>
          </w:p>
        </w:tc>
        <w:tc>
          <w:tcPr>
            <w:tcW w:w="1987" w:type="dxa"/>
            <w:vAlign w:val="center"/>
          </w:tcPr>
          <w:p w14:paraId="080C632B" w14:textId="77777777" w:rsidR="00CD2E65" w:rsidRDefault="00000000">
            <w:r>
              <w:rPr>
                <w:sz w:val="20"/>
              </w:rPr>
              <w:t>2.00</w:t>
            </w:r>
          </w:p>
        </w:tc>
        <w:tc>
          <w:tcPr>
            <w:tcW w:w="1987" w:type="dxa"/>
            <w:vAlign w:val="center"/>
          </w:tcPr>
          <w:p w14:paraId="5E4512A8" w14:textId="77777777" w:rsidR="00CD2E65" w:rsidRDefault="00000000">
            <w:r>
              <w:rPr>
                <w:sz w:val="20"/>
              </w:rPr>
              <w:t>1.69</w:t>
            </w:r>
          </w:p>
        </w:tc>
      </w:tr>
      <w:tr w:rsidR="00CD2E65" w14:paraId="05101626" w14:textId="77777777">
        <w:trPr>
          <w:jc w:val="center"/>
        </w:trPr>
        <w:tc>
          <w:tcPr>
            <w:tcW w:w="1987" w:type="dxa"/>
            <w:vAlign w:val="center"/>
          </w:tcPr>
          <w:p w14:paraId="0CD4F348" w14:textId="77777777" w:rsidR="00CD2E65" w:rsidRDefault="00000000">
            <w:r>
              <w:rPr>
                <w:sz w:val="20"/>
              </w:rPr>
              <w:t>21</w:t>
            </w:r>
          </w:p>
        </w:tc>
        <w:tc>
          <w:tcPr>
            <w:tcW w:w="1987" w:type="dxa"/>
            <w:vAlign w:val="center"/>
          </w:tcPr>
          <w:p w14:paraId="6085D68A" w14:textId="77777777" w:rsidR="00CD2E65" w:rsidRDefault="00000000">
            <w:r>
              <w:rPr>
                <w:sz w:val="20"/>
              </w:rPr>
              <w:t>Sleep Duration Per Day</w:t>
            </w:r>
          </w:p>
        </w:tc>
        <w:tc>
          <w:tcPr>
            <w:tcW w:w="1987" w:type="dxa"/>
            <w:vAlign w:val="center"/>
          </w:tcPr>
          <w:p w14:paraId="09844D9E" w14:textId="77777777" w:rsidR="00CD2E65" w:rsidRDefault="00000000">
            <w:r>
              <w:rPr>
                <w:sz w:val="20"/>
              </w:rPr>
              <w:t>1.54</w:t>
            </w:r>
          </w:p>
        </w:tc>
        <w:tc>
          <w:tcPr>
            <w:tcW w:w="1987" w:type="dxa"/>
            <w:vAlign w:val="center"/>
          </w:tcPr>
          <w:p w14:paraId="33A265F0" w14:textId="77777777" w:rsidR="00CD2E65" w:rsidRDefault="00000000">
            <w:r>
              <w:rPr>
                <w:sz w:val="20"/>
              </w:rPr>
              <w:t>1.00</w:t>
            </w:r>
          </w:p>
        </w:tc>
        <w:tc>
          <w:tcPr>
            <w:tcW w:w="1987" w:type="dxa"/>
            <w:vAlign w:val="center"/>
          </w:tcPr>
          <w:p w14:paraId="782D8339" w14:textId="77777777" w:rsidR="00CD2E65" w:rsidRDefault="00000000">
            <w:r>
              <w:rPr>
                <w:sz w:val="20"/>
              </w:rPr>
              <w:t>0.95</w:t>
            </w:r>
          </w:p>
        </w:tc>
      </w:tr>
      <w:tr w:rsidR="00CD2E65" w14:paraId="1359BF75" w14:textId="77777777">
        <w:trPr>
          <w:jc w:val="center"/>
        </w:trPr>
        <w:tc>
          <w:tcPr>
            <w:tcW w:w="1987" w:type="dxa"/>
            <w:vAlign w:val="center"/>
          </w:tcPr>
          <w:p w14:paraId="552E6DC5" w14:textId="77777777" w:rsidR="00CD2E65" w:rsidRDefault="00000000">
            <w:r>
              <w:rPr>
                <w:sz w:val="20"/>
              </w:rPr>
              <w:lastRenderedPageBreak/>
              <w:t>22</w:t>
            </w:r>
          </w:p>
        </w:tc>
        <w:tc>
          <w:tcPr>
            <w:tcW w:w="1987" w:type="dxa"/>
            <w:vAlign w:val="center"/>
          </w:tcPr>
          <w:p w14:paraId="713600B8" w14:textId="77777777" w:rsidR="00CD2E65" w:rsidRDefault="00000000">
            <w:r>
              <w:rPr>
                <w:sz w:val="20"/>
              </w:rPr>
              <w:t>Knowledge about Glucose Level</w:t>
            </w:r>
          </w:p>
        </w:tc>
        <w:tc>
          <w:tcPr>
            <w:tcW w:w="1987" w:type="dxa"/>
            <w:vAlign w:val="center"/>
          </w:tcPr>
          <w:p w14:paraId="3FC69119" w14:textId="77777777" w:rsidR="00CD2E65" w:rsidRDefault="00000000">
            <w:r>
              <w:rPr>
                <w:sz w:val="20"/>
              </w:rPr>
              <w:t>1.83</w:t>
            </w:r>
          </w:p>
        </w:tc>
        <w:tc>
          <w:tcPr>
            <w:tcW w:w="1987" w:type="dxa"/>
            <w:vAlign w:val="center"/>
          </w:tcPr>
          <w:p w14:paraId="3FB94878" w14:textId="77777777" w:rsidR="00CD2E65" w:rsidRDefault="00000000">
            <w:r>
              <w:rPr>
                <w:sz w:val="20"/>
              </w:rPr>
              <w:t>2.00</w:t>
            </w:r>
          </w:p>
        </w:tc>
        <w:tc>
          <w:tcPr>
            <w:tcW w:w="1987" w:type="dxa"/>
            <w:vAlign w:val="center"/>
          </w:tcPr>
          <w:p w14:paraId="421DFC02" w14:textId="77777777" w:rsidR="00CD2E65" w:rsidRDefault="00000000">
            <w:r>
              <w:rPr>
                <w:sz w:val="20"/>
              </w:rPr>
              <w:t>0.37</w:t>
            </w:r>
          </w:p>
        </w:tc>
      </w:tr>
      <w:tr w:rsidR="00CD2E65" w14:paraId="773DB32C" w14:textId="77777777">
        <w:trPr>
          <w:jc w:val="center"/>
        </w:trPr>
        <w:tc>
          <w:tcPr>
            <w:tcW w:w="1987" w:type="dxa"/>
            <w:vAlign w:val="center"/>
          </w:tcPr>
          <w:p w14:paraId="7512A01A" w14:textId="77777777" w:rsidR="00CD2E65" w:rsidRDefault="00000000">
            <w:r>
              <w:rPr>
                <w:sz w:val="20"/>
              </w:rPr>
              <w:t>23</w:t>
            </w:r>
          </w:p>
        </w:tc>
        <w:tc>
          <w:tcPr>
            <w:tcW w:w="1987" w:type="dxa"/>
            <w:vAlign w:val="center"/>
          </w:tcPr>
          <w:p w14:paraId="6694F2EA" w14:textId="77777777" w:rsidR="00CD2E65" w:rsidRDefault="00000000">
            <w:r>
              <w:rPr>
                <w:sz w:val="20"/>
              </w:rPr>
              <w:t>Monitoring of Blood Glucose Level</w:t>
            </w:r>
          </w:p>
        </w:tc>
        <w:tc>
          <w:tcPr>
            <w:tcW w:w="1987" w:type="dxa"/>
            <w:vAlign w:val="center"/>
          </w:tcPr>
          <w:p w14:paraId="7B37E361" w14:textId="77777777" w:rsidR="00CD2E65" w:rsidRDefault="00000000">
            <w:r>
              <w:rPr>
                <w:sz w:val="20"/>
              </w:rPr>
              <w:t>1.23</w:t>
            </w:r>
          </w:p>
        </w:tc>
        <w:tc>
          <w:tcPr>
            <w:tcW w:w="1987" w:type="dxa"/>
            <w:vAlign w:val="center"/>
          </w:tcPr>
          <w:p w14:paraId="2A1B016B" w14:textId="77777777" w:rsidR="00CD2E65" w:rsidRDefault="00000000">
            <w:r>
              <w:rPr>
                <w:sz w:val="20"/>
              </w:rPr>
              <w:t>1.00</w:t>
            </w:r>
          </w:p>
        </w:tc>
        <w:tc>
          <w:tcPr>
            <w:tcW w:w="1987" w:type="dxa"/>
            <w:vAlign w:val="center"/>
          </w:tcPr>
          <w:p w14:paraId="69121F0A" w14:textId="77777777" w:rsidR="00CD2E65" w:rsidRDefault="00000000">
            <w:r>
              <w:rPr>
                <w:sz w:val="20"/>
              </w:rPr>
              <w:t>0.42</w:t>
            </w:r>
          </w:p>
        </w:tc>
      </w:tr>
      <w:tr w:rsidR="00CD2E65" w14:paraId="4B06E63B" w14:textId="77777777">
        <w:trPr>
          <w:jc w:val="center"/>
        </w:trPr>
        <w:tc>
          <w:tcPr>
            <w:tcW w:w="1987" w:type="dxa"/>
            <w:vAlign w:val="center"/>
          </w:tcPr>
          <w:p w14:paraId="150F9872" w14:textId="77777777" w:rsidR="00CD2E65" w:rsidRDefault="00000000">
            <w:r>
              <w:rPr>
                <w:sz w:val="20"/>
              </w:rPr>
              <w:t>24</w:t>
            </w:r>
          </w:p>
        </w:tc>
        <w:tc>
          <w:tcPr>
            <w:tcW w:w="1987" w:type="dxa"/>
            <w:vAlign w:val="center"/>
          </w:tcPr>
          <w:p w14:paraId="125811D4" w14:textId="77777777" w:rsidR="00CD2E65" w:rsidRDefault="00000000">
            <w:r>
              <w:rPr>
                <w:sz w:val="20"/>
              </w:rPr>
              <w:t>Meals Consumed in a Day</w:t>
            </w:r>
          </w:p>
        </w:tc>
        <w:tc>
          <w:tcPr>
            <w:tcW w:w="1987" w:type="dxa"/>
            <w:vAlign w:val="center"/>
          </w:tcPr>
          <w:p w14:paraId="57B09F45" w14:textId="77777777" w:rsidR="00CD2E65" w:rsidRDefault="00000000">
            <w:r>
              <w:rPr>
                <w:sz w:val="20"/>
              </w:rPr>
              <w:t>2.50</w:t>
            </w:r>
          </w:p>
        </w:tc>
        <w:tc>
          <w:tcPr>
            <w:tcW w:w="1987" w:type="dxa"/>
            <w:vAlign w:val="center"/>
          </w:tcPr>
          <w:p w14:paraId="2DDB0F2E" w14:textId="77777777" w:rsidR="00CD2E65" w:rsidRDefault="00000000">
            <w:r>
              <w:rPr>
                <w:sz w:val="20"/>
              </w:rPr>
              <w:t>2.00</w:t>
            </w:r>
          </w:p>
        </w:tc>
        <w:tc>
          <w:tcPr>
            <w:tcW w:w="1987" w:type="dxa"/>
            <w:vAlign w:val="center"/>
          </w:tcPr>
          <w:p w14:paraId="47E22DE1" w14:textId="77777777" w:rsidR="00CD2E65" w:rsidRDefault="00000000">
            <w:r>
              <w:rPr>
                <w:sz w:val="20"/>
              </w:rPr>
              <w:t>0.52</w:t>
            </w:r>
          </w:p>
        </w:tc>
      </w:tr>
      <w:tr w:rsidR="00CD2E65" w14:paraId="0A48A7BE" w14:textId="77777777">
        <w:trPr>
          <w:jc w:val="center"/>
        </w:trPr>
        <w:tc>
          <w:tcPr>
            <w:tcW w:w="1987" w:type="dxa"/>
            <w:vAlign w:val="center"/>
          </w:tcPr>
          <w:p w14:paraId="62BB48F0" w14:textId="77777777" w:rsidR="00CD2E65" w:rsidRDefault="00000000">
            <w:r>
              <w:rPr>
                <w:sz w:val="20"/>
              </w:rPr>
              <w:t>25</w:t>
            </w:r>
          </w:p>
        </w:tc>
        <w:tc>
          <w:tcPr>
            <w:tcW w:w="1987" w:type="dxa"/>
            <w:vAlign w:val="center"/>
          </w:tcPr>
          <w:p w14:paraId="45EA016B" w14:textId="77777777" w:rsidR="00CD2E65" w:rsidRDefault="00000000">
            <w:r>
              <w:rPr>
                <w:sz w:val="20"/>
              </w:rPr>
              <w:t>Knowledge about the Interval Between Meals</w:t>
            </w:r>
          </w:p>
        </w:tc>
        <w:tc>
          <w:tcPr>
            <w:tcW w:w="1987" w:type="dxa"/>
            <w:vAlign w:val="center"/>
          </w:tcPr>
          <w:p w14:paraId="3D4544BB" w14:textId="77777777" w:rsidR="00CD2E65" w:rsidRDefault="00000000">
            <w:r>
              <w:rPr>
                <w:sz w:val="20"/>
              </w:rPr>
              <w:t>1.51</w:t>
            </w:r>
          </w:p>
        </w:tc>
        <w:tc>
          <w:tcPr>
            <w:tcW w:w="1987" w:type="dxa"/>
            <w:vAlign w:val="center"/>
          </w:tcPr>
          <w:p w14:paraId="256A9220" w14:textId="77777777" w:rsidR="00CD2E65" w:rsidRDefault="00000000">
            <w:r>
              <w:rPr>
                <w:sz w:val="20"/>
              </w:rPr>
              <w:t>2.00</w:t>
            </w:r>
          </w:p>
        </w:tc>
        <w:tc>
          <w:tcPr>
            <w:tcW w:w="1987" w:type="dxa"/>
            <w:vAlign w:val="center"/>
          </w:tcPr>
          <w:p w14:paraId="0474A773" w14:textId="77777777" w:rsidR="00CD2E65" w:rsidRDefault="00000000">
            <w:r>
              <w:rPr>
                <w:sz w:val="20"/>
              </w:rPr>
              <w:t>0.50</w:t>
            </w:r>
          </w:p>
        </w:tc>
      </w:tr>
      <w:tr w:rsidR="00CD2E65" w14:paraId="249B0466" w14:textId="77777777">
        <w:trPr>
          <w:jc w:val="center"/>
        </w:trPr>
        <w:tc>
          <w:tcPr>
            <w:tcW w:w="1987" w:type="dxa"/>
            <w:vAlign w:val="center"/>
          </w:tcPr>
          <w:p w14:paraId="2057EA02" w14:textId="77777777" w:rsidR="00CD2E65" w:rsidRDefault="00000000">
            <w:r>
              <w:rPr>
                <w:sz w:val="20"/>
              </w:rPr>
              <w:t>26</w:t>
            </w:r>
          </w:p>
        </w:tc>
        <w:tc>
          <w:tcPr>
            <w:tcW w:w="1987" w:type="dxa"/>
            <w:vAlign w:val="center"/>
          </w:tcPr>
          <w:p w14:paraId="67B91B3A" w14:textId="77777777" w:rsidR="00CD2E65" w:rsidRDefault="00000000">
            <w:r>
              <w:rPr>
                <w:sz w:val="20"/>
              </w:rPr>
              <w:t>Frequency of Eating Outside in a Month</w:t>
            </w:r>
          </w:p>
        </w:tc>
        <w:tc>
          <w:tcPr>
            <w:tcW w:w="1987" w:type="dxa"/>
            <w:vAlign w:val="center"/>
          </w:tcPr>
          <w:p w14:paraId="43566B5E" w14:textId="77777777" w:rsidR="00CD2E65" w:rsidRDefault="00000000">
            <w:r>
              <w:rPr>
                <w:sz w:val="20"/>
              </w:rPr>
              <w:t>4.41</w:t>
            </w:r>
          </w:p>
        </w:tc>
        <w:tc>
          <w:tcPr>
            <w:tcW w:w="1987" w:type="dxa"/>
            <w:vAlign w:val="center"/>
          </w:tcPr>
          <w:p w14:paraId="6561D32E" w14:textId="77777777" w:rsidR="00CD2E65" w:rsidRDefault="00000000">
            <w:r>
              <w:rPr>
                <w:sz w:val="20"/>
              </w:rPr>
              <w:t>5.00</w:t>
            </w:r>
          </w:p>
        </w:tc>
        <w:tc>
          <w:tcPr>
            <w:tcW w:w="1987" w:type="dxa"/>
            <w:vAlign w:val="center"/>
          </w:tcPr>
          <w:p w14:paraId="74EF8A56" w14:textId="77777777" w:rsidR="00CD2E65" w:rsidRDefault="00000000">
            <w:r>
              <w:rPr>
                <w:sz w:val="20"/>
              </w:rPr>
              <w:t>0.75</w:t>
            </w:r>
          </w:p>
        </w:tc>
      </w:tr>
    </w:tbl>
    <w:p w14:paraId="6A0479F8" w14:textId="77777777" w:rsidR="00CD2E65" w:rsidRDefault="00000000">
      <w:r>
        <w:rPr>
          <w:highlight w:val="yellow"/>
        </w:rPr>
        <w:t xml:space="preserve">Table 1 presents summary statistics, including the mean, median and standard deviation, for 26 variables related to physical activity, lifestyle </w:t>
      </w:r>
      <w:proofErr w:type="spellStart"/>
      <w:r>
        <w:rPr>
          <w:highlight w:val="yellow"/>
        </w:rPr>
        <w:t>behaviours</w:t>
      </w:r>
      <w:proofErr w:type="spellEnd"/>
      <w:r>
        <w:rPr>
          <w:highlight w:val="yellow"/>
        </w:rPr>
        <w:t>, nutritional awareness, stress, sleep and eating patterns. The findings are interpreted below with reference to the relevant literature.</w:t>
      </w:r>
    </w:p>
    <w:p w14:paraId="48C812C8" w14:textId="77777777" w:rsidR="00CD2E65" w:rsidRDefault="00000000">
      <w:r>
        <w:rPr>
          <w:highlight w:val="yellow"/>
        </w:rPr>
        <w:t>Knowledge of physical activity had a relatively low mean score (mean = 0.54, median = 1.00, SD = 0.50), indicating limited understanding of physical activity concepts. This finding is consistent with evidence suggesting that awareness of physical activity recommendations is often low. Vaara et al. (2019) found that although some participants reported awareness of physical activity guidelines, only a smaller proportion could correctly identify specific recommendations. Similarly, Piercy et al. (2018) indicated that limited awareness of the amount and frequency of activity may contribute to poor adherence to physical activity recommendations.</w:t>
      </w:r>
    </w:p>
    <w:p w14:paraId="3E856DE1" w14:textId="77777777" w:rsidR="00CD2E65" w:rsidRDefault="00000000">
      <w:r>
        <w:rPr>
          <w:highlight w:val="yellow"/>
        </w:rPr>
        <w:t>The respondents reported participation in several forms of physical activity, despite limited theoretical knowledge. The practice of running showed a low mean score (mean = 0.40, SD = 0.49) and a median of 0.00, indicating that most participants did not engage in running as a regular activity. In contrast, jogging (mean = 3.95, SD = 0.38), aerobic exercise (mean = 3.98, SD = 0.24), yoga asanas (mean = 3.87, SD = 0.59), slow walking and moderate walking had higher mean and median values. These findings suggest a gap between conceptual knowledge and reported practice, where participants may continue active routines despite limited formal knowledge.</w:t>
      </w:r>
    </w:p>
    <w:p w14:paraId="1FD527CF" w14:textId="77777777" w:rsidR="00CD2E65" w:rsidRDefault="00000000">
      <w:r>
        <w:rPr>
          <w:highlight w:val="yellow"/>
        </w:rPr>
        <w:t xml:space="preserve">This gap between knowledge and practice is consistent with the knowledge, attitude and practice literature. </w:t>
      </w:r>
      <w:proofErr w:type="spellStart"/>
      <w:r>
        <w:rPr>
          <w:highlight w:val="yellow"/>
        </w:rPr>
        <w:t>Behavioural</w:t>
      </w:r>
      <w:proofErr w:type="spellEnd"/>
      <w:r>
        <w:rPr>
          <w:highlight w:val="yellow"/>
        </w:rPr>
        <w:t xml:space="preserve"> engagement may sometimes be supported by habit, social norms or other motivational factors, even when conceptual knowledge is limited.</w:t>
      </w:r>
    </w:p>
    <w:p w14:paraId="4F64E639" w14:textId="77777777" w:rsidR="00CD2E65" w:rsidRDefault="00000000">
      <w:r>
        <w:rPr>
          <w:highlight w:val="yellow"/>
        </w:rPr>
        <w:t>Tea dependence (mean = 1.12, SD = 0.32) was lower than dependence on coffee (mean = 1.89, SD = 0.31), energy drinks (mean = 1.98, SD = 0.15) and carbonated drinks (mean = 1.96, SD = 0.20). These findings suggest frequent consumption of caffeinated and carbonated beverages, which is consistent with broader concerns about beverage consumption patterns and sugar-sweetened drinks.</w:t>
      </w:r>
    </w:p>
    <w:p w14:paraId="6CE0F11F" w14:textId="77777777" w:rsidR="00CD2E65" w:rsidRDefault="00000000">
      <w:r>
        <w:rPr>
          <w:highlight w:val="yellow"/>
        </w:rPr>
        <w:t>Although the table does not measure health outcomes directly, the literature indicates that frequent consumption of sugar-sweetened beverages is associated with obesity, insulin resistance and cardiometabolic risks (Hu, 2013; Malik et al., 2010).</w:t>
      </w:r>
    </w:p>
    <w:p w14:paraId="0C8F18FE" w14:textId="77777777" w:rsidR="00CD2E65" w:rsidRDefault="00000000">
      <w:r>
        <w:rPr>
          <w:highlight w:val="yellow"/>
        </w:rPr>
        <w:t xml:space="preserve">The mean score for knowledge of nutrition was 1.69 (SD = 0.46), while knowledge of a healthy lifestyle was 1.87 (SD = 0.33), indicating moderate awareness. Knowledge about glucose level (mean </w:t>
      </w:r>
      <w:r>
        <w:rPr>
          <w:highlight w:val="yellow"/>
        </w:rPr>
        <w:lastRenderedPageBreak/>
        <w:t>= 1.83, SD = 0.37) was higher than actual blood glucose monitoring (mean = 1.23, SD = 0.42), suggesting a gap between awareness and practice.</w:t>
      </w:r>
    </w:p>
    <w:p w14:paraId="68BE7CF2" w14:textId="77777777" w:rsidR="00CD2E65" w:rsidRDefault="00000000">
      <w:r>
        <w:rPr>
          <w:highlight w:val="yellow"/>
        </w:rPr>
        <w:t xml:space="preserve">Knowledge about meal intervals was low (mean = 1.51, SD = 0.50), while the average number of meals consumed per day was 2.50 (SD = 0.52). The distribution suggests that most respondents consumed two to three meals per day. These findings are consistent with literature indicating that meal timing and frequency are relevant to cardiometabolic health. St-Onge et al. (2017) </w:t>
      </w:r>
      <w:proofErr w:type="spellStart"/>
      <w:r>
        <w:rPr>
          <w:highlight w:val="yellow"/>
        </w:rPr>
        <w:t>emphasised</w:t>
      </w:r>
      <w:proofErr w:type="spellEnd"/>
      <w:r>
        <w:rPr>
          <w:highlight w:val="yellow"/>
        </w:rPr>
        <w:t xml:space="preserve"> the importance of meal frequency and timing in maintaining metabolic homeostasis.</w:t>
      </w:r>
    </w:p>
    <w:p w14:paraId="6ECC445A" w14:textId="77777777" w:rsidR="00CD2E65" w:rsidRDefault="00000000">
      <w:r>
        <w:rPr>
          <w:highlight w:val="yellow"/>
        </w:rPr>
        <w:t>The mean frequency of weekly physical activity was 3.46 (median = 4.00, SD = 0.94), indicating that participants engaged in physical activity approximately three to four times per week. The frequency of stress was comparatively low (mean = 1.64, SD = 0.48), but the reasons for stress varied considerably (mean = 2.65, SD = 1.66), indicating individual variation in stress-related factors.</w:t>
      </w:r>
    </w:p>
    <w:p w14:paraId="2D6714E0" w14:textId="77777777" w:rsidR="00CD2E65" w:rsidRDefault="00000000">
      <w:r>
        <w:rPr>
          <w:highlight w:val="yellow"/>
        </w:rPr>
        <w:t>Mean nap duration was 2.51 (SD = 1.06), while mean daily sleep duration was 1.54 (SD = 0.95). Awareness of sleep patterns showed high variability (SD = 1.69), suggesting differences in knowledge or perceptions of healthy sleep. These findings are consistent with the broader sleep-health literature, which documents variation in awareness and sleep practices (</w:t>
      </w:r>
      <w:proofErr w:type="spellStart"/>
      <w:r>
        <w:rPr>
          <w:highlight w:val="yellow"/>
        </w:rPr>
        <w:t>Hirshkowitz</w:t>
      </w:r>
      <w:proofErr w:type="spellEnd"/>
      <w:r>
        <w:rPr>
          <w:highlight w:val="yellow"/>
        </w:rPr>
        <w:t xml:space="preserve"> et al., 2015).</w:t>
      </w:r>
    </w:p>
    <w:p w14:paraId="6698A9AB" w14:textId="77777777" w:rsidR="00CD2E65" w:rsidRDefault="00000000">
      <w:r>
        <w:rPr>
          <w:highlight w:val="yellow"/>
        </w:rPr>
        <w:t xml:space="preserve">The mean frequency of eating outside the home was 4.41 (median = 5.00, SD = 0.75), indicating that many participants ate outside the home during the month. Evidence links frequent out-of-home eating with poorer dietary quality, including greater energy density and higher intake of saturated fat, sugars and sodium, along with lower intake of fruits, vegetables, </w:t>
      </w:r>
      <w:proofErr w:type="spellStart"/>
      <w:r>
        <w:rPr>
          <w:highlight w:val="yellow"/>
        </w:rPr>
        <w:t>fibre</w:t>
      </w:r>
      <w:proofErr w:type="spellEnd"/>
      <w:r>
        <w:rPr>
          <w:highlight w:val="yellow"/>
        </w:rPr>
        <w:t xml:space="preserve"> and micronutrients. Du et al. (2021) reported that more frequent eating away from home was associated with a higher risk of all-cause mortality. </w:t>
      </w:r>
      <w:proofErr w:type="spellStart"/>
      <w:r>
        <w:rPr>
          <w:highlight w:val="yellow"/>
        </w:rPr>
        <w:t>Gesteiro</w:t>
      </w:r>
      <w:proofErr w:type="spellEnd"/>
      <w:r>
        <w:rPr>
          <w:highlight w:val="yellow"/>
        </w:rPr>
        <w:t xml:space="preserve"> et al. (2022) also reported that eating out was often associated with poorer dietary quality and </w:t>
      </w:r>
      <w:proofErr w:type="spellStart"/>
      <w:r>
        <w:rPr>
          <w:highlight w:val="yellow"/>
        </w:rPr>
        <w:t>unfavourable</w:t>
      </w:r>
      <w:proofErr w:type="spellEnd"/>
      <w:r>
        <w:rPr>
          <w:highlight w:val="yellow"/>
        </w:rPr>
        <w:t xml:space="preserve"> health conditions. In a UK cohort analysis, Adams et al. (2015) found that 20-25% of adults ate out or ordered takeaway at least once per week, with variation by sociodemographic characteristics.</w:t>
      </w:r>
    </w:p>
    <w:p w14:paraId="09B1EC3A" w14:textId="77777777" w:rsidR="00CD2E65" w:rsidRDefault="00000000">
      <w:r>
        <w:rPr>
          <w:highlight w:val="yellow"/>
        </w:rPr>
        <w:t xml:space="preserve">Overall, these descriptive findings indicate a profile of relatively high participation in physical activity but limited conceptual understanding of selected health </w:t>
      </w:r>
      <w:proofErr w:type="spellStart"/>
      <w:r>
        <w:rPr>
          <w:highlight w:val="yellow"/>
        </w:rPr>
        <w:t>behaviours</w:t>
      </w:r>
      <w:proofErr w:type="spellEnd"/>
      <w:r>
        <w:rPr>
          <w:highlight w:val="yellow"/>
        </w:rPr>
        <w:t>. High consumption of coffee, energy drinks and carbonated drinks, together with frequent eating outside the home, may reduce some of the potential benefits of physical activity if dietary quality is poor. Knowledge gaps related to sleep, glucose monitoring and meal timing further indicate areas where health education interventions may be justified.</w:t>
      </w:r>
    </w:p>
    <w:p w14:paraId="09C01E27" w14:textId="77777777" w:rsidR="00CD2E65" w:rsidRDefault="00000000">
      <w:r>
        <w:rPr>
          <w:b/>
          <w:highlight w:val="yellow"/>
        </w:rPr>
        <w:t>B) Chi-square test output: association between nutritional awareness and daily meal-consumption patterns:</w:t>
      </w:r>
    </w:p>
    <w:p w14:paraId="2A5170AC" w14:textId="77777777" w:rsidR="00CD2E65" w:rsidRDefault="00000000">
      <w:r>
        <w:rPr>
          <w:highlight w:val="yellow"/>
        </w:rPr>
        <w:t>The Pearson chi-square test examined the association between nutritional awareness and daily meal-consumption patterns among 300 participants with PCOS.</w:t>
      </w:r>
    </w:p>
    <w:p w14:paraId="115C3A4C" w14:textId="77777777" w:rsidR="00CD2E65" w:rsidRDefault="00000000">
      <w:r>
        <w:rPr>
          <w:b/>
          <w:highlight w:val="yellow"/>
        </w:rPr>
        <w:t>Table 2: Chi-Square Test of Association Between Nutritional Awareness and Daily Meal-Consumption Patterns Before Intervention (n = 300)</w:t>
      </w:r>
    </w:p>
    <w:tbl>
      <w:tblPr>
        <w:tblStyle w:val="TableGrid"/>
        <w:tblW w:w="0" w:type="auto"/>
        <w:jc w:val="center"/>
        <w:tblLook w:val="04A0" w:firstRow="1" w:lastRow="0" w:firstColumn="1" w:lastColumn="0" w:noHBand="0" w:noVBand="1"/>
      </w:tblPr>
      <w:tblGrid>
        <w:gridCol w:w="2484"/>
        <w:gridCol w:w="2484"/>
        <w:gridCol w:w="2484"/>
        <w:gridCol w:w="2484"/>
      </w:tblGrid>
      <w:tr w:rsidR="00CD2E65" w14:paraId="40C86F5A" w14:textId="77777777">
        <w:trPr>
          <w:jc w:val="center"/>
        </w:trPr>
        <w:tc>
          <w:tcPr>
            <w:tcW w:w="2484" w:type="dxa"/>
            <w:vAlign w:val="center"/>
          </w:tcPr>
          <w:p w14:paraId="1A3537D9" w14:textId="77777777" w:rsidR="00CD2E65" w:rsidRDefault="00CD2E65"/>
        </w:tc>
        <w:tc>
          <w:tcPr>
            <w:tcW w:w="2484" w:type="dxa"/>
            <w:vAlign w:val="center"/>
          </w:tcPr>
          <w:p w14:paraId="06AC4931" w14:textId="77777777" w:rsidR="00CD2E65" w:rsidRDefault="00000000">
            <w:r>
              <w:rPr>
                <w:b/>
                <w:sz w:val="20"/>
              </w:rPr>
              <w:t>Value</w:t>
            </w:r>
          </w:p>
        </w:tc>
        <w:tc>
          <w:tcPr>
            <w:tcW w:w="2484" w:type="dxa"/>
            <w:vAlign w:val="center"/>
          </w:tcPr>
          <w:p w14:paraId="1A80899C" w14:textId="77777777" w:rsidR="00CD2E65" w:rsidRDefault="00000000">
            <w:proofErr w:type="spellStart"/>
            <w:r>
              <w:rPr>
                <w:b/>
                <w:sz w:val="20"/>
              </w:rPr>
              <w:t>df</w:t>
            </w:r>
            <w:proofErr w:type="spellEnd"/>
          </w:p>
        </w:tc>
        <w:tc>
          <w:tcPr>
            <w:tcW w:w="2484" w:type="dxa"/>
            <w:vAlign w:val="center"/>
          </w:tcPr>
          <w:p w14:paraId="502BF0F9" w14:textId="77777777" w:rsidR="00CD2E65" w:rsidRDefault="00000000">
            <w:r>
              <w:rPr>
                <w:b/>
                <w:sz w:val="20"/>
              </w:rPr>
              <w:t xml:space="preserve">Asymptotic Significance </w:t>
            </w:r>
            <w:r>
              <w:rPr>
                <w:b/>
                <w:sz w:val="20"/>
              </w:rPr>
              <w:lastRenderedPageBreak/>
              <w:t>(2-sided)</w:t>
            </w:r>
          </w:p>
        </w:tc>
      </w:tr>
      <w:tr w:rsidR="00CD2E65" w14:paraId="1D0ECE14" w14:textId="77777777">
        <w:trPr>
          <w:jc w:val="center"/>
        </w:trPr>
        <w:tc>
          <w:tcPr>
            <w:tcW w:w="2484" w:type="dxa"/>
            <w:vAlign w:val="center"/>
          </w:tcPr>
          <w:p w14:paraId="6464A2F0" w14:textId="77777777" w:rsidR="00CD2E65" w:rsidRDefault="00000000">
            <w:r>
              <w:rPr>
                <w:sz w:val="20"/>
              </w:rPr>
              <w:lastRenderedPageBreak/>
              <w:t>Pearson Chi-Square</w:t>
            </w:r>
          </w:p>
        </w:tc>
        <w:tc>
          <w:tcPr>
            <w:tcW w:w="2484" w:type="dxa"/>
            <w:vAlign w:val="center"/>
          </w:tcPr>
          <w:p w14:paraId="03CBC9D3" w14:textId="77777777" w:rsidR="00CD2E65" w:rsidRDefault="00000000">
            <w:r>
              <w:rPr>
                <w:sz w:val="20"/>
              </w:rPr>
              <w:t>9.161a</w:t>
            </w:r>
          </w:p>
        </w:tc>
        <w:tc>
          <w:tcPr>
            <w:tcW w:w="2484" w:type="dxa"/>
            <w:vAlign w:val="center"/>
          </w:tcPr>
          <w:p w14:paraId="3C0A6810" w14:textId="77777777" w:rsidR="00CD2E65" w:rsidRDefault="00000000">
            <w:r>
              <w:rPr>
                <w:sz w:val="20"/>
              </w:rPr>
              <w:t>2</w:t>
            </w:r>
          </w:p>
        </w:tc>
        <w:tc>
          <w:tcPr>
            <w:tcW w:w="2484" w:type="dxa"/>
            <w:vAlign w:val="center"/>
          </w:tcPr>
          <w:p w14:paraId="7647016E" w14:textId="77777777" w:rsidR="00CD2E65" w:rsidRDefault="00000000">
            <w:r>
              <w:rPr>
                <w:sz w:val="20"/>
              </w:rPr>
              <w:t>0.010</w:t>
            </w:r>
          </w:p>
        </w:tc>
      </w:tr>
      <w:tr w:rsidR="00CD2E65" w14:paraId="1BA4021B" w14:textId="77777777">
        <w:trPr>
          <w:jc w:val="center"/>
        </w:trPr>
        <w:tc>
          <w:tcPr>
            <w:tcW w:w="2484" w:type="dxa"/>
            <w:vAlign w:val="center"/>
          </w:tcPr>
          <w:p w14:paraId="5C048525" w14:textId="77777777" w:rsidR="00CD2E65" w:rsidRDefault="00000000">
            <w:r>
              <w:rPr>
                <w:sz w:val="20"/>
              </w:rPr>
              <w:t>Likelihood Ratio</w:t>
            </w:r>
          </w:p>
        </w:tc>
        <w:tc>
          <w:tcPr>
            <w:tcW w:w="2484" w:type="dxa"/>
            <w:vAlign w:val="center"/>
          </w:tcPr>
          <w:p w14:paraId="3474B8E7" w14:textId="77777777" w:rsidR="00CD2E65" w:rsidRDefault="00000000">
            <w:r>
              <w:rPr>
                <w:sz w:val="20"/>
              </w:rPr>
              <w:t>9.494</w:t>
            </w:r>
          </w:p>
        </w:tc>
        <w:tc>
          <w:tcPr>
            <w:tcW w:w="2484" w:type="dxa"/>
            <w:vAlign w:val="center"/>
          </w:tcPr>
          <w:p w14:paraId="7CE6554C" w14:textId="77777777" w:rsidR="00CD2E65" w:rsidRDefault="00000000">
            <w:r>
              <w:rPr>
                <w:sz w:val="20"/>
              </w:rPr>
              <w:t>2</w:t>
            </w:r>
          </w:p>
        </w:tc>
        <w:tc>
          <w:tcPr>
            <w:tcW w:w="2484" w:type="dxa"/>
            <w:vAlign w:val="center"/>
          </w:tcPr>
          <w:p w14:paraId="2B634D94" w14:textId="77777777" w:rsidR="00CD2E65" w:rsidRDefault="00000000">
            <w:r>
              <w:rPr>
                <w:sz w:val="20"/>
              </w:rPr>
              <w:t>0.009</w:t>
            </w:r>
          </w:p>
        </w:tc>
      </w:tr>
      <w:tr w:rsidR="00CD2E65" w14:paraId="3F3FFC85" w14:textId="77777777">
        <w:trPr>
          <w:jc w:val="center"/>
        </w:trPr>
        <w:tc>
          <w:tcPr>
            <w:tcW w:w="2484" w:type="dxa"/>
            <w:vAlign w:val="center"/>
          </w:tcPr>
          <w:p w14:paraId="7DF18964" w14:textId="77777777" w:rsidR="00CD2E65" w:rsidRDefault="00000000">
            <w:r>
              <w:rPr>
                <w:sz w:val="20"/>
              </w:rPr>
              <w:t>Linear-by-Linear Association</w:t>
            </w:r>
          </w:p>
        </w:tc>
        <w:tc>
          <w:tcPr>
            <w:tcW w:w="2484" w:type="dxa"/>
            <w:vAlign w:val="center"/>
          </w:tcPr>
          <w:p w14:paraId="3630BB63" w14:textId="77777777" w:rsidR="00CD2E65" w:rsidRDefault="00000000">
            <w:r>
              <w:rPr>
                <w:sz w:val="20"/>
              </w:rPr>
              <w:t>7.002</w:t>
            </w:r>
          </w:p>
        </w:tc>
        <w:tc>
          <w:tcPr>
            <w:tcW w:w="2484" w:type="dxa"/>
            <w:vAlign w:val="center"/>
          </w:tcPr>
          <w:p w14:paraId="06919AC3" w14:textId="77777777" w:rsidR="00CD2E65" w:rsidRDefault="00000000">
            <w:r>
              <w:rPr>
                <w:sz w:val="20"/>
              </w:rPr>
              <w:t>1</w:t>
            </w:r>
          </w:p>
        </w:tc>
        <w:tc>
          <w:tcPr>
            <w:tcW w:w="2484" w:type="dxa"/>
            <w:vAlign w:val="center"/>
          </w:tcPr>
          <w:p w14:paraId="1AEADD7E" w14:textId="77777777" w:rsidR="00CD2E65" w:rsidRDefault="00000000">
            <w:r>
              <w:rPr>
                <w:sz w:val="20"/>
              </w:rPr>
              <w:t>0.008</w:t>
            </w:r>
          </w:p>
        </w:tc>
      </w:tr>
      <w:tr w:rsidR="00CD2E65" w14:paraId="63954C74" w14:textId="77777777">
        <w:trPr>
          <w:jc w:val="center"/>
        </w:trPr>
        <w:tc>
          <w:tcPr>
            <w:tcW w:w="2484" w:type="dxa"/>
            <w:vAlign w:val="center"/>
          </w:tcPr>
          <w:p w14:paraId="14C75AAD" w14:textId="77777777" w:rsidR="00CD2E65" w:rsidRDefault="00000000">
            <w:r>
              <w:rPr>
                <w:sz w:val="20"/>
              </w:rPr>
              <w:t>N of Valid Cases</w:t>
            </w:r>
          </w:p>
        </w:tc>
        <w:tc>
          <w:tcPr>
            <w:tcW w:w="2484" w:type="dxa"/>
            <w:vAlign w:val="center"/>
          </w:tcPr>
          <w:p w14:paraId="3EEE68F4" w14:textId="77777777" w:rsidR="00CD2E65" w:rsidRDefault="00000000">
            <w:r>
              <w:rPr>
                <w:sz w:val="20"/>
              </w:rPr>
              <w:t>300</w:t>
            </w:r>
          </w:p>
        </w:tc>
        <w:tc>
          <w:tcPr>
            <w:tcW w:w="2484" w:type="dxa"/>
            <w:vAlign w:val="center"/>
          </w:tcPr>
          <w:p w14:paraId="5B3D24C4" w14:textId="77777777" w:rsidR="00CD2E65" w:rsidRDefault="00CD2E65"/>
        </w:tc>
        <w:tc>
          <w:tcPr>
            <w:tcW w:w="2484" w:type="dxa"/>
            <w:vAlign w:val="center"/>
          </w:tcPr>
          <w:p w14:paraId="53B86205" w14:textId="77777777" w:rsidR="00CD2E65" w:rsidRDefault="00CD2E65"/>
        </w:tc>
      </w:tr>
    </w:tbl>
    <w:p w14:paraId="71A2FAE5" w14:textId="77777777" w:rsidR="00CD2E65" w:rsidRDefault="00000000">
      <w:r>
        <w:rPr>
          <w:b/>
          <w:highlight w:val="yellow"/>
        </w:rPr>
        <w:t>Figure 1: Chi-Square Test of Association Between Nutritional Awareness and Daily Meal-Consumption Patterns Before Intervention</w:t>
      </w:r>
    </w:p>
    <w:p w14:paraId="14800D98" w14:textId="77777777" w:rsidR="00CD2E65" w:rsidRDefault="00000000">
      <w:r>
        <w:rPr>
          <w:highlight w:val="yellow"/>
        </w:rPr>
        <w:t xml:space="preserve">Table 2 shows the chi-square test of association between participants' nutritional awareness and daily meal-consumption patterns before the intervention. The results showed a statistically significant association (χ² = 9.161, </w:t>
      </w:r>
      <w:proofErr w:type="spellStart"/>
      <w:r>
        <w:rPr>
          <w:highlight w:val="yellow"/>
        </w:rPr>
        <w:t>df</w:t>
      </w:r>
      <w:proofErr w:type="spellEnd"/>
      <w:r>
        <w:rPr>
          <w:highlight w:val="yellow"/>
        </w:rPr>
        <w:t xml:space="preserve"> = 2, p = 0.010), indicating that nutritional awareness was associated with daily meal-consumption patterns. The likelihood ratio (χ² = 9.494, p = 0.009) and linear-by-linear association (χ² = 7.002, p = 0.008) also supported this association.</w:t>
      </w:r>
    </w:p>
    <w:p w14:paraId="0F963100" w14:textId="77777777" w:rsidR="00CD2E65" w:rsidRDefault="00000000">
      <w:r>
        <w:rPr>
          <w:highlight w:val="yellow"/>
        </w:rPr>
        <w:t>The distinction is apparent in Figure 1. Among participants who reported knowledge of the importance of nutrition, the majority reported consuming two or three meals per day (35 and 57 participants, respectively). In contrast, participants who did not report nutritional knowledge were more likely to consume two meals per day (117 participants), while 90 participants consumed three meals per day and one participant reported another meal-frequency category. These findings suggest that meal frequency may differ according to nutritional awareness.</w:t>
      </w:r>
    </w:p>
    <w:p w14:paraId="0FE289FF" w14:textId="77777777" w:rsidR="00CD2E65" w:rsidRDefault="00000000">
      <w:r>
        <w:rPr>
          <w:highlight w:val="yellow"/>
        </w:rPr>
        <w:t xml:space="preserve">The findings reinforce the view that nutritional knowledge may influence food-related </w:t>
      </w:r>
      <w:proofErr w:type="spellStart"/>
      <w:r>
        <w:rPr>
          <w:highlight w:val="yellow"/>
        </w:rPr>
        <w:t>behaviours</w:t>
      </w:r>
      <w:proofErr w:type="spellEnd"/>
      <w:r>
        <w:rPr>
          <w:highlight w:val="yellow"/>
        </w:rPr>
        <w:t>, particularly meal frequency. Participants with greater nutritional awareness appeared more likely to report structured meal patterns. These findings are comparable with previous evidence. Rathi et al. (2017) reported that healthier eating patterns were related to nutrition literacy, while Wardle et al. (2000) observed that greater nutrition knowledge was associated with healthier food choices. Similarly, Spronk et al. (2014), in a systematic review, demonstrated that nutrition knowledge was associated with dietary intake and diet quality.</w:t>
      </w:r>
    </w:p>
    <w:p w14:paraId="00D4A992" w14:textId="77777777" w:rsidR="00CD2E65" w:rsidRDefault="00000000">
      <w:r>
        <w:rPr>
          <w:b/>
          <w:highlight w:val="yellow"/>
        </w:rPr>
        <w:t>DISCUSSION</w:t>
      </w:r>
    </w:p>
    <w:p w14:paraId="797A06C6" w14:textId="77777777" w:rsidR="00CD2E65" w:rsidRDefault="00000000">
      <w:r>
        <w:rPr>
          <w:highlight w:val="yellow"/>
        </w:rPr>
        <w:t xml:space="preserve">The present study contributes to understanding lifestyle </w:t>
      </w:r>
      <w:proofErr w:type="spellStart"/>
      <w:r>
        <w:rPr>
          <w:highlight w:val="yellow"/>
        </w:rPr>
        <w:t>behaviours</w:t>
      </w:r>
      <w:proofErr w:type="spellEnd"/>
      <w:r>
        <w:rPr>
          <w:highlight w:val="yellow"/>
        </w:rPr>
        <w:t>, nutritional awareness and self-care practices among women with PCOS in the Sub-Himalayan region. The descriptive statistics revealed an important pattern: participants reported limited knowledge of physical activity guidelines but engaged in several forms of exercise, including fieldwork, jogging, aerobic exercise and yoga. This reflects a possible knowledge-practice gap, where reported activity occurs despite limited understanding of recommended activity levels. Vaara et al. (2019) found that awareness of physical activity guidelines was limited, and Piercy et al. (2018) suggested that lack of awareness of activity dosage may contribute to poor compliance with exercise recommendations.</w:t>
      </w:r>
    </w:p>
    <w:p w14:paraId="5962D7BC" w14:textId="77777777" w:rsidR="00CD2E65" w:rsidRDefault="00000000">
      <w:r>
        <w:rPr>
          <w:highlight w:val="yellow"/>
        </w:rPr>
        <w:t xml:space="preserve">Beverage-consumption findings showed relatively high intake of energy drinks, coffee and carbonated drinks, which may be relevant to metabolic risk. These findings are consistent with reviews linking sugar-sweetened beverages with obesity, insulin resistance and cardiovascular risk (Hu, 2013; Malik et al., 2010). Although participants showed moderate awareness of nutrition and healthy lifestyle practices, gaps were observed in glucose monitoring and knowledge of meal intervals. This pattern is </w:t>
      </w:r>
      <w:r>
        <w:rPr>
          <w:highlight w:val="yellow"/>
        </w:rPr>
        <w:lastRenderedPageBreak/>
        <w:t>consistent with literature indicating that low nutritional literacy may be associated with less stable dietary patterns (Spronk et al., 2014; Wardle et al., 2000).</w:t>
      </w:r>
    </w:p>
    <w:p w14:paraId="3FFB2BC7" w14:textId="77777777" w:rsidR="00CD2E65" w:rsidRDefault="00000000">
      <w:r>
        <w:rPr>
          <w:highlight w:val="yellow"/>
        </w:rPr>
        <w:t xml:space="preserve">Meal frequency emerged as an important variable. The chi-square test showed a statistically significant association between nutritional awareness and daily meal-consumption patterns (χ² = 9.161, p = 0.010). Participants with nutritional awareness were more likely to report structured meal patterns, which is consistent with the relevance of meal timing and frequency for maintaining metabolic stability (St-Onge et al., 2017). This finding is also supported by evidence that nutrition literacy is associated with healthier dietary </w:t>
      </w:r>
      <w:proofErr w:type="spellStart"/>
      <w:r>
        <w:rPr>
          <w:highlight w:val="yellow"/>
        </w:rPr>
        <w:t>behaviours</w:t>
      </w:r>
      <w:proofErr w:type="spellEnd"/>
      <w:r>
        <w:rPr>
          <w:highlight w:val="yellow"/>
        </w:rPr>
        <w:t xml:space="preserve"> (Rathi et al., 2017).</w:t>
      </w:r>
    </w:p>
    <w:p w14:paraId="21CB3B06" w14:textId="77777777" w:rsidR="00CD2E65" w:rsidRDefault="00000000">
      <w:r>
        <w:rPr>
          <w:highlight w:val="yellow"/>
        </w:rPr>
        <w:t>Stress and sleep-related findings also require attention. Participants reported moderate stress levels, but reasons for stress varied substantially, indicating heterogeneity in psychosocial circumstances. Sleep findings indicated irregular patterns and variable awareness of healthy sleep duration, which aligns with broader sleep-health literature (</w:t>
      </w:r>
      <w:proofErr w:type="spellStart"/>
      <w:r>
        <w:rPr>
          <w:highlight w:val="yellow"/>
        </w:rPr>
        <w:t>Hirshkowitz</w:t>
      </w:r>
      <w:proofErr w:type="spellEnd"/>
      <w:r>
        <w:rPr>
          <w:highlight w:val="yellow"/>
        </w:rPr>
        <w:t xml:space="preserve"> et al., 2015). Frequent eating outside the home also indicates a possible concern for dietary quality, as international evidence has linked eating away from home with poorer diet quality and </w:t>
      </w:r>
      <w:proofErr w:type="spellStart"/>
      <w:r>
        <w:rPr>
          <w:highlight w:val="yellow"/>
        </w:rPr>
        <w:t>unfavourable</w:t>
      </w:r>
      <w:proofErr w:type="spellEnd"/>
      <w:r>
        <w:rPr>
          <w:highlight w:val="yellow"/>
        </w:rPr>
        <w:t xml:space="preserve"> health outcomes (Adams et al., 2015; Du et al., 2021; </w:t>
      </w:r>
      <w:proofErr w:type="spellStart"/>
      <w:r>
        <w:rPr>
          <w:highlight w:val="yellow"/>
        </w:rPr>
        <w:t>Gesteiro</w:t>
      </w:r>
      <w:proofErr w:type="spellEnd"/>
      <w:r>
        <w:rPr>
          <w:highlight w:val="yellow"/>
        </w:rPr>
        <w:t xml:space="preserve"> et al., 2022).</w:t>
      </w:r>
    </w:p>
    <w:p w14:paraId="0CA424D5" w14:textId="77777777" w:rsidR="00CD2E65" w:rsidRDefault="00000000">
      <w:r>
        <w:rPr>
          <w:highlight w:val="yellow"/>
        </w:rPr>
        <w:t xml:space="preserve">Overall, the results suggest that lifestyle practices and nutritional awareness may influence PCOS-related self-care </w:t>
      </w:r>
      <w:proofErr w:type="spellStart"/>
      <w:r>
        <w:rPr>
          <w:highlight w:val="yellow"/>
        </w:rPr>
        <w:t>behaviours</w:t>
      </w:r>
      <w:proofErr w:type="spellEnd"/>
      <w:r>
        <w:rPr>
          <w:highlight w:val="yellow"/>
        </w:rPr>
        <w:t xml:space="preserve">. Although active </w:t>
      </w:r>
      <w:proofErr w:type="spellStart"/>
      <w:r>
        <w:rPr>
          <w:highlight w:val="yellow"/>
        </w:rPr>
        <w:t>behaviours</w:t>
      </w:r>
      <w:proofErr w:type="spellEnd"/>
      <w:r>
        <w:rPr>
          <w:highlight w:val="yellow"/>
        </w:rPr>
        <w:t xml:space="preserve"> were common, dietary patterns, especially frequent intake of sweetened or carbonated beverages and eating outside the home, may require focused counselling. The association between nutritional awareness and meal frequency further supports the need for educational interventions to address knowledge-practice gaps.</w:t>
      </w:r>
    </w:p>
    <w:p w14:paraId="1025B614" w14:textId="77777777" w:rsidR="00CD2E65" w:rsidRDefault="00000000">
      <w:r>
        <w:rPr>
          <w:b/>
          <w:highlight w:val="yellow"/>
        </w:rPr>
        <w:t>CONCLUSION</w:t>
      </w:r>
    </w:p>
    <w:p w14:paraId="11C6E7AC" w14:textId="77777777" w:rsidR="00CD2E65" w:rsidRDefault="00000000">
      <w:r>
        <w:rPr>
          <w:highlight w:val="yellow"/>
        </w:rPr>
        <w:t xml:space="preserve">The present study highlights the uneven pattern of lifestyle </w:t>
      </w:r>
      <w:proofErr w:type="spellStart"/>
      <w:r>
        <w:rPr>
          <w:highlight w:val="yellow"/>
        </w:rPr>
        <w:t>behaviour</w:t>
      </w:r>
      <w:proofErr w:type="spellEnd"/>
      <w:r>
        <w:rPr>
          <w:highlight w:val="yellow"/>
        </w:rPr>
        <w:t xml:space="preserve"> and self-awareness practices among women with PCOS in the Sub-Himalayan region. Participants reported regular engagement in several physical activities, including yoga asanas, jogging, aerobic exercise, slow walking, moderate walking and fieldwork; however, their conceptual knowledge of physical activity remained limited. Nutritional awareness and knowledge of a healthy lifestyle were moderate, while gaps were observed in glucose monitoring, meal-interval knowledge and awareness of sleep patterns. The findings also showed frequent consumption of coffee, energy drinks and carbonated drinks, as well as frequent eating outside the home, which may require focused health education within future intervention </w:t>
      </w:r>
      <w:proofErr w:type="spellStart"/>
      <w:r>
        <w:rPr>
          <w:highlight w:val="yellow"/>
        </w:rPr>
        <w:t>programmes</w:t>
      </w:r>
      <w:proofErr w:type="spellEnd"/>
      <w:r>
        <w:rPr>
          <w:highlight w:val="yellow"/>
        </w:rPr>
        <w:t xml:space="preserve">. The statistically significant association between nutritional awareness and daily meal-consumption patterns indicates that awareness may be linked with more structured eating practices. These findings suggest that educational strategies should not only provide information but also support the practical adoption of self-care </w:t>
      </w:r>
      <w:proofErr w:type="spellStart"/>
      <w:r>
        <w:rPr>
          <w:highlight w:val="yellow"/>
        </w:rPr>
        <w:t>behaviours</w:t>
      </w:r>
      <w:proofErr w:type="spellEnd"/>
      <w:r>
        <w:rPr>
          <w:highlight w:val="yellow"/>
        </w:rPr>
        <w:t xml:space="preserve">. Region-specific counselling on nutrition, physical activity, sleep hygiene, stress management and routine health monitoring may be useful for women with PCOS. Overall, the study provides descriptive evidence that can inform community-based lifestyle education and self-awareness </w:t>
      </w:r>
      <w:proofErr w:type="spellStart"/>
      <w:r>
        <w:rPr>
          <w:highlight w:val="yellow"/>
        </w:rPr>
        <w:t>programmes</w:t>
      </w:r>
      <w:proofErr w:type="spellEnd"/>
      <w:r>
        <w:rPr>
          <w:highlight w:val="yellow"/>
        </w:rPr>
        <w:t xml:space="preserve"> in the Sub-Himalayan context, while avoiding conclusions beyond the observed data and study design.</w:t>
      </w:r>
    </w:p>
    <w:p w14:paraId="16B27320" w14:textId="77777777" w:rsidR="00CD2E65" w:rsidRDefault="00000000">
      <w:r>
        <w:rPr>
          <w:b/>
          <w:highlight w:val="yellow"/>
        </w:rPr>
        <w:t>Ethical Approval and Consent:</w:t>
      </w:r>
    </w:p>
    <w:p w14:paraId="56F74A98" w14:textId="77777777" w:rsidR="00CD2E65" w:rsidRDefault="00000000">
      <w:r>
        <w:rPr>
          <w:highlight w:val="yellow"/>
        </w:rPr>
        <w:lastRenderedPageBreak/>
        <w:t>Ethical clearance was obtained from the institutional ethics committee at HNBGU (Ethical Registration Number EC/NEW/INST/2023/3552) before data collection. Written informed consent was obtained from all participants, and the confidentiality of responses was strictly maintained.</w:t>
      </w:r>
    </w:p>
    <w:p w14:paraId="67F59D5B" w14:textId="77777777" w:rsidR="00CD2E65" w:rsidRDefault="00000000">
      <w:r>
        <w:rPr>
          <w:b/>
          <w:highlight w:val="yellow"/>
        </w:rPr>
        <w:t>Disclaimer (Artificial intelligence)</w:t>
      </w:r>
    </w:p>
    <w:p w14:paraId="54A29ABA" w14:textId="77777777" w:rsidR="00CD2E65" w:rsidRDefault="00000000">
      <w:r>
        <w:t xml:space="preserve">Author(s) hereby </w:t>
      </w:r>
      <w:proofErr w:type="gramStart"/>
      <w:r>
        <w:t>declare</w:t>
      </w:r>
      <w:proofErr w:type="gramEnd"/>
      <w:r>
        <w:t xml:space="preserve"> that NO generative AI technologies such as Large Language Models (ChatGPT, COPILOT, etc.) and text-to-image generators have been used during the writing or editing of this manuscript.</w:t>
      </w:r>
    </w:p>
    <w:p w14:paraId="7D16B645" w14:textId="77777777" w:rsidR="00CD2E65" w:rsidRDefault="00000000">
      <w:r>
        <w:rPr>
          <w:b/>
          <w:highlight w:val="yellow"/>
        </w:rPr>
        <w:t>REFERENCES</w:t>
      </w:r>
    </w:p>
    <w:p w14:paraId="45D780D3" w14:textId="77777777" w:rsidR="00D60C57" w:rsidRPr="00D60C57" w:rsidRDefault="00D60C57" w:rsidP="00D60C57">
      <w:pPr>
        <w:ind w:left="360"/>
        <w:rPr>
          <w:b/>
        </w:rPr>
      </w:pPr>
      <w:r w:rsidRPr="00D60C57">
        <w:rPr>
          <w:b/>
        </w:rPr>
        <w:t xml:space="preserve">Adams, J., Goffe, L., Brown, T., Lake, A. A., Summerbell, C., White, M., Wrieden, W., &amp; Adamson, A. J. (2015). Frequency and socio-demographic correlates of eating meals out and take-away meals at home: Cross-sectional analysis of the UK National Diet and Nutrition Survey, waves 1–4 (2008–12). </w:t>
      </w:r>
      <w:r w:rsidRPr="00D60C57">
        <w:rPr>
          <w:b/>
          <w:i/>
          <w:iCs/>
        </w:rPr>
        <w:t>International Journal of Behavioral Nutrition and Physical Activity, 12</w:t>
      </w:r>
      <w:r w:rsidRPr="00D60C57">
        <w:rPr>
          <w:b/>
        </w:rPr>
        <w:t xml:space="preserve">, Article 51. </w:t>
      </w:r>
      <w:hyperlink r:id="rId6" w:tgtFrame="_new" w:history="1">
        <w:r w:rsidRPr="00D60C57">
          <w:rPr>
            <w:rStyle w:val="Hyperlink"/>
            <w:b/>
          </w:rPr>
          <w:t>https://doi.org/10.1186/s12966-015-0210-8</w:t>
        </w:r>
      </w:hyperlink>
      <w:r w:rsidRPr="00D60C57">
        <w:rPr>
          <w:b/>
        </w:rPr>
        <w:t xml:space="preserve"> </w:t>
      </w:r>
    </w:p>
    <w:p w14:paraId="7775FA10" w14:textId="77777777" w:rsidR="00D60C57" w:rsidRPr="00D60C57" w:rsidRDefault="00D60C57" w:rsidP="00D60C57">
      <w:pPr>
        <w:ind w:left="360"/>
        <w:rPr>
          <w:b/>
        </w:rPr>
      </w:pPr>
      <w:r w:rsidRPr="00D60C57">
        <w:rPr>
          <w:b/>
          <w:lang w:val="es-US"/>
        </w:rPr>
        <w:t xml:space="preserve">Bharali, M. D., Rajendran, R., Goswami, J., Singal, K., &amp; Rajendran, V. (2022). </w:t>
      </w:r>
      <w:r w:rsidRPr="00D60C57">
        <w:rPr>
          <w:b/>
        </w:rPr>
        <w:t xml:space="preserve">Prevalence of polycystic ovarian syndrome in India: A systematic review and meta-analysis. </w:t>
      </w:r>
      <w:r w:rsidRPr="00D60C57">
        <w:rPr>
          <w:b/>
          <w:i/>
          <w:iCs/>
        </w:rPr>
        <w:t>Cureus, 14</w:t>
      </w:r>
      <w:r w:rsidRPr="00D60C57">
        <w:rPr>
          <w:b/>
        </w:rPr>
        <w:t xml:space="preserve">(12), Article e32351. </w:t>
      </w:r>
      <w:hyperlink r:id="rId7" w:tgtFrame="_new" w:history="1">
        <w:r w:rsidRPr="00D60C57">
          <w:rPr>
            <w:rStyle w:val="Hyperlink"/>
            <w:b/>
          </w:rPr>
          <w:t>https://doi.org/10.7759/cureus.32351</w:t>
        </w:r>
      </w:hyperlink>
      <w:r w:rsidRPr="00D60C57">
        <w:rPr>
          <w:b/>
        </w:rPr>
        <w:t xml:space="preserve"> </w:t>
      </w:r>
    </w:p>
    <w:p w14:paraId="040728BC" w14:textId="77777777" w:rsidR="00D60C57" w:rsidRPr="00D60C57" w:rsidRDefault="00D60C57" w:rsidP="00D60C57">
      <w:pPr>
        <w:ind w:left="360"/>
        <w:rPr>
          <w:b/>
        </w:rPr>
      </w:pPr>
      <w:r w:rsidRPr="00D60C57">
        <w:rPr>
          <w:b/>
        </w:rPr>
        <w:t xml:space="preserve">Butt, M. S., Saleem, J., Zakar, R., Aiman, S., Khan, M. Z., &amp; Fischer, F. (2023). Benefits of physical activity on reproductive health functions among polycystic ovarian syndrome women: A systematic review. </w:t>
      </w:r>
      <w:r w:rsidRPr="00D60C57">
        <w:rPr>
          <w:b/>
          <w:i/>
          <w:iCs/>
        </w:rPr>
        <w:t>BMC Public Health, 23</w:t>
      </w:r>
      <w:r w:rsidRPr="00D60C57">
        <w:rPr>
          <w:b/>
        </w:rPr>
        <w:t xml:space="preserve">, Article 882. </w:t>
      </w:r>
      <w:hyperlink r:id="rId8" w:tgtFrame="_new" w:history="1">
        <w:r w:rsidRPr="00D60C57">
          <w:rPr>
            <w:rStyle w:val="Hyperlink"/>
            <w:b/>
          </w:rPr>
          <w:t>https://doi.org/10.1186/s12889-023-15730-8</w:t>
        </w:r>
      </w:hyperlink>
      <w:r w:rsidRPr="00D60C57">
        <w:rPr>
          <w:b/>
        </w:rPr>
        <w:t xml:space="preserve"> </w:t>
      </w:r>
    </w:p>
    <w:p w14:paraId="21B25D96" w14:textId="77777777" w:rsidR="00D60C57" w:rsidRPr="00D60C57" w:rsidRDefault="00D60C57" w:rsidP="00D60C57">
      <w:pPr>
        <w:ind w:left="360"/>
        <w:rPr>
          <w:b/>
        </w:rPr>
      </w:pPr>
      <w:r w:rsidRPr="00D60C57">
        <w:rPr>
          <w:b/>
        </w:rPr>
        <w:t xml:space="preserve">Cowan, S., Lim, S., Alycia, C., Pirotta, S., Thomson, R., Gibson-Helm, M., Blackmore, R., </w:t>
      </w:r>
      <w:proofErr w:type="spellStart"/>
      <w:r w:rsidRPr="00D60C57">
        <w:rPr>
          <w:b/>
        </w:rPr>
        <w:t>Naderpoor</w:t>
      </w:r>
      <w:proofErr w:type="spellEnd"/>
      <w:r w:rsidRPr="00D60C57">
        <w:rPr>
          <w:b/>
        </w:rPr>
        <w:t xml:space="preserve">, N., Bennett, C., Ee, C., Rao, V., Mousa, A., Alesi, S., &amp; Moran, L. (2023). Lifestyle management in polycystic ovary syndrome: Beyond diet and physical activity. </w:t>
      </w:r>
      <w:r w:rsidRPr="00D60C57">
        <w:rPr>
          <w:b/>
          <w:i/>
          <w:iCs/>
        </w:rPr>
        <w:t>BMC Endocrine Disorders, 23</w:t>
      </w:r>
      <w:r w:rsidRPr="00D60C57">
        <w:rPr>
          <w:b/>
        </w:rPr>
        <w:t xml:space="preserve">, Article 14. </w:t>
      </w:r>
      <w:hyperlink r:id="rId9" w:tgtFrame="_new" w:history="1">
        <w:r w:rsidRPr="00D60C57">
          <w:rPr>
            <w:rStyle w:val="Hyperlink"/>
            <w:b/>
          </w:rPr>
          <w:t>https://doi.org/10.1186/s12902-022-01208-y</w:t>
        </w:r>
      </w:hyperlink>
      <w:r w:rsidRPr="00D60C57">
        <w:rPr>
          <w:b/>
        </w:rPr>
        <w:t xml:space="preserve"> </w:t>
      </w:r>
    </w:p>
    <w:p w14:paraId="52BCFA30" w14:textId="79A1BE8A" w:rsidR="00D60C57" w:rsidRPr="00D60C57" w:rsidRDefault="00D60C57" w:rsidP="00D60C57">
      <w:pPr>
        <w:ind w:left="360"/>
        <w:rPr>
          <w:b/>
        </w:rPr>
      </w:pPr>
      <w:r w:rsidRPr="00D60C57">
        <w:rPr>
          <w:b/>
        </w:rPr>
        <w:t xml:space="preserve">Du, Y., Rong, S., Sun, Y., Liu, B., Wu, Y., </w:t>
      </w:r>
      <w:proofErr w:type="spellStart"/>
      <w:r w:rsidRPr="00D60C57">
        <w:rPr>
          <w:b/>
        </w:rPr>
        <w:t>Snetselaar</w:t>
      </w:r>
      <w:proofErr w:type="spellEnd"/>
      <w:r w:rsidRPr="00D60C57">
        <w:rPr>
          <w:b/>
        </w:rPr>
        <w:t xml:space="preserve">, L. G., Wallace, R. B., &amp; Bao, W. (2021). Association between frequency of eating away-from-home meals and risk of all-cause and cause-specific mortality. </w:t>
      </w:r>
      <w:r w:rsidRPr="00D60C57">
        <w:rPr>
          <w:b/>
          <w:i/>
          <w:iCs/>
        </w:rPr>
        <w:t>Journal of the Academy of Nutrition and Dietetics, 121</w:t>
      </w:r>
      <w:r w:rsidRPr="00D60C57">
        <w:rPr>
          <w:b/>
        </w:rPr>
        <w:t xml:space="preserve">(9), 1741–1749.e1. https://doi.org/10.1016/j.jand.2021.01.012 </w:t>
      </w:r>
    </w:p>
    <w:p w14:paraId="36D6F435" w14:textId="77777777" w:rsidR="00D60C57" w:rsidRPr="00D60C57" w:rsidRDefault="00D60C57" w:rsidP="00D60C57">
      <w:pPr>
        <w:ind w:left="360"/>
        <w:rPr>
          <w:b/>
          <w:lang w:val="es-US"/>
        </w:rPr>
      </w:pPr>
      <w:proofErr w:type="spellStart"/>
      <w:r w:rsidRPr="00D60C57">
        <w:rPr>
          <w:b/>
          <w:lang w:val="es-US"/>
        </w:rPr>
        <w:t>Ee</w:t>
      </w:r>
      <w:proofErr w:type="spellEnd"/>
      <w:r w:rsidRPr="00D60C57">
        <w:rPr>
          <w:b/>
          <w:lang w:val="es-US"/>
        </w:rPr>
        <w:t xml:space="preserve">, C., </w:t>
      </w:r>
      <w:proofErr w:type="spellStart"/>
      <w:r w:rsidRPr="00D60C57">
        <w:rPr>
          <w:b/>
          <w:lang w:val="es-US"/>
        </w:rPr>
        <w:t>Pirotta</w:t>
      </w:r>
      <w:proofErr w:type="spellEnd"/>
      <w:r w:rsidRPr="00D60C57">
        <w:rPr>
          <w:b/>
          <w:lang w:val="es-US"/>
        </w:rPr>
        <w:t xml:space="preserve">, S., Mousa, A., Moran, L., &amp; Lim, S. (2021). </w:t>
      </w:r>
      <w:r w:rsidRPr="00D60C57">
        <w:rPr>
          <w:b/>
        </w:rPr>
        <w:t xml:space="preserve">Providing lifestyle advice to women with PCOS: An overview of practical issues affecting success. </w:t>
      </w:r>
      <w:r w:rsidRPr="00D60C57">
        <w:rPr>
          <w:b/>
          <w:i/>
          <w:iCs/>
          <w:lang w:val="es-US"/>
        </w:rPr>
        <w:t xml:space="preserve">BMC Endocrine </w:t>
      </w:r>
      <w:proofErr w:type="spellStart"/>
      <w:r w:rsidRPr="00D60C57">
        <w:rPr>
          <w:b/>
          <w:i/>
          <w:iCs/>
          <w:lang w:val="es-US"/>
        </w:rPr>
        <w:t>Disorders</w:t>
      </w:r>
      <w:proofErr w:type="spellEnd"/>
      <w:r w:rsidRPr="00D60C57">
        <w:rPr>
          <w:b/>
          <w:i/>
          <w:iCs/>
          <w:lang w:val="es-US"/>
        </w:rPr>
        <w:t>, 21</w:t>
      </w:r>
      <w:r w:rsidRPr="00D60C57">
        <w:rPr>
          <w:b/>
          <w:lang w:val="es-US"/>
        </w:rPr>
        <w:t xml:space="preserve">, </w:t>
      </w:r>
      <w:proofErr w:type="spellStart"/>
      <w:r w:rsidRPr="00D60C57">
        <w:rPr>
          <w:b/>
          <w:lang w:val="es-US"/>
        </w:rPr>
        <w:t>Article</w:t>
      </w:r>
      <w:proofErr w:type="spellEnd"/>
      <w:r w:rsidRPr="00D60C57">
        <w:rPr>
          <w:b/>
          <w:lang w:val="es-US"/>
        </w:rPr>
        <w:t xml:space="preserve"> 234. </w:t>
      </w:r>
      <w:hyperlink r:id="rId10" w:tgtFrame="_new" w:history="1">
        <w:r w:rsidRPr="00D60C57">
          <w:rPr>
            <w:rStyle w:val="Hyperlink"/>
            <w:b/>
            <w:lang w:val="es-US"/>
          </w:rPr>
          <w:t>https://doi.org/10.1186/s12902-021-00890-8</w:t>
        </w:r>
      </w:hyperlink>
      <w:r w:rsidRPr="00D60C57">
        <w:rPr>
          <w:b/>
          <w:lang w:val="es-US"/>
        </w:rPr>
        <w:t xml:space="preserve"> </w:t>
      </w:r>
    </w:p>
    <w:p w14:paraId="6F6356E3" w14:textId="65D826E5" w:rsidR="00D60C57" w:rsidRPr="00D60C57" w:rsidRDefault="00D60C57" w:rsidP="00D60C57">
      <w:pPr>
        <w:ind w:left="360"/>
        <w:rPr>
          <w:b/>
        </w:rPr>
      </w:pPr>
      <w:proofErr w:type="spellStart"/>
      <w:r w:rsidRPr="00D60C57">
        <w:rPr>
          <w:b/>
          <w:bCs/>
          <w:lang w:val="es-US"/>
        </w:rPr>
        <w:t>Gesteiro</w:t>
      </w:r>
      <w:proofErr w:type="spellEnd"/>
      <w:r w:rsidRPr="00D60C57">
        <w:rPr>
          <w:b/>
          <w:bCs/>
          <w:lang w:val="es-US"/>
        </w:rPr>
        <w:t xml:space="preserve">, E., García-Carro, A., Aparicio-Ugarriza, R., &amp; González-Gross, M. (2022). </w:t>
      </w:r>
      <w:r w:rsidRPr="00D60C57">
        <w:rPr>
          <w:b/>
          <w:bCs/>
        </w:rPr>
        <w:t xml:space="preserve">Eating out of home: Influence on nutrition, health, and policies: A scoping review. </w:t>
      </w:r>
      <w:r w:rsidRPr="00D60C57">
        <w:rPr>
          <w:b/>
          <w:bCs/>
          <w:i/>
          <w:iCs/>
        </w:rPr>
        <w:t>Nutrients, 14</w:t>
      </w:r>
      <w:r w:rsidRPr="00D60C57">
        <w:rPr>
          <w:b/>
          <w:bCs/>
        </w:rPr>
        <w:t xml:space="preserve">(6), Article 1265. </w:t>
      </w:r>
      <w:hyperlink r:id="rId11" w:tgtFrame="_new" w:history="1">
        <w:r w:rsidRPr="00D60C57">
          <w:rPr>
            <w:rStyle w:val="Hyperlink"/>
            <w:b/>
            <w:bCs/>
          </w:rPr>
          <w:t>https://doi.org/10.3390/nu14061265</w:t>
        </w:r>
      </w:hyperlink>
    </w:p>
    <w:p w14:paraId="5109472A" w14:textId="77777777" w:rsidR="00D60C57" w:rsidRPr="00D60C57" w:rsidRDefault="00D60C57" w:rsidP="00D60C57">
      <w:pPr>
        <w:ind w:left="360"/>
        <w:rPr>
          <w:b/>
        </w:rPr>
      </w:pPr>
      <w:r w:rsidRPr="00D60C57">
        <w:rPr>
          <w:b/>
        </w:rPr>
        <w:lastRenderedPageBreak/>
        <w:t xml:space="preserve">Hirshkowitz, M., Whiton, K., Albert, S. M., Alessi, C., Bruni, O., DonCarlos, L., Hazen, N., Herman, J., Hillard, P. J., Katz, E. S., </w:t>
      </w:r>
      <w:proofErr w:type="spellStart"/>
      <w:r w:rsidRPr="00D60C57">
        <w:rPr>
          <w:b/>
        </w:rPr>
        <w:t>Kheirandish-Gozal</w:t>
      </w:r>
      <w:proofErr w:type="spellEnd"/>
      <w:r w:rsidRPr="00D60C57">
        <w:rPr>
          <w:b/>
        </w:rPr>
        <w:t xml:space="preserve">, L., Neubauer, D. N., O’Donnell, A. E., Ohayon, M., Peever, J., Rawding, R., Sachdeva, R. C., Setters, B., Vitiello, M. V., &amp; Ware, J. C. (2015). National Sleep Foundation’s sleep time duration recommendations: Methodology and results summary. </w:t>
      </w:r>
      <w:r w:rsidRPr="00D60C57">
        <w:rPr>
          <w:b/>
          <w:i/>
          <w:iCs/>
        </w:rPr>
        <w:t>Sleep Health, 1</w:t>
      </w:r>
      <w:r w:rsidRPr="00D60C57">
        <w:rPr>
          <w:b/>
        </w:rPr>
        <w:t xml:space="preserve">(1), 40–43. </w:t>
      </w:r>
      <w:hyperlink r:id="rId12" w:tgtFrame="_new" w:history="1">
        <w:r w:rsidRPr="00D60C57">
          <w:rPr>
            <w:rStyle w:val="Hyperlink"/>
            <w:b/>
          </w:rPr>
          <w:t>https://doi.org/10.1016/j.sleh.2014.12.010</w:t>
        </w:r>
      </w:hyperlink>
      <w:r w:rsidRPr="00D60C57">
        <w:rPr>
          <w:b/>
        </w:rPr>
        <w:t xml:space="preserve"> </w:t>
      </w:r>
    </w:p>
    <w:p w14:paraId="6BFBE41B" w14:textId="77777777" w:rsidR="00D60C57" w:rsidRPr="00D60C57" w:rsidRDefault="00D60C57" w:rsidP="00D60C57">
      <w:pPr>
        <w:ind w:left="360"/>
        <w:rPr>
          <w:b/>
        </w:rPr>
      </w:pPr>
      <w:r w:rsidRPr="00D60C57">
        <w:rPr>
          <w:b/>
        </w:rPr>
        <w:t xml:space="preserve">Hu, F. B. (2013). Resolved: There is sufficient scientific evidence that decreasing sugar-sweetened beverage consumption will reduce the prevalence of obesity and obesity-related diseases. </w:t>
      </w:r>
      <w:r w:rsidRPr="00D60C57">
        <w:rPr>
          <w:b/>
          <w:i/>
          <w:iCs/>
        </w:rPr>
        <w:t>Obesity Reviews, 14</w:t>
      </w:r>
      <w:r w:rsidRPr="00D60C57">
        <w:rPr>
          <w:b/>
        </w:rPr>
        <w:t xml:space="preserve">(8), 606–619. </w:t>
      </w:r>
      <w:hyperlink r:id="rId13" w:tgtFrame="_new" w:history="1">
        <w:r w:rsidRPr="00D60C57">
          <w:rPr>
            <w:rStyle w:val="Hyperlink"/>
            <w:b/>
          </w:rPr>
          <w:t>https://doi.org/10.1111/obr.12040</w:t>
        </w:r>
      </w:hyperlink>
      <w:r w:rsidRPr="00D60C57">
        <w:rPr>
          <w:b/>
        </w:rPr>
        <w:t xml:space="preserve"> </w:t>
      </w:r>
    </w:p>
    <w:p w14:paraId="396AD572" w14:textId="77777777" w:rsidR="00D60C57" w:rsidRPr="00D60C57" w:rsidRDefault="00D60C57" w:rsidP="00D60C57">
      <w:pPr>
        <w:ind w:left="360"/>
        <w:rPr>
          <w:b/>
        </w:rPr>
      </w:pPr>
      <w:r w:rsidRPr="00D60C57">
        <w:rPr>
          <w:b/>
        </w:rPr>
        <w:t xml:space="preserve">Kulshrestha, S. (2025). Nutritional and lifestyle management in polycystic ovary syndrome (PCOS). </w:t>
      </w:r>
      <w:r w:rsidRPr="00D60C57">
        <w:rPr>
          <w:b/>
          <w:i/>
          <w:iCs/>
        </w:rPr>
        <w:t>Journal of Neonatal Surgery, 14</w:t>
      </w:r>
      <w:r w:rsidRPr="00D60C57">
        <w:rPr>
          <w:b/>
        </w:rPr>
        <w:t xml:space="preserve">(32S), 634–642. </w:t>
      </w:r>
      <w:hyperlink r:id="rId14" w:tgtFrame="_new" w:history="1">
        <w:r w:rsidRPr="00D60C57">
          <w:rPr>
            <w:rStyle w:val="Hyperlink"/>
            <w:b/>
          </w:rPr>
          <w:t>https://doi.org/10.63682/jns.v14i32S.7418</w:t>
        </w:r>
      </w:hyperlink>
      <w:r w:rsidRPr="00D60C57">
        <w:rPr>
          <w:b/>
        </w:rPr>
        <w:t xml:space="preserve"> </w:t>
      </w:r>
    </w:p>
    <w:p w14:paraId="528B5725" w14:textId="77777777" w:rsidR="00D60C57" w:rsidRPr="00D60C57" w:rsidRDefault="00D60C57" w:rsidP="00D60C57">
      <w:pPr>
        <w:ind w:left="360"/>
        <w:rPr>
          <w:b/>
        </w:rPr>
      </w:pPr>
      <w:r w:rsidRPr="00D60C57">
        <w:rPr>
          <w:b/>
        </w:rPr>
        <w:t xml:space="preserve">Malik, V. S., Popkin, B. M., Bray, G. A., Després, J.-P., &amp; Hu, F. B. (2010). Sugar-sweetened beverages, obesity, type 2 diabetes mellitus, and cardiovascular disease risk. </w:t>
      </w:r>
      <w:r w:rsidRPr="00D60C57">
        <w:rPr>
          <w:b/>
          <w:i/>
          <w:iCs/>
        </w:rPr>
        <w:t>Circulation, 121</w:t>
      </w:r>
      <w:r w:rsidRPr="00D60C57">
        <w:rPr>
          <w:b/>
        </w:rPr>
        <w:t xml:space="preserve">(11), 1356–1364. </w:t>
      </w:r>
      <w:hyperlink r:id="rId15" w:tgtFrame="_new" w:history="1">
        <w:r w:rsidRPr="00D60C57">
          <w:rPr>
            <w:rStyle w:val="Hyperlink"/>
            <w:b/>
          </w:rPr>
          <w:t>https://doi.org/10.1161/CIRCULATIONAHA.109.876185</w:t>
        </w:r>
      </w:hyperlink>
      <w:r w:rsidRPr="00D60C57">
        <w:rPr>
          <w:b/>
        </w:rPr>
        <w:t xml:space="preserve"> </w:t>
      </w:r>
    </w:p>
    <w:p w14:paraId="469B1363" w14:textId="77777777" w:rsidR="00D60C57" w:rsidRPr="00D60C57" w:rsidRDefault="00D60C57" w:rsidP="00D60C57">
      <w:pPr>
        <w:ind w:left="360"/>
        <w:rPr>
          <w:b/>
        </w:rPr>
      </w:pPr>
      <w:r w:rsidRPr="004110A4">
        <w:rPr>
          <w:b/>
        </w:rPr>
        <w:t xml:space="preserve">Mehrotra, R., Chaudhary, R., &amp; Saxena, S. (2023). </w:t>
      </w:r>
      <w:r w:rsidRPr="00D60C57">
        <w:rPr>
          <w:b/>
        </w:rPr>
        <w:t xml:space="preserve">Impact of lifestyle modifications on morbidities associated with polycystic ovarian syndrome. </w:t>
      </w:r>
      <w:r w:rsidRPr="00D60C57">
        <w:rPr>
          <w:b/>
          <w:i/>
          <w:iCs/>
        </w:rPr>
        <w:t>International Journal of Reproduction, Contraception, Obstetrics and Gynecology, 12</w:t>
      </w:r>
      <w:r w:rsidRPr="00D60C57">
        <w:rPr>
          <w:b/>
        </w:rPr>
        <w:t xml:space="preserve">(7), 2070–2076. </w:t>
      </w:r>
      <w:hyperlink r:id="rId16" w:tgtFrame="_new" w:history="1">
        <w:r w:rsidRPr="00D60C57">
          <w:rPr>
            <w:rStyle w:val="Hyperlink"/>
            <w:b/>
          </w:rPr>
          <w:t>https://doi.org/10.18203/2320-1770.ijrcog20231912</w:t>
        </w:r>
      </w:hyperlink>
      <w:r w:rsidRPr="00D60C57">
        <w:rPr>
          <w:b/>
        </w:rPr>
        <w:t xml:space="preserve"> </w:t>
      </w:r>
    </w:p>
    <w:p w14:paraId="46439ADA" w14:textId="77777777" w:rsidR="00D60C57" w:rsidRPr="00D60C57" w:rsidRDefault="00D60C57" w:rsidP="00D60C57">
      <w:pPr>
        <w:ind w:left="360"/>
        <w:rPr>
          <w:b/>
        </w:rPr>
      </w:pPr>
      <w:r w:rsidRPr="00D60C57">
        <w:rPr>
          <w:b/>
        </w:rPr>
        <w:t xml:space="preserve">Moran, L. J., Hutchison, S. K., Norman, R. J., &amp; </w:t>
      </w:r>
      <w:proofErr w:type="spellStart"/>
      <w:r w:rsidRPr="00D60C57">
        <w:rPr>
          <w:b/>
        </w:rPr>
        <w:t>Teede</w:t>
      </w:r>
      <w:proofErr w:type="spellEnd"/>
      <w:r w:rsidRPr="00D60C57">
        <w:rPr>
          <w:b/>
        </w:rPr>
        <w:t xml:space="preserve">, H. J. (2011). Lifestyle changes in women with polycystic ovary syndrome. </w:t>
      </w:r>
      <w:r w:rsidRPr="00D60C57">
        <w:rPr>
          <w:b/>
          <w:i/>
          <w:iCs/>
        </w:rPr>
        <w:t>Cochrane Database of Systematic Reviews, 2011</w:t>
      </w:r>
      <w:r w:rsidRPr="00D60C57">
        <w:rPr>
          <w:b/>
        </w:rPr>
        <w:t xml:space="preserve">(7), Article CD007506. </w:t>
      </w:r>
      <w:hyperlink r:id="rId17" w:tgtFrame="_new" w:history="1">
        <w:r w:rsidRPr="00D60C57">
          <w:rPr>
            <w:rStyle w:val="Hyperlink"/>
            <w:b/>
          </w:rPr>
          <w:t>https://doi.org/10.1002/14651858.CD007506.pub3</w:t>
        </w:r>
      </w:hyperlink>
      <w:r w:rsidRPr="00D60C57">
        <w:rPr>
          <w:b/>
        </w:rPr>
        <w:t xml:space="preserve"> </w:t>
      </w:r>
    </w:p>
    <w:p w14:paraId="2A986787" w14:textId="77777777" w:rsidR="00D60C57" w:rsidRPr="00D60C57" w:rsidRDefault="00D60C57" w:rsidP="00D60C57">
      <w:pPr>
        <w:ind w:left="360"/>
        <w:rPr>
          <w:b/>
        </w:rPr>
      </w:pPr>
      <w:r w:rsidRPr="00D60C57">
        <w:rPr>
          <w:b/>
        </w:rPr>
        <w:t xml:space="preserve">Piercy, K. L., Troiano, R. P., Ballard, R. M., Carlson, S. A., Fulton, J. E., Galuska, D. A., George, S. M., &amp; Olson, R. D. (2018). The physical activity guidelines for Americans. </w:t>
      </w:r>
      <w:r w:rsidRPr="00D60C57">
        <w:rPr>
          <w:b/>
          <w:i/>
          <w:iCs/>
        </w:rPr>
        <w:t>JAMA, 320</w:t>
      </w:r>
      <w:r w:rsidRPr="00D60C57">
        <w:rPr>
          <w:b/>
        </w:rPr>
        <w:t xml:space="preserve">(19), 2020–2028. </w:t>
      </w:r>
      <w:hyperlink r:id="rId18" w:tgtFrame="_new" w:history="1">
        <w:r w:rsidRPr="00D60C57">
          <w:rPr>
            <w:rStyle w:val="Hyperlink"/>
            <w:b/>
          </w:rPr>
          <w:t>https://doi.org/10.1001/jama.2018.14854</w:t>
        </w:r>
      </w:hyperlink>
      <w:r w:rsidRPr="00D60C57">
        <w:rPr>
          <w:b/>
        </w:rPr>
        <w:t xml:space="preserve"> </w:t>
      </w:r>
    </w:p>
    <w:p w14:paraId="33C860B7" w14:textId="7A75DEFD" w:rsidR="00D60C57" w:rsidRPr="00D60C57" w:rsidRDefault="00D60C57" w:rsidP="00D60C57">
      <w:pPr>
        <w:ind w:left="360"/>
        <w:rPr>
          <w:b/>
        </w:rPr>
      </w:pPr>
      <w:r w:rsidRPr="00D60C57">
        <w:rPr>
          <w:b/>
        </w:rPr>
        <w:t xml:space="preserve">Deswal, R., Narwal, V., Dang, A., &amp; Pundir, C. S. (2020). The prevalence of polycystic ovary syndrome: A brief systematic review. </w:t>
      </w:r>
      <w:r w:rsidRPr="00D60C57">
        <w:rPr>
          <w:b/>
          <w:i/>
          <w:iCs/>
        </w:rPr>
        <w:t>Journal of Human Reproductive Sciences, 13</w:t>
      </w:r>
      <w:r w:rsidRPr="00D60C57">
        <w:rPr>
          <w:b/>
        </w:rPr>
        <w:t xml:space="preserve">(4), 261–271. </w:t>
      </w:r>
      <w:hyperlink r:id="rId19" w:tgtFrame="_new" w:history="1">
        <w:r w:rsidRPr="00D60C57">
          <w:rPr>
            <w:rStyle w:val="Hyperlink"/>
            <w:b/>
          </w:rPr>
          <w:t>https://doi.org/10.4103/jhrs.JHRS_95_18</w:t>
        </w:r>
      </w:hyperlink>
      <w:r w:rsidRPr="00D60C57">
        <w:rPr>
          <w:b/>
        </w:rPr>
        <w:t xml:space="preserve"> </w:t>
      </w:r>
    </w:p>
    <w:p w14:paraId="29330893" w14:textId="77777777" w:rsidR="00D60C57" w:rsidRPr="00D60C57" w:rsidRDefault="00D60C57" w:rsidP="00D60C57">
      <w:pPr>
        <w:ind w:left="360"/>
        <w:rPr>
          <w:b/>
        </w:rPr>
      </w:pPr>
      <w:r w:rsidRPr="00D60C57">
        <w:rPr>
          <w:b/>
          <w:lang w:val="es-US"/>
        </w:rPr>
        <w:t xml:space="preserve">Rao, V. S., Armour, M., Cheema, B. S., Smith, C. A., Moran, L., Perera, R. S., Lim, S., Gupta, S., De </w:t>
      </w:r>
      <w:proofErr w:type="spellStart"/>
      <w:r w:rsidRPr="00D60C57">
        <w:rPr>
          <w:b/>
          <w:lang w:val="es-US"/>
        </w:rPr>
        <w:t>Manincor</w:t>
      </w:r>
      <w:proofErr w:type="spellEnd"/>
      <w:r w:rsidRPr="00D60C57">
        <w:rPr>
          <w:b/>
          <w:lang w:val="es-US"/>
        </w:rPr>
        <w:t xml:space="preserve">, M., Vaidya, R., &amp; </w:t>
      </w:r>
      <w:proofErr w:type="spellStart"/>
      <w:r w:rsidRPr="00D60C57">
        <w:rPr>
          <w:b/>
          <w:lang w:val="es-US"/>
        </w:rPr>
        <w:t>Ee</w:t>
      </w:r>
      <w:proofErr w:type="spellEnd"/>
      <w:r w:rsidRPr="00D60C57">
        <w:rPr>
          <w:b/>
          <w:lang w:val="es-US"/>
        </w:rPr>
        <w:t xml:space="preserve">, C. (2023). </w:t>
      </w:r>
      <w:r w:rsidRPr="00D60C57">
        <w:rPr>
          <w:b/>
        </w:rPr>
        <w:t xml:space="preserve">Use of traditional and complementary medicine by ethnic Indian women living with polycystic ovary syndrome: A global survey. </w:t>
      </w:r>
      <w:r w:rsidRPr="00D60C57">
        <w:rPr>
          <w:b/>
          <w:i/>
          <w:iCs/>
        </w:rPr>
        <w:t>BMC Complementary Medicine and Therapies, 23</w:t>
      </w:r>
      <w:r w:rsidRPr="00D60C57">
        <w:rPr>
          <w:b/>
        </w:rPr>
        <w:t xml:space="preserve">, Article 392. </w:t>
      </w:r>
      <w:hyperlink r:id="rId20" w:tgtFrame="_new" w:history="1">
        <w:r w:rsidRPr="00D60C57">
          <w:rPr>
            <w:rStyle w:val="Hyperlink"/>
            <w:b/>
          </w:rPr>
          <w:t>https://doi.org/10.1186/s12906-023-04229-9</w:t>
        </w:r>
      </w:hyperlink>
      <w:r w:rsidRPr="00D60C57">
        <w:rPr>
          <w:b/>
        </w:rPr>
        <w:t xml:space="preserve"> </w:t>
      </w:r>
    </w:p>
    <w:p w14:paraId="25DCBCCE" w14:textId="776606C7" w:rsidR="00D60C57" w:rsidRPr="00D60C57" w:rsidRDefault="00D60C57" w:rsidP="00D60C57">
      <w:pPr>
        <w:ind w:left="360"/>
        <w:rPr>
          <w:b/>
        </w:rPr>
      </w:pPr>
      <w:r w:rsidRPr="00D60C57">
        <w:rPr>
          <w:b/>
          <w:bCs/>
        </w:rPr>
        <w:t xml:space="preserve">Rathi, N., Riddell, L., &amp; Worsley, A. (2017). Food consumption patterns of adolescents aged 14–16 years in Kolkata, India. </w:t>
      </w:r>
      <w:r w:rsidRPr="00D60C57">
        <w:rPr>
          <w:b/>
          <w:bCs/>
          <w:i/>
          <w:iCs/>
        </w:rPr>
        <w:t>Nutrition Journal, 16</w:t>
      </w:r>
      <w:r w:rsidRPr="00D60C57">
        <w:rPr>
          <w:b/>
          <w:bCs/>
        </w:rPr>
        <w:t xml:space="preserve">, Article 50. </w:t>
      </w:r>
      <w:hyperlink r:id="rId21" w:tgtFrame="_new" w:history="1">
        <w:r w:rsidRPr="00D60C57">
          <w:rPr>
            <w:rStyle w:val="Hyperlink"/>
            <w:b/>
            <w:bCs/>
          </w:rPr>
          <w:t>https://doi.org/10.1186/s12937-017-0272-3</w:t>
        </w:r>
      </w:hyperlink>
    </w:p>
    <w:p w14:paraId="2043F6AA" w14:textId="77777777" w:rsidR="00D60C57" w:rsidRPr="00D60C57" w:rsidRDefault="00D60C57" w:rsidP="00D60C57">
      <w:pPr>
        <w:ind w:left="360"/>
        <w:rPr>
          <w:b/>
        </w:rPr>
      </w:pPr>
      <w:r w:rsidRPr="00D60C57">
        <w:rPr>
          <w:b/>
        </w:rPr>
        <w:lastRenderedPageBreak/>
        <w:t xml:space="preserve">Spronk, I., Kullen, C., Burdon, C., &amp; O’Connor, H. (2014). Relationship between nutrition knowledge and dietary intake. </w:t>
      </w:r>
      <w:r w:rsidRPr="00D60C57">
        <w:rPr>
          <w:b/>
          <w:i/>
          <w:iCs/>
        </w:rPr>
        <w:t>British Journal of Nutrition, 111</w:t>
      </w:r>
      <w:r w:rsidRPr="00D60C57">
        <w:rPr>
          <w:b/>
        </w:rPr>
        <w:t xml:space="preserve">(10), 1713–1726. </w:t>
      </w:r>
      <w:hyperlink r:id="rId22" w:tgtFrame="_new" w:history="1">
        <w:r w:rsidRPr="00D60C57">
          <w:rPr>
            <w:rStyle w:val="Hyperlink"/>
            <w:b/>
          </w:rPr>
          <w:t>https://doi.org/10.1017/S0007114514000087</w:t>
        </w:r>
      </w:hyperlink>
      <w:r w:rsidRPr="00D60C57">
        <w:rPr>
          <w:b/>
        </w:rPr>
        <w:t xml:space="preserve"> </w:t>
      </w:r>
    </w:p>
    <w:p w14:paraId="6A5AAAB4" w14:textId="77777777" w:rsidR="00D60C57" w:rsidRPr="00D60C57" w:rsidRDefault="00D60C57" w:rsidP="00D60C57">
      <w:pPr>
        <w:ind w:left="360"/>
        <w:rPr>
          <w:b/>
        </w:rPr>
      </w:pPr>
      <w:r w:rsidRPr="00D60C57">
        <w:rPr>
          <w:b/>
        </w:rPr>
        <w:t xml:space="preserve">St-Onge, M.-P., Ard, J., Baskin, M. L., </w:t>
      </w:r>
      <w:proofErr w:type="spellStart"/>
      <w:r w:rsidRPr="00D60C57">
        <w:rPr>
          <w:b/>
        </w:rPr>
        <w:t>Chiuve</w:t>
      </w:r>
      <w:proofErr w:type="spellEnd"/>
      <w:r w:rsidRPr="00D60C57">
        <w:rPr>
          <w:b/>
        </w:rPr>
        <w:t xml:space="preserve">, S. E., Johnson, H. M., Kris-Etherton, P., Varady, K., American Heart Association Obesity Committee of the Council on Lifestyle and Cardiometabolic Health, Council on Cardiovascular Disease in the Young, Council on Clinical Cardiology, &amp; Stroke Council. (2017). Meal timing and frequency: Implications for cardiovascular disease prevention: A scientific statement from the American Heart Association. </w:t>
      </w:r>
      <w:r w:rsidRPr="00D60C57">
        <w:rPr>
          <w:b/>
          <w:i/>
          <w:iCs/>
        </w:rPr>
        <w:t>Circulation, 135</w:t>
      </w:r>
      <w:r w:rsidRPr="00D60C57">
        <w:rPr>
          <w:b/>
        </w:rPr>
        <w:t xml:space="preserve">(9), e96–e121. </w:t>
      </w:r>
      <w:hyperlink r:id="rId23" w:tgtFrame="_new" w:history="1">
        <w:r w:rsidRPr="00D60C57">
          <w:rPr>
            <w:rStyle w:val="Hyperlink"/>
            <w:b/>
          </w:rPr>
          <w:t>https://doi.org/10.1161/CIR.0000000000000476</w:t>
        </w:r>
      </w:hyperlink>
      <w:r w:rsidRPr="00D60C57">
        <w:rPr>
          <w:b/>
        </w:rPr>
        <w:t xml:space="preserve"> </w:t>
      </w:r>
    </w:p>
    <w:p w14:paraId="33539827" w14:textId="77777777" w:rsidR="00D60C57" w:rsidRPr="00D60C57" w:rsidRDefault="00D60C57" w:rsidP="00D60C57">
      <w:pPr>
        <w:ind w:left="360"/>
        <w:rPr>
          <w:b/>
        </w:rPr>
      </w:pPr>
      <w:proofErr w:type="spellStart"/>
      <w:r w:rsidRPr="00D60C57">
        <w:rPr>
          <w:b/>
        </w:rPr>
        <w:t>Teede</w:t>
      </w:r>
      <w:proofErr w:type="spellEnd"/>
      <w:r w:rsidRPr="00D60C57">
        <w:rPr>
          <w:b/>
        </w:rPr>
        <w:t xml:space="preserve">, H. J., Misso, M. L., Costello, M. F., </w:t>
      </w:r>
      <w:proofErr w:type="spellStart"/>
      <w:r w:rsidRPr="00D60C57">
        <w:rPr>
          <w:b/>
        </w:rPr>
        <w:t>Dokras</w:t>
      </w:r>
      <w:proofErr w:type="spellEnd"/>
      <w:r w:rsidRPr="00D60C57">
        <w:rPr>
          <w:b/>
        </w:rPr>
        <w:t xml:space="preserve">, A., Laven, J., Moran, L., </w:t>
      </w:r>
      <w:proofErr w:type="spellStart"/>
      <w:r w:rsidRPr="00D60C57">
        <w:rPr>
          <w:b/>
        </w:rPr>
        <w:t>Piltonen</w:t>
      </w:r>
      <w:proofErr w:type="spellEnd"/>
      <w:r w:rsidRPr="00D60C57">
        <w:rPr>
          <w:b/>
        </w:rPr>
        <w:t xml:space="preserve">, T., Norman, R. J., &amp; International PCOS Network. (2018). Recommendations from the international evidence-based guideline for the assessment and management of polycystic ovary syndrome. </w:t>
      </w:r>
      <w:r w:rsidRPr="00D60C57">
        <w:rPr>
          <w:b/>
          <w:i/>
          <w:iCs/>
        </w:rPr>
        <w:t>Human Reproduction, 33</w:t>
      </w:r>
      <w:r w:rsidRPr="00D60C57">
        <w:rPr>
          <w:b/>
        </w:rPr>
        <w:t xml:space="preserve">(9), 1602–1618. </w:t>
      </w:r>
      <w:hyperlink r:id="rId24" w:tgtFrame="_new" w:history="1">
        <w:r w:rsidRPr="00D60C57">
          <w:rPr>
            <w:rStyle w:val="Hyperlink"/>
            <w:b/>
          </w:rPr>
          <w:t>https://doi.org/10.1093/humrep/dey256</w:t>
        </w:r>
      </w:hyperlink>
      <w:r w:rsidRPr="00D60C57">
        <w:rPr>
          <w:b/>
        </w:rPr>
        <w:t xml:space="preserve"> </w:t>
      </w:r>
    </w:p>
    <w:p w14:paraId="2900E510" w14:textId="77777777" w:rsidR="00D60C57" w:rsidRPr="00D60C57" w:rsidRDefault="00D60C57" w:rsidP="00D60C57">
      <w:pPr>
        <w:ind w:left="360"/>
        <w:rPr>
          <w:b/>
        </w:rPr>
      </w:pPr>
      <w:r w:rsidRPr="00D60C57">
        <w:rPr>
          <w:b/>
        </w:rPr>
        <w:t xml:space="preserve">Vaara, J. P., Vasankari, T., Koski, H., </w:t>
      </w:r>
      <w:proofErr w:type="spellStart"/>
      <w:r w:rsidRPr="00D60C57">
        <w:rPr>
          <w:b/>
        </w:rPr>
        <w:t>Kyröläinen</w:t>
      </w:r>
      <w:proofErr w:type="spellEnd"/>
      <w:r w:rsidRPr="00D60C57">
        <w:rPr>
          <w:b/>
        </w:rPr>
        <w:t xml:space="preserve">, H., &amp; </w:t>
      </w:r>
      <w:proofErr w:type="spellStart"/>
      <w:r w:rsidRPr="00D60C57">
        <w:rPr>
          <w:b/>
        </w:rPr>
        <w:t>Fogelholm</w:t>
      </w:r>
      <w:proofErr w:type="spellEnd"/>
      <w:r w:rsidRPr="00D60C57">
        <w:rPr>
          <w:b/>
        </w:rPr>
        <w:t xml:space="preserve">, M. (2019). Awareness and knowledge of physical activity recommendations in young adult men. </w:t>
      </w:r>
      <w:r w:rsidRPr="00D60C57">
        <w:rPr>
          <w:b/>
          <w:i/>
          <w:iCs/>
        </w:rPr>
        <w:t>Frontiers in Public Health, 7</w:t>
      </w:r>
      <w:r w:rsidRPr="00D60C57">
        <w:rPr>
          <w:b/>
        </w:rPr>
        <w:t xml:space="preserve">, Article 310. </w:t>
      </w:r>
      <w:hyperlink r:id="rId25" w:tgtFrame="_new" w:history="1">
        <w:r w:rsidRPr="00D60C57">
          <w:rPr>
            <w:rStyle w:val="Hyperlink"/>
            <w:b/>
          </w:rPr>
          <w:t>https://doi.org/10.3389/fpubh.2019.00310</w:t>
        </w:r>
      </w:hyperlink>
      <w:r w:rsidRPr="00D60C57">
        <w:rPr>
          <w:b/>
        </w:rPr>
        <w:t xml:space="preserve"> </w:t>
      </w:r>
    </w:p>
    <w:p w14:paraId="226068F0" w14:textId="77777777" w:rsidR="00D60C57" w:rsidRPr="00D60C57" w:rsidRDefault="00D60C57" w:rsidP="00D60C57">
      <w:pPr>
        <w:ind w:left="360"/>
        <w:rPr>
          <w:b/>
        </w:rPr>
      </w:pPr>
      <w:r w:rsidRPr="00D60C57">
        <w:rPr>
          <w:b/>
        </w:rPr>
        <w:t xml:space="preserve">Wardle, J., Parmenter, K., &amp; Waller, J. (2000). Nutrition knowledge and food intake. </w:t>
      </w:r>
      <w:r w:rsidRPr="00D60C57">
        <w:rPr>
          <w:b/>
          <w:i/>
          <w:iCs/>
        </w:rPr>
        <w:t>Appetite, 34</w:t>
      </w:r>
      <w:r w:rsidRPr="00D60C57">
        <w:rPr>
          <w:b/>
        </w:rPr>
        <w:t xml:space="preserve">(3), 269–275. </w:t>
      </w:r>
      <w:hyperlink r:id="rId26" w:tgtFrame="_new" w:history="1">
        <w:r w:rsidRPr="00D60C57">
          <w:rPr>
            <w:rStyle w:val="Hyperlink"/>
            <w:b/>
          </w:rPr>
          <w:t>https://doi.org/10.1006/appe.1999.0311</w:t>
        </w:r>
      </w:hyperlink>
      <w:r w:rsidRPr="00D60C57">
        <w:rPr>
          <w:b/>
        </w:rPr>
        <w:t xml:space="preserve"> </w:t>
      </w:r>
    </w:p>
    <w:p w14:paraId="1104ECF2" w14:textId="77777777" w:rsidR="00D60C57" w:rsidRDefault="00D60C57">
      <w:pPr>
        <w:rPr>
          <w:b/>
        </w:rPr>
      </w:pPr>
    </w:p>
    <w:p w14:paraId="427F8DD3" w14:textId="274E0A04" w:rsidR="00CD2E65" w:rsidRDefault="00CD2E65"/>
    <w:sectPr w:rsidR="00CD2E65" w:rsidSect="00034616">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4222C73"/>
    <w:multiLevelType w:val="multilevel"/>
    <w:tmpl w:val="CBC25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1A21991"/>
    <w:multiLevelType w:val="hybridMultilevel"/>
    <w:tmpl w:val="E6FA8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1770597">
    <w:abstractNumId w:val="8"/>
  </w:num>
  <w:num w:numId="2" w16cid:durableId="75443315">
    <w:abstractNumId w:val="6"/>
  </w:num>
  <w:num w:numId="3" w16cid:durableId="641538892">
    <w:abstractNumId w:val="5"/>
  </w:num>
  <w:num w:numId="4" w16cid:durableId="461391649">
    <w:abstractNumId w:val="4"/>
  </w:num>
  <w:num w:numId="5" w16cid:durableId="649673819">
    <w:abstractNumId w:val="7"/>
  </w:num>
  <w:num w:numId="6" w16cid:durableId="404961921">
    <w:abstractNumId w:val="3"/>
  </w:num>
  <w:num w:numId="7" w16cid:durableId="1278758648">
    <w:abstractNumId w:val="2"/>
  </w:num>
  <w:num w:numId="8" w16cid:durableId="1260023464">
    <w:abstractNumId w:val="1"/>
  </w:num>
  <w:num w:numId="9" w16cid:durableId="1538545675">
    <w:abstractNumId w:val="0"/>
  </w:num>
  <w:num w:numId="10" w16cid:durableId="1970741302">
    <w:abstractNumId w:val="10"/>
  </w:num>
  <w:num w:numId="11" w16cid:durableId="5906218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MwtzQwMDa0tDSwNDFR0lEKTi0uzszPAykwqgUASD5m5CwAAAA="/>
  </w:docVars>
  <w:rsids>
    <w:rsidRoot w:val="00B47730"/>
    <w:rsid w:val="00034616"/>
    <w:rsid w:val="0006063C"/>
    <w:rsid w:val="0015074B"/>
    <w:rsid w:val="001567B3"/>
    <w:rsid w:val="0029639D"/>
    <w:rsid w:val="00326F90"/>
    <w:rsid w:val="00373543"/>
    <w:rsid w:val="004110A4"/>
    <w:rsid w:val="006E4916"/>
    <w:rsid w:val="00A828A4"/>
    <w:rsid w:val="00AA1D8D"/>
    <w:rsid w:val="00B47730"/>
    <w:rsid w:val="00CB0664"/>
    <w:rsid w:val="00CD2E65"/>
    <w:rsid w:val="00D60C5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ACDFD5"/>
  <w14:defaultImageDpi w14:val="300"/>
  <w15:docId w15:val="{58B0F9A7-BE8E-4524-A899-39C5D828C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D60C57"/>
    <w:rPr>
      <w:color w:val="0000FF" w:themeColor="hyperlink"/>
      <w:u w:val="single"/>
    </w:rPr>
  </w:style>
  <w:style w:type="character" w:styleId="UnresolvedMention">
    <w:name w:val="Unresolved Mention"/>
    <w:basedOn w:val="DefaultParagraphFont"/>
    <w:uiPriority w:val="99"/>
    <w:semiHidden/>
    <w:unhideWhenUsed/>
    <w:rsid w:val="00D60C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2889-023-15730-8" TargetMode="External"/><Relationship Id="rId13" Type="http://schemas.openxmlformats.org/officeDocument/2006/relationships/hyperlink" Target="https://doi.org/10.1111/obr.12040" TargetMode="External"/><Relationship Id="rId18" Type="http://schemas.openxmlformats.org/officeDocument/2006/relationships/hyperlink" Target="https://doi.org/10.1001/jama.2018.14854" TargetMode="External"/><Relationship Id="rId26" Type="http://schemas.openxmlformats.org/officeDocument/2006/relationships/hyperlink" Target="https://doi.org/10.1006/appe.1999.0311" TargetMode="External"/><Relationship Id="rId3" Type="http://schemas.openxmlformats.org/officeDocument/2006/relationships/styles" Target="styles.xml"/><Relationship Id="rId21" Type="http://schemas.openxmlformats.org/officeDocument/2006/relationships/hyperlink" Target="https://doi.org/10.1186/s12937-017-0272-3" TargetMode="External"/><Relationship Id="rId7" Type="http://schemas.openxmlformats.org/officeDocument/2006/relationships/hyperlink" Target="https://doi.org/10.7759/cureus.32351" TargetMode="External"/><Relationship Id="rId12" Type="http://schemas.openxmlformats.org/officeDocument/2006/relationships/hyperlink" Target="https://doi.org/10.1016/j.sleh.2014.12.010" TargetMode="External"/><Relationship Id="rId17" Type="http://schemas.openxmlformats.org/officeDocument/2006/relationships/hyperlink" Target="https://doi.org/10.1002/14651858.CD007506.pub3" TargetMode="External"/><Relationship Id="rId25" Type="http://schemas.openxmlformats.org/officeDocument/2006/relationships/hyperlink" Target="https://doi.org/10.3389/fpubh.2019.00310" TargetMode="External"/><Relationship Id="rId2" Type="http://schemas.openxmlformats.org/officeDocument/2006/relationships/numbering" Target="numbering.xml"/><Relationship Id="rId16" Type="http://schemas.openxmlformats.org/officeDocument/2006/relationships/hyperlink" Target="https://doi.org/10.18203/2320-1770.ijrcog20231912" TargetMode="External"/><Relationship Id="rId20" Type="http://schemas.openxmlformats.org/officeDocument/2006/relationships/hyperlink" Target="https://doi.org/10.1186/s12906-023-04229-9" TargetMode="External"/><Relationship Id="rId1" Type="http://schemas.openxmlformats.org/officeDocument/2006/relationships/customXml" Target="../customXml/item1.xml"/><Relationship Id="rId6" Type="http://schemas.openxmlformats.org/officeDocument/2006/relationships/hyperlink" Target="https://doi.org/10.1186/s12966-015-0210-8" TargetMode="External"/><Relationship Id="rId11" Type="http://schemas.openxmlformats.org/officeDocument/2006/relationships/hyperlink" Target="https://doi.org/10.3390/nu14061265" TargetMode="External"/><Relationship Id="rId24" Type="http://schemas.openxmlformats.org/officeDocument/2006/relationships/hyperlink" Target="https://doi.org/10.1093/humrep/dey256" TargetMode="External"/><Relationship Id="rId5" Type="http://schemas.openxmlformats.org/officeDocument/2006/relationships/webSettings" Target="webSettings.xml"/><Relationship Id="rId15" Type="http://schemas.openxmlformats.org/officeDocument/2006/relationships/hyperlink" Target="https://doi.org/10.1161/CIRCULATIONAHA.109.876185" TargetMode="External"/><Relationship Id="rId23" Type="http://schemas.openxmlformats.org/officeDocument/2006/relationships/hyperlink" Target="https://doi.org/10.1161/CIR.0000000000000476" TargetMode="External"/><Relationship Id="rId28" Type="http://schemas.openxmlformats.org/officeDocument/2006/relationships/theme" Target="theme/theme1.xml"/><Relationship Id="rId10" Type="http://schemas.openxmlformats.org/officeDocument/2006/relationships/hyperlink" Target="https://doi.org/10.1186/s12902-021-00890-8" TargetMode="External"/><Relationship Id="rId19" Type="http://schemas.openxmlformats.org/officeDocument/2006/relationships/hyperlink" Target="https://doi.org/10.4103/jhrs.JHRS_95_18" TargetMode="External"/><Relationship Id="rId4" Type="http://schemas.openxmlformats.org/officeDocument/2006/relationships/settings" Target="settings.xml"/><Relationship Id="rId9" Type="http://schemas.openxmlformats.org/officeDocument/2006/relationships/hyperlink" Target="https://doi.org/10.1186/s12902-022-01208-y" TargetMode="External"/><Relationship Id="rId14" Type="http://schemas.openxmlformats.org/officeDocument/2006/relationships/hyperlink" Target="https://doi.org/10.63682/jns.v14i32S.7418" TargetMode="External"/><Relationship Id="rId22" Type="http://schemas.openxmlformats.org/officeDocument/2006/relationships/hyperlink" Target="https://doi.org/10.1017/S0007114514000087"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5132</Words>
  <Characters>29257</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34321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CPU 1117</cp:lastModifiedBy>
  <cp:revision>4</cp:revision>
  <dcterms:created xsi:type="dcterms:W3CDTF">2013-12-23T23:15:00Z</dcterms:created>
  <dcterms:modified xsi:type="dcterms:W3CDTF">2026-06-16T13:13:00Z</dcterms:modified>
  <cp:category/>
</cp:coreProperties>
</file>