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theme/theme1.xml" ContentType="application/vnd.openxmlformats-officedocument.theme+xml"/>
  <Override PartName="/word/footer4.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numbering.xml" ContentType="application/vnd.openxmlformats-officedocument.wordprocessingml.numbering+xml"/>
  <Override PartName="/word/header5.xml" ContentType="application/vnd.openxmlformats-officedocument.wordprocessingml.header+xml"/>
  <Override PartName="/word/settings.xml" ContentType="application/vnd.openxmlformats-officedocument.wordprocessingml.settings+xml"/>
  <Override PartName="/docProps/custom.xml" ContentType="application/vnd.openxmlformats-officedocument.custom-properties+xml"/>
  <Override PartName="/word/header2.xml" ContentType="application/vnd.openxmlformats-officedocument.wordprocessingml.header+xml"/>
  <Override PartName="/word/footer3.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both"/>
        <w:rPr>
          <w:rFonts w:ascii="Arial" w:cs="Arial" w:hAnsi="Arial"/>
          <w:b/>
        </w:rPr>
      </w:pPr>
      <w:bookmarkStart w:id="0" w:name="_Hlk228533411"/>
      <w:r>
        <w:rPr>
          <w:rFonts w:ascii="Arial" w:cs="Arial" w:hAnsi="Arial"/>
          <w:b/>
        </w:rPr>
        <w:t>Neuro</w:t>
      </w:r>
      <w:r>
        <w:rPr>
          <w:rFonts w:ascii="Arial" w:cs="Arial" w:hAnsi="Arial"/>
          <w:b/>
        </w:rPr>
        <w:t>restora</w:t>
      </w:r>
      <w:r>
        <w:rPr>
          <w:rFonts w:ascii="Arial" w:cs="Arial" w:hAnsi="Arial"/>
          <w:b/>
        </w:rPr>
        <w:t xml:space="preserve">tive and Antidiabetic Effects of </w:t>
      </w:r>
      <w:r>
        <w:rPr>
          <w:rFonts w:ascii="Arial" w:cs="Arial" w:hAnsi="Arial"/>
          <w:b/>
          <w:i/>
        </w:rPr>
        <w:t>Chromolaena</w:t>
      </w:r>
      <w:r>
        <w:rPr>
          <w:rFonts w:ascii="Arial" w:cs="Arial" w:hAnsi="Arial"/>
          <w:b/>
        </w:rPr>
        <w:t xml:space="preserve"> </w:t>
      </w:r>
      <w:r>
        <w:rPr>
          <w:rFonts w:ascii="Arial" w:cs="Arial" w:hAnsi="Arial"/>
          <w:b/>
          <w:i/>
        </w:rPr>
        <w:t>odorata</w:t>
      </w:r>
      <w:r>
        <w:rPr>
          <w:rFonts w:ascii="Arial" w:cs="Arial" w:hAnsi="Arial"/>
          <w:b/>
        </w:rPr>
        <w:t xml:space="preserve"> Leaf-Extract on the Substantia Nigra of Diabetic Rats Exposed to Mercury. A Histopathological Study</w:t>
      </w:r>
    </w:p>
    <w:bookmarkEnd w:id="0"/>
    <w:p>
      <w:pPr>
        <w:pStyle w:val="style0"/>
        <w:spacing w:after="0" w:lineRule="auto" w:line="240"/>
        <w:jc w:val="both"/>
        <w:rPr>
          <w:rFonts w:ascii="Arial" w:cs="Arial" w:hAnsi="Arial"/>
          <w:b/>
          <w:sz w:val="20"/>
          <w:szCs w:val="20"/>
        </w:rPr>
      </w:pPr>
    </w:p>
    <w:p>
      <w:pPr>
        <w:pStyle w:val="style0"/>
        <w:spacing w:after="0" w:lineRule="auto" w:line="240"/>
        <w:jc w:val="both"/>
        <w:rPr>
          <w:rFonts w:ascii="Arial" w:cs="Arial" w:hAnsi="Arial"/>
          <w:b/>
          <w:sz w:val="20"/>
          <w:szCs w:val="20"/>
        </w:rPr>
      </w:pPr>
    </w:p>
    <w:p>
      <w:pPr>
        <w:pStyle w:val="style0"/>
        <w:spacing w:after="0" w:lineRule="auto" w:line="240"/>
        <w:jc w:val="both"/>
        <w:rPr>
          <w:rFonts w:ascii="Arial" w:cs="Arial" w:hAnsi="Arial"/>
          <w:b/>
        </w:rPr>
      </w:pPr>
      <w:r>
        <w:rPr>
          <w:rFonts w:ascii="Arial" w:cs="Arial" w:hAnsi="Arial"/>
          <w:b/>
        </w:rPr>
        <w:t>ABSTRACT</w:t>
      </w:r>
    </w:p>
    <w:p>
      <w:pPr>
        <w:pStyle w:val="style0"/>
        <w:spacing w:after="0" w:lineRule="auto" w:line="240"/>
        <w:jc w:val="both"/>
        <w:rPr>
          <w:rFonts w:ascii="Arial" w:cs="Arial" w:hAnsi="Arial"/>
          <w:b/>
          <w:sz w:val="20"/>
          <w:szCs w:val="20"/>
        </w:rPr>
      </w:pPr>
    </w:p>
    <w:p>
      <w:pPr>
        <w:pStyle w:val="style0"/>
        <w:spacing w:after="0" w:lineRule="auto" w:line="360"/>
        <w:jc w:val="both"/>
        <w:rPr>
          <w:rFonts w:ascii="Arial" w:cs="Arial" w:hAnsi="Arial"/>
          <w:sz w:val="20"/>
          <w:szCs w:val="20"/>
        </w:rPr>
      </w:pPr>
      <w:r>
        <w:rPr>
          <w:rFonts w:ascii="Arial" w:cs="Arial" w:hAnsi="Arial"/>
          <w:sz w:val="20"/>
          <w:szCs w:val="20"/>
        </w:rPr>
        <w:t xml:space="preserve">Diabetes and exposure to heavy metals like mercury chloride are known to induce oxidative stress-mediated neurodegeneration, particularly in vulnerable brain regions like the substantia nigra. Medicinal plants such as </w:t>
      </w:r>
      <w:r>
        <w:rPr>
          <w:rFonts w:ascii="Arial" w:cs="Arial" w:hAnsi="Arial"/>
          <w:i/>
          <w:sz w:val="20"/>
          <w:szCs w:val="20"/>
        </w:rPr>
        <w:t>Chromolaena</w:t>
      </w:r>
      <w:r>
        <w:rPr>
          <w:rFonts w:ascii="Arial" w:cs="Arial" w:hAnsi="Arial"/>
          <w:sz w:val="20"/>
          <w:szCs w:val="20"/>
        </w:rPr>
        <w:t xml:space="preserve"> </w:t>
      </w:r>
      <w:r>
        <w:rPr>
          <w:rFonts w:ascii="Arial" w:cs="Arial" w:hAnsi="Arial"/>
          <w:i/>
          <w:sz w:val="20"/>
          <w:szCs w:val="20"/>
        </w:rPr>
        <w:t>odorata</w:t>
      </w:r>
      <w:r>
        <w:rPr>
          <w:rFonts w:ascii="Arial" w:cs="Arial" w:hAnsi="Arial"/>
          <w:sz w:val="20"/>
          <w:szCs w:val="20"/>
        </w:rPr>
        <w:t xml:space="preserve"> extract possess antioxidant and neuro</w:t>
      </w:r>
      <w:r>
        <w:rPr>
          <w:rFonts w:ascii="Arial" w:cs="Arial" w:hAnsi="Arial"/>
          <w:sz w:val="20"/>
          <w:szCs w:val="20"/>
        </w:rPr>
        <w:t>restora</w:t>
      </w:r>
      <w:r>
        <w:rPr>
          <w:rFonts w:ascii="Arial" w:cs="Arial" w:hAnsi="Arial"/>
          <w:sz w:val="20"/>
          <w:szCs w:val="20"/>
        </w:rPr>
        <w:t>tive properties that may mitigate such damage.</w:t>
      </w:r>
      <w:r>
        <w:rPr>
          <w:rFonts w:ascii="Arial" w:cs="Arial" w:hAnsi="Arial"/>
          <w:sz w:val="20"/>
          <w:szCs w:val="20"/>
        </w:rPr>
        <w:t xml:space="preserve"> </w:t>
      </w:r>
      <w:r>
        <w:rPr>
          <w:rFonts w:ascii="Arial" w:cs="Arial" w:hAnsi="Arial"/>
          <w:sz w:val="20"/>
          <w:szCs w:val="20"/>
        </w:rPr>
        <w:t>This study investigated Neur</w:t>
      </w:r>
      <w:r>
        <w:rPr>
          <w:rFonts w:ascii="Arial" w:cs="Arial" w:hAnsi="Arial"/>
          <w:sz w:val="20"/>
          <w:szCs w:val="20"/>
        </w:rPr>
        <w:t>orestora</w:t>
      </w:r>
      <w:r>
        <w:rPr>
          <w:rFonts w:ascii="Arial" w:cs="Arial" w:hAnsi="Arial"/>
          <w:sz w:val="20"/>
          <w:szCs w:val="20"/>
        </w:rPr>
        <w:t xml:space="preserve">tive and Antidiabetic Effects of </w:t>
      </w:r>
      <w:r>
        <w:rPr>
          <w:rFonts w:ascii="Arial" w:cs="Arial" w:hAnsi="Arial"/>
          <w:i/>
          <w:sz w:val="20"/>
          <w:szCs w:val="20"/>
        </w:rPr>
        <w:t>Chromolaena</w:t>
      </w:r>
      <w:r>
        <w:rPr>
          <w:rFonts w:ascii="Arial" w:cs="Arial" w:hAnsi="Arial"/>
          <w:i/>
          <w:sz w:val="20"/>
          <w:szCs w:val="20"/>
        </w:rPr>
        <w:t xml:space="preserve"> </w:t>
      </w:r>
      <w:r>
        <w:rPr>
          <w:rFonts w:ascii="Arial" w:cs="Arial" w:hAnsi="Arial"/>
          <w:i/>
          <w:sz w:val="20"/>
          <w:szCs w:val="20"/>
        </w:rPr>
        <w:t>odorata</w:t>
      </w:r>
      <w:r>
        <w:rPr>
          <w:rFonts w:ascii="Arial" w:cs="Arial" w:hAnsi="Arial"/>
          <w:sz w:val="20"/>
          <w:szCs w:val="20"/>
        </w:rPr>
        <w:t xml:space="preserve"> </w:t>
      </w:r>
      <w:r>
        <w:rPr>
          <w:rFonts w:ascii="Arial" w:cs="Arial" w:hAnsi="Arial"/>
          <w:sz w:val="20"/>
          <w:szCs w:val="20"/>
        </w:rPr>
        <w:t>Extract on the Substantia Nigra of Diabetic Rats Exposed to Mercury. A Histopathological Study</w:t>
      </w:r>
      <w:r>
        <w:rPr>
          <w:rFonts w:ascii="Arial" w:cs="Arial" w:hAnsi="Arial"/>
          <w:sz w:val="20"/>
          <w:szCs w:val="20"/>
        </w:rPr>
        <w:t xml:space="preserve">. </w:t>
      </w:r>
      <w:r>
        <w:rPr>
          <w:rFonts w:ascii="Arial" w:cs="Arial" w:hAnsi="Arial"/>
          <w:sz w:val="20"/>
          <w:szCs w:val="20"/>
        </w:rPr>
        <w:t xml:space="preserve">The study was conducted in Ebonyi State University, </w:t>
      </w:r>
      <w:r>
        <w:rPr>
          <w:rFonts w:ascii="Arial" w:cs="Arial" w:hAnsi="Arial"/>
          <w:sz w:val="20"/>
          <w:szCs w:val="20"/>
        </w:rPr>
        <w:t>Abakaliki</w:t>
      </w:r>
      <w:r>
        <w:rPr>
          <w:rFonts w:ascii="Arial" w:cs="Arial" w:hAnsi="Arial"/>
          <w:sz w:val="20"/>
          <w:szCs w:val="20"/>
        </w:rPr>
        <w:t xml:space="preserve"> </w:t>
      </w:r>
      <w:r>
        <w:rPr>
          <w:rFonts w:ascii="Arial" w:cs="Arial" w:hAnsi="Arial"/>
          <w:sz w:val="20"/>
          <w:szCs w:val="20"/>
        </w:rPr>
        <w:t>and the study lasted for 35 days</w:t>
      </w:r>
      <w:r>
        <w:rPr>
          <w:rFonts w:ascii="Arial" w:cs="Arial" w:hAnsi="Arial"/>
          <w:sz w:val="20"/>
          <w:szCs w:val="20"/>
        </w:rPr>
        <w:t>. T</w:t>
      </w:r>
      <w:r>
        <w:rPr>
          <w:rFonts w:ascii="Arial" w:cs="Arial" w:hAnsi="Arial"/>
          <w:sz w:val="20"/>
          <w:szCs w:val="20"/>
        </w:rPr>
        <w:t>hirty-six (36) male Wistar rats</w:t>
      </w:r>
      <w:r>
        <w:rPr>
          <w:rFonts w:ascii="Arial" w:cs="Arial" w:hAnsi="Arial"/>
          <w:sz w:val="20"/>
          <w:szCs w:val="20"/>
        </w:rPr>
        <w:t xml:space="preserve"> weighing between</w:t>
      </w:r>
      <w:r>
        <w:rPr>
          <w:rFonts w:ascii="Arial" w:cs="Arial" w:hAnsi="Arial"/>
          <w:sz w:val="20"/>
          <w:szCs w:val="20"/>
        </w:rPr>
        <w:t xml:space="preserve"> 250g</w:t>
      </w:r>
      <w:r>
        <w:rPr>
          <w:rFonts w:ascii="Arial" w:cs="Arial" w:hAnsi="Arial"/>
          <w:sz w:val="20"/>
          <w:szCs w:val="20"/>
        </w:rPr>
        <w:t>-</w:t>
      </w:r>
      <w:r>
        <w:rPr>
          <w:rFonts w:ascii="Arial" w:cs="Arial" w:hAnsi="Arial"/>
          <w:sz w:val="20"/>
          <w:szCs w:val="20"/>
        </w:rPr>
        <w:t>300g</w:t>
      </w:r>
      <w:r>
        <w:rPr>
          <w:rFonts w:ascii="Arial" w:cs="Arial" w:hAnsi="Arial"/>
          <w:sz w:val="20"/>
          <w:szCs w:val="20"/>
        </w:rPr>
        <w:t xml:space="preserve"> used for the study</w:t>
      </w:r>
      <w:r>
        <w:rPr>
          <w:rFonts w:ascii="Arial" w:cs="Arial" w:hAnsi="Arial"/>
          <w:sz w:val="20"/>
          <w:szCs w:val="20"/>
        </w:rPr>
        <w:t xml:space="preserve"> were randomly divided into six groups (n = 6): Control</w:t>
      </w:r>
      <w:r>
        <w:rPr>
          <w:rFonts w:ascii="Arial" w:cs="Arial" w:hAnsi="Arial"/>
          <w:sz w:val="20"/>
          <w:szCs w:val="20"/>
        </w:rPr>
        <w:t xml:space="preserve"> (A)</w:t>
      </w:r>
      <w:r>
        <w:rPr>
          <w:rFonts w:ascii="Arial" w:cs="Arial" w:hAnsi="Arial"/>
          <w:sz w:val="20"/>
          <w:szCs w:val="20"/>
        </w:rPr>
        <w:t xml:space="preserve">, diabetic + </w:t>
      </w:r>
      <w:bookmarkStart w:id="1" w:name="_Hlk228307167"/>
      <w:r>
        <w:rPr>
          <w:rFonts w:ascii="Arial" w:cs="Arial" w:hAnsi="Arial"/>
          <w:sz w:val="20"/>
          <w:szCs w:val="20"/>
        </w:rPr>
        <w:t>Hgcl</w:t>
      </w:r>
      <w:r>
        <w:rPr>
          <w:rFonts w:ascii="Arial" w:cs="Arial" w:hAnsi="Arial"/>
          <w:sz w:val="20"/>
          <w:szCs w:val="20"/>
          <w:vertAlign w:val="subscript"/>
        </w:rPr>
        <w:t>2</w:t>
      </w:r>
      <w:bookmarkEnd w:id="1"/>
      <w:r>
        <w:rPr>
          <w:rFonts w:ascii="Arial" w:cs="Arial" w:hAnsi="Arial"/>
          <w:sz w:val="20"/>
          <w:szCs w:val="20"/>
          <w:vertAlign w:val="subscript"/>
        </w:rPr>
        <w:t xml:space="preserve"> </w:t>
      </w:r>
      <w:r>
        <w:rPr>
          <w:rFonts w:ascii="Arial" w:cs="Arial" w:hAnsi="Arial"/>
          <w:sz w:val="20"/>
          <w:szCs w:val="20"/>
        </w:rPr>
        <w:t>(B),</w:t>
      </w:r>
      <w:r>
        <w:rPr>
          <w:rFonts w:ascii="Arial" w:cs="Arial" w:hAnsi="Arial"/>
          <w:sz w:val="20"/>
          <w:szCs w:val="20"/>
        </w:rPr>
        <w:t xml:space="preserve"> diabetic + Hgcl</w:t>
      </w:r>
      <w:r>
        <w:rPr>
          <w:rFonts w:ascii="Arial" w:cs="Arial" w:hAnsi="Arial"/>
          <w:sz w:val="20"/>
          <w:szCs w:val="20"/>
          <w:vertAlign w:val="subscript"/>
        </w:rPr>
        <w:t>2</w:t>
      </w:r>
      <w:r>
        <w:rPr>
          <w:rFonts w:ascii="Arial" w:cs="Arial" w:hAnsi="Arial"/>
          <w:sz w:val="20"/>
          <w:szCs w:val="20"/>
        </w:rPr>
        <w:t>+ metformin</w:t>
      </w:r>
      <w:r>
        <w:rPr>
          <w:rFonts w:ascii="Arial" w:cs="Arial" w:hAnsi="Arial"/>
          <w:sz w:val="20"/>
          <w:szCs w:val="20"/>
        </w:rPr>
        <w:t xml:space="preserve"> (C)</w:t>
      </w:r>
      <w:r>
        <w:rPr>
          <w:rFonts w:ascii="Arial" w:cs="Arial" w:hAnsi="Arial"/>
          <w:sz w:val="20"/>
          <w:szCs w:val="20"/>
        </w:rPr>
        <w:t xml:space="preserve"> and diabetic + Hgcl</w:t>
      </w:r>
      <w:r>
        <w:rPr>
          <w:rFonts w:ascii="Arial" w:cs="Arial" w:hAnsi="Arial"/>
          <w:sz w:val="20"/>
          <w:szCs w:val="20"/>
          <w:vertAlign w:val="subscript"/>
        </w:rPr>
        <w:t>2</w:t>
      </w:r>
      <w:r>
        <w:rPr>
          <w:rFonts w:ascii="Arial" w:cs="Arial" w:hAnsi="Arial"/>
          <w:sz w:val="20"/>
          <w:szCs w:val="20"/>
        </w:rPr>
        <w:t xml:space="preserve"> treated with 200</w:t>
      </w:r>
      <w:r>
        <w:rPr>
          <w:rFonts w:ascii="Arial" w:cs="Arial" w:hAnsi="Arial"/>
          <w:sz w:val="20"/>
          <w:szCs w:val="20"/>
        </w:rPr>
        <w:t xml:space="preserve"> (D)</w:t>
      </w:r>
      <w:r>
        <w:rPr>
          <w:rFonts w:ascii="Arial" w:cs="Arial" w:hAnsi="Arial"/>
          <w:sz w:val="20"/>
          <w:szCs w:val="20"/>
        </w:rPr>
        <w:t>, 400</w:t>
      </w:r>
      <w:r>
        <w:rPr>
          <w:rFonts w:ascii="Arial" w:cs="Arial" w:hAnsi="Arial"/>
          <w:sz w:val="20"/>
          <w:szCs w:val="20"/>
        </w:rPr>
        <w:t xml:space="preserve"> (E)</w:t>
      </w:r>
      <w:r>
        <w:rPr>
          <w:rFonts w:ascii="Arial" w:cs="Arial" w:hAnsi="Arial"/>
          <w:sz w:val="20"/>
          <w:szCs w:val="20"/>
        </w:rPr>
        <w:t xml:space="preserve"> and 600mg/kg</w:t>
      </w:r>
      <w:r>
        <w:rPr>
          <w:rFonts w:ascii="Arial" w:cs="Arial" w:hAnsi="Arial"/>
          <w:sz w:val="20"/>
          <w:szCs w:val="20"/>
        </w:rPr>
        <w:t xml:space="preserve"> (F)</w:t>
      </w:r>
      <w:r>
        <w:rPr>
          <w:rFonts w:ascii="Arial" w:cs="Arial" w:hAnsi="Arial"/>
          <w:sz w:val="20"/>
          <w:szCs w:val="20"/>
        </w:rPr>
        <w:t xml:space="preserve"> of the</w:t>
      </w:r>
      <w:r>
        <w:rPr>
          <w:rFonts w:ascii="Arial" w:cs="Arial" w:hAnsi="Arial"/>
          <w:i/>
          <w:sz w:val="20"/>
          <w:szCs w:val="20"/>
        </w:rPr>
        <w:t xml:space="preserve"> </w:t>
      </w:r>
      <w:r>
        <w:rPr>
          <w:rFonts w:ascii="Arial" w:cs="Arial" w:hAnsi="Arial"/>
          <w:sz w:val="20"/>
          <w:szCs w:val="20"/>
        </w:rPr>
        <w:t xml:space="preserve">extract. Diabetes was induced using alloxan monohydrate (150mg/kg) intraperitoneally daily for 14 days while </w:t>
      </w:r>
      <w:r>
        <w:rPr>
          <w:rFonts w:ascii="Arial" w:cs="Arial" w:hAnsi="Arial"/>
          <w:sz w:val="20"/>
          <w:szCs w:val="20"/>
        </w:rPr>
        <w:t>mercury chloride</w:t>
      </w:r>
      <w:r>
        <w:rPr>
          <w:rFonts w:ascii="Arial" w:cs="Arial" w:hAnsi="Arial"/>
          <w:sz w:val="20"/>
          <w:szCs w:val="20"/>
        </w:rPr>
        <w:t xml:space="preserve">, </w:t>
      </w:r>
      <w:r>
        <w:rPr>
          <w:rFonts w:ascii="Arial" w:cs="Arial" w:hAnsi="Arial"/>
          <w:sz w:val="20"/>
          <w:szCs w:val="20"/>
        </w:rPr>
        <w:t>(</w:t>
      </w:r>
      <w:r>
        <w:rPr>
          <w:rFonts w:ascii="Arial" w:cs="Arial" w:hAnsi="Arial"/>
          <w:sz w:val="20"/>
          <w:szCs w:val="20"/>
        </w:rPr>
        <w:t>3mg/kg</w:t>
      </w:r>
      <w:r>
        <w:rPr>
          <w:rFonts w:ascii="Arial" w:cs="Arial" w:hAnsi="Arial"/>
          <w:sz w:val="20"/>
          <w:szCs w:val="20"/>
        </w:rPr>
        <w:t>)</w:t>
      </w:r>
      <w:r>
        <w:rPr>
          <w:rFonts w:ascii="Arial" w:cs="Arial" w:hAnsi="Arial"/>
          <w:sz w:val="20"/>
          <w:szCs w:val="20"/>
        </w:rPr>
        <w:t xml:space="preserve"> was administered orally once. At the end of the experimental period, animals were humanely sacrificed, </w:t>
      </w:r>
      <w:r>
        <w:rPr>
          <w:rFonts w:ascii="Arial" w:cs="Arial" w:hAnsi="Arial"/>
          <w:sz w:val="20"/>
          <w:szCs w:val="20"/>
        </w:rPr>
        <w:t xml:space="preserve">the substantia </w:t>
      </w:r>
      <w:r>
        <w:rPr>
          <w:rFonts w:ascii="Arial" w:cs="Arial" w:hAnsi="Arial"/>
          <w:sz w:val="20"/>
          <w:szCs w:val="20"/>
        </w:rPr>
        <w:t>nigra</w:t>
      </w:r>
      <w:r>
        <w:rPr>
          <w:rFonts w:ascii="Arial" w:cs="Arial" w:hAnsi="Arial"/>
          <w:sz w:val="20"/>
          <w:szCs w:val="20"/>
        </w:rPr>
        <w:t xml:space="preserve"> excised and processed for histological evaluation using H&amp;E staining. Data obtained were analyzed using ANOVA followed by Tukey’s post hoc test with P-value at (</w:t>
      </w:r>
      <w:r>
        <w:rPr>
          <w:rFonts w:ascii="Arial" w:cs="Arial" w:hAnsi="Arial"/>
          <w:i/>
          <w:sz w:val="20"/>
          <w:szCs w:val="20"/>
        </w:rPr>
        <w:t>P</w:t>
      </w:r>
      <w:r>
        <w:rPr>
          <w:rFonts w:ascii="Arial" w:cs="Arial" w:hAnsi="Arial"/>
          <w:sz w:val="20"/>
          <w:szCs w:val="20"/>
        </w:rPr>
        <w:t xml:space="preserve"> = .05).</w:t>
      </w:r>
      <w:r>
        <w:rPr>
          <w:rFonts w:ascii="Arial" w:cs="Arial" w:hAnsi="Arial"/>
          <w:sz w:val="20"/>
          <w:szCs w:val="20"/>
        </w:rPr>
        <w:t xml:space="preserve"> </w:t>
      </w:r>
      <w:r>
        <w:rPr>
          <w:rFonts w:ascii="Arial" w:cs="Arial" w:hAnsi="Arial"/>
          <w:sz w:val="20"/>
          <w:szCs w:val="20"/>
        </w:rPr>
        <w:t xml:space="preserve">Group B showed significant weight loss and hyperglycemia (370 ± 32 mg/dl) compared to </w:t>
      </w:r>
      <w:r>
        <w:rPr>
          <w:rFonts w:ascii="Arial" w:cs="Arial" w:hAnsi="Arial"/>
          <w:sz w:val="20"/>
          <w:szCs w:val="20"/>
        </w:rPr>
        <w:t>Group A</w:t>
      </w:r>
      <w:r>
        <w:rPr>
          <w:rFonts w:ascii="Arial" w:cs="Arial" w:hAnsi="Arial"/>
          <w:sz w:val="20"/>
          <w:szCs w:val="20"/>
        </w:rPr>
        <w:t xml:space="preserve"> (95 ± 7mg/dl). Histologically, the nigral section reveal</w:t>
      </w:r>
      <w:r>
        <w:rPr>
          <w:rFonts w:ascii="Arial" w:cs="Arial" w:hAnsi="Arial"/>
          <w:sz w:val="20"/>
          <w:szCs w:val="20"/>
        </w:rPr>
        <w:t>ed</w:t>
      </w:r>
      <w:r>
        <w:rPr>
          <w:rFonts w:ascii="Arial" w:cs="Arial" w:hAnsi="Arial"/>
          <w:sz w:val="20"/>
          <w:szCs w:val="20"/>
        </w:rPr>
        <w:t xml:space="preserve"> severe neurodegenerative changes</w:t>
      </w:r>
      <w:r>
        <w:rPr>
          <w:rFonts w:ascii="Arial" w:cs="Arial" w:hAnsi="Arial"/>
          <w:sz w:val="20"/>
          <w:szCs w:val="20"/>
        </w:rPr>
        <w:t xml:space="preserve">, </w:t>
      </w:r>
      <w:r>
        <w:rPr>
          <w:rFonts w:ascii="Arial" w:cs="Arial" w:hAnsi="Arial"/>
          <w:sz w:val="20"/>
          <w:szCs w:val="20"/>
        </w:rPr>
        <w:t xml:space="preserve">vacuolation, and pyknotic nuclei indicative of </w:t>
      </w:r>
      <w:bookmarkStart w:id="2" w:name="_GoBack"/>
      <w:bookmarkEnd w:id="2"/>
      <w:r>
        <w:rPr>
          <w:rFonts w:ascii="Arial" w:cs="Arial" w:hAnsi="Arial"/>
          <w:sz w:val="20"/>
          <w:szCs w:val="20"/>
        </w:rPr>
        <w:t>apoptosis.</w:t>
      </w:r>
      <w:r>
        <w:rPr>
          <w:rFonts w:ascii="Arial" w:cs="Arial" w:hAnsi="Arial"/>
          <w:sz w:val="20"/>
          <w:szCs w:val="20"/>
        </w:rPr>
        <w:t xml:space="preserve"> Treatment with </w:t>
      </w:r>
      <w:r>
        <w:rPr>
          <w:rFonts w:ascii="Arial" w:cs="Arial" w:hAnsi="Arial"/>
          <w:i/>
          <w:sz w:val="20"/>
          <w:szCs w:val="20"/>
        </w:rPr>
        <w:t>C</w:t>
      </w:r>
      <w:r>
        <w:rPr>
          <w:rFonts w:ascii="Arial" w:cs="Arial" w:hAnsi="Arial"/>
          <w:i/>
          <w:sz w:val="20"/>
          <w:szCs w:val="20"/>
        </w:rPr>
        <w:t>hromolaena</w:t>
      </w:r>
      <w:r>
        <w:rPr>
          <w:rFonts w:ascii="Arial" w:cs="Arial" w:hAnsi="Arial"/>
          <w:i/>
          <w:sz w:val="20"/>
          <w:szCs w:val="20"/>
        </w:rPr>
        <w:t xml:space="preserve">. </w:t>
      </w:r>
      <w:r>
        <w:rPr>
          <w:rFonts w:ascii="Arial" w:cs="Arial" w:hAnsi="Arial"/>
          <w:i/>
          <w:sz w:val="20"/>
          <w:szCs w:val="20"/>
        </w:rPr>
        <w:t>odorata</w:t>
      </w:r>
      <w:r>
        <w:rPr>
          <w:rFonts w:ascii="Arial" w:cs="Arial" w:hAnsi="Arial"/>
          <w:sz w:val="20"/>
          <w:szCs w:val="20"/>
        </w:rPr>
        <w:t xml:space="preserve"> </w:t>
      </w:r>
      <w:r>
        <w:rPr>
          <w:rFonts w:ascii="Arial" w:cs="Arial" w:hAnsi="Arial"/>
          <w:sz w:val="20"/>
          <w:szCs w:val="20"/>
        </w:rPr>
        <w:t xml:space="preserve">extract </w:t>
      </w:r>
      <w:r>
        <w:rPr>
          <w:rFonts w:ascii="Arial" w:cs="Arial" w:hAnsi="Arial"/>
          <w:sz w:val="20"/>
          <w:szCs w:val="20"/>
        </w:rPr>
        <w:t xml:space="preserve">significantly improved glycemic control and restored nigral </w:t>
      </w:r>
      <w:r>
        <w:rPr>
          <w:rFonts w:ascii="Arial" w:cs="Arial" w:hAnsi="Arial"/>
          <w:sz w:val="20"/>
          <w:szCs w:val="20"/>
        </w:rPr>
        <w:t>histo</w:t>
      </w:r>
      <w:r>
        <w:rPr>
          <w:rFonts w:ascii="Arial" w:cs="Arial" w:hAnsi="Arial"/>
          <w:sz w:val="20"/>
          <w:szCs w:val="20"/>
        </w:rPr>
        <w:t>architecture in a dose-dependent manner, with the 600 mg/kg showing near-normal morphology comparable to metformin.</w:t>
      </w:r>
      <w:r>
        <w:rPr>
          <w:rFonts w:ascii="Arial" w:cs="Arial" w:hAnsi="Arial"/>
          <w:sz w:val="20"/>
          <w:szCs w:val="20"/>
        </w:rPr>
        <w:t xml:space="preserve"> In conclusion, </w:t>
      </w:r>
      <w:r>
        <w:rPr>
          <w:rFonts w:ascii="Arial" w:cs="Arial" w:hAnsi="Arial"/>
          <w:i/>
          <w:sz w:val="20"/>
          <w:szCs w:val="20"/>
        </w:rPr>
        <w:t>Chromolaena</w:t>
      </w:r>
      <w:r>
        <w:rPr>
          <w:rFonts w:ascii="Arial" w:cs="Arial" w:hAnsi="Arial"/>
          <w:i/>
          <w:sz w:val="20"/>
          <w:szCs w:val="20"/>
        </w:rPr>
        <w:t xml:space="preserve"> </w:t>
      </w:r>
      <w:r>
        <w:rPr>
          <w:rFonts w:ascii="Arial" w:cs="Arial" w:hAnsi="Arial"/>
          <w:i/>
          <w:sz w:val="20"/>
          <w:szCs w:val="20"/>
        </w:rPr>
        <w:t>odorata</w:t>
      </w:r>
      <w:r>
        <w:rPr>
          <w:rFonts w:ascii="Arial" w:cs="Arial" w:hAnsi="Arial"/>
          <w:i/>
          <w:sz w:val="20"/>
          <w:szCs w:val="20"/>
        </w:rPr>
        <w:t xml:space="preserve"> </w:t>
      </w:r>
      <w:r>
        <w:rPr>
          <w:rFonts w:ascii="Arial" w:cs="Arial" w:hAnsi="Arial"/>
          <w:sz w:val="20"/>
          <w:szCs w:val="20"/>
        </w:rPr>
        <w:t xml:space="preserve">extract </w:t>
      </w:r>
      <w:r>
        <w:rPr>
          <w:rFonts w:ascii="Arial" w:cs="Arial" w:hAnsi="Arial"/>
          <w:sz w:val="20"/>
          <w:szCs w:val="20"/>
        </w:rPr>
        <w:t>exhibits significant neuro</w:t>
      </w:r>
      <w:r>
        <w:rPr>
          <w:rFonts w:ascii="Arial" w:cs="Arial" w:hAnsi="Arial"/>
          <w:sz w:val="20"/>
          <w:szCs w:val="20"/>
        </w:rPr>
        <w:t>restora</w:t>
      </w:r>
      <w:r>
        <w:rPr>
          <w:rFonts w:ascii="Arial" w:cs="Arial" w:hAnsi="Arial"/>
          <w:sz w:val="20"/>
          <w:szCs w:val="20"/>
        </w:rPr>
        <w:t>tive and antidiabetic effects against combined diabetic and mercury neurotoxicity.</w:t>
      </w:r>
    </w:p>
    <w:p>
      <w:pPr>
        <w:pStyle w:val="style0"/>
        <w:spacing w:after="0" w:lineRule="auto" w:line="360"/>
        <w:jc w:val="both"/>
        <w:rPr>
          <w:rFonts w:ascii="Arial" w:cs="Arial" w:hAnsi="Arial"/>
          <w:sz w:val="20"/>
          <w:szCs w:val="20"/>
        </w:rPr>
      </w:pPr>
    </w:p>
    <w:p>
      <w:pPr>
        <w:pStyle w:val="style0"/>
        <w:spacing w:lineRule="auto" w:line="360"/>
        <w:jc w:val="both"/>
        <w:rPr>
          <w:rFonts w:ascii="Arial" w:cs="Arial" w:hAnsi="Arial"/>
          <w:sz w:val="20"/>
          <w:szCs w:val="20"/>
        </w:rPr>
      </w:pPr>
      <w:r>
        <w:rPr>
          <w:rFonts w:ascii="Arial" w:cs="Arial" w:hAnsi="Arial"/>
          <w:b/>
        </w:rPr>
        <w:t>Keywords:</w:t>
      </w:r>
      <w:r>
        <w:rPr>
          <w:rFonts w:ascii="Arial" w:cs="Arial" w:hAnsi="Arial"/>
          <w:sz w:val="20"/>
          <w:szCs w:val="20"/>
        </w:rPr>
        <w:t xml:space="preserve"> </w:t>
      </w:r>
      <w:r>
        <w:rPr>
          <w:rFonts w:ascii="Arial" w:cs="Arial" w:hAnsi="Arial"/>
          <w:i/>
          <w:sz w:val="20"/>
          <w:szCs w:val="20"/>
        </w:rPr>
        <w:t>Chromolaena</w:t>
      </w:r>
      <w:r>
        <w:rPr>
          <w:rFonts w:ascii="Arial" w:cs="Arial" w:hAnsi="Arial"/>
          <w:sz w:val="20"/>
          <w:szCs w:val="20"/>
        </w:rPr>
        <w:t xml:space="preserve"> </w:t>
      </w:r>
      <w:r>
        <w:rPr>
          <w:rFonts w:ascii="Arial" w:cs="Arial" w:hAnsi="Arial"/>
          <w:i/>
          <w:sz w:val="20"/>
          <w:szCs w:val="20"/>
        </w:rPr>
        <w:t>odorata</w:t>
      </w:r>
      <w:r>
        <w:rPr>
          <w:rFonts w:ascii="Arial" w:cs="Arial" w:hAnsi="Arial"/>
          <w:sz w:val="20"/>
          <w:szCs w:val="20"/>
        </w:rPr>
        <w:t>, cerebellum, neurodegeneration, diabetes mellitus, oxidative stress.</w:t>
      </w:r>
    </w:p>
    <w:p>
      <w:pPr>
        <w:pStyle w:val="style0"/>
        <w:spacing w:lineRule="auto" w:line="360"/>
        <w:jc w:val="both"/>
        <w:rPr>
          <w:rFonts w:ascii="Arial" w:cs="Arial" w:hAnsi="Arial"/>
          <w:b/>
        </w:rPr>
      </w:pPr>
      <w:r>
        <w:rPr>
          <w:rFonts w:ascii="Arial" w:cs="Arial" w:hAnsi="Arial"/>
          <w:b/>
        </w:rPr>
        <w:t>INTRODUCTION</w:t>
      </w:r>
    </w:p>
    <w:p>
      <w:pPr>
        <w:pStyle w:val="style0"/>
        <w:spacing w:after="0" w:lineRule="auto" w:line="360"/>
        <w:jc w:val="both"/>
        <w:rPr>
          <w:rFonts w:ascii="Arial" w:cs="Arial" w:hAnsi="Arial"/>
          <w:spacing w:val="2"/>
          <w:sz w:val="20"/>
          <w:szCs w:val="20"/>
        </w:rPr>
      </w:pPr>
      <w:r>
        <w:rPr>
          <w:rFonts w:ascii="Arial" w:cs="Arial" w:hAnsi="Arial"/>
          <w:sz w:val="20"/>
          <w:szCs w:val="20"/>
          <w:shd w:val="clear" w:color="auto" w:fill="ffffff"/>
        </w:rPr>
        <w:t>The substantia nigra (SN) is a small but an important part of the brain located in the midbrain. It plays a key role in the control of movement, reward-related behavior and some other cognitive activities (</w:t>
      </w:r>
      <w:r>
        <w:rPr>
          <w:rFonts w:ascii="Arial" w:cs="Arial" w:hAnsi="Arial"/>
          <w:sz w:val="20"/>
          <w:szCs w:val="20"/>
        </w:rPr>
        <w:t xml:space="preserve">Bublíková </w:t>
      </w:r>
      <w:r>
        <w:rPr>
          <w:rFonts w:ascii="Arial" w:cs="Arial" w:hAnsi="Arial"/>
          <w:i/>
          <w:sz w:val="20"/>
          <w:szCs w:val="20"/>
        </w:rPr>
        <w:t>et al</w:t>
      </w:r>
      <w:r>
        <w:rPr>
          <w:rFonts w:ascii="Arial" w:cs="Arial" w:hAnsi="Arial"/>
          <w:sz w:val="20"/>
          <w:szCs w:val="20"/>
        </w:rPr>
        <w:t>., 2025</w:t>
      </w:r>
      <w:r>
        <w:rPr>
          <w:rFonts w:ascii="Arial" w:cs="Arial" w:hAnsi="Arial"/>
          <w:sz w:val="20"/>
          <w:szCs w:val="20"/>
          <w:shd w:val="clear" w:color="auto" w:fill="ffffff"/>
        </w:rPr>
        <w:t xml:space="preserve">). The </w:t>
      </w:r>
      <w:r>
        <w:rPr>
          <w:rFonts w:ascii="Arial" w:cs="Arial" w:hAnsi="Arial"/>
          <w:sz w:val="20"/>
          <w:szCs w:val="20"/>
          <w:shd w:val="clear" w:color="auto" w:fill="ffffff"/>
        </w:rPr>
        <w:t xml:space="preserve">substantia </w:t>
      </w:r>
      <w:r>
        <w:rPr>
          <w:rFonts w:ascii="Arial" w:cs="Arial" w:hAnsi="Arial"/>
          <w:sz w:val="20"/>
          <w:szCs w:val="20"/>
          <w:shd w:val="clear" w:color="auto" w:fill="ffffff"/>
        </w:rPr>
        <w:t>nigra</w:t>
      </w:r>
      <w:r>
        <w:rPr>
          <w:rFonts w:ascii="Arial" w:cs="Arial" w:hAnsi="Arial"/>
          <w:sz w:val="20"/>
          <w:szCs w:val="20"/>
          <w:shd w:val="clear" w:color="auto" w:fill="ffffff"/>
        </w:rPr>
        <w:t xml:space="preserve"> is divided into two main parts which are the pars compacta (SNc), which is rich in dopamine-producing neurons and the pars reticulata (SNr) which helps to integrate information from other brain areas and also contains GABAergic neurons. </w:t>
      </w:r>
      <w:r>
        <w:rPr>
          <w:rFonts w:ascii="Arial" w:cs="Arial" w:hAnsi="Arial"/>
          <w:sz w:val="20"/>
          <w:szCs w:val="20"/>
        </w:rPr>
        <w:t xml:space="preserve">The presence of neuromelanin in these cells gives the </w:t>
      </w:r>
      <w:r>
        <w:rPr>
          <w:rFonts w:ascii="Arial" w:cs="Arial" w:hAnsi="Arial"/>
          <w:sz w:val="20"/>
          <w:szCs w:val="20"/>
          <w:shd w:val="clear" w:color="auto" w:fill="ffffff"/>
        </w:rPr>
        <w:t>pars compacta</w:t>
      </w:r>
      <w:r>
        <w:rPr>
          <w:rFonts w:ascii="Arial" w:cs="Arial" w:hAnsi="Arial"/>
          <w:sz w:val="20"/>
          <w:szCs w:val="20"/>
        </w:rPr>
        <w:t xml:space="preserve"> (SNc) its dark pigmented coloration.</w:t>
      </w:r>
      <w:r>
        <w:rPr>
          <w:rStyle w:val="style4097"/>
          <w:rFonts w:ascii="Arial" w:cs="Arial" w:hAnsi="Arial"/>
          <w:sz w:val="20"/>
          <w:szCs w:val="20"/>
          <w:shd w:val="clear" w:color="auto" w:fill="ffffff"/>
        </w:rPr>
        <w:t xml:space="preserve"> </w:t>
      </w:r>
      <w:r>
        <w:rPr>
          <w:rFonts w:ascii="Arial" w:cs="Arial" w:hAnsi="Arial"/>
          <w:sz w:val="20"/>
          <w:szCs w:val="20"/>
        </w:rPr>
        <w:t xml:space="preserve">The substantia </w:t>
      </w:r>
      <w:r>
        <w:rPr>
          <w:rFonts w:ascii="Arial" w:cs="Arial" w:hAnsi="Arial"/>
          <w:sz w:val="20"/>
          <w:szCs w:val="20"/>
        </w:rPr>
        <w:t>nigra</w:t>
      </w:r>
      <w:r>
        <w:rPr>
          <w:rFonts w:ascii="Arial" w:cs="Arial" w:hAnsi="Arial"/>
          <w:sz w:val="20"/>
          <w:szCs w:val="20"/>
        </w:rPr>
        <w:t xml:space="preserve"> sits in the midbrain, specifically within the tegmentum.</w:t>
      </w:r>
      <w:r>
        <w:rPr>
          <w:rFonts w:ascii="Arial" w:cs="Arial" w:hAnsi="Arial"/>
          <w:sz w:val="20"/>
          <w:szCs w:val="20"/>
          <w:shd w:val="clear" w:color="auto" w:fill="ffffff"/>
        </w:rPr>
        <w:t xml:space="preserve"> </w:t>
      </w:r>
      <w:r>
        <w:rPr>
          <w:rStyle w:val="style4097"/>
          <w:rFonts w:ascii="Arial" w:cs="Arial" w:hAnsi="Arial"/>
          <w:spacing w:val="2"/>
          <w:sz w:val="20"/>
          <w:szCs w:val="20"/>
        </w:rPr>
        <w:t>T</w:t>
      </w:r>
      <w:r>
        <w:rPr>
          <w:rFonts w:ascii="Arial" w:cs="Arial" w:hAnsi="Arial"/>
          <w:spacing w:val="2"/>
          <w:sz w:val="20"/>
          <w:szCs w:val="20"/>
        </w:rPr>
        <w:t>he SNr participates in the control of eye movement and has connections to other brain regions which are involved in cognition and emotion.</w:t>
      </w:r>
      <w:r>
        <w:rPr>
          <w:rStyle w:val="style4097"/>
          <w:rFonts w:ascii="Arial" w:cs="Arial" w:hAnsi="Arial"/>
          <w:spacing w:val="2"/>
          <w:sz w:val="20"/>
          <w:szCs w:val="20"/>
        </w:rPr>
        <w:t> </w:t>
      </w:r>
      <w:r>
        <w:rPr>
          <w:rFonts w:ascii="Arial" w:cs="Arial" w:hAnsi="Arial"/>
          <w:spacing w:val="2"/>
          <w:sz w:val="20"/>
          <w:szCs w:val="20"/>
        </w:rPr>
        <w:t xml:space="preserve">Degeneration of dopaminergic neurons in the SNc is a hallmark of Parkinson's disease (PD) leading to motor symptoms like tremors, rigidity and slow </w:t>
      </w:r>
      <w:r>
        <w:rPr>
          <w:rFonts w:ascii="Arial" w:cs="Arial" w:hAnsi="Arial"/>
          <w:spacing w:val="2"/>
          <w:sz w:val="20"/>
          <w:szCs w:val="20"/>
        </w:rPr>
        <w:t xml:space="preserve">movement (Chen </w:t>
      </w:r>
      <w:r>
        <w:rPr>
          <w:rFonts w:ascii="Arial" w:cs="Arial" w:hAnsi="Arial"/>
          <w:i/>
          <w:spacing w:val="2"/>
          <w:sz w:val="20"/>
          <w:szCs w:val="20"/>
        </w:rPr>
        <w:t>et al</w:t>
      </w:r>
      <w:r>
        <w:rPr>
          <w:rFonts w:ascii="Arial" w:cs="Arial" w:hAnsi="Arial"/>
          <w:spacing w:val="2"/>
          <w:sz w:val="20"/>
          <w:szCs w:val="20"/>
        </w:rPr>
        <w:t>., 2019). Abnormalities in the SN have also been implicated in conditions like drug addiction, epilepsy and certain psychiatric anomalies.</w:t>
      </w:r>
      <w:r>
        <w:rPr>
          <w:rStyle w:val="style4097"/>
          <w:rFonts w:ascii="Arial" w:cs="Arial" w:hAnsi="Arial"/>
          <w:spacing w:val="2"/>
          <w:sz w:val="20"/>
          <w:szCs w:val="20"/>
        </w:rPr>
        <w:t xml:space="preserve"> Exposure of the SN to neurotoxins can cause the degeneration of the dopaminergic neurons which can lead to Parkinson’s disease (Sulzer </w:t>
      </w:r>
      <w:r>
        <w:rPr>
          <w:rStyle w:val="style4097"/>
          <w:rFonts w:ascii="Arial" w:cs="Arial" w:hAnsi="Arial"/>
          <w:i/>
          <w:spacing w:val="2"/>
          <w:sz w:val="20"/>
          <w:szCs w:val="20"/>
        </w:rPr>
        <w:t>et al</w:t>
      </w:r>
      <w:r>
        <w:rPr>
          <w:rStyle w:val="style4097"/>
          <w:rFonts w:ascii="Arial" w:cs="Arial" w:hAnsi="Arial"/>
          <w:spacing w:val="2"/>
          <w:sz w:val="20"/>
          <w:szCs w:val="20"/>
        </w:rPr>
        <w:t>., 2024).</w:t>
      </w:r>
    </w:p>
    <w:p>
      <w:pPr>
        <w:pStyle w:val="style0"/>
        <w:spacing w:after="0" w:lineRule="auto" w:line="360"/>
        <w:jc w:val="both"/>
        <w:rPr>
          <w:rFonts w:ascii="Arial" w:cs="Arial" w:hAnsi="Arial"/>
          <w:b/>
          <w:sz w:val="20"/>
          <w:szCs w:val="20"/>
        </w:rPr>
      </w:pPr>
    </w:p>
    <w:p>
      <w:pPr>
        <w:pStyle w:val="style0"/>
        <w:spacing w:after="0" w:lineRule="auto" w:line="360"/>
        <w:jc w:val="both"/>
        <w:rPr>
          <w:rFonts w:ascii="Arial" w:cs="Arial" w:hAnsi="Arial"/>
          <w:sz w:val="20"/>
          <w:szCs w:val="20"/>
        </w:rPr>
      </w:pPr>
      <w:r>
        <w:rPr>
          <w:rFonts w:ascii="Arial" w:cs="Arial" w:hAnsi="Arial"/>
          <w:sz w:val="20"/>
          <w:szCs w:val="20"/>
        </w:rPr>
        <w:t xml:space="preserve">Wistar rats known as </w:t>
      </w:r>
      <w:r>
        <w:rPr>
          <w:rFonts w:ascii="Arial" w:cs="Arial" w:hAnsi="Arial"/>
          <w:i/>
          <w:sz w:val="20"/>
          <w:szCs w:val="20"/>
        </w:rPr>
        <w:t>Rattus norvegicus</w:t>
      </w:r>
      <w:r>
        <w:rPr>
          <w:rFonts w:ascii="Arial" w:cs="Arial" w:hAnsi="Arial"/>
          <w:sz w:val="20"/>
          <w:szCs w:val="20"/>
        </w:rPr>
        <w:t xml:space="preserve"> are among the most widely accepted and used experimental animals in biomedical research because of their genetic uniformity, easy to handle and a well-characterized physiology (Goyal &amp; Kalra, 2021). Wistar rats have a high predictable response to pharmacological and toxicological products and this makes it especially suitable for experimental studies of metabolic anomalies like diabetes mellitus and for examining the neurotoxic effects of environmental toxins like mercury chloride</w:t>
      </w:r>
      <w:r>
        <w:rPr>
          <w:rFonts w:ascii="Arial" w:cs="Arial" w:hAnsi="Arial"/>
          <w:sz w:val="20"/>
          <w:szCs w:val="20"/>
        </w:rPr>
        <w:t xml:space="preserve"> (HgCl</w:t>
      </w:r>
      <w:r>
        <w:rPr>
          <w:rFonts w:ascii="Arial" w:cs="Arial" w:hAnsi="Arial"/>
          <w:sz w:val="20"/>
          <w:szCs w:val="20"/>
          <w:vertAlign w:val="subscript"/>
        </w:rPr>
        <w:t>2</w:t>
      </w:r>
      <w:r>
        <w:rPr>
          <w:rFonts w:ascii="Arial" w:cs="Arial" w:hAnsi="Arial"/>
          <w:sz w:val="20"/>
          <w:szCs w:val="20"/>
        </w:rPr>
        <w:t>)</w:t>
      </w:r>
      <w:r>
        <w:rPr>
          <w:rFonts w:ascii="Arial" w:cs="Arial" w:hAnsi="Arial"/>
          <w:sz w:val="20"/>
          <w:szCs w:val="20"/>
        </w:rPr>
        <w:t xml:space="preserve">. In the context of degeneration of neurons, Wistar rats have continuously shown sensitivity to biochemical and histological changes which makes them ideal for experimental examinations requiring neuroanatomical assessments and immunohistochemical profiling. The use of Wistar rats in assessing nigral disorder due to both diabetes and mercury exposure is supported by previous studies which indicated neuronal apoptosis, gliosis and morphological disruption in the brain region under such conditions (El-Missiry </w:t>
      </w:r>
      <w:r>
        <w:rPr>
          <w:rFonts w:ascii="Arial" w:cs="Arial" w:hAnsi="Arial"/>
          <w:i/>
          <w:sz w:val="20"/>
          <w:szCs w:val="20"/>
        </w:rPr>
        <w:t>et al</w:t>
      </w:r>
      <w:r>
        <w:rPr>
          <w:rFonts w:ascii="Arial" w:cs="Arial" w:hAnsi="Arial"/>
          <w:sz w:val="20"/>
          <w:szCs w:val="20"/>
        </w:rPr>
        <w:t xml:space="preserve">., 2015). Evaluating histological changes in the substantia nigra can provide a detailed understanding of neurodegeneration and potential </w:t>
      </w:r>
      <w:r>
        <w:rPr>
          <w:rFonts w:ascii="Arial" w:cs="Arial" w:hAnsi="Arial"/>
          <w:sz w:val="20"/>
          <w:szCs w:val="20"/>
        </w:rPr>
        <w:t>neuro</w:t>
      </w:r>
      <w:r>
        <w:rPr>
          <w:rFonts w:ascii="Arial" w:cs="Arial" w:hAnsi="Arial"/>
          <w:sz w:val="20"/>
          <w:szCs w:val="20"/>
        </w:rPr>
        <w:t>restora</w:t>
      </w:r>
      <w:r>
        <w:rPr>
          <w:rFonts w:ascii="Arial" w:cs="Arial" w:hAnsi="Arial"/>
          <w:sz w:val="20"/>
          <w:szCs w:val="20"/>
        </w:rPr>
        <w:t>tion</w:t>
      </w:r>
      <w:r>
        <w:rPr>
          <w:rFonts w:ascii="Arial" w:cs="Arial" w:hAnsi="Arial"/>
          <w:sz w:val="20"/>
          <w:szCs w:val="20"/>
        </w:rPr>
        <w:t xml:space="preserve"> presented by </w:t>
      </w:r>
      <w:r>
        <w:rPr>
          <w:rFonts w:ascii="Arial" w:cs="Arial" w:hAnsi="Arial"/>
          <w:i/>
          <w:sz w:val="20"/>
          <w:szCs w:val="20"/>
        </w:rPr>
        <w:t>Chromolaena</w:t>
      </w:r>
      <w:r>
        <w:rPr>
          <w:rFonts w:ascii="Arial" w:cs="Arial" w:hAnsi="Arial"/>
          <w:i/>
          <w:sz w:val="20"/>
          <w:szCs w:val="20"/>
        </w:rPr>
        <w:t xml:space="preserve"> </w:t>
      </w:r>
      <w:r>
        <w:rPr>
          <w:rFonts w:ascii="Arial" w:cs="Arial" w:hAnsi="Arial"/>
          <w:i/>
          <w:sz w:val="20"/>
          <w:szCs w:val="20"/>
        </w:rPr>
        <w:t>odorata</w:t>
      </w:r>
      <w:r>
        <w:rPr>
          <w:rFonts w:ascii="Arial" w:cs="Arial" w:hAnsi="Arial"/>
          <w:i/>
          <w:sz w:val="20"/>
          <w:szCs w:val="20"/>
        </w:rPr>
        <w:t xml:space="preserve"> </w:t>
      </w:r>
      <w:r>
        <w:rPr>
          <w:rFonts w:ascii="Arial" w:cs="Arial" w:hAnsi="Arial"/>
          <w:sz w:val="20"/>
          <w:szCs w:val="20"/>
        </w:rPr>
        <w:t>leaf-extract.</w:t>
      </w:r>
    </w:p>
    <w:p>
      <w:pPr>
        <w:pStyle w:val="style0"/>
        <w:spacing w:after="0" w:lineRule="auto" w:line="360"/>
        <w:jc w:val="both"/>
        <w:rPr>
          <w:rFonts w:ascii="Arial" w:cs="Arial" w:hAnsi="Arial"/>
          <w:sz w:val="20"/>
          <w:szCs w:val="20"/>
        </w:rPr>
      </w:pPr>
    </w:p>
    <w:p>
      <w:pPr>
        <w:pStyle w:val="style0"/>
        <w:spacing w:after="0" w:lineRule="auto" w:line="360"/>
        <w:jc w:val="both"/>
        <w:rPr>
          <w:rFonts w:ascii="Arial" w:cs="Arial" w:hAnsi="Arial"/>
          <w:b/>
          <w:sz w:val="20"/>
          <w:szCs w:val="20"/>
        </w:rPr>
      </w:pPr>
      <w:r>
        <w:rPr>
          <w:rFonts w:ascii="Arial" w:cs="Arial" w:hAnsi="Arial"/>
          <w:sz w:val="20"/>
          <w:szCs w:val="20"/>
        </w:rPr>
        <w:t>Environmental pollutants like mercury chloride</w:t>
      </w:r>
      <w:r>
        <w:rPr>
          <w:rFonts w:ascii="Arial" w:cs="Arial" w:hAnsi="Arial"/>
          <w:sz w:val="20"/>
          <w:szCs w:val="20"/>
        </w:rPr>
        <w:t xml:space="preserve"> (HgCl</w:t>
      </w:r>
      <w:r>
        <w:rPr>
          <w:rFonts w:ascii="Arial" w:cs="Arial" w:hAnsi="Arial"/>
          <w:sz w:val="20"/>
          <w:szCs w:val="20"/>
          <w:vertAlign w:val="subscript"/>
        </w:rPr>
        <w:t>2</w:t>
      </w:r>
      <w:r>
        <w:rPr>
          <w:rFonts w:ascii="Arial" w:cs="Arial" w:hAnsi="Arial"/>
          <w:sz w:val="20"/>
          <w:szCs w:val="20"/>
        </w:rPr>
        <w:t>)</w:t>
      </w:r>
      <w:r>
        <w:rPr>
          <w:rFonts w:ascii="Arial" w:cs="Arial" w:hAnsi="Arial"/>
          <w:sz w:val="20"/>
          <w:szCs w:val="20"/>
        </w:rPr>
        <w:t xml:space="preserve"> ha</w:t>
      </w:r>
      <w:r>
        <w:rPr>
          <w:rFonts w:ascii="Arial" w:cs="Arial" w:hAnsi="Arial"/>
          <w:sz w:val="20"/>
          <w:szCs w:val="20"/>
        </w:rPr>
        <w:t>s</w:t>
      </w:r>
      <w:r>
        <w:rPr>
          <w:rFonts w:ascii="Arial" w:cs="Arial" w:hAnsi="Arial"/>
          <w:sz w:val="20"/>
          <w:szCs w:val="20"/>
        </w:rPr>
        <w:t xml:space="preserve"> raised alarm for their neurotoxic effect. Mercury chloride (HgCl</w:t>
      </w:r>
      <w:r>
        <w:rPr>
          <w:rFonts w:ascii="Cambria Math" w:cs="Cambria Math" w:hAnsi="Cambria Math"/>
          <w:sz w:val="20"/>
          <w:szCs w:val="20"/>
        </w:rPr>
        <w:t>₂</w:t>
      </w:r>
      <w:r>
        <w:rPr>
          <w:rFonts w:ascii="Arial" w:cs="Arial" w:hAnsi="Arial"/>
          <w:sz w:val="20"/>
          <w:szCs w:val="20"/>
        </w:rPr>
        <w:t xml:space="preserve">), which is an inorganic form of mercury is used in industrial processes and is known to bioaccumulate, which can lead to oxidative stress, misfunctioning of the mitochondria and apoptosis (Bose-O’Reilly </w:t>
      </w:r>
      <w:r>
        <w:rPr>
          <w:rFonts w:ascii="Arial" w:cs="Arial" w:hAnsi="Arial"/>
          <w:i/>
          <w:sz w:val="20"/>
          <w:szCs w:val="20"/>
        </w:rPr>
        <w:t>et al</w:t>
      </w:r>
      <w:r>
        <w:rPr>
          <w:rFonts w:ascii="Arial" w:cs="Arial" w:hAnsi="Arial"/>
          <w:sz w:val="20"/>
          <w:szCs w:val="20"/>
        </w:rPr>
        <w:t xml:space="preserve">., 2020). The co-existence of diabetes and exposure to mercury chloride may synergistically cause distortion and damage in delicate brain areas such as the substantia </w:t>
      </w:r>
      <w:r>
        <w:rPr>
          <w:rFonts w:ascii="Arial" w:cs="Arial" w:hAnsi="Arial"/>
          <w:sz w:val="20"/>
          <w:szCs w:val="20"/>
        </w:rPr>
        <w:t>nigra</w:t>
      </w:r>
      <w:r>
        <w:rPr>
          <w:rFonts w:ascii="Arial" w:cs="Arial" w:hAnsi="Arial"/>
          <w:sz w:val="20"/>
          <w:szCs w:val="20"/>
        </w:rPr>
        <w:t xml:space="preserve"> necessitating a deeper understanding of their combined effects.</w:t>
      </w:r>
    </w:p>
    <w:p>
      <w:pPr>
        <w:pStyle w:val="style0"/>
        <w:spacing w:after="0" w:lineRule="auto" w:line="360"/>
        <w:jc w:val="both"/>
        <w:rPr>
          <w:rFonts w:ascii="Arial" w:cs="Arial" w:hAnsi="Arial"/>
          <w:b/>
          <w:sz w:val="20"/>
          <w:szCs w:val="20"/>
        </w:rPr>
      </w:pPr>
    </w:p>
    <w:p>
      <w:pPr>
        <w:pStyle w:val="style0"/>
        <w:spacing w:after="0" w:lineRule="auto" w:line="360"/>
        <w:jc w:val="both"/>
        <w:rPr>
          <w:rFonts w:ascii="Arial" w:cs="Arial" w:hAnsi="Arial"/>
          <w:sz w:val="20"/>
          <w:szCs w:val="20"/>
        </w:rPr>
      </w:pPr>
      <w:r>
        <w:rPr>
          <w:rFonts w:ascii="Arial" w:cs="Arial" w:hAnsi="Arial"/>
          <w:i/>
          <w:sz w:val="20"/>
          <w:szCs w:val="20"/>
        </w:rPr>
        <w:t>Chromolaena odorata</w:t>
      </w:r>
      <w:r>
        <w:rPr>
          <w:rFonts w:ascii="Arial" w:cs="Arial" w:hAnsi="Arial"/>
          <w:sz w:val="20"/>
          <w:szCs w:val="20"/>
        </w:rPr>
        <w:t xml:space="preserve">, (C. </w:t>
      </w:r>
      <w:r>
        <w:rPr>
          <w:rFonts w:ascii="Arial" w:cs="Arial" w:hAnsi="Arial"/>
          <w:i/>
          <w:sz w:val="20"/>
          <w:szCs w:val="20"/>
        </w:rPr>
        <w:t>odorata</w:t>
      </w:r>
      <w:r>
        <w:rPr>
          <w:rFonts w:ascii="Arial" w:cs="Arial" w:hAnsi="Arial"/>
          <w:sz w:val="20"/>
          <w:szCs w:val="20"/>
        </w:rPr>
        <w:t xml:space="preserve">) is a fast-growing perennial shrub belonging to the Asteraceae family has been used worldwide in ethnomedicine due to its high phytochemical constituent including flavonoids, alkaloids and tannins. Studies have shown its antioxidant, anti-inflammatory, antidiabetic and </w:t>
      </w:r>
      <w:r>
        <w:rPr>
          <w:rFonts w:ascii="Arial" w:cs="Arial" w:hAnsi="Arial"/>
          <w:sz w:val="20"/>
          <w:szCs w:val="20"/>
        </w:rPr>
        <w:t>cyto</w:t>
      </w:r>
      <w:r>
        <w:rPr>
          <w:rFonts w:ascii="Arial" w:cs="Arial" w:hAnsi="Arial"/>
          <w:sz w:val="20"/>
          <w:szCs w:val="20"/>
        </w:rPr>
        <w:t>restora</w:t>
      </w:r>
      <w:r>
        <w:rPr>
          <w:rFonts w:ascii="Arial" w:cs="Arial" w:hAnsi="Arial"/>
          <w:sz w:val="20"/>
          <w:szCs w:val="20"/>
        </w:rPr>
        <w:t>tive</w:t>
      </w:r>
      <w:r>
        <w:rPr>
          <w:rFonts w:ascii="Arial" w:cs="Arial" w:hAnsi="Arial"/>
          <w:sz w:val="20"/>
          <w:szCs w:val="20"/>
        </w:rPr>
        <w:t xml:space="preserve"> potentials (</w:t>
      </w:r>
      <w:r>
        <w:rPr>
          <w:rFonts w:ascii="Arial" w:cs="Arial" w:hAnsi="Arial"/>
          <w:sz w:val="20"/>
          <w:szCs w:val="20"/>
        </w:rPr>
        <w:t>Idu</w:t>
      </w:r>
      <w:r>
        <w:rPr>
          <w:rFonts w:ascii="Arial" w:cs="Arial" w:hAnsi="Arial"/>
          <w:sz w:val="20"/>
          <w:szCs w:val="20"/>
        </w:rPr>
        <w:t xml:space="preserve"> </w:t>
      </w:r>
      <w:r>
        <w:rPr>
          <w:rFonts w:ascii="Arial" w:cs="Arial" w:hAnsi="Arial"/>
          <w:i/>
          <w:sz w:val="20"/>
          <w:szCs w:val="20"/>
        </w:rPr>
        <w:t>et al</w:t>
      </w:r>
      <w:r>
        <w:rPr>
          <w:rFonts w:ascii="Arial" w:cs="Arial" w:hAnsi="Arial"/>
          <w:sz w:val="20"/>
          <w:szCs w:val="20"/>
        </w:rPr>
        <w:t xml:space="preserve">., 2016). Despite its traditional use and potential therapeutic uses, limited data exist on its role in protecting the </w:t>
      </w:r>
      <w:r>
        <w:rPr>
          <w:rFonts w:ascii="Arial" w:cs="Arial" w:hAnsi="Arial"/>
          <w:sz w:val="20"/>
          <w:szCs w:val="20"/>
        </w:rPr>
        <w:t xml:space="preserve">substantia </w:t>
      </w:r>
      <w:r>
        <w:rPr>
          <w:rFonts w:ascii="Arial" w:cs="Arial" w:hAnsi="Arial"/>
          <w:sz w:val="20"/>
          <w:szCs w:val="20"/>
        </w:rPr>
        <w:t>nigra</w:t>
      </w:r>
      <w:r>
        <w:rPr>
          <w:rFonts w:ascii="Arial" w:cs="Arial" w:hAnsi="Arial"/>
          <w:sz w:val="20"/>
          <w:szCs w:val="20"/>
        </w:rPr>
        <w:t xml:space="preserve"> from the dual assault of hyperglycemia and heavy metal exposure.</w:t>
      </w:r>
    </w:p>
    <w:p>
      <w:pPr>
        <w:pStyle w:val="style0"/>
        <w:spacing w:after="0" w:lineRule="auto" w:line="360"/>
        <w:jc w:val="both"/>
        <w:rPr>
          <w:rFonts w:ascii="Arial" w:cs="Arial" w:hAnsi="Arial"/>
          <w:sz w:val="20"/>
          <w:szCs w:val="20"/>
        </w:rPr>
      </w:pPr>
    </w:p>
    <w:p>
      <w:pPr>
        <w:pStyle w:val="style0"/>
        <w:spacing w:lineRule="auto" w:line="360"/>
        <w:jc w:val="both"/>
        <w:rPr>
          <w:rFonts w:ascii="Arial" w:cs="Arial" w:hAnsi="Arial"/>
          <w:sz w:val="20"/>
          <w:szCs w:val="20"/>
        </w:rPr>
      </w:pPr>
      <w:r>
        <w:rPr>
          <w:rFonts w:ascii="Arial" w:cs="Arial" w:hAnsi="Arial"/>
          <w:sz w:val="20"/>
          <w:szCs w:val="20"/>
        </w:rPr>
        <w:t>Clinically, this dual burden is significant, as current diabetes management primarily targets glycemic control with limited attention to neuro</w:t>
      </w:r>
      <w:r>
        <w:rPr>
          <w:rFonts w:ascii="Arial" w:cs="Arial" w:hAnsi="Arial"/>
          <w:sz w:val="20"/>
          <w:szCs w:val="20"/>
        </w:rPr>
        <w:t>restora</w:t>
      </w:r>
      <w:r>
        <w:rPr>
          <w:rFonts w:ascii="Arial" w:cs="Arial" w:hAnsi="Arial"/>
          <w:sz w:val="20"/>
          <w:szCs w:val="20"/>
        </w:rPr>
        <w:t xml:space="preserve">tion. This highlights the need for adjunct therapies that can mitigate diabetes-associated neurotoxicity. Medicinal plants such as </w:t>
      </w:r>
      <w:r>
        <w:rPr>
          <w:rFonts w:ascii="Arial" w:cs="Arial" w:hAnsi="Arial"/>
          <w:i/>
          <w:sz w:val="20"/>
          <w:szCs w:val="20"/>
        </w:rPr>
        <w:t>Chromolaena</w:t>
      </w:r>
      <w:r>
        <w:rPr>
          <w:rFonts w:ascii="Arial" w:cs="Arial" w:hAnsi="Arial"/>
          <w:sz w:val="20"/>
          <w:szCs w:val="20"/>
        </w:rPr>
        <w:t xml:space="preserve"> </w:t>
      </w:r>
      <w:r>
        <w:rPr>
          <w:rFonts w:ascii="Arial" w:cs="Arial" w:hAnsi="Arial"/>
          <w:i/>
          <w:sz w:val="20"/>
          <w:szCs w:val="20"/>
        </w:rPr>
        <w:t>odorata</w:t>
      </w:r>
      <w:r>
        <w:rPr>
          <w:rFonts w:ascii="Arial" w:cs="Arial" w:hAnsi="Arial"/>
          <w:sz w:val="20"/>
          <w:szCs w:val="20"/>
        </w:rPr>
        <w:t xml:space="preserve"> have demonstrated antioxidant and anti-inflammatory properties, suggesting potential </w:t>
      </w:r>
      <w:r>
        <w:rPr>
          <w:rFonts w:ascii="Arial" w:cs="Arial" w:hAnsi="Arial"/>
          <w:sz w:val="20"/>
          <w:szCs w:val="20"/>
        </w:rPr>
        <w:t>neuro</w:t>
      </w:r>
      <w:r>
        <w:rPr>
          <w:rFonts w:ascii="Arial" w:cs="Arial" w:hAnsi="Arial"/>
          <w:sz w:val="20"/>
          <w:szCs w:val="20"/>
        </w:rPr>
        <w:t>restor</w:t>
      </w:r>
      <w:r>
        <w:rPr>
          <w:rFonts w:ascii="Arial" w:cs="Arial" w:hAnsi="Arial"/>
          <w:sz w:val="20"/>
          <w:szCs w:val="20"/>
        </w:rPr>
        <w:t>ative</w:t>
      </w:r>
      <w:r>
        <w:rPr>
          <w:rFonts w:ascii="Arial" w:cs="Arial" w:hAnsi="Arial"/>
          <w:sz w:val="20"/>
          <w:szCs w:val="20"/>
        </w:rPr>
        <w:t xml:space="preserve"> benefits. However, its </w:t>
      </w:r>
      <w:r>
        <w:rPr>
          <w:rFonts w:ascii="Arial" w:cs="Arial" w:hAnsi="Arial"/>
          <w:sz w:val="20"/>
          <w:szCs w:val="20"/>
        </w:rPr>
        <w:t>specific effects on nigral histoarchitecture under combined diabet</w:t>
      </w:r>
      <w:r>
        <w:rPr>
          <w:rFonts w:ascii="Arial" w:cs="Arial" w:hAnsi="Arial"/>
          <w:sz w:val="20"/>
          <w:szCs w:val="20"/>
        </w:rPr>
        <w:t>es</w:t>
      </w:r>
      <w:r>
        <w:rPr>
          <w:rFonts w:ascii="Arial" w:cs="Arial" w:hAnsi="Arial"/>
          <w:sz w:val="20"/>
          <w:szCs w:val="20"/>
        </w:rPr>
        <w:t xml:space="preserve"> and heavy metal exposure remain poorly understood.</w:t>
      </w:r>
    </w:p>
    <w:p>
      <w:pPr>
        <w:pStyle w:val="style0"/>
        <w:spacing w:lineRule="auto" w:line="360"/>
        <w:jc w:val="both"/>
        <w:rPr>
          <w:rFonts w:ascii="Arial" w:cs="Arial" w:hAnsi="Arial"/>
          <w:sz w:val="20"/>
          <w:szCs w:val="20"/>
        </w:rPr>
      </w:pPr>
      <w:r>
        <w:rPr>
          <w:rFonts w:ascii="Arial" w:cs="Arial" w:hAnsi="Arial"/>
          <w:sz w:val="20"/>
          <w:szCs w:val="20"/>
        </w:rPr>
        <w:t xml:space="preserve">The novelty of this study lies in its integrated evaluation of dual insults: diabetes and mercury chloride on the substantia nigra, alongside the investigation of </w:t>
      </w:r>
      <w:r>
        <w:rPr>
          <w:rFonts w:ascii="Arial" w:cs="Arial" w:hAnsi="Arial"/>
          <w:i/>
          <w:sz w:val="20"/>
          <w:szCs w:val="20"/>
        </w:rPr>
        <w:t>Chromolaena</w:t>
      </w:r>
      <w:r>
        <w:rPr>
          <w:rFonts w:ascii="Arial" w:cs="Arial" w:hAnsi="Arial"/>
          <w:sz w:val="20"/>
          <w:szCs w:val="20"/>
        </w:rPr>
        <w:t xml:space="preserve"> </w:t>
      </w:r>
      <w:r>
        <w:rPr>
          <w:rFonts w:ascii="Arial" w:cs="Arial" w:hAnsi="Arial"/>
          <w:i/>
          <w:sz w:val="20"/>
          <w:szCs w:val="20"/>
        </w:rPr>
        <w:t>odorata</w:t>
      </w:r>
      <w:r>
        <w:rPr>
          <w:rFonts w:ascii="Arial" w:cs="Arial" w:hAnsi="Arial"/>
          <w:sz w:val="20"/>
          <w:szCs w:val="20"/>
        </w:rPr>
        <w:t xml:space="preserve"> </w:t>
      </w:r>
      <w:r>
        <w:rPr>
          <w:rFonts w:ascii="Arial" w:cs="Arial" w:hAnsi="Arial"/>
          <w:sz w:val="20"/>
          <w:szCs w:val="20"/>
        </w:rPr>
        <w:t>leaf-</w:t>
      </w:r>
      <w:r>
        <w:rPr>
          <w:rFonts w:ascii="Arial" w:cs="Arial" w:hAnsi="Arial"/>
          <w:sz w:val="20"/>
          <w:szCs w:val="20"/>
        </w:rPr>
        <w:t>extract as a potential neuro</w:t>
      </w:r>
      <w:r>
        <w:rPr>
          <w:rFonts w:ascii="Arial" w:cs="Arial" w:hAnsi="Arial"/>
          <w:sz w:val="20"/>
          <w:szCs w:val="20"/>
        </w:rPr>
        <w:t>restora</w:t>
      </w:r>
      <w:r>
        <w:rPr>
          <w:rFonts w:ascii="Arial" w:cs="Arial" w:hAnsi="Arial"/>
          <w:sz w:val="20"/>
          <w:szCs w:val="20"/>
        </w:rPr>
        <w:t>tive agent. This approach addresses a critical gap in experimental and translational research. Therefore, this study aims to investigate the neuro</w:t>
      </w:r>
      <w:r>
        <w:rPr>
          <w:rFonts w:ascii="Arial" w:cs="Arial" w:hAnsi="Arial"/>
          <w:sz w:val="20"/>
          <w:szCs w:val="20"/>
        </w:rPr>
        <w:t>restora</w:t>
      </w:r>
      <w:r>
        <w:rPr>
          <w:rFonts w:ascii="Arial" w:cs="Arial" w:hAnsi="Arial"/>
          <w:sz w:val="20"/>
          <w:szCs w:val="20"/>
        </w:rPr>
        <w:t xml:space="preserve">tive and antidiabetic effects of </w:t>
      </w:r>
      <w:r>
        <w:rPr>
          <w:rFonts w:ascii="Arial" w:cs="Arial" w:hAnsi="Arial"/>
          <w:i/>
          <w:sz w:val="20"/>
          <w:szCs w:val="20"/>
        </w:rPr>
        <w:t>Chromolaena</w:t>
      </w:r>
      <w:r>
        <w:rPr>
          <w:rFonts w:ascii="Arial" w:cs="Arial" w:hAnsi="Arial"/>
          <w:sz w:val="20"/>
          <w:szCs w:val="20"/>
        </w:rPr>
        <w:t xml:space="preserve"> </w:t>
      </w:r>
      <w:r>
        <w:rPr>
          <w:rFonts w:ascii="Arial" w:cs="Arial" w:hAnsi="Arial"/>
          <w:i/>
          <w:sz w:val="20"/>
          <w:szCs w:val="20"/>
        </w:rPr>
        <w:t>odorata</w:t>
      </w:r>
      <w:r>
        <w:rPr>
          <w:rFonts w:ascii="Arial" w:cs="Arial" w:hAnsi="Arial"/>
          <w:sz w:val="20"/>
          <w:szCs w:val="20"/>
        </w:rPr>
        <w:t xml:space="preserve"> leaf extract on nigral histoarchitecture in alloxan-induced diabetic Wistar rats exposed to mercury chloride.</w:t>
      </w:r>
    </w:p>
    <w:p>
      <w:pPr>
        <w:pStyle w:val="style0"/>
        <w:jc w:val="both"/>
        <w:rPr>
          <w:rFonts w:ascii="Arial" w:cs="Arial" w:hAnsi="Arial"/>
          <w:b/>
        </w:rPr>
      </w:pPr>
      <w:r>
        <w:rPr>
          <w:rFonts w:ascii="Arial" w:cs="Arial" w:hAnsi="Arial"/>
          <w:b/>
        </w:rPr>
        <w:t>MATERIALS AND METHODS</w:t>
      </w:r>
    </w:p>
    <w:p>
      <w:pPr>
        <w:pStyle w:val="style0"/>
        <w:spacing w:after="0" w:lineRule="auto" w:line="360"/>
        <w:jc w:val="both"/>
        <w:rPr>
          <w:rFonts w:ascii="Arial" w:cs="Arial" w:hAnsi="Arial"/>
          <w:b/>
          <w:sz w:val="20"/>
          <w:szCs w:val="20"/>
        </w:rPr>
      </w:pPr>
      <w:r>
        <w:rPr>
          <w:rFonts w:ascii="Arial" w:cs="Arial" w:hAnsi="Arial"/>
          <w:b/>
          <w:sz w:val="20"/>
          <w:szCs w:val="20"/>
        </w:rPr>
        <w:t>Biological materials</w:t>
      </w:r>
    </w:p>
    <w:p>
      <w:pPr>
        <w:pStyle w:val="style0"/>
        <w:spacing w:after="0" w:lineRule="auto" w:line="360"/>
        <w:jc w:val="both"/>
        <w:rPr>
          <w:rFonts w:ascii="Arial" w:cs="Arial" w:hAnsi="Arial"/>
          <w:b/>
          <w:sz w:val="20"/>
          <w:szCs w:val="20"/>
        </w:rPr>
      </w:pPr>
      <w:r>
        <w:rPr>
          <w:rFonts w:ascii="Arial" w:cs="Arial" w:hAnsi="Arial"/>
          <w:sz w:val="20"/>
          <w:szCs w:val="20"/>
        </w:rPr>
        <w:t>A total of 36 healthy male Wistar rats weighing between 250g to 300g used for this study were purchased from animal house, Department of Anatomy, Faculty of Basic Medical Sciences, Ebonyi State University, Abakaliki, Ebonyi State, Nigeria. The animals were divided randomly into six (6) experimental groups, with six (6) rats in each group. The experimental animals were allowed to acclimatize in the animal house of the Anatomy Department of Ebonyi State University, Abakaliki</w:t>
      </w:r>
    </w:p>
    <w:p>
      <w:pPr>
        <w:pStyle w:val="style0"/>
        <w:jc w:val="both"/>
        <w:rPr>
          <w:rFonts w:ascii="Arial" w:cs="Arial" w:hAnsi="Arial"/>
          <w:b/>
          <w:sz w:val="20"/>
          <w:szCs w:val="20"/>
        </w:rPr>
      </w:pPr>
    </w:p>
    <w:p>
      <w:pPr>
        <w:pStyle w:val="style0"/>
        <w:jc w:val="both"/>
        <w:rPr>
          <w:rFonts w:ascii="Arial" w:cs="Arial" w:hAnsi="Arial"/>
          <w:b/>
          <w:sz w:val="20"/>
          <w:szCs w:val="20"/>
        </w:rPr>
      </w:pPr>
      <w:r>
        <w:rPr>
          <w:rFonts w:ascii="Arial" w:cs="Arial" w:hAnsi="Arial"/>
          <w:b/>
          <w:sz w:val="20"/>
          <w:szCs w:val="20"/>
        </w:rPr>
        <w:t>Sample size calculation and power analysis</w:t>
      </w:r>
    </w:p>
    <w:p>
      <w:pPr>
        <w:pStyle w:val="style0"/>
        <w:spacing w:after="0" w:lineRule="auto" w:line="360"/>
        <w:jc w:val="both"/>
        <w:rPr>
          <w:rFonts w:ascii="Arial" w:cs="Arial" w:hAnsi="Arial"/>
          <w:sz w:val="20"/>
          <w:szCs w:val="20"/>
        </w:rPr>
      </w:pPr>
      <w:r>
        <w:rPr>
          <w:rFonts w:ascii="Arial" w:cs="Arial" w:hAnsi="Arial"/>
          <w:sz w:val="20"/>
          <w:szCs w:val="20"/>
        </w:rPr>
        <w:t>The sample size for this study was determined using an a priori power analysis performed with G*Power software version 3.1.9.7 for a one-way analysis of variance (ANOVA) with six independent groups. Based on previous neurohistological studies, a moderate effect size (f = 0.40) was assumed. With a significance level (α) of .05 and a desired statistical power (1 − β) of 0.80, the minimum required total sample size was calculated to be 36 animals, corresponding to 6 animals per group. This sample size was considered sufficient to detect statistically significant differences in nigral histoarchitecture among the experimental groups while minimizing animal use in accordance with ethical guidelines.</w:t>
      </w:r>
    </w:p>
    <w:bookmarkStart w:id="3" w:name="_Hlk228533652"/>
    <w:p>
      <w:pPr>
        <w:pStyle w:val="style0"/>
        <w:spacing w:after="0" w:lineRule="auto" w:line="360"/>
        <w:jc w:val="both"/>
        <w:rPr>
          <w:rFonts w:ascii="Arial" w:cs="Arial" w:hAnsi="Arial"/>
          <w:b/>
          <w:sz w:val="20"/>
          <w:szCs w:val="20"/>
        </w:rPr>
      </w:pPr>
    </w:p>
    <w:p>
      <w:pPr>
        <w:pStyle w:val="style0"/>
        <w:spacing w:after="0" w:lineRule="auto" w:line="360"/>
        <w:jc w:val="both"/>
        <w:rPr>
          <w:rFonts w:ascii="Arial" w:cs="Arial" w:hAnsi="Arial"/>
          <w:b/>
          <w:sz w:val="20"/>
          <w:szCs w:val="20"/>
        </w:rPr>
      </w:pPr>
      <w:r>
        <w:rPr>
          <w:rFonts w:ascii="Arial" w:cs="Arial" w:hAnsi="Arial"/>
          <w:b/>
          <w:sz w:val="20"/>
          <w:szCs w:val="20"/>
        </w:rPr>
        <w:t>Inclusion Criteria</w:t>
      </w:r>
    </w:p>
    <w:bookmarkEnd w:id="3"/>
    <w:p>
      <w:pPr>
        <w:pStyle w:val="style0"/>
        <w:spacing w:after="0" w:lineRule="auto" w:line="360"/>
        <w:jc w:val="both"/>
        <w:rPr>
          <w:rFonts w:ascii="Arial" w:cs="Arial" w:hAnsi="Arial"/>
          <w:sz w:val="20"/>
          <w:szCs w:val="20"/>
        </w:rPr>
      </w:pPr>
      <w:r>
        <w:rPr>
          <w:rFonts w:ascii="Arial" w:cs="Arial" w:hAnsi="Arial"/>
          <w:sz w:val="20"/>
          <w:szCs w:val="20"/>
        </w:rPr>
        <w:t>Healthy adult male Wistar rats weighing between 250g–300g with normal baseline behavior and activity, Wistar rats with confirmed hyperglycemia (≥ 200 mg/dL) following alloxan induction were included for this study.</w:t>
      </w:r>
    </w:p>
    <w:bookmarkStart w:id="4" w:name="_Hlk228533665"/>
    <w:p>
      <w:pPr>
        <w:pStyle w:val="style0"/>
        <w:spacing w:after="0" w:lineRule="auto" w:line="360"/>
        <w:jc w:val="both"/>
        <w:rPr>
          <w:rFonts w:ascii="Arial" w:cs="Arial" w:hAnsi="Arial"/>
          <w:b/>
          <w:sz w:val="20"/>
          <w:szCs w:val="20"/>
        </w:rPr>
      </w:pPr>
    </w:p>
    <w:p>
      <w:pPr>
        <w:pStyle w:val="style0"/>
        <w:spacing w:after="0" w:lineRule="auto" w:line="360"/>
        <w:jc w:val="both"/>
        <w:rPr>
          <w:rFonts w:ascii="Arial" w:cs="Arial" w:hAnsi="Arial"/>
          <w:b/>
          <w:sz w:val="20"/>
          <w:szCs w:val="20"/>
        </w:rPr>
      </w:pPr>
      <w:r>
        <w:rPr>
          <w:rFonts w:ascii="Arial" w:cs="Arial" w:hAnsi="Arial"/>
          <w:b/>
          <w:sz w:val="20"/>
          <w:szCs w:val="20"/>
        </w:rPr>
        <w:t>Exclusion Criteria</w:t>
      </w:r>
    </w:p>
    <w:bookmarkEnd w:id="4"/>
    <w:p>
      <w:pPr>
        <w:pStyle w:val="style0"/>
        <w:spacing w:after="0" w:lineRule="auto" w:line="360"/>
        <w:jc w:val="both"/>
        <w:rPr>
          <w:rFonts w:ascii="Arial" w:cs="Arial" w:hAnsi="Arial"/>
          <w:sz w:val="20"/>
          <w:szCs w:val="20"/>
        </w:rPr>
      </w:pPr>
      <w:r>
        <w:rPr>
          <w:rFonts w:ascii="Arial" w:cs="Arial" w:hAnsi="Arial"/>
          <w:sz w:val="20"/>
          <w:szCs w:val="20"/>
        </w:rPr>
        <w:t>Wistar rats that failed to develop diabetes after alloxan administration, Wistar rats with presence of illness, injury or abnormal behavior, mortality before study completion were excluded.</w:t>
      </w:r>
    </w:p>
    <w:p>
      <w:pPr>
        <w:pStyle w:val="style0"/>
        <w:jc w:val="both"/>
        <w:rPr>
          <w:rFonts w:ascii="Arial" w:cs="Arial" w:hAnsi="Arial"/>
          <w:b/>
          <w:sz w:val="20"/>
          <w:szCs w:val="20"/>
        </w:rPr>
      </w:pPr>
    </w:p>
    <w:p>
      <w:pPr>
        <w:pStyle w:val="style0"/>
        <w:jc w:val="both"/>
        <w:rPr>
          <w:rFonts w:ascii="Arial" w:cs="Arial" w:hAnsi="Arial"/>
          <w:b/>
          <w:sz w:val="20"/>
          <w:szCs w:val="20"/>
        </w:rPr>
      </w:pPr>
      <w:r>
        <w:rPr>
          <w:rFonts w:ascii="Arial" w:cs="Arial" w:hAnsi="Arial"/>
          <w:b/>
          <w:sz w:val="20"/>
          <w:szCs w:val="20"/>
        </w:rPr>
        <w:t>Animal Housing and Care</w:t>
      </w:r>
    </w:p>
    <w:p>
      <w:pPr>
        <w:pStyle w:val="style0"/>
        <w:spacing w:after="0" w:lineRule="auto" w:line="360"/>
        <w:jc w:val="both"/>
        <w:rPr>
          <w:rFonts w:ascii="Arial" w:cs="Arial" w:hAnsi="Arial"/>
          <w:sz w:val="20"/>
          <w:szCs w:val="20"/>
        </w:rPr>
      </w:pPr>
      <w:r>
        <w:rPr>
          <w:rFonts w:ascii="Arial" w:cs="Arial" w:hAnsi="Arial"/>
          <w:sz w:val="20"/>
          <w:szCs w:val="20"/>
        </w:rPr>
        <w:t>All experimental procedures were conducted in accordance with the guidelines of the National Research Council Guide for the care and use of laboratory animals and approved by the Institutional animal care and use Committee (NIH, 2011). Adult male Wistar rats weighing 250g</w:t>
      </w:r>
      <w:r>
        <w:rPr>
          <w:rFonts w:ascii="Arial" w:cs="Arial" w:hAnsi="Arial"/>
          <w:sz w:val="20"/>
          <w:szCs w:val="20"/>
        </w:rPr>
        <w:t xml:space="preserve"> to </w:t>
      </w:r>
      <w:r>
        <w:rPr>
          <w:rFonts w:ascii="Arial" w:cs="Arial" w:hAnsi="Arial"/>
          <w:sz w:val="20"/>
          <w:szCs w:val="20"/>
        </w:rPr>
        <w:t>300g were housed in standard cages with stainless steel wire lids and clean wood shavings as bedding. Animals were maintained under controlled environmental conditions with temperature of 22±2</w:t>
      </w:r>
      <w:r>
        <w:rPr>
          <w:rFonts w:ascii="Arial" w:cs="Arial" w:hAnsi="Arial"/>
          <w:sz w:val="20"/>
          <w:szCs w:val="20"/>
          <w:vertAlign w:val="superscript"/>
        </w:rPr>
        <w:t>0</w:t>
      </w:r>
      <w:r>
        <w:rPr>
          <w:rFonts w:ascii="Arial" w:cs="Arial" w:hAnsi="Arial"/>
          <w:sz w:val="20"/>
          <w:szCs w:val="20"/>
        </w:rPr>
        <w:t>C and 12 hours light/dark cycle. A maximum of 4 rats were housed per cage to prevent overcrowding. Animals had ad libitum access to standard commercial pellet diet and clean drinking water. Animals were acclimatized for seven (7) days before the commencement of the experimental procedures. Animals were observed daily for general health status, behavioral changes and signs of distress. Body weights were recorded weekly. Any animal showing severe distress or illness was promptly evaluated and where necessary, humanely euthanized. This study is reported in accordance with the ARRIVE 2.0 guidelines to ensure transparency, reproducibility and rigorous reporting of animal research.</w:t>
      </w:r>
    </w:p>
    <w:p>
      <w:pPr>
        <w:pStyle w:val="style0"/>
        <w:spacing w:after="0" w:lineRule="auto" w:line="480"/>
        <w:jc w:val="both"/>
        <w:rPr>
          <w:rFonts w:ascii="Arial" w:cs="Arial" w:hAnsi="Arial"/>
          <w:b/>
          <w:sz w:val="20"/>
          <w:szCs w:val="20"/>
        </w:rPr>
      </w:pPr>
    </w:p>
    <w:p>
      <w:pPr>
        <w:pStyle w:val="style0"/>
        <w:spacing w:after="0" w:lineRule="auto" w:line="480"/>
        <w:jc w:val="both"/>
        <w:rPr>
          <w:rFonts w:ascii="Arial" w:cs="Arial" w:hAnsi="Arial"/>
          <w:b/>
          <w:sz w:val="20"/>
          <w:szCs w:val="20"/>
        </w:rPr>
      </w:pPr>
      <w:r>
        <w:rPr>
          <w:rFonts w:ascii="Arial" w:cs="Arial" w:hAnsi="Arial"/>
          <w:b/>
          <w:sz w:val="20"/>
          <w:szCs w:val="20"/>
        </w:rPr>
        <w:t>Randomization Procedure</w:t>
      </w:r>
    </w:p>
    <w:p>
      <w:pPr>
        <w:pStyle w:val="style0"/>
        <w:spacing w:after="0" w:lineRule="auto" w:line="480"/>
        <w:jc w:val="both"/>
        <w:rPr>
          <w:rFonts w:ascii="Arial" w:cs="Arial" w:hAnsi="Arial"/>
          <w:sz w:val="20"/>
          <w:szCs w:val="20"/>
        </w:rPr>
      </w:pPr>
      <w:r>
        <w:rPr>
          <w:rFonts w:ascii="Arial" w:cs="Arial" w:hAnsi="Arial"/>
          <w:sz w:val="20"/>
          <w:szCs w:val="20"/>
        </w:rPr>
        <w:t>Animals were randomly allocated into six groups (n = 6) using a simple randomization method. Each rat was assigned a unique identification number and group allocation was performed using a random number generator to minimize selection bias. All animals were handled under identical experimental conditions. Blinded assessment of histological sections was conducted to reduce observer bias.</w:t>
      </w:r>
    </w:p>
    <w:p>
      <w:pPr>
        <w:pStyle w:val="style0"/>
        <w:rPr>
          <w:rFonts w:ascii="Arial" w:cs="Arial" w:hAnsi="Arial"/>
          <w:b/>
          <w:sz w:val="20"/>
          <w:szCs w:val="20"/>
        </w:rPr>
      </w:pPr>
      <w:r>
        <w:rPr>
          <w:rFonts w:ascii="Arial" w:cs="Arial" w:hAnsi="Arial"/>
          <w:b/>
          <w:sz w:val="20"/>
          <w:szCs w:val="20"/>
        </w:rPr>
        <w:t>Chemical procurement and Exposure</w:t>
      </w:r>
    </w:p>
    <w:p>
      <w:pPr>
        <w:pStyle w:val="style94"/>
        <w:spacing w:before="200" w:beforeAutospacing="false" w:after="0" w:afterAutospacing="false" w:lineRule="auto" w:line="480"/>
        <w:jc w:val="both"/>
        <w:rPr>
          <w:rFonts w:ascii="Arial" w:cs="Arial" w:hAnsi="Arial"/>
          <w:sz w:val="20"/>
          <w:szCs w:val="20"/>
        </w:rPr>
      </w:pPr>
      <w:r>
        <w:rPr>
          <w:rFonts w:ascii="Arial" w:cs="Arial" w:eastAsia="+mn-ea" w:hAnsi="Arial"/>
          <w:color w:val="000000"/>
          <w:kern w:val="24"/>
          <w:sz w:val="20"/>
          <w:szCs w:val="20"/>
        </w:rPr>
        <w:t>Metformin and alloxan were purchased from Octovia Pharmacy while mercury chloride was purchased from Sunpac Chemical Industry limited, both in Abakaliki, Ebonyi State, Nigeria. Both were of analytical grades.</w:t>
      </w:r>
    </w:p>
    <w:p>
      <w:pPr>
        <w:pStyle w:val="style0"/>
        <w:rPr>
          <w:rFonts w:ascii="Arial" w:cs="Arial" w:hAnsi="Arial"/>
          <w:b/>
          <w:sz w:val="20"/>
          <w:szCs w:val="20"/>
        </w:rPr>
      </w:pPr>
      <w:r>
        <w:rPr>
          <w:rFonts w:ascii="Arial" w:cs="Arial" w:hAnsi="Arial"/>
          <w:b/>
          <w:sz w:val="20"/>
          <w:szCs w:val="20"/>
        </w:rPr>
        <w:t>Ethical Clearance and reporting Compliance</w:t>
      </w:r>
    </w:p>
    <w:p>
      <w:pPr>
        <w:pStyle w:val="style0"/>
        <w:spacing w:after="0" w:lineRule="auto" w:line="360"/>
        <w:jc w:val="both"/>
        <w:rPr>
          <w:rFonts w:ascii="Arial" w:cs="Arial" w:hAnsi="Arial"/>
          <w:sz w:val="20"/>
          <w:szCs w:val="20"/>
        </w:rPr>
      </w:pPr>
      <w:r>
        <w:rPr>
          <w:rFonts w:ascii="Arial" w:cs="Arial" w:hAnsi="Arial"/>
          <w:sz w:val="20"/>
          <w:szCs w:val="20"/>
        </w:rPr>
        <w:t xml:space="preserve">All experimental procedures involving animals were conducted in accordance with internationally accepted guidelines for the care and use of laboratory animals and were approved by the Institutional Animal Ethics Committee (IAEC) of Anatomy Department, Ebonyi State University, </w:t>
      </w:r>
      <w:r>
        <w:rPr>
          <w:rFonts w:ascii="Arial" w:cs="Arial" w:hAnsi="Arial"/>
          <w:sz w:val="20"/>
          <w:szCs w:val="20"/>
        </w:rPr>
        <w:t>Abakaliki</w:t>
      </w:r>
      <w:r>
        <w:rPr>
          <w:rFonts w:ascii="Arial" w:cs="Arial" w:hAnsi="Arial"/>
          <w:sz w:val="20"/>
          <w:szCs w:val="20"/>
        </w:rPr>
        <w:t>,</w:t>
      </w:r>
      <w:r>
        <w:rPr>
          <w:rFonts w:ascii="Arial" w:cs="Arial" w:hAnsi="Arial"/>
          <w:sz w:val="20"/>
          <w:szCs w:val="20"/>
        </w:rPr>
        <w:t xml:space="preserve"> Nigeria,</w:t>
      </w:r>
      <w:r>
        <w:rPr>
          <w:rFonts w:ascii="Arial" w:cs="Arial" w:hAnsi="Arial"/>
          <w:sz w:val="20"/>
          <w:szCs w:val="20"/>
        </w:rPr>
        <w:t xml:space="preserve"> with approval reference number. MPC/2502/30/012. The study was designed, conducted and reported in compliance with the ARRIVE 2.0 Animal Research guidelines, ensuring transparency, reproducibility and methodological rigor. Key ARRIVE elements addressed include clear specification of the study design, sample size determination (including power analysis), inclusion and exclusion criteria, randomization procedures and outcome measures. All efforts were made to minimize animal suffering and reduce the number of animals used.</w:t>
      </w:r>
    </w:p>
    <w:p>
      <w:pPr>
        <w:pStyle w:val="style0"/>
        <w:rPr>
          <w:rFonts w:ascii="Arial" w:cs="Arial" w:hAnsi="Arial"/>
          <w:b/>
          <w:bCs/>
          <w:sz w:val="20"/>
          <w:szCs w:val="20"/>
        </w:rPr>
      </w:pPr>
    </w:p>
    <w:p>
      <w:pPr>
        <w:pStyle w:val="style0"/>
        <w:rPr>
          <w:rFonts w:ascii="Arial" w:cs="Arial" w:hAnsi="Arial"/>
          <w:b/>
          <w:bCs/>
          <w:sz w:val="20"/>
          <w:szCs w:val="20"/>
        </w:rPr>
      </w:pPr>
      <w:r>
        <w:rPr>
          <w:rFonts w:ascii="Arial" w:cs="Arial" w:hAnsi="Arial"/>
          <w:b/>
          <w:bCs/>
          <w:sz w:val="20"/>
          <w:szCs w:val="20"/>
        </w:rPr>
        <w:t>METHODS</w:t>
      </w:r>
    </w:p>
    <w:p>
      <w:pPr>
        <w:pStyle w:val="style0"/>
        <w:rPr>
          <w:rFonts w:ascii="Arial" w:cs="Arial" w:hAnsi="Arial"/>
          <w:b/>
          <w:bCs/>
          <w:sz w:val="20"/>
          <w:szCs w:val="20"/>
        </w:rPr>
      </w:pPr>
      <w:r>
        <w:rPr>
          <w:rFonts w:ascii="Arial" w:cs="Arial" w:hAnsi="Arial"/>
          <w:b/>
          <w:bCs/>
          <w:sz w:val="20"/>
          <w:szCs w:val="20"/>
        </w:rPr>
        <w:t>Plant collection and identification</w:t>
      </w:r>
    </w:p>
    <w:p>
      <w:pPr>
        <w:pStyle w:val="style0"/>
        <w:spacing w:lineRule="auto" w:line="360"/>
        <w:jc w:val="both"/>
        <w:rPr>
          <w:rFonts w:ascii="Arial" w:cs="Arial" w:hAnsi="Arial"/>
          <w:sz w:val="20"/>
          <w:szCs w:val="20"/>
        </w:rPr>
      </w:pPr>
      <w:r>
        <w:rPr>
          <w:rFonts w:ascii="Arial" w:cs="Arial" w:hAnsi="Arial"/>
          <w:sz w:val="20"/>
          <w:szCs w:val="20"/>
        </w:rPr>
        <w:t xml:space="preserve">A bulk of fresh </w:t>
      </w:r>
      <w:r>
        <w:rPr>
          <w:rFonts w:ascii="Arial" w:cs="Arial" w:hAnsi="Arial"/>
          <w:i/>
          <w:sz w:val="20"/>
          <w:szCs w:val="20"/>
        </w:rPr>
        <w:t>Chromolaena odorata</w:t>
      </w:r>
      <w:r>
        <w:rPr>
          <w:rFonts w:ascii="Arial" w:cs="Arial" w:hAnsi="Arial"/>
          <w:sz w:val="20"/>
          <w:szCs w:val="20"/>
        </w:rPr>
        <w:t xml:space="preserve"> leaves for the study w</w:t>
      </w:r>
      <w:r>
        <w:rPr>
          <w:rFonts w:ascii="Arial" w:cs="Arial" w:hAnsi="Arial"/>
          <w:sz w:val="20"/>
          <w:szCs w:val="20"/>
        </w:rPr>
        <w:t>ere</w:t>
      </w:r>
      <w:r>
        <w:rPr>
          <w:rFonts w:ascii="Arial" w:cs="Arial" w:hAnsi="Arial"/>
          <w:sz w:val="20"/>
          <w:szCs w:val="20"/>
        </w:rPr>
        <w:t xml:space="preserve"> collected here in Abakaliki, Ebonyi State and was sent to the Applied Biology Department of Ebonyi State University in </w:t>
      </w:r>
      <w:r>
        <w:rPr>
          <w:rFonts w:ascii="Arial" w:cs="Arial" w:hAnsi="Arial"/>
          <w:sz w:val="20"/>
          <w:szCs w:val="20"/>
        </w:rPr>
        <w:t>Abakaliki</w:t>
      </w:r>
      <w:r>
        <w:rPr>
          <w:rFonts w:ascii="Arial" w:cs="Arial" w:hAnsi="Arial"/>
          <w:sz w:val="20"/>
          <w:szCs w:val="20"/>
        </w:rPr>
        <w:t xml:space="preserve">, where </w:t>
      </w:r>
      <w:r>
        <w:rPr>
          <w:rFonts w:ascii="Arial" w:cs="Arial" w:hAnsi="Arial"/>
          <w:sz w:val="20"/>
          <w:szCs w:val="20"/>
        </w:rPr>
        <w:t>a taxonomist</w:t>
      </w:r>
      <w:r>
        <w:rPr>
          <w:rFonts w:ascii="Arial" w:cs="Arial" w:hAnsi="Arial"/>
          <w:sz w:val="20"/>
          <w:szCs w:val="20"/>
        </w:rPr>
        <w:t xml:space="preserve"> carried out identification and confirmation in the University's herbarium</w:t>
      </w:r>
      <w:r>
        <w:rPr>
          <w:rFonts w:ascii="Arial" w:cs="Arial" w:hAnsi="Arial"/>
          <w:sz w:val="20"/>
          <w:szCs w:val="20"/>
        </w:rPr>
        <w:t>.</w:t>
      </w:r>
    </w:p>
    <w:p>
      <w:pPr>
        <w:pStyle w:val="style0"/>
        <w:rPr>
          <w:rFonts w:ascii="Arial" w:cs="Arial" w:hAnsi="Arial"/>
          <w:b/>
          <w:bCs/>
          <w:sz w:val="20"/>
          <w:szCs w:val="20"/>
        </w:rPr>
      </w:pPr>
      <w:r>
        <w:rPr>
          <w:rFonts w:ascii="Arial" w:cs="Arial" w:hAnsi="Arial"/>
          <w:b/>
          <w:bCs/>
          <w:sz w:val="20"/>
          <w:szCs w:val="20"/>
        </w:rPr>
        <w:t>Plant extraction and administration</w:t>
      </w:r>
    </w:p>
    <w:p>
      <w:pPr>
        <w:pStyle w:val="style0"/>
        <w:spacing w:lineRule="auto" w:line="360"/>
        <w:jc w:val="both"/>
        <w:rPr>
          <w:rFonts w:ascii="Arial" w:cs="Arial" w:hAnsi="Arial"/>
          <w:sz w:val="20"/>
          <w:szCs w:val="20"/>
        </w:rPr>
      </w:pPr>
      <w:r>
        <w:rPr>
          <w:rFonts w:ascii="Arial" w:cs="Arial" w:hAnsi="Arial"/>
          <w:sz w:val="20"/>
          <w:szCs w:val="20"/>
        </w:rPr>
        <w:t xml:space="preserve">The leaves of </w:t>
      </w:r>
      <w:r>
        <w:rPr>
          <w:rFonts w:ascii="Arial" w:cs="Arial" w:hAnsi="Arial"/>
          <w:i/>
          <w:sz w:val="20"/>
          <w:szCs w:val="20"/>
        </w:rPr>
        <w:t>Chromolaena odorata</w:t>
      </w:r>
      <w:r>
        <w:rPr>
          <w:rFonts w:ascii="Arial" w:cs="Arial" w:hAnsi="Arial"/>
          <w:sz w:val="20"/>
          <w:szCs w:val="20"/>
        </w:rPr>
        <w:t xml:space="preserve"> were washed, defoliated and room dried. The dried leaves were ground into a powder form using mortar and pestle. This was followed by weighing and soaking of the ground dried leaves in ethanol for 72 hours with intermittent shaking. The mixture was then filtered with a filter paper and the ethanol was allowed to evaporate leaving behind the extract that was used for this study. The stock solution used for this study was formed using the method adopted by Ama </w:t>
      </w:r>
      <w:r>
        <w:rPr>
          <w:rFonts w:ascii="Arial" w:cs="Arial" w:hAnsi="Arial"/>
          <w:i/>
          <w:sz w:val="20"/>
          <w:szCs w:val="20"/>
        </w:rPr>
        <w:t>et a</w:t>
      </w:r>
      <w:r>
        <w:rPr>
          <w:rFonts w:ascii="Arial" w:cs="Arial" w:hAnsi="Arial"/>
          <w:sz w:val="20"/>
          <w:szCs w:val="20"/>
        </w:rPr>
        <w:t>l. (2023). Three dose levels were used: 200 mg/kg body weight/day, 400 mg/kg body weight/day and 600 mg/kg body weight/day.</w:t>
      </w:r>
    </w:p>
    <w:p>
      <w:pPr>
        <w:pStyle w:val="style0"/>
        <w:rPr>
          <w:rFonts w:ascii="Arial" w:cs="Arial" w:hAnsi="Arial"/>
          <w:b/>
          <w:sz w:val="20"/>
          <w:szCs w:val="20"/>
        </w:rPr>
      </w:pPr>
      <w:r>
        <w:rPr>
          <w:rFonts w:ascii="Arial" w:cs="Arial" w:hAnsi="Arial"/>
          <w:b/>
          <w:sz w:val="20"/>
          <w:szCs w:val="20"/>
        </w:rPr>
        <w:t>Induction of Diabetes Mellitus and administration of Mercury chloride</w:t>
      </w:r>
    </w:p>
    <w:p>
      <w:pPr>
        <w:pStyle w:val="style0"/>
        <w:spacing w:lineRule="auto" w:line="360"/>
        <w:jc w:val="both"/>
        <w:rPr>
          <w:rFonts w:ascii="Arial" w:cs="Arial" w:hAnsi="Arial"/>
          <w:sz w:val="20"/>
          <w:szCs w:val="20"/>
        </w:rPr>
      </w:pPr>
      <w:r>
        <w:rPr>
          <w:rFonts w:ascii="Arial" w:cs="Arial" w:hAnsi="Arial"/>
          <w:sz w:val="20"/>
          <w:szCs w:val="20"/>
        </w:rPr>
        <w:t xml:space="preserve">Experimental diabetes was induced in overnight-fasted rats by intraperitoneal injection (I P) of freshly prepared alloxan monohydrate (150 mg/kg body weight) dissolved in cold normal saline. Seventy-two (72) hours after induction, fasting blood glucose (FBG) levels were measured using a glucometer. Rats with FBG levels ≥ 200 mg/dL were considered diabetic and included in the study. After diabetes confirmation, the Wistar rats were exposed to neurotoxin by administering a single dose of 3mg/kg of mercury chloride </w:t>
      </w:r>
      <w:r>
        <w:rPr>
          <w:rFonts w:ascii="Arial" w:cs="Arial" w:hAnsi="Arial"/>
          <w:sz w:val="20"/>
          <w:szCs w:val="20"/>
        </w:rPr>
        <w:t xml:space="preserve">by </w:t>
      </w:r>
      <w:r>
        <w:rPr>
          <w:rFonts w:ascii="Arial" w:cs="Arial" w:hAnsi="Arial"/>
          <w:sz w:val="20"/>
          <w:szCs w:val="20"/>
        </w:rPr>
        <w:t>oral</w:t>
      </w:r>
      <w:r>
        <w:rPr>
          <w:rFonts w:ascii="Arial" w:cs="Arial" w:hAnsi="Arial"/>
          <w:sz w:val="20"/>
          <w:szCs w:val="20"/>
        </w:rPr>
        <w:t xml:space="preserve"> gavage</w:t>
      </w:r>
      <w:r>
        <w:rPr>
          <w:rFonts w:ascii="Arial" w:cs="Arial" w:hAnsi="Arial"/>
          <w:sz w:val="20"/>
          <w:szCs w:val="20"/>
        </w:rPr>
        <w:t>. The dose</w:t>
      </w:r>
      <w:r>
        <w:rPr>
          <w:rFonts w:ascii="Arial" w:cs="Arial" w:hAnsi="Arial"/>
          <w:sz w:val="20"/>
          <w:szCs w:val="20"/>
        </w:rPr>
        <w:t>s</w:t>
      </w:r>
      <w:r>
        <w:rPr>
          <w:rFonts w:ascii="Arial" w:cs="Arial" w:hAnsi="Arial"/>
          <w:sz w:val="20"/>
          <w:szCs w:val="20"/>
        </w:rPr>
        <w:t xml:space="preserve"> w</w:t>
      </w:r>
      <w:r>
        <w:rPr>
          <w:rFonts w:ascii="Arial" w:cs="Arial" w:hAnsi="Arial"/>
          <w:sz w:val="20"/>
          <w:szCs w:val="20"/>
        </w:rPr>
        <w:t>ere</w:t>
      </w:r>
      <w:r>
        <w:rPr>
          <w:rFonts w:ascii="Arial" w:cs="Arial" w:hAnsi="Arial"/>
          <w:sz w:val="20"/>
          <w:szCs w:val="20"/>
        </w:rPr>
        <w:t xml:space="preserve"> selected based on previous studies demonstrating sub-lethal neurotoxic effects of mercury exposure.</w:t>
      </w:r>
    </w:p>
    <w:p>
      <w:pPr>
        <w:pStyle w:val="style0"/>
        <w:spacing w:lineRule="auto" w:line="360"/>
        <w:jc w:val="both"/>
        <w:rPr>
          <w:rFonts w:ascii="Arial" w:cs="Arial" w:hAnsi="Arial"/>
          <w:b/>
          <w:sz w:val="20"/>
          <w:szCs w:val="20"/>
        </w:rPr>
      </w:pPr>
      <w:r>
        <w:rPr>
          <w:rFonts w:ascii="Arial" w:cs="Arial" w:hAnsi="Arial"/>
          <w:b/>
          <w:sz w:val="20"/>
          <w:szCs w:val="20"/>
        </w:rPr>
        <w:t>Experimental Procedure and Duration</w:t>
      </w:r>
    </w:p>
    <w:p>
      <w:pPr>
        <w:pStyle w:val="style0"/>
        <w:spacing w:lineRule="auto" w:line="360"/>
        <w:jc w:val="both"/>
        <w:rPr>
          <w:rFonts w:ascii="Arial" w:cs="Arial" w:hAnsi="Arial"/>
          <w:sz w:val="20"/>
          <w:szCs w:val="20"/>
        </w:rPr>
      </w:pPr>
      <w:r>
        <w:rPr>
          <w:rFonts w:ascii="Arial" w:cs="Arial" w:hAnsi="Arial"/>
          <w:sz w:val="20"/>
          <w:szCs w:val="20"/>
        </w:rPr>
        <w:t xml:space="preserve">After diabetes induction and confirmation, mercury chloride was administered </w:t>
      </w:r>
      <w:r>
        <w:rPr>
          <w:rFonts w:ascii="Arial" w:cs="Arial" w:hAnsi="Arial"/>
          <w:sz w:val="20"/>
          <w:szCs w:val="20"/>
        </w:rPr>
        <w:t>orally</w:t>
      </w:r>
      <w:r>
        <w:rPr>
          <w:rFonts w:ascii="Arial" w:cs="Arial" w:hAnsi="Arial"/>
          <w:sz w:val="20"/>
          <w:szCs w:val="20"/>
        </w:rPr>
        <w:t xml:space="preserve"> respectively. Treatments with the ethanolic leaf extract of </w:t>
      </w:r>
      <w:r>
        <w:rPr>
          <w:rFonts w:ascii="Arial" w:cs="Arial" w:hAnsi="Arial"/>
          <w:i/>
          <w:sz w:val="20"/>
          <w:szCs w:val="20"/>
        </w:rPr>
        <w:t>Chromolaena</w:t>
      </w:r>
      <w:r>
        <w:rPr>
          <w:rFonts w:ascii="Arial" w:cs="Arial" w:hAnsi="Arial"/>
          <w:i/>
          <w:sz w:val="20"/>
          <w:szCs w:val="20"/>
        </w:rPr>
        <w:t xml:space="preserve"> </w:t>
      </w:r>
      <w:r>
        <w:rPr>
          <w:rFonts w:ascii="Arial" w:cs="Arial" w:hAnsi="Arial"/>
          <w:i/>
          <w:sz w:val="20"/>
          <w:szCs w:val="20"/>
        </w:rPr>
        <w:t>odorata</w:t>
      </w:r>
      <w:r>
        <w:rPr>
          <w:rFonts w:ascii="Arial" w:cs="Arial" w:hAnsi="Arial"/>
          <w:sz w:val="20"/>
          <w:szCs w:val="20"/>
        </w:rPr>
        <w:t xml:space="preserve"> administered orally were initiated and continued daily for 14 days. The normal and diabetic control groups</w:t>
      </w:r>
      <w:r>
        <w:rPr>
          <w:rFonts w:ascii="Arial" w:cs="Arial" w:hAnsi="Arial"/>
          <w:sz w:val="20"/>
          <w:szCs w:val="20"/>
        </w:rPr>
        <w:t xml:space="preserve"> (Groups A</w:t>
      </w:r>
      <w:r>
        <w:rPr>
          <w:rFonts w:ascii="Arial" w:cs="Arial" w:hAnsi="Arial"/>
          <w:sz w:val="20"/>
          <w:szCs w:val="20"/>
        </w:rPr>
        <w:t>-</w:t>
      </w:r>
      <w:r>
        <w:rPr>
          <w:rFonts w:ascii="Arial" w:cs="Arial" w:hAnsi="Arial"/>
          <w:sz w:val="20"/>
          <w:szCs w:val="20"/>
        </w:rPr>
        <w:t xml:space="preserve"> </w:t>
      </w:r>
      <w:r>
        <w:rPr>
          <w:rFonts w:ascii="Arial" w:cs="Arial" w:hAnsi="Arial"/>
          <w:sz w:val="20"/>
          <w:szCs w:val="20"/>
        </w:rPr>
        <w:t>F</w:t>
      </w:r>
      <w:r>
        <w:rPr>
          <w:rFonts w:ascii="Arial" w:cs="Arial" w:hAnsi="Arial"/>
          <w:sz w:val="20"/>
          <w:szCs w:val="20"/>
        </w:rPr>
        <w:t>)</w:t>
      </w:r>
      <w:r>
        <w:rPr>
          <w:rFonts w:ascii="Arial" w:cs="Arial" w:hAnsi="Arial"/>
          <w:sz w:val="20"/>
          <w:szCs w:val="20"/>
        </w:rPr>
        <w:t xml:space="preserve"> received an equivalent volume of vehicle solution. Body weights and fasting blood glucose levels were recorded weekly. At the end of the treatment period, rats were humanely sacrificed by cervical dislocation</w:t>
      </w:r>
      <w:bookmarkStart w:id="5" w:name="_Hlk212966306"/>
      <w:r>
        <w:rPr>
          <w:rFonts w:ascii="Arial" w:cs="Arial" w:hAnsi="Arial"/>
          <w:sz w:val="20"/>
          <w:szCs w:val="20"/>
        </w:rPr>
        <w:t>.</w:t>
      </w:r>
    </w:p>
    <w:p>
      <w:pPr>
        <w:pStyle w:val="style0"/>
        <w:rPr>
          <w:rFonts w:ascii="Arial" w:cs="Arial" w:hAnsi="Arial"/>
          <w:b/>
          <w:sz w:val="20"/>
          <w:szCs w:val="20"/>
        </w:rPr>
      </w:pPr>
      <w:r>
        <w:rPr>
          <w:rFonts w:ascii="Arial" w:cs="Arial" w:hAnsi="Arial"/>
          <w:b/>
          <w:sz w:val="20"/>
          <w:szCs w:val="20"/>
        </w:rPr>
        <w:t>Determination of Body Weight and Fasting Blood Glucose Levels</w:t>
      </w:r>
      <w:bookmarkEnd w:id="5"/>
    </w:p>
    <w:bookmarkStart w:id="6" w:name="_Hlk212970208"/>
    <w:p>
      <w:pPr>
        <w:pStyle w:val="style0"/>
        <w:spacing w:after="0" w:lineRule="auto" w:line="360"/>
        <w:jc w:val="both"/>
        <w:rPr>
          <w:rFonts w:ascii="Arial" w:cs="Arial" w:hAnsi="Arial"/>
          <w:sz w:val="20"/>
          <w:szCs w:val="20"/>
        </w:rPr>
      </w:pPr>
      <w:r>
        <w:rPr>
          <w:rFonts w:ascii="Arial" w:cs="Arial" w:hAnsi="Arial"/>
          <w:sz w:val="20"/>
          <w:szCs w:val="20"/>
        </w:rPr>
        <w:t xml:space="preserve">The body weights of all experimental rats were recorded using a digital weighing balance with a sensitivity of 0.1 g. Each rat was weighed prior to the commencement of the experiment to obtain its initial body weight </w:t>
      </w:r>
      <w:bookmarkEnd w:id="6"/>
      <w:r>
        <w:rPr>
          <w:rFonts w:ascii="Arial" w:cs="Arial" w:hAnsi="Arial"/>
          <w:sz w:val="20"/>
          <w:szCs w:val="20"/>
        </w:rPr>
        <w:t xml:space="preserve">and subsequently at weekly intervals throughout the study period to monitor changes related to diabetes induction and treatment. </w:t>
      </w:r>
      <w:bookmarkStart w:id="7" w:name="_Hlk212970239"/>
      <w:r>
        <w:rPr>
          <w:rFonts w:ascii="Arial" w:cs="Arial" w:hAnsi="Arial"/>
          <w:sz w:val="20"/>
          <w:szCs w:val="20"/>
        </w:rPr>
        <w:t>The final body weight was measured at the end of the treatment period just before sacrifice. All measurements were taken in the morning to minimize variations due to feeding and diurnal rhythm.</w:t>
      </w:r>
      <w:bookmarkEnd w:id="7"/>
    </w:p>
    <w:bookmarkStart w:id="8" w:name="_Hlk212970277"/>
    <w:p>
      <w:pPr>
        <w:pStyle w:val="style0"/>
        <w:spacing w:lineRule="auto" w:line="360"/>
        <w:jc w:val="both"/>
        <w:rPr>
          <w:rFonts w:ascii="Arial" w:cs="Arial" w:hAnsi="Arial"/>
          <w:sz w:val="20"/>
          <w:szCs w:val="20"/>
        </w:rPr>
      </w:pPr>
    </w:p>
    <w:p>
      <w:pPr>
        <w:pStyle w:val="style0"/>
        <w:spacing w:lineRule="auto" w:line="360"/>
        <w:jc w:val="both"/>
        <w:rPr>
          <w:rFonts w:ascii="Arial" w:cs="Arial" w:hAnsi="Arial"/>
          <w:sz w:val="20"/>
          <w:szCs w:val="20"/>
        </w:rPr>
      </w:pPr>
      <w:r>
        <w:rPr>
          <w:rFonts w:ascii="Arial" w:cs="Arial" w:hAnsi="Arial"/>
          <w:sz w:val="20"/>
          <w:szCs w:val="20"/>
        </w:rPr>
        <w:t>Fasting blood glucose (FBG) levels were determined using the tail-prick method with a portable glucometer (Accu-Chek</w:t>
      </w:r>
      <w:r>
        <w:rPr>
          <w:rFonts w:ascii="Arial" w:cs="Arial" w:hAnsi="Arial"/>
          <w:sz w:val="20"/>
          <w:szCs w:val="20"/>
        </w:rPr>
        <w:t>)</w:t>
      </w:r>
      <w:r>
        <w:rPr>
          <w:rFonts w:ascii="Arial" w:cs="Arial" w:hAnsi="Arial"/>
          <w:sz w:val="20"/>
          <w:szCs w:val="20"/>
        </w:rPr>
        <w:t xml:space="preserve"> and compatible glucose strips</w:t>
      </w:r>
      <w:bookmarkEnd w:id="8"/>
      <w:r>
        <w:rPr>
          <w:rFonts w:ascii="Arial" w:cs="Arial" w:hAnsi="Arial"/>
          <w:sz w:val="20"/>
          <w:szCs w:val="20"/>
        </w:rPr>
        <w:t xml:space="preserve">. </w:t>
      </w:r>
      <w:bookmarkStart w:id="9" w:name="_Hlk212970304"/>
      <w:r>
        <w:rPr>
          <w:rFonts w:ascii="Arial" w:cs="Arial" w:hAnsi="Arial"/>
          <w:sz w:val="20"/>
          <w:szCs w:val="20"/>
        </w:rPr>
        <w:t xml:space="preserve">Blood samples were collected from the lateral tail vein after an </w:t>
      </w:r>
      <w:r>
        <w:rPr>
          <w:rFonts w:ascii="Arial" w:cs="Arial" w:hAnsi="Arial"/>
          <w:sz w:val="20"/>
          <w:szCs w:val="20"/>
        </w:rPr>
        <w:t>overnight fast (10–12 hours). Baseline FBG values were obtained on day 0 (before induction) to establish initial glucose levels</w:t>
      </w:r>
      <w:bookmarkEnd w:id="9"/>
      <w:r>
        <w:rPr>
          <w:rFonts w:ascii="Arial" w:cs="Arial" w:hAnsi="Arial"/>
          <w:sz w:val="20"/>
          <w:szCs w:val="20"/>
        </w:rPr>
        <w:t xml:space="preserve">. Diabetes was induced using alloxan monohydrate (150 mg/kg, intraperitoneally and FBG was reassessed 72 hours post-induction to confirm hyperglycemia (≥ 200 mg/dL). Subsequently, </w:t>
      </w:r>
      <w:bookmarkStart w:id="10" w:name="_Hlk212970333"/>
      <w:r>
        <w:rPr>
          <w:rFonts w:ascii="Arial" w:cs="Arial" w:hAnsi="Arial"/>
          <w:sz w:val="20"/>
          <w:szCs w:val="20"/>
        </w:rPr>
        <w:t>FBG measurements were taken weekly until the end of the experimental period. The final fasting blood glucose was recorded on the last day of treatment prior to sacrifice</w:t>
      </w:r>
      <w:bookmarkEnd w:id="10"/>
      <w:r>
        <w:rPr>
          <w:rFonts w:ascii="Arial" w:cs="Arial" w:hAnsi="Arial"/>
          <w:sz w:val="20"/>
          <w:szCs w:val="20"/>
        </w:rPr>
        <w:t>. All measurements were carried out under sterile conditions and glucometer calibration was verified before each use.</w:t>
      </w:r>
    </w:p>
    <w:p>
      <w:pPr>
        <w:pStyle w:val="style0"/>
        <w:rPr>
          <w:rFonts w:ascii="Arial" w:cs="Arial" w:hAnsi="Arial"/>
          <w:b/>
          <w:sz w:val="20"/>
          <w:szCs w:val="20"/>
        </w:rPr>
      </w:pPr>
      <w:r>
        <w:rPr>
          <w:rFonts w:ascii="Arial" w:cs="Arial" w:hAnsi="Arial"/>
          <w:b/>
          <w:sz w:val="20"/>
          <w:szCs w:val="20"/>
        </w:rPr>
        <w:t>Tissue Collection and Processing</w:t>
      </w:r>
    </w:p>
    <w:p>
      <w:pPr>
        <w:pStyle w:val="style0"/>
        <w:spacing w:after="0" w:lineRule="auto" w:line="360"/>
        <w:jc w:val="both"/>
        <w:rPr>
          <w:rFonts w:ascii="Arial" w:cs="Arial" w:hAnsi="Arial"/>
          <w:sz w:val="20"/>
          <w:szCs w:val="20"/>
        </w:rPr>
      </w:pPr>
      <w:r>
        <w:rPr>
          <w:rFonts w:ascii="Arial" w:cs="Arial" w:hAnsi="Arial"/>
          <w:sz w:val="20"/>
          <w:szCs w:val="20"/>
        </w:rPr>
        <w:t xml:space="preserve">Following sacrifice by cervical dislocation, the brain was carefully dissected and separated into the midbrain (containing the </w:t>
      </w:r>
      <w:r>
        <w:rPr>
          <w:rFonts w:ascii="Arial" w:cs="Arial" w:hAnsi="Arial"/>
          <w:sz w:val="20"/>
          <w:szCs w:val="20"/>
        </w:rPr>
        <w:t>subbstantia</w:t>
      </w:r>
      <w:r>
        <w:rPr>
          <w:rFonts w:ascii="Arial" w:cs="Arial" w:hAnsi="Arial"/>
          <w:sz w:val="20"/>
          <w:szCs w:val="20"/>
        </w:rPr>
        <w:t xml:space="preserve"> </w:t>
      </w:r>
      <w:r>
        <w:rPr>
          <w:rFonts w:ascii="Arial" w:cs="Arial" w:hAnsi="Arial"/>
          <w:sz w:val="20"/>
          <w:szCs w:val="20"/>
        </w:rPr>
        <w:t>nigra</w:t>
      </w:r>
      <w:r>
        <w:rPr>
          <w:rFonts w:ascii="Arial" w:cs="Arial" w:hAnsi="Arial"/>
          <w:sz w:val="20"/>
          <w:szCs w:val="20"/>
        </w:rPr>
        <w:t xml:space="preserve">). Tissues were fixed with 10% neutral buffered formalin for </w:t>
      </w:r>
      <w:r>
        <w:rPr>
          <w:rFonts w:ascii="Arial" w:cs="Arial" w:hAnsi="Arial"/>
          <w:sz w:val="20"/>
          <w:szCs w:val="20"/>
        </w:rPr>
        <w:t>48</w:t>
      </w:r>
      <w:r>
        <w:rPr>
          <w:rFonts w:ascii="Arial" w:cs="Arial" w:hAnsi="Arial"/>
          <w:sz w:val="20"/>
          <w:szCs w:val="20"/>
        </w:rPr>
        <w:t xml:space="preserve"> hours and then processed for paraffin embedding. Coronal sections of 5 µm thickness were obtained using a rotary microtome for histological analys</w:t>
      </w:r>
      <w:r>
        <w:rPr>
          <w:rFonts w:ascii="Arial" w:cs="Arial" w:hAnsi="Arial"/>
          <w:sz w:val="20"/>
          <w:szCs w:val="20"/>
        </w:rPr>
        <w:t>i</w:t>
      </w:r>
      <w:r>
        <w:rPr>
          <w:rFonts w:ascii="Arial" w:cs="Arial" w:hAnsi="Arial"/>
          <w:sz w:val="20"/>
          <w:szCs w:val="20"/>
        </w:rPr>
        <w:t>s.</w:t>
      </w:r>
    </w:p>
    <w:p>
      <w:pPr>
        <w:pStyle w:val="style0"/>
        <w:rPr>
          <w:rFonts w:ascii="Arial" w:cs="Arial" w:hAnsi="Arial"/>
          <w:b/>
          <w:sz w:val="20"/>
          <w:szCs w:val="20"/>
        </w:rPr>
      </w:pPr>
    </w:p>
    <w:p>
      <w:pPr>
        <w:pStyle w:val="style0"/>
        <w:rPr>
          <w:rFonts w:ascii="Arial" w:cs="Arial" w:hAnsi="Arial"/>
          <w:b/>
          <w:i/>
          <w:sz w:val="20"/>
          <w:szCs w:val="20"/>
        </w:rPr>
      </w:pPr>
      <w:r>
        <w:rPr>
          <w:rFonts w:ascii="Arial" w:cs="Arial" w:hAnsi="Arial"/>
          <w:b/>
          <w:sz w:val="20"/>
          <w:szCs w:val="20"/>
        </w:rPr>
        <w:t>Table 1: Experimental design involving diabetes induction, Hgcl</w:t>
      </w:r>
      <w:r>
        <w:rPr>
          <w:rFonts w:ascii="Arial" w:cs="Arial" w:hAnsi="Arial"/>
          <w:b/>
          <w:sz w:val="20"/>
          <w:szCs w:val="20"/>
          <w:vertAlign w:val="subscript"/>
        </w:rPr>
        <w:t>2</w:t>
      </w:r>
      <w:r>
        <w:rPr>
          <w:rFonts w:ascii="Arial" w:cs="Arial" w:hAnsi="Arial"/>
          <w:b/>
          <w:sz w:val="20"/>
          <w:szCs w:val="20"/>
        </w:rPr>
        <w:t xml:space="preserve"> exposure and treatment with </w:t>
      </w:r>
      <w:r>
        <w:rPr>
          <w:rFonts w:ascii="Arial" w:cs="Arial" w:hAnsi="Arial"/>
          <w:b/>
          <w:i/>
          <w:sz w:val="20"/>
          <w:szCs w:val="20"/>
        </w:rPr>
        <w:t>Chromolaena</w:t>
      </w:r>
      <w:r>
        <w:rPr>
          <w:rFonts w:ascii="Arial" w:cs="Arial" w:hAnsi="Arial"/>
          <w:b/>
          <w:sz w:val="20"/>
          <w:szCs w:val="20"/>
        </w:rPr>
        <w:t xml:space="preserve"> </w:t>
      </w:r>
      <w:r>
        <w:rPr>
          <w:rFonts w:ascii="Arial" w:cs="Arial" w:hAnsi="Arial"/>
          <w:b/>
          <w:i/>
          <w:sz w:val="20"/>
          <w:szCs w:val="20"/>
        </w:rPr>
        <w:t xml:space="preserve">odorata </w:t>
      </w:r>
      <w:r>
        <w:rPr>
          <w:rFonts w:ascii="Arial" w:cs="Arial" w:hAnsi="Arial"/>
          <w:b/>
          <w:i/>
          <w:sz w:val="20"/>
          <w:szCs w:val="20"/>
          <w:lang w:val="en-US"/>
        </w:rPr>
        <w:t xml:space="preserve">(C. odorata ) </w:t>
      </w:r>
      <w:r>
        <w:rPr>
          <w:rFonts w:ascii="Arial" w:cs="Arial" w:hAnsi="Arial"/>
          <w:b/>
          <w:sz w:val="20"/>
          <w:szCs w:val="20"/>
        </w:rPr>
        <w:t>leaf-extract</w:t>
      </w:r>
    </w:p>
    <w:bookmarkStart w:id="11" w:name="_Hlk210807871"/>
    <w:tbl>
      <w:tblPr>
        <w:tblStyle w:val="style4098"/>
        <w:tblpPr w:leftFromText="180" w:rightFromText="180" w:topFromText="0" w:bottomFromText="0" w:vertAnchor="text" w:tblpXSpec="center" w:tblpY="287"/>
        <w:tblW w:w="1043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90"/>
        <w:gridCol w:w="1885"/>
        <w:gridCol w:w="2790"/>
        <w:gridCol w:w="2430"/>
        <w:gridCol w:w="1170"/>
        <w:gridCol w:w="1170"/>
      </w:tblGrid>
      <w:tr>
        <w:trPr>
          <w:trHeight w:val="710" w:hRule="atLeast"/>
        </w:trPr>
        <w:tc>
          <w:tcPr>
            <w:tcW w:w="990" w:type="dxa"/>
            <w:tcBorders/>
          </w:tcPr>
          <w:p>
            <w:pPr>
              <w:pStyle w:val="style0"/>
              <w:jc w:val="center"/>
              <w:rPr>
                <w:rFonts w:ascii="Arial" w:cs="Arial" w:hAnsi="Arial"/>
                <w:sz w:val="20"/>
                <w:szCs w:val="20"/>
              </w:rPr>
            </w:pPr>
            <w:r>
              <w:rPr>
                <w:rFonts w:ascii="Arial" w:cs="Arial" w:hAnsi="Arial"/>
                <w:sz w:val="20"/>
                <w:szCs w:val="20"/>
              </w:rPr>
              <w:t>Groups</w:t>
            </w:r>
          </w:p>
        </w:tc>
        <w:tc>
          <w:tcPr>
            <w:tcW w:w="1885" w:type="dxa"/>
            <w:tcBorders/>
          </w:tcPr>
          <w:p>
            <w:pPr>
              <w:pStyle w:val="style0"/>
              <w:jc w:val="center"/>
              <w:rPr>
                <w:rFonts w:ascii="Arial" w:cs="Arial" w:hAnsi="Arial"/>
                <w:sz w:val="20"/>
                <w:szCs w:val="20"/>
              </w:rPr>
            </w:pPr>
            <w:r>
              <w:rPr>
                <w:rFonts w:ascii="Arial" w:cs="Arial" w:hAnsi="Arial"/>
                <w:sz w:val="20"/>
                <w:szCs w:val="20"/>
              </w:rPr>
              <w:t>Description</w:t>
            </w:r>
          </w:p>
        </w:tc>
        <w:tc>
          <w:tcPr>
            <w:tcW w:w="2790" w:type="dxa"/>
            <w:tcBorders/>
          </w:tcPr>
          <w:p>
            <w:pPr>
              <w:pStyle w:val="style0"/>
              <w:jc w:val="center"/>
              <w:rPr>
                <w:rFonts w:ascii="Arial" w:cs="Arial" w:hAnsi="Arial"/>
                <w:sz w:val="20"/>
                <w:szCs w:val="20"/>
              </w:rPr>
            </w:pPr>
            <w:r>
              <w:rPr>
                <w:rFonts w:ascii="Arial" w:cs="Arial" w:hAnsi="Arial"/>
                <w:sz w:val="20"/>
                <w:szCs w:val="20"/>
              </w:rPr>
              <w:t>Induction/Exposure</w:t>
            </w:r>
          </w:p>
        </w:tc>
        <w:tc>
          <w:tcPr>
            <w:tcW w:w="2430" w:type="dxa"/>
            <w:tcBorders/>
          </w:tcPr>
          <w:p>
            <w:pPr>
              <w:pStyle w:val="style0"/>
              <w:jc w:val="center"/>
              <w:rPr>
                <w:rFonts w:ascii="Arial" w:cs="Arial" w:hAnsi="Arial"/>
                <w:sz w:val="20"/>
                <w:szCs w:val="20"/>
              </w:rPr>
            </w:pPr>
            <w:r>
              <w:rPr>
                <w:rFonts w:ascii="Arial" w:cs="Arial" w:hAnsi="Arial"/>
                <w:sz w:val="20"/>
                <w:szCs w:val="20"/>
              </w:rPr>
              <w:t>Treatment Given</w:t>
            </w:r>
          </w:p>
        </w:tc>
        <w:tc>
          <w:tcPr>
            <w:tcW w:w="1170" w:type="dxa"/>
            <w:tcBorders/>
          </w:tcPr>
          <w:p>
            <w:pPr>
              <w:pStyle w:val="style0"/>
              <w:jc w:val="center"/>
              <w:rPr>
                <w:rFonts w:ascii="Arial" w:cs="Arial" w:hAnsi="Arial"/>
                <w:sz w:val="20"/>
                <w:szCs w:val="20"/>
              </w:rPr>
            </w:pPr>
            <w:r>
              <w:rPr>
                <w:rFonts w:ascii="Arial" w:cs="Arial" w:hAnsi="Arial"/>
                <w:sz w:val="20"/>
                <w:szCs w:val="20"/>
              </w:rPr>
              <w:t>Number of rats</w:t>
            </w:r>
          </w:p>
        </w:tc>
        <w:tc>
          <w:tcPr>
            <w:tcW w:w="1170" w:type="dxa"/>
            <w:tcBorders/>
          </w:tcPr>
          <w:p>
            <w:pPr>
              <w:pStyle w:val="style0"/>
              <w:jc w:val="center"/>
              <w:rPr>
                <w:rFonts w:ascii="Arial" w:cs="Arial" w:hAnsi="Arial"/>
                <w:sz w:val="20"/>
                <w:szCs w:val="20"/>
              </w:rPr>
            </w:pPr>
            <w:r>
              <w:rPr>
                <w:rFonts w:ascii="Arial" w:cs="Arial" w:hAnsi="Arial"/>
                <w:sz w:val="20"/>
                <w:szCs w:val="20"/>
              </w:rPr>
              <w:t>Duration</w:t>
            </w:r>
          </w:p>
          <w:p>
            <w:pPr>
              <w:pStyle w:val="style0"/>
              <w:jc w:val="center"/>
              <w:rPr>
                <w:rFonts w:ascii="Arial" w:cs="Arial" w:hAnsi="Arial"/>
                <w:sz w:val="20"/>
                <w:szCs w:val="20"/>
              </w:rPr>
            </w:pPr>
            <w:r>
              <w:rPr>
                <w:rFonts w:ascii="Arial" w:cs="Arial" w:hAnsi="Arial"/>
                <w:sz w:val="20"/>
                <w:szCs w:val="20"/>
              </w:rPr>
              <w:t>(Weeks)</w:t>
            </w:r>
          </w:p>
        </w:tc>
      </w:tr>
      <w:tr>
        <w:tblPrEx/>
        <w:trPr/>
        <w:tc>
          <w:tcPr>
            <w:tcW w:w="990" w:type="dxa"/>
            <w:tcBorders/>
          </w:tcPr>
          <w:p>
            <w:pPr>
              <w:pStyle w:val="style0"/>
              <w:jc w:val="center"/>
              <w:rPr>
                <w:rFonts w:ascii="Arial" w:cs="Arial" w:hAnsi="Arial"/>
                <w:sz w:val="20"/>
                <w:szCs w:val="20"/>
              </w:rPr>
            </w:pPr>
            <w:r>
              <w:rPr>
                <w:rFonts w:ascii="Arial" w:cs="Arial" w:hAnsi="Arial"/>
                <w:b w:val="false"/>
                <w:sz w:val="20"/>
                <w:szCs w:val="20"/>
              </w:rPr>
              <w:t>A</w:t>
            </w:r>
          </w:p>
        </w:tc>
        <w:tc>
          <w:tcPr>
            <w:tcW w:w="1885" w:type="dxa"/>
            <w:tcBorders/>
          </w:tcPr>
          <w:p>
            <w:pPr>
              <w:pStyle w:val="style0"/>
              <w:jc w:val="center"/>
              <w:rPr>
                <w:rFonts w:ascii="Arial" w:cs="Arial" w:hAnsi="Arial"/>
                <w:sz w:val="20"/>
                <w:szCs w:val="20"/>
              </w:rPr>
            </w:pPr>
            <w:r>
              <w:rPr>
                <w:rFonts w:ascii="Arial" w:cs="Arial" w:hAnsi="Arial"/>
                <w:sz w:val="20"/>
                <w:szCs w:val="20"/>
              </w:rPr>
              <w:t>Normal control</w:t>
            </w:r>
          </w:p>
        </w:tc>
        <w:tc>
          <w:tcPr>
            <w:tcW w:w="2790" w:type="dxa"/>
            <w:tcBorders/>
          </w:tcPr>
          <w:p>
            <w:pPr>
              <w:pStyle w:val="style0"/>
              <w:jc w:val="center"/>
              <w:rPr>
                <w:rFonts w:ascii="Arial" w:cs="Arial" w:hAnsi="Arial"/>
                <w:sz w:val="20"/>
                <w:szCs w:val="20"/>
              </w:rPr>
            </w:pPr>
            <w:r>
              <w:rPr>
                <w:rFonts w:ascii="Arial" w:cs="Arial" w:hAnsi="Arial"/>
                <w:sz w:val="20"/>
                <w:szCs w:val="20"/>
              </w:rPr>
              <w:t>No induction, no mercury exposure</w:t>
            </w:r>
          </w:p>
        </w:tc>
        <w:tc>
          <w:tcPr>
            <w:tcW w:w="2430" w:type="dxa"/>
            <w:tcBorders/>
          </w:tcPr>
          <w:p>
            <w:pPr>
              <w:pStyle w:val="style0"/>
              <w:jc w:val="center"/>
              <w:rPr>
                <w:rFonts w:ascii="Arial" w:cs="Arial" w:hAnsi="Arial"/>
                <w:sz w:val="20"/>
                <w:szCs w:val="20"/>
              </w:rPr>
            </w:pPr>
            <w:r>
              <w:rPr>
                <w:rFonts w:ascii="Arial" w:cs="Arial" w:hAnsi="Arial"/>
                <w:sz w:val="20"/>
                <w:szCs w:val="20"/>
              </w:rPr>
              <w:t>Normal Saline + Feed</w:t>
            </w:r>
          </w:p>
        </w:tc>
        <w:tc>
          <w:tcPr>
            <w:tcW w:w="1170" w:type="dxa"/>
            <w:tcBorders/>
          </w:tcPr>
          <w:p>
            <w:pPr>
              <w:pStyle w:val="style0"/>
              <w:jc w:val="center"/>
              <w:rPr>
                <w:rFonts w:ascii="Arial" w:cs="Arial" w:hAnsi="Arial"/>
                <w:sz w:val="20"/>
                <w:szCs w:val="20"/>
              </w:rPr>
            </w:pPr>
            <w:r>
              <w:rPr>
                <w:rFonts w:ascii="Arial" w:cs="Arial" w:hAnsi="Arial"/>
                <w:sz w:val="20"/>
                <w:szCs w:val="20"/>
              </w:rPr>
              <w:t>6</w:t>
            </w:r>
          </w:p>
        </w:tc>
        <w:tc>
          <w:tcPr>
            <w:tcW w:w="1170" w:type="dxa"/>
            <w:tcBorders/>
          </w:tcPr>
          <w:p>
            <w:pPr>
              <w:pStyle w:val="style0"/>
              <w:jc w:val="center"/>
              <w:rPr>
                <w:rFonts w:ascii="Arial" w:cs="Arial" w:hAnsi="Arial"/>
                <w:sz w:val="20"/>
                <w:szCs w:val="20"/>
              </w:rPr>
            </w:pPr>
            <w:r>
              <w:rPr>
                <w:rFonts w:ascii="Arial" w:cs="Arial" w:hAnsi="Arial"/>
                <w:sz w:val="20"/>
                <w:szCs w:val="20"/>
              </w:rPr>
              <w:t>5</w:t>
            </w:r>
          </w:p>
        </w:tc>
      </w:tr>
      <w:tr>
        <w:tblPrEx/>
        <w:trPr/>
        <w:tc>
          <w:tcPr>
            <w:tcW w:w="990" w:type="dxa"/>
            <w:tcBorders/>
          </w:tcPr>
          <w:p>
            <w:pPr>
              <w:pStyle w:val="style0"/>
              <w:jc w:val="center"/>
              <w:rPr>
                <w:rFonts w:ascii="Arial" w:cs="Arial" w:hAnsi="Arial"/>
                <w:sz w:val="20"/>
                <w:szCs w:val="20"/>
              </w:rPr>
            </w:pPr>
          </w:p>
        </w:tc>
        <w:tc>
          <w:tcPr>
            <w:tcW w:w="1885" w:type="dxa"/>
            <w:tcBorders/>
          </w:tcPr>
          <w:p>
            <w:pPr>
              <w:pStyle w:val="style0"/>
              <w:jc w:val="center"/>
              <w:rPr>
                <w:rFonts w:ascii="Arial" w:cs="Arial" w:hAnsi="Arial"/>
                <w:sz w:val="20"/>
                <w:szCs w:val="20"/>
              </w:rPr>
            </w:pPr>
          </w:p>
        </w:tc>
        <w:tc>
          <w:tcPr>
            <w:tcW w:w="2790" w:type="dxa"/>
            <w:tcBorders/>
          </w:tcPr>
          <w:p>
            <w:pPr>
              <w:pStyle w:val="style0"/>
              <w:jc w:val="center"/>
              <w:rPr>
                <w:rFonts w:ascii="Arial" w:cs="Arial" w:hAnsi="Arial"/>
                <w:sz w:val="20"/>
                <w:szCs w:val="20"/>
              </w:rPr>
            </w:pPr>
          </w:p>
        </w:tc>
        <w:tc>
          <w:tcPr>
            <w:tcW w:w="2430" w:type="dxa"/>
            <w:tcBorders/>
          </w:tcPr>
          <w:p>
            <w:pPr>
              <w:pStyle w:val="style0"/>
              <w:jc w:val="center"/>
              <w:rPr>
                <w:rFonts w:ascii="Arial" w:cs="Arial" w:hAnsi="Arial"/>
                <w:sz w:val="20"/>
                <w:szCs w:val="20"/>
              </w:rPr>
            </w:pPr>
          </w:p>
        </w:tc>
        <w:tc>
          <w:tcPr>
            <w:tcW w:w="1170" w:type="dxa"/>
            <w:tcBorders/>
          </w:tcPr>
          <w:p>
            <w:pPr>
              <w:pStyle w:val="style0"/>
              <w:jc w:val="center"/>
              <w:rPr>
                <w:rFonts w:ascii="Arial" w:cs="Arial" w:hAnsi="Arial"/>
                <w:sz w:val="20"/>
                <w:szCs w:val="20"/>
              </w:rPr>
            </w:pPr>
          </w:p>
        </w:tc>
        <w:tc>
          <w:tcPr>
            <w:tcW w:w="1170" w:type="dxa"/>
            <w:tcBorders/>
          </w:tcPr>
          <w:p>
            <w:pPr>
              <w:pStyle w:val="style0"/>
              <w:jc w:val="center"/>
              <w:rPr>
                <w:rFonts w:ascii="Arial" w:cs="Arial" w:hAnsi="Arial"/>
                <w:sz w:val="20"/>
                <w:szCs w:val="20"/>
              </w:rPr>
            </w:pPr>
          </w:p>
        </w:tc>
      </w:tr>
      <w:tr>
        <w:tblPrEx/>
        <w:trPr/>
        <w:tc>
          <w:tcPr>
            <w:tcW w:w="990" w:type="dxa"/>
            <w:tcBorders/>
          </w:tcPr>
          <w:p>
            <w:pPr>
              <w:pStyle w:val="style0"/>
              <w:jc w:val="center"/>
              <w:rPr>
                <w:rFonts w:ascii="Arial" w:cs="Arial" w:hAnsi="Arial"/>
                <w:sz w:val="20"/>
                <w:szCs w:val="20"/>
              </w:rPr>
            </w:pPr>
            <w:r>
              <w:rPr>
                <w:rFonts w:ascii="Arial" w:cs="Arial" w:hAnsi="Arial"/>
                <w:b w:val="false"/>
                <w:sz w:val="20"/>
                <w:szCs w:val="20"/>
              </w:rPr>
              <w:t>B</w:t>
            </w:r>
          </w:p>
        </w:tc>
        <w:tc>
          <w:tcPr>
            <w:tcW w:w="1885" w:type="dxa"/>
            <w:tcBorders/>
          </w:tcPr>
          <w:p>
            <w:pPr>
              <w:pStyle w:val="style0"/>
              <w:jc w:val="center"/>
              <w:rPr>
                <w:rFonts w:ascii="Arial" w:cs="Arial" w:hAnsi="Arial"/>
                <w:sz w:val="20"/>
                <w:szCs w:val="20"/>
              </w:rPr>
            </w:pPr>
            <w:r>
              <w:rPr>
                <w:rFonts w:ascii="Arial" w:cs="Arial" w:hAnsi="Arial"/>
                <w:sz w:val="20"/>
                <w:szCs w:val="20"/>
              </w:rPr>
              <w:t>Negative control</w:t>
            </w:r>
          </w:p>
        </w:tc>
        <w:tc>
          <w:tcPr>
            <w:tcW w:w="2790" w:type="dxa"/>
            <w:tcBorders/>
          </w:tcPr>
          <w:p>
            <w:pPr>
              <w:pStyle w:val="style0"/>
              <w:jc w:val="center"/>
              <w:rPr>
                <w:rFonts w:ascii="Arial" w:cs="Arial" w:hAnsi="Arial"/>
                <w:sz w:val="20"/>
                <w:szCs w:val="20"/>
              </w:rPr>
            </w:pPr>
            <w:r>
              <w:rPr>
                <w:rFonts w:ascii="Arial" w:cs="Arial" w:hAnsi="Arial"/>
                <w:sz w:val="20"/>
                <w:szCs w:val="20"/>
              </w:rPr>
              <w:t>diabetes + Mercury Chloride</w:t>
            </w:r>
          </w:p>
          <w:p>
            <w:pPr>
              <w:pStyle w:val="style0"/>
              <w:jc w:val="center"/>
              <w:rPr>
                <w:rFonts w:ascii="Arial" w:cs="Arial" w:hAnsi="Arial"/>
                <w:sz w:val="20"/>
                <w:szCs w:val="20"/>
              </w:rPr>
            </w:pPr>
          </w:p>
        </w:tc>
        <w:tc>
          <w:tcPr>
            <w:tcW w:w="2430" w:type="dxa"/>
            <w:tcBorders/>
          </w:tcPr>
          <w:p>
            <w:pPr>
              <w:pStyle w:val="style0"/>
              <w:jc w:val="center"/>
              <w:rPr>
                <w:rFonts w:ascii="Arial" w:cs="Arial" w:hAnsi="Arial"/>
                <w:sz w:val="20"/>
                <w:szCs w:val="20"/>
              </w:rPr>
            </w:pPr>
            <w:r>
              <w:rPr>
                <w:rFonts w:ascii="Arial" w:cs="Arial" w:hAnsi="Arial"/>
                <w:sz w:val="20"/>
                <w:szCs w:val="20"/>
              </w:rPr>
              <w:t>150mg/kg + 3mg/kg</w:t>
            </w:r>
          </w:p>
          <w:p>
            <w:pPr>
              <w:pStyle w:val="style0"/>
              <w:jc w:val="center"/>
              <w:rPr>
                <w:rFonts w:ascii="Arial" w:cs="Arial" w:hAnsi="Arial"/>
                <w:sz w:val="20"/>
                <w:szCs w:val="20"/>
              </w:rPr>
            </w:pPr>
          </w:p>
          <w:p>
            <w:pPr>
              <w:pStyle w:val="style0"/>
              <w:jc w:val="center"/>
              <w:rPr>
                <w:rFonts w:ascii="Arial" w:cs="Arial" w:hAnsi="Arial"/>
                <w:sz w:val="20"/>
                <w:szCs w:val="20"/>
              </w:rPr>
            </w:pPr>
          </w:p>
        </w:tc>
        <w:tc>
          <w:tcPr>
            <w:tcW w:w="1170" w:type="dxa"/>
            <w:tcBorders/>
          </w:tcPr>
          <w:p>
            <w:pPr>
              <w:pStyle w:val="style0"/>
              <w:jc w:val="center"/>
              <w:rPr>
                <w:rFonts w:ascii="Arial" w:cs="Arial" w:hAnsi="Arial"/>
                <w:sz w:val="20"/>
                <w:szCs w:val="20"/>
              </w:rPr>
            </w:pPr>
            <w:r>
              <w:rPr>
                <w:rFonts w:ascii="Arial" w:cs="Arial" w:hAnsi="Arial"/>
                <w:sz w:val="20"/>
                <w:szCs w:val="20"/>
              </w:rPr>
              <w:t>6</w:t>
            </w:r>
          </w:p>
        </w:tc>
        <w:tc>
          <w:tcPr>
            <w:tcW w:w="1170" w:type="dxa"/>
            <w:tcBorders/>
          </w:tcPr>
          <w:p>
            <w:pPr>
              <w:pStyle w:val="style0"/>
              <w:jc w:val="center"/>
              <w:rPr>
                <w:rFonts w:ascii="Arial" w:cs="Arial" w:hAnsi="Arial"/>
                <w:sz w:val="20"/>
                <w:szCs w:val="20"/>
              </w:rPr>
            </w:pPr>
            <w:r>
              <w:rPr>
                <w:rFonts w:ascii="Arial" w:cs="Arial" w:hAnsi="Arial"/>
                <w:sz w:val="20"/>
                <w:szCs w:val="20"/>
              </w:rPr>
              <w:t>5</w:t>
            </w:r>
          </w:p>
        </w:tc>
      </w:tr>
      <w:tr>
        <w:tblPrEx/>
        <w:trPr/>
        <w:tc>
          <w:tcPr>
            <w:tcW w:w="990" w:type="dxa"/>
            <w:tcBorders/>
          </w:tcPr>
          <w:p>
            <w:pPr>
              <w:pStyle w:val="style0"/>
              <w:jc w:val="center"/>
              <w:rPr>
                <w:rFonts w:ascii="Arial" w:cs="Arial" w:hAnsi="Arial"/>
                <w:sz w:val="20"/>
                <w:szCs w:val="20"/>
              </w:rPr>
            </w:pPr>
            <w:r>
              <w:rPr>
                <w:rFonts w:ascii="Arial" w:cs="Arial" w:hAnsi="Arial"/>
                <w:b w:val="false"/>
                <w:sz w:val="20"/>
                <w:szCs w:val="20"/>
              </w:rPr>
              <w:t>C</w:t>
            </w:r>
          </w:p>
        </w:tc>
        <w:tc>
          <w:tcPr>
            <w:tcW w:w="1885" w:type="dxa"/>
            <w:tcBorders/>
          </w:tcPr>
          <w:p>
            <w:pPr>
              <w:pStyle w:val="style0"/>
              <w:jc w:val="center"/>
              <w:rPr>
                <w:rFonts w:ascii="Arial" w:cs="Arial" w:hAnsi="Arial"/>
                <w:sz w:val="20"/>
                <w:szCs w:val="20"/>
              </w:rPr>
            </w:pPr>
            <w:r>
              <w:rPr>
                <w:rFonts w:ascii="Arial" w:cs="Arial" w:hAnsi="Arial"/>
                <w:sz w:val="20"/>
                <w:szCs w:val="20"/>
              </w:rPr>
              <w:t>Standard drug</w:t>
            </w:r>
          </w:p>
        </w:tc>
        <w:tc>
          <w:tcPr>
            <w:tcW w:w="2790" w:type="dxa"/>
            <w:tcBorders/>
          </w:tcPr>
          <w:p>
            <w:pPr>
              <w:pStyle w:val="style0"/>
              <w:jc w:val="center"/>
              <w:rPr>
                <w:rFonts w:ascii="Arial" w:cs="Arial" w:hAnsi="Arial"/>
                <w:sz w:val="20"/>
                <w:szCs w:val="20"/>
              </w:rPr>
            </w:pPr>
            <w:r>
              <w:rPr>
                <w:rFonts w:ascii="Arial" w:cs="Arial" w:hAnsi="Arial"/>
                <w:sz w:val="20"/>
                <w:szCs w:val="20"/>
              </w:rPr>
              <w:t>diabetes + Mercury chloride + Metformin</w:t>
            </w:r>
          </w:p>
          <w:p>
            <w:pPr>
              <w:pStyle w:val="style0"/>
              <w:jc w:val="center"/>
              <w:rPr>
                <w:rFonts w:ascii="Arial" w:cs="Arial" w:hAnsi="Arial"/>
                <w:sz w:val="20"/>
                <w:szCs w:val="20"/>
              </w:rPr>
            </w:pPr>
          </w:p>
        </w:tc>
        <w:tc>
          <w:tcPr>
            <w:tcW w:w="2430" w:type="dxa"/>
            <w:tcBorders/>
          </w:tcPr>
          <w:p>
            <w:pPr>
              <w:pStyle w:val="style0"/>
              <w:jc w:val="center"/>
              <w:rPr>
                <w:rFonts w:ascii="Arial" w:cs="Arial" w:hAnsi="Arial"/>
                <w:sz w:val="20"/>
                <w:szCs w:val="20"/>
              </w:rPr>
            </w:pPr>
            <w:r>
              <w:rPr>
                <w:rFonts w:ascii="Arial" w:cs="Arial" w:hAnsi="Arial"/>
                <w:sz w:val="20"/>
                <w:szCs w:val="20"/>
              </w:rPr>
              <w:t>500mg/kg of Metformin</w:t>
            </w:r>
          </w:p>
          <w:p>
            <w:pPr>
              <w:pStyle w:val="style0"/>
              <w:jc w:val="center"/>
              <w:rPr>
                <w:rFonts w:ascii="Arial" w:cs="Arial" w:hAnsi="Arial"/>
                <w:sz w:val="20"/>
                <w:szCs w:val="20"/>
              </w:rPr>
            </w:pPr>
          </w:p>
        </w:tc>
        <w:tc>
          <w:tcPr>
            <w:tcW w:w="1170" w:type="dxa"/>
            <w:tcBorders/>
          </w:tcPr>
          <w:p>
            <w:pPr>
              <w:pStyle w:val="style0"/>
              <w:jc w:val="center"/>
              <w:rPr>
                <w:rFonts w:ascii="Arial" w:cs="Arial" w:hAnsi="Arial"/>
                <w:sz w:val="20"/>
                <w:szCs w:val="20"/>
              </w:rPr>
            </w:pPr>
            <w:r>
              <w:rPr>
                <w:rFonts w:ascii="Arial" w:cs="Arial" w:hAnsi="Arial"/>
                <w:sz w:val="20"/>
                <w:szCs w:val="20"/>
              </w:rPr>
              <w:t>6</w:t>
            </w:r>
          </w:p>
        </w:tc>
        <w:tc>
          <w:tcPr>
            <w:tcW w:w="1170" w:type="dxa"/>
            <w:tcBorders/>
          </w:tcPr>
          <w:p>
            <w:pPr>
              <w:pStyle w:val="style0"/>
              <w:jc w:val="center"/>
              <w:rPr>
                <w:rFonts w:ascii="Arial" w:cs="Arial" w:hAnsi="Arial"/>
                <w:sz w:val="20"/>
                <w:szCs w:val="20"/>
              </w:rPr>
            </w:pPr>
            <w:r>
              <w:rPr>
                <w:rFonts w:ascii="Arial" w:cs="Arial" w:hAnsi="Arial"/>
                <w:sz w:val="20"/>
                <w:szCs w:val="20"/>
              </w:rPr>
              <w:t>5</w:t>
            </w:r>
          </w:p>
        </w:tc>
      </w:tr>
      <w:tr>
        <w:tblPrEx/>
        <w:trPr/>
        <w:tc>
          <w:tcPr>
            <w:tcW w:w="990" w:type="dxa"/>
            <w:tcBorders/>
          </w:tcPr>
          <w:p>
            <w:pPr>
              <w:pStyle w:val="style0"/>
              <w:jc w:val="center"/>
              <w:rPr>
                <w:rFonts w:ascii="Arial" w:cs="Arial" w:hAnsi="Arial"/>
                <w:sz w:val="20"/>
                <w:szCs w:val="20"/>
              </w:rPr>
            </w:pPr>
            <w:r>
              <w:rPr>
                <w:rFonts w:ascii="Arial" w:cs="Arial" w:hAnsi="Arial"/>
                <w:b w:val="false"/>
                <w:sz w:val="20"/>
                <w:szCs w:val="20"/>
              </w:rPr>
              <w:t>D</w:t>
            </w:r>
          </w:p>
        </w:tc>
        <w:tc>
          <w:tcPr>
            <w:tcW w:w="1885" w:type="dxa"/>
            <w:tcBorders/>
          </w:tcPr>
          <w:p>
            <w:pPr>
              <w:pStyle w:val="style0"/>
              <w:jc w:val="center"/>
              <w:rPr>
                <w:rFonts w:ascii="Arial" w:cs="Arial" w:hAnsi="Arial"/>
                <w:sz w:val="20"/>
                <w:szCs w:val="20"/>
              </w:rPr>
            </w:pPr>
            <w:r>
              <w:rPr>
                <w:rFonts w:ascii="Arial" w:cs="Arial" w:hAnsi="Arial"/>
                <w:sz w:val="20"/>
                <w:szCs w:val="20"/>
              </w:rPr>
              <w:t xml:space="preserve">Experimental Group 1 (Low dose of </w:t>
            </w:r>
            <w:r>
              <w:rPr>
                <w:rFonts w:ascii="Arial" w:cs="Arial" w:hAnsi="Arial"/>
                <w:i/>
                <w:sz w:val="20"/>
                <w:szCs w:val="20"/>
              </w:rPr>
              <w:t>C. odorata</w:t>
            </w:r>
            <w:r>
              <w:rPr>
                <w:rFonts w:ascii="Arial" w:cs="Arial" w:hAnsi="Arial"/>
                <w:sz w:val="20"/>
                <w:szCs w:val="20"/>
              </w:rPr>
              <w:t xml:space="preserve"> extract)</w:t>
            </w:r>
          </w:p>
          <w:p>
            <w:pPr>
              <w:pStyle w:val="style0"/>
              <w:jc w:val="center"/>
              <w:rPr>
                <w:rFonts w:ascii="Arial" w:cs="Arial" w:hAnsi="Arial"/>
                <w:sz w:val="20"/>
                <w:szCs w:val="20"/>
              </w:rPr>
            </w:pPr>
          </w:p>
        </w:tc>
        <w:tc>
          <w:tcPr>
            <w:tcW w:w="2790" w:type="dxa"/>
            <w:tcBorders/>
          </w:tcPr>
          <w:p>
            <w:pPr>
              <w:pStyle w:val="style0"/>
              <w:jc w:val="center"/>
              <w:rPr>
                <w:rFonts w:ascii="Arial" w:cs="Arial" w:hAnsi="Arial"/>
                <w:sz w:val="20"/>
                <w:szCs w:val="20"/>
              </w:rPr>
            </w:pPr>
            <w:r>
              <w:rPr>
                <w:rFonts w:ascii="Arial" w:cs="Arial" w:hAnsi="Arial"/>
                <w:sz w:val="20"/>
                <w:szCs w:val="20"/>
              </w:rPr>
              <w:t xml:space="preserve">diabetes + Mercury chloride + </w:t>
            </w:r>
            <w:r>
              <w:rPr>
                <w:rFonts w:ascii="Arial" w:cs="Arial" w:hAnsi="Arial"/>
                <w:i/>
                <w:sz w:val="20"/>
                <w:szCs w:val="20"/>
              </w:rPr>
              <w:t>C. Odorata</w:t>
            </w:r>
          </w:p>
        </w:tc>
        <w:tc>
          <w:tcPr>
            <w:tcW w:w="2430" w:type="dxa"/>
            <w:tcBorders/>
          </w:tcPr>
          <w:p>
            <w:pPr>
              <w:pStyle w:val="style0"/>
              <w:jc w:val="center"/>
              <w:rPr>
                <w:rFonts w:ascii="Arial" w:cs="Arial" w:hAnsi="Arial"/>
                <w:sz w:val="20"/>
                <w:szCs w:val="20"/>
              </w:rPr>
            </w:pPr>
            <w:r>
              <w:rPr>
                <w:rFonts w:ascii="Arial" w:cs="Arial" w:hAnsi="Arial"/>
                <w:sz w:val="20"/>
                <w:szCs w:val="20"/>
              </w:rPr>
              <w:t>150mg/kg + 3mg/kg +200mg/kg of C. odorata extract</w:t>
            </w:r>
          </w:p>
          <w:p>
            <w:pPr>
              <w:pStyle w:val="style0"/>
              <w:jc w:val="center"/>
              <w:rPr>
                <w:rFonts w:ascii="Arial" w:cs="Arial" w:hAnsi="Arial"/>
                <w:sz w:val="20"/>
                <w:szCs w:val="20"/>
              </w:rPr>
            </w:pPr>
          </w:p>
        </w:tc>
        <w:tc>
          <w:tcPr>
            <w:tcW w:w="1170" w:type="dxa"/>
            <w:tcBorders/>
          </w:tcPr>
          <w:p>
            <w:pPr>
              <w:pStyle w:val="style0"/>
              <w:jc w:val="center"/>
              <w:rPr>
                <w:rFonts w:ascii="Arial" w:cs="Arial" w:hAnsi="Arial"/>
                <w:sz w:val="20"/>
                <w:szCs w:val="20"/>
              </w:rPr>
            </w:pPr>
            <w:r>
              <w:rPr>
                <w:rFonts w:ascii="Arial" w:cs="Arial" w:hAnsi="Arial"/>
                <w:sz w:val="20"/>
                <w:szCs w:val="20"/>
              </w:rPr>
              <w:t>6</w:t>
            </w:r>
          </w:p>
        </w:tc>
        <w:tc>
          <w:tcPr>
            <w:tcW w:w="1170" w:type="dxa"/>
            <w:tcBorders/>
          </w:tcPr>
          <w:p>
            <w:pPr>
              <w:pStyle w:val="style0"/>
              <w:jc w:val="center"/>
              <w:rPr>
                <w:rFonts w:ascii="Arial" w:cs="Arial" w:hAnsi="Arial"/>
                <w:sz w:val="20"/>
                <w:szCs w:val="20"/>
              </w:rPr>
            </w:pPr>
            <w:r>
              <w:rPr>
                <w:rFonts w:ascii="Arial" w:cs="Arial" w:hAnsi="Arial"/>
                <w:sz w:val="20"/>
                <w:szCs w:val="20"/>
              </w:rPr>
              <w:t>5</w:t>
            </w:r>
          </w:p>
        </w:tc>
      </w:tr>
      <w:tr>
        <w:tblPrEx/>
        <w:trPr/>
        <w:tc>
          <w:tcPr>
            <w:tcW w:w="990" w:type="dxa"/>
            <w:tcBorders/>
          </w:tcPr>
          <w:p>
            <w:pPr>
              <w:pStyle w:val="style0"/>
              <w:jc w:val="center"/>
              <w:rPr>
                <w:rFonts w:ascii="Arial" w:cs="Arial" w:hAnsi="Arial"/>
                <w:sz w:val="20"/>
                <w:szCs w:val="20"/>
              </w:rPr>
            </w:pPr>
            <w:r>
              <w:rPr>
                <w:rFonts w:ascii="Arial" w:cs="Arial" w:hAnsi="Arial"/>
                <w:b w:val="false"/>
                <w:sz w:val="20"/>
                <w:szCs w:val="20"/>
              </w:rPr>
              <w:t>E</w:t>
            </w:r>
          </w:p>
        </w:tc>
        <w:tc>
          <w:tcPr>
            <w:tcW w:w="1885" w:type="dxa"/>
            <w:tcBorders/>
          </w:tcPr>
          <w:p>
            <w:pPr>
              <w:pStyle w:val="style0"/>
              <w:jc w:val="center"/>
              <w:rPr>
                <w:rFonts w:ascii="Arial" w:cs="Arial" w:hAnsi="Arial"/>
                <w:sz w:val="20"/>
                <w:szCs w:val="20"/>
              </w:rPr>
            </w:pPr>
            <w:r>
              <w:rPr>
                <w:rFonts w:ascii="Arial" w:cs="Arial" w:hAnsi="Arial"/>
                <w:sz w:val="20"/>
                <w:szCs w:val="20"/>
              </w:rPr>
              <w:t xml:space="preserve">Experimental Group 2 (Medium dose of </w:t>
            </w:r>
            <w:r>
              <w:rPr>
                <w:rFonts w:ascii="Arial" w:cs="Arial" w:hAnsi="Arial"/>
                <w:i/>
                <w:sz w:val="20"/>
                <w:szCs w:val="20"/>
              </w:rPr>
              <w:t>C. odorata</w:t>
            </w:r>
            <w:r>
              <w:rPr>
                <w:rFonts w:ascii="Arial" w:cs="Arial" w:hAnsi="Arial"/>
                <w:sz w:val="20"/>
                <w:szCs w:val="20"/>
              </w:rPr>
              <w:t xml:space="preserve"> extract)</w:t>
            </w:r>
          </w:p>
          <w:p>
            <w:pPr>
              <w:pStyle w:val="style0"/>
              <w:jc w:val="center"/>
              <w:rPr>
                <w:rFonts w:ascii="Arial" w:cs="Arial" w:hAnsi="Arial"/>
                <w:sz w:val="20"/>
                <w:szCs w:val="20"/>
              </w:rPr>
            </w:pPr>
          </w:p>
        </w:tc>
        <w:tc>
          <w:tcPr>
            <w:tcW w:w="2790" w:type="dxa"/>
            <w:tcBorders/>
          </w:tcPr>
          <w:p>
            <w:pPr>
              <w:pStyle w:val="style0"/>
              <w:jc w:val="center"/>
              <w:rPr>
                <w:rFonts w:ascii="Arial" w:cs="Arial" w:hAnsi="Arial"/>
                <w:sz w:val="20"/>
                <w:szCs w:val="20"/>
              </w:rPr>
            </w:pPr>
            <w:r>
              <w:rPr>
                <w:rFonts w:ascii="Arial" w:cs="Arial" w:hAnsi="Arial"/>
                <w:sz w:val="20"/>
                <w:szCs w:val="20"/>
              </w:rPr>
              <w:t xml:space="preserve">diabetes + Mercury + </w:t>
            </w:r>
            <w:r>
              <w:rPr>
                <w:rFonts w:ascii="Arial" w:cs="Arial" w:hAnsi="Arial"/>
                <w:i/>
                <w:sz w:val="20"/>
                <w:szCs w:val="20"/>
              </w:rPr>
              <w:t>C. Odorata</w:t>
            </w:r>
          </w:p>
        </w:tc>
        <w:tc>
          <w:tcPr>
            <w:tcW w:w="2430" w:type="dxa"/>
            <w:tcBorders/>
          </w:tcPr>
          <w:p>
            <w:pPr>
              <w:pStyle w:val="style0"/>
              <w:jc w:val="center"/>
              <w:rPr>
                <w:rFonts w:ascii="Arial" w:cs="Arial" w:hAnsi="Arial"/>
                <w:sz w:val="20"/>
                <w:szCs w:val="20"/>
              </w:rPr>
            </w:pPr>
            <w:r>
              <w:rPr>
                <w:rFonts w:ascii="Arial" w:cs="Arial" w:hAnsi="Arial"/>
                <w:sz w:val="20"/>
                <w:szCs w:val="20"/>
              </w:rPr>
              <w:t>150mg/kg + 3mg/kg + 400mg/kg of C. odorata extract</w:t>
            </w:r>
          </w:p>
          <w:p>
            <w:pPr>
              <w:pStyle w:val="style0"/>
              <w:jc w:val="center"/>
              <w:rPr>
                <w:rFonts w:ascii="Arial" w:cs="Arial" w:hAnsi="Arial"/>
                <w:sz w:val="20"/>
                <w:szCs w:val="20"/>
              </w:rPr>
            </w:pPr>
          </w:p>
        </w:tc>
        <w:tc>
          <w:tcPr>
            <w:tcW w:w="1170" w:type="dxa"/>
            <w:tcBorders/>
          </w:tcPr>
          <w:p>
            <w:pPr>
              <w:pStyle w:val="style0"/>
              <w:jc w:val="center"/>
              <w:rPr>
                <w:rFonts w:ascii="Arial" w:cs="Arial" w:hAnsi="Arial"/>
                <w:sz w:val="20"/>
                <w:szCs w:val="20"/>
              </w:rPr>
            </w:pPr>
            <w:r>
              <w:rPr>
                <w:rFonts w:ascii="Arial" w:cs="Arial" w:hAnsi="Arial"/>
                <w:sz w:val="20"/>
                <w:szCs w:val="20"/>
              </w:rPr>
              <w:t>6</w:t>
            </w:r>
          </w:p>
        </w:tc>
        <w:tc>
          <w:tcPr>
            <w:tcW w:w="1170" w:type="dxa"/>
            <w:tcBorders/>
          </w:tcPr>
          <w:p>
            <w:pPr>
              <w:pStyle w:val="style0"/>
              <w:jc w:val="center"/>
              <w:rPr>
                <w:rFonts w:ascii="Arial" w:cs="Arial" w:hAnsi="Arial"/>
                <w:sz w:val="20"/>
                <w:szCs w:val="20"/>
              </w:rPr>
            </w:pPr>
            <w:r>
              <w:rPr>
                <w:rFonts w:ascii="Arial" w:cs="Arial" w:hAnsi="Arial"/>
                <w:sz w:val="20"/>
                <w:szCs w:val="20"/>
              </w:rPr>
              <w:t>5</w:t>
            </w:r>
          </w:p>
        </w:tc>
      </w:tr>
      <w:tr>
        <w:tblPrEx/>
        <w:trPr/>
        <w:tc>
          <w:tcPr>
            <w:tcW w:w="990" w:type="dxa"/>
            <w:tcBorders/>
          </w:tcPr>
          <w:p>
            <w:pPr>
              <w:pStyle w:val="style0"/>
              <w:jc w:val="center"/>
              <w:rPr>
                <w:rFonts w:ascii="Arial" w:cs="Arial" w:hAnsi="Arial"/>
                <w:sz w:val="20"/>
                <w:szCs w:val="20"/>
              </w:rPr>
            </w:pPr>
            <w:r>
              <w:rPr>
                <w:rFonts w:ascii="Arial" w:cs="Arial" w:hAnsi="Arial"/>
                <w:b w:val="false"/>
                <w:sz w:val="20"/>
                <w:szCs w:val="20"/>
              </w:rPr>
              <w:t>F</w:t>
            </w:r>
          </w:p>
        </w:tc>
        <w:tc>
          <w:tcPr>
            <w:tcW w:w="1885" w:type="dxa"/>
            <w:tcBorders/>
          </w:tcPr>
          <w:p>
            <w:pPr>
              <w:pStyle w:val="style0"/>
              <w:jc w:val="center"/>
              <w:rPr>
                <w:rFonts w:ascii="Arial" w:cs="Arial" w:hAnsi="Arial"/>
                <w:sz w:val="20"/>
                <w:szCs w:val="20"/>
              </w:rPr>
            </w:pPr>
            <w:r>
              <w:rPr>
                <w:rFonts w:ascii="Arial" w:cs="Arial" w:hAnsi="Arial"/>
                <w:sz w:val="20"/>
                <w:szCs w:val="20"/>
              </w:rPr>
              <w:t xml:space="preserve">Experimental Group 3 (Medium dose of </w:t>
            </w:r>
            <w:r>
              <w:rPr>
                <w:rFonts w:ascii="Arial" w:cs="Arial" w:hAnsi="Arial"/>
                <w:i/>
                <w:sz w:val="20"/>
                <w:szCs w:val="20"/>
              </w:rPr>
              <w:t>C. odorata</w:t>
            </w:r>
            <w:r>
              <w:rPr>
                <w:rFonts w:ascii="Arial" w:cs="Arial" w:hAnsi="Arial"/>
                <w:sz w:val="20"/>
                <w:szCs w:val="20"/>
              </w:rPr>
              <w:t xml:space="preserve"> extract)</w:t>
            </w:r>
          </w:p>
        </w:tc>
        <w:tc>
          <w:tcPr>
            <w:tcW w:w="2790" w:type="dxa"/>
            <w:tcBorders/>
          </w:tcPr>
          <w:p>
            <w:pPr>
              <w:pStyle w:val="style0"/>
              <w:jc w:val="center"/>
              <w:rPr>
                <w:rFonts w:ascii="Arial" w:cs="Arial" w:hAnsi="Arial"/>
                <w:sz w:val="20"/>
                <w:szCs w:val="20"/>
              </w:rPr>
            </w:pPr>
            <w:r>
              <w:rPr>
                <w:rFonts w:ascii="Arial" w:cs="Arial" w:hAnsi="Arial"/>
                <w:sz w:val="20"/>
                <w:szCs w:val="20"/>
              </w:rPr>
              <w:t xml:space="preserve">diabetes + Mercury chloride + </w:t>
            </w:r>
            <w:r>
              <w:rPr>
                <w:rFonts w:ascii="Arial" w:cs="Arial" w:hAnsi="Arial"/>
                <w:i/>
                <w:sz w:val="20"/>
                <w:szCs w:val="20"/>
              </w:rPr>
              <w:t>C. Odorata</w:t>
            </w:r>
          </w:p>
        </w:tc>
        <w:tc>
          <w:tcPr>
            <w:tcW w:w="2430" w:type="dxa"/>
            <w:tcBorders/>
          </w:tcPr>
          <w:p>
            <w:pPr>
              <w:pStyle w:val="style0"/>
              <w:jc w:val="center"/>
              <w:rPr>
                <w:rFonts w:ascii="Arial" w:cs="Arial" w:hAnsi="Arial"/>
                <w:sz w:val="20"/>
                <w:szCs w:val="20"/>
              </w:rPr>
            </w:pPr>
            <w:r>
              <w:rPr>
                <w:rFonts w:ascii="Arial" w:cs="Arial" w:hAnsi="Arial"/>
                <w:sz w:val="20"/>
                <w:szCs w:val="20"/>
              </w:rPr>
              <w:t xml:space="preserve">150mg/kg + 3mg/kg + 600mg/kg of </w:t>
            </w:r>
            <w:r>
              <w:rPr>
                <w:rFonts w:ascii="Arial" w:cs="Arial" w:hAnsi="Arial"/>
                <w:i/>
                <w:sz w:val="20"/>
                <w:szCs w:val="20"/>
              </w:rPr>
              <w:t>C. odorata</w:t>
            </w:r>
            <w:r>
              <w:rPr>
                <w:rFonts w:ascii="Arial" w:cs="Arial" w:hAnsi="Arial"/>
                <w:sz w:val="20"/>
                <w:szCs w:val="20"/>
              </w:rPr>
              <w:t xml:space="preserve"> extract</w:t>
            </w:r>
          </w:p>
        </w:tc>
        <w:tc>
          <w:tcPr>
            <w:tcW w:w="1170" w:type="dxa"/>
            <w:tcBorders/>
          </w:tcPr>
          <w:p>
            <w:pPr>
              <w:pStyle w:val="style0"/>
              <w:jc w:val="center"/>
              <w:rPr>
                <w:rFonts w:ascii="Arial" w:cs="Arial" w:hAnsi="Arial"/>
                <w:sz w:val="20"/>
                <w:szCs w:val="20"/>
              </w:rPr>
            </w:pPr>
            <w:r>
              <w:rPr>
                <w:rFonts w:ascii="Arial" w:cs="Arial" w:hAnsi="Arial"/>
                <w:sz w:val="20"/>
                <w:szCs w:val="20"/>
              </w:rPr>
              <w:t>6</w:t>
            </w:r>
          </w:p>
        </w:tc>
        <w:tc>
          <w:tcPr>
            <w:tcW w:w="1170" w:type="dxa"/>
            <w:tcBorders/>
          </w:tcPr>
          <w:p>
            <w:pPr>
              <w:pStyle w:val="style0"/>
              <w:jc w:val="center"/>
              <w:rPr>
                <w:rFonts w:ascii="Arial" w:cs="Arial" w:hAnsi="Arial"/>
                <w:sz w:val="20"/>
                <w:szCs w:val="20"/>
              </w:rPr>
            </w:pPr>
            <w:r>
              <w:rPr>
                <w:rFonts w:ascii="Arial" w:cs="Arial" w:hAnsi="Arial"/>
                <w:sz w:val="20"/>
                <w:szCs w:val="20"/>
              </w:rPr>
              <w:t>5</w:t>
            </w:r>
          </w:p>
        </w:tc>
      </w:tr>
      <w:bookmarkEnd w:id="11"/>
    </w:tbl>
    <w:p>
      <w:pPr>
        <w:pStyle w:val="style0"/>
        <w:jc w:val="center"/>
        <w:rPr>
          <w:rFonts w:ascii="Arial" w:cs="Arial" w:hAnsi="Arial"/>
          <w:sz w:val="20"/>
          <w:szCs w:val="20"/>
        </w:rPr>
      </w:pPr>
    </w:p>
    <w:p>
      <w:pPr>
        <w:pStyle w:val="style0"/>
        <w:jc w:val="both"/>
        <w:rPr>
          <w:rFonts w:ascii="Arial" w:cs="Arial" w:hAnsi="Arial"/>
          <w:b/>
          <w:sz w:val="20"/>
          <w:szCs w:val="20"/>
        </w:rPr>
      </w:pPr>
    </w:p>
    <w:p>
      <w:pPr>
        <w:pStyle w:val="style0"/>
        <w:jc w:val="both"/>
        <w:rPr>
          <w:rFonts w:ascii="Arial" w:cs="Arial" w:hAnsi="Arial"/>
          <w:b/>
          <w:sz w:val="20"/>
          <w:szCs w:val="20"/>
        </w:rPr>
      </w:pPr>
      <w:r>
        <w:rPr>
          <w:rFonts w:ascii="Arial" w:cs="Arial" w:hAnsi="Arial"/>
          <w:b/>
          <w:sz w:val="20"/>
          <w:szCs w:val="20"/>
        </w:rPr>
        <w:t>Histological examination</w:t>
      </w:r>
    </w:p>
    <w:p>
      <w:pPr>
        <w:pStyle w:val="style0"/>
        <w:spacing w:lineRule="auto" w:line="360"/>
        <w:jc w:val="both"/>
        <w:rPr>
          <w:rFonts w:ascii="Arial" w:cs="Arial" w:hAnsi="Arial"/>
          <w:sz w:val="20"/>
          <w:szCs w:val="20"/>
        </w:rPr>
      </w:pPr>
      <w:r>
        <w:rPr>
          <w:rFonts w:ascii="Arial" w:cs="Arial" w:hAnsi="Arial"/>
          <w:sz w:val="20"/>
          <w:szCs w:val="20"/>
        </w:rPr>
        <w:t xml:space="preserve">At the end of the experimental period, the animals were sacrificed humanely and the brain was carefully excised. The midbrains were excised </w:t>
      </w:r>
      <w:r>
        <w:rPr>
          <w:rFonts w:ascii="Arial" w:cs="Arial" w:hAnsi="Arial"/>
          <w:sz w:val="20"/>
          <w:szCs w:val="20"/>
        </w:rPr>
        <w:t>and the</w:t>
      </w:r>
      <w:r>
        <w:rPr>
          <w:rFonts w:ascii="Arial" w:cs="Arial" w:hAnsi="Arial"/>
          <w:sz w:val="20"/>
          <w:szCs w:val="20"/>
        </w:rPr>
        <w:t xml:space="preserve"> substantia </w:t>
      </w:r>
      <w:r>
        <w:rPr>
          <w:rFonts w:ascii="Arial" w:cs="Arial" w:hAnsi="Arial"/>
          <w:sz w:val="20"/>
          <w:szCs w:val="20"/>
        </w:rPr>
        <w:t>nigra</w:t>
      </w:r>
      <w:r>
        <w:rPr>
          <w:rFonts w:ascii="Arial" w:cs="Arial" w:hAnsi="Arial"/>
          <w:sz w:val="20"/>
          <w:szCs w:val="20"/>
        </w:rPr>
        <w:t xml:space="preserve"> w</w:t>
      </w:r>
      <w:r>
        <w:rPr>
          <w:rFonts w:ascii="Arial" w:cs="Arial" w:hAnsi="Arial"/>
          <w:sz w:val="20"/>
          <w:szCs w:val="20"/>
        </w:rPr>
        <w:t>as</w:t>
      </w:r>
      <w:r>
        <w:rPr>
          <w:rFonts w:ascii="Arial" w:cs="Arial" w:hAnsi="Arial"/>
          <w:sz w:val="20"/>
          <w:szCs w:val="20"/>
        </w:rPr>
        <w:t xml:space="preserve"> carefully dissected out and immediately </w:t>
      </w:r>
      <w:r>
        <w:rPr>
          <w:rFonts w:ascii="Arial" w:cs="Arial" w:hAnsi="Arial"/>
          <w:sz w:val="20"/>
          <w:szCs w:val="20"/>
        </w:rPr>
        <w:t>fixed in 10% neutral buffered formalin for 48 hours to preserve tissue architecture and prevent autolysis. Following fixation, the tissues were processed using the routine paraffin tissue processing technique. The tissues were first dehydrated in ascending grades of ethanol (70%, 80%, 90%, 95%) to remove water from the tissues. After dehydration, the tissues were cleared in xylene, which replaced the alcohol and rendered the tissues transparent.</w:t>
      </w:r>
    </w:p>
    <w:p>
      <w:pPr>
        <w:pStyle w:val="style0"/>
        <w:spacing w:lineRule="auto" w:line="360"/>
        <w:jc w:val="both"/>
        <w:rPr>
          <w:rFonts w:ascii="Arial" w:cs="Arial" w:hAnsi="Arial"/>
          <w:sz w:val="20"/>
          <w:szCs w:val="20"/>
        </w:rPr>
      </w:pPr>
      <w:r>
        <w:rPr>
          <w:rFonts w:ascii="Arial" w:cs="Arial" w:hAnsi="Arial"/>
          <w:sz w:val="20"/>
          <w:szCs w:val="20"/>
        </w:rPr>
        <w:t>The cleared tissues were then infiltrated with molten paraffin wax at 56–60°C and subsequently embedded in paraffin wax blocks to provide support for sectioning. The paraffin-embedded tissues were sectioned using a rotary microtome at a thickness of 4µm. The sections were floated on a warm water bath to remove wrinkles and then mounted onto clean glass slides.</w:t>
      </w:r>
    </w:p>
    <w:p>
      <w:pPr>
        <w:pStyle w:val="style0"/>
        <w:spacing w:after="0" w:lineRule="auto" w:line="360"/>
        <w:jc w:val="both"/>
        <w:rPr>
          <w:rFonts w:ascii="Arial" w:cs="Arial" w:hAnsi="Arial"/>
          <w:b/>
          <w:sz w:val="20"/>
          <w:szCs w:val="20"/>
        </w:rPr>
      </w:pPr>
      <w:r>
        <w:rPr>
          <w:rFonts w:ascii="Arial" w:cs="Arial" w:hAnsi="Arial"/>
          <w:b/>
          <w:sz w:val="20"/>
          <w:szCs w:val="20"/>
        </w:rPr>
        <w:t>Hematoxylin and Eosin (H&amp;E) Staining:</w:t>
      </w:r>
    </w:p>
    <w:p>
      <w:pPr>
        <w:pStyle w:val="style0"/>
        <w:spacing w:after="0" w:lineRule="auto" w:line="360"/>
        <w:jc w:val="both"/>
        <w:rPr>
          <w:rFonts w:ascii="Arial" w:cs="Arial" w:hAnsi="Arial"/>
          <w:sz w:val="20"/>
          <w:szCs w:val="20"/>
        </w:rPr>
      </w:pPr>
      <w:r>
        <w:rPr>
          <w:rFonts w:ascii="Arial" w:cs="Arial" w:hAnsi="Arial"/>
          <w:sz w:val="20"/>
          <w:szCs w:val="20"/>
        </w:rPr>
        <w:t>Slides were deparaffinized in xylene and rehydrated through descending ethanol series.</w:t>
      </w:r>
      <w:r>
        <w:rPr>
          <w:rFonts w:ascii="Arial" w:cs="Arial" w:hAnsi="Arial"/>
          <w:b/>
          <w:sz w:val="20"/>
          <w:szCs w:val="20"/>
        </w:rPr>
        <w:t xml:space="preserve"> </w:t>
      </w:r>
      <w:r>
        <w:rPr>
          <w:rFonts w:ascii="Arial" w:cs="Arial" w:hAnsi="Arial"/>
          <w:sz w:val="20"/>
          <w:szCs w:val="20"/>
        </w:rPr>
        <w:t>Nuclei were stained with hematoxylin for 5 minutes, differentiated in 1% acid alcohol and blued in tap water.</w:t>
      </w:r>
      <w:r>
        <w:rPr>
          <w:rFonts w:ascii="Arial" w:cs="Arial" w:hAnsi="Arial"/>
          <w:b/>
          <w:sz w:val="20"/>
          <w:szCs w:val="20"/>
        </w:rPr>
        <w:t xml:space="preserve"> </w:t>
      </w:r>
      <w:r>
        <w:rPr>
          <w:rFonts w:ascii="Arial" w:cs="Arial" w:hAnsi="Arial"/>
          <w:sz w:val="20"/>
          <w:szCs w:val="20"/>
        </w:rPr>
        <w:t>Cytoplasm and extracellular matrix were stained with eosin for 4 minutes.</w:t>
      </w:r>
      <w:r>
        <w:rPr>
          <w:rFonts w:ascii="Arial" w:cs="Arial" w:hAnsi="Arial"/>
          <w:b/>
          <w:sz w:val="20"/>
          <w:szCs w:val="20"/>
        </w:rPr>
        <w:t xml:space="preserve"> </w:t>
      </w:r>
      <w:r>
        <w:rPr>
          <w:rFonts w:ascii="Arial" w:cs="Arial" w:hAnsi="Arial"/>
          <w:sz w:val="20"/>
          <w:szCs w:val="20"/>
        </w:rPr>
        <w:t>Slides were dehydrated in ascending ethanol, cleared in xylene and mounted with DPX.</w:t>
      </w:r>
      <w:r>
        <w:rPr>
          <w:rFonts w:ascii="Arial" w:cs="Arial" w:hAnsi="Arial"/>
          <w:b/>
          <w:sz w:val="20"/>
          <w:szCs w:val="20"/>
        </w:rPr>
        <w:t xml:space="preserve"> </w:t>
      </w:r>
      <w:r>
        <w:rPr>
          <w:rFonts w:ascii="Arial" w:cs="Arial" w:hAnsi="Arial"/>
          <w:sz w:val="20"/>
          <w:szCs w:val="20"/>
        </w:rPr>
        <w:t>This was to examine general tissue morphology</w:t>
      </w:r>
      <w:r>
        <w:rPr>
          <w:rFonts w:ascii="Arial" w:cs="Arial" w:hAnsi="Arial"/>
          <w:sz w:val="20"/>
          <w:szCs w:val="20"/>
        </w:rPr>
        <w:t>.</w:t>
      </w:r>
    </w:p>
    <w:p>
      <w:pPr>
        <w:pStyle w:val="style0"/>
        <w:spacing w:after="0" w:lineRule="auto" w:line="360"/>
        <w:jc w:val="both"/>
        <w:rPr>
          <w:rFonts w:ascii="Arial" w:cs="Arial" w:hAnsi="Arial"/>
          <w:b/>
          <w:sz w:val="20"/>
          <w:szCs w:val="20"/>
        </w:rPr>
      </w:pPr>
    </w:p>
    <w:p>
      <w:pPr>
        <w:pStyle w:val="style0"/>
        <w:spacing w:after="0" w:lineRule="auto" w:line="360"/>
        <w:jc w:val="both"/>
        <w:rPr>
          <w:rFonts w:ascii="Arial" w:cs="Arial" w:hAnsi="Arial"/>
          <w:b/>
          <w:sz w:val="20"/>
          <w:szCs w:val="20"/>
        </w:rPr>
      </w:pPr>
      <w:r>
        <w:rPr>
          <w:rFonts w:ascii="Arial" w:cs="Arial" w:hAnsi="Arial"/>
          <w:b/>
          <w:sz w:val="20"/>
          <w:szCs w:val="20"/>
        </w:rPr>
        <w:t>Microscopic examination</w:t>
      </w:r>
    </w:p>
    <w:p>
      <w:pPr>
        <w:pStyle w:val="style0"/>
        <w:spacing w:after="0" w:lineRule="auto" w:line="360"/>
        <w:jc w:val="both"/>
        <w:rPr>
          <w:rFonts w:ascii="Arial" w:cs="Arial" w:hAnsi="Arial"/>
          <w:sz w:val="20"/>
          <w:szCs w:val="20"/>
        </w:rPr>
      </w:pPr>
      <w:r>
        <w:rPr>
          <w:rFonts w:ascii="Arial" w:cs="Arial" w:hAnsi="Arial"/>
          <w:sz w:val="20"/>
          <w:szCs w:val="20"/>
        </w:rPr>
        <w:t>All stained sections were examined under a light microscope at X400 magnifications. Morphological changes were assessed to determine the neuro</w:t>
      </w:r>
      <w:r>
        <w:rPr>
          <w:rFonts w:ascii="Arial" w:cs="Arial" w:hAnsi="Arial"/>
          <w:sz w:val="20"/>
          <w:szCs w:val="20"/>
        </w:rPr>
        <w:t>restora</w:t>
      </w:r>
      <w:r>
        <w:rPr>
          <w:rFonts w:ascii="Arial" w:cs="Arial" w:hAnsi="Arial"/>
          <w:sz w:val="20"/>
          <w:szCs w:val="20"/>
        </w:rPr>
        <w:t xml:space="preserve">tive effect of </w:t>
      </w:r>
      <w:r>
        <w:rPr>
          <w:rFonts w:ascii="Arial" w:cs="Arial" w:hAnsi="Arial"/>
          <w:i/>
          <w:sz w:val="20"/>
          <w:szCs w:val="20"/>
        </w:rPr>
        <w:t>Chromolaena</w:t>
      </w:r>
      <w:r>
        <w:rPr>
          <w:rFonts w:ascii="Arial" w:cs="Arial" w:hAnsi="Arial"/>
          <w:i/>
          <w:sz w:val="20"/>
          <w:szCs w:val="20"/>
        </w:rPr>
        <w:t xml:space="preserve"> </w:t>
      </w:r>
      <w:r>
        <w:rPr>
          <w:rFonts w:ascii="Arial" w:cs="Arial" w:hAnsi="Arial"/>
          <w:i/>
          <w:sz w:val="20"/>
          <w:szCs w:val="20"/>
        </w:rPr>
        <w:t>odorata</w:t>
      </w:r>
      <w:r>
        <w:rPr>
          <w:rFonts w:ascii="Arial" w:cs="Arial" w:hAnsi="Arial"/>
          <w:sz w:val="20"/>
          <w:szCs w:val="20"/>
        </w:rPr>
        <w:t xml:space="preserve"> </w:t>
      </w:r>
      <w:r>
        <w:rPr>
          <w:rFonts w:ascii="Arial" w:cs="Arial" w:hAnsi="Arial"/>
          <w:sz w:val="20"/>
          <w:szCs w:val="20"/>
        </w:rPr>
        <w:t>leaf-</w:t>
      </w:r>
      <w:r>
        <w:rPr>
          <w:rFonts w:ascii="Arial" w:cs="Arial" w:hAnsi="Arial"/>
          <w:sz w:val="20"/>
          <w:szCs w:val="20"/>
        </w:rPr>
        <w:t>extract against mercury chloride-induced neurotoxicity in diabetic Wistar rats.</w:t>
      </w:r>
    </w:p>
    <w:p>
      <w:pPr>
        <w:pStyle w:val="style0"/>
        <w:jc w:val="both"/>
        <w:rPr>
          <w:rFonts w:ascii="Arial" w:cs="Arial" w:hAnsi="Arial"/>
          <w:b/>
          <w:sz w:val="20"/>
          <w:szCs w:val="20"/>
        </w:rPr>
      </w:pPr>
    </w:p>
    <w:p>
      <w:pPr>
        <w:pStyle w:val="style0"/>
        <w:jc w:val="both"/>
        <w:rPr>
          <w:rFonts w:ascii="Arial" w:cs="Arial" w:hAnsi="Arial"/>
          <w:b/>
          <w:sz w:val="20"/>
          <w:szCs w:val="20"/>
        </w:rPr>
      </w:pPr>
      <w:r>
        <w:rPr>
          <w:rFonts w:ascii="Arial" w:cs="Arial" w:hAnsi="Arial"/>
          <w:b/>
          <w:sz w:val="20"/>
          <w:szCs w:val="20"/>
        </w:rPr>
        <w:t>Data Presentation</w:t>
      </w:r>
    </w:p>
    <w:p>
      <w:pPr>
        <w:pStyle w:val="style0"/>
        <w:spacing w:lineRule="auto" w:line="360"/>
        <w:jc w:val="both"/>
        <w:rPr>
          <w:rFonts w:ascii="Arial" w:cs="Arial" w:hAnsi="Arial"/>
          <w:sz w:val="20"/>
          <w:szCs w:val="20"/>
        </w:rPr>
      </w:pPr>
      <w:r>
        <w:rPr>
          <w:rFonts w:ascii="Arial" w:cs="Arial" w:hAnsi="Arial"/>
          <w:sz w:val="20"/>
          <w:szCs w:val="20"/>
        </w:rPr>
        <w:t>All quantitative data obtained from the study were expressed as mean ± standard deviation (SD) for each group (n = 6 rats). Parameters analyzed included body weight, fasting blood glucose (FBG) and histopathological scores</w:t>
      </w:r>
      <w:r>
        <w:rPr>
          <w:rFonts w:ascii="Arial" w:cs="Arial" w:hAnsi="Arial"/>
          <w:sz w:val="20"/>
          <w:szCs w:val="20"/>
        </w:rPr>
        <w:t>.</w:t>
      </w:r>
    </w:p>
    <w:p>
      <w:pPr>
        <w:pStyle w:val="style0"/>
        <w:spacing w:after="0" w:lineRule="auto" w:line="360"/>
        <w:jc w:val="both"/>
        <w:rPr>
          <w:rFonts w:ascii="Arial" w:cs="Arial" w:hAnsi="Arial"/>
          <w:b/>
          <w:sz w:val="20"/>
          <w:szCs w:val="20"/>
        </w:rPr>
      </w:pPr>
      <w:r>
        <w:rPr>
          <w:rFonts w:ascii="Arial" w:cs="Arial" w:hAnsi="Arial"/>
          <w:b/>
          <w:sz w:val="20"/>
          <w:szCs w:val="20"/>
        </w:rPr>
        <w:t>Statistical Analysis</w:t>
      </w:r>
    </w:p>
    <w:p>
      <w:pPr>
        <w:pStyle w:val="style0"/>
        <w:spacing w:lineRule="auto" w:line="360"/>
        <w:jc w:val="both"/>
        <w:rPr>
          <w:rFonts w:ascii="Arial" w:cs="Arial" w:hAnsi="Arial"/>
          <w:sz w:val="20"/>
          <w:szCs w:val="20"/>
        </w:rPr>
      </w:pPr>
      <w:r>
        <w:rPr>
          <w:rFonts w:ascii="Arial" w:cs="Arial" w:hAnsi="Arial"/>
          <w:sz w:val="20"/>
          <w:szCs w:val="20"/>
        </w:rPr>
        <w:t xml:space="preserve">All data obtained were expressed as </w:t>
      </w:r>
      <w:bookmarkStart w:id="12" w:name="_Hlk228953653"/>
      <w:r>
        <w:rPr>
          <w:rFonts w:ascii="Arial" w:cs="Arial" w:hAnsi="Arial"/>
          <w:sz w:val="20"/>
          <w:szCs w:val="20"/>
        </w:rPr>
        <w:t xml:space="preserve">mean ± standard deviation (SD). </w:t>
      </w:r>
      <w:bookmarkEnd w:id="12"/>
      <w:r>
        <w:rPr>
          <w:rFonts w:ascii="Arial" w:cs="Arial" w:hAnsi="Arial"/>
          <w:sz w:val="20"/>
          <w:szCs w:val="20"/>
        </w:rPr>
        <w:t xml:space="preserve">Normality was assessed using the Shapiro–Wilk test. Statistical analysis was performed using one-way analysis of variance (ANOVA) to determine significant differences between the experimental groups. When ANOVA indicated a significant difference, Tukey’s post hoc test was employed to compare group means. Immunoreactivity was visualized and positive cells were quantified using Image J software and mean optical densities were calculated from three non-overlapping fields per section. Statistical analyses were carried out using GraphPad Prism version 10.0 (GraphPad Software Inc., San Diego, CA, USA) and SPSS software 26.0. A probability value of </w:t>
      </w:r>
      <w:r>
        <w:rPr>
          <w:rFonts w:ascii="Arial" w:cs="Arial" w:hAnsi="Arial"/>
          <w:i/>
          <w:sz w:val="20"/>
          <w:szCs w:val="20"/>
        </w:rPr>
        <w:t>P</w:t>
      </w:r>
      <w:r>
        <w:rPr>
          <w:rFonts w:ascii="Arial" w:cs="Arial" w:hAnsi="Arial"/>
          <w:sz w:val="20"/>
          <w:szCs w:val="20"/>
        </w:rPr>
        <w:t xml:space="preserve"> = .05 was considered statistically significant.</w:t>
      </w:r>
    </w:p>
    <w:p>
      <w:pPr>
        <w:pStyle w:val="style0"/>
        <w:jc w:val="both"/>
        <w:rPr>
          <w:rFonts w:ascii="Arial" w:cs="Arial" w:hAnsi="Arial"/>
          <w:b/>
          <w:sz w:val="20"/>
          <w:szCs w:val="20"/>
        </w:rPr>
      </w:pPr>
    </w:p>
    <w:p>
      <w:pPr>
        <w:pStyle w:val="style0"/>
        <w:jc w:val="both"/>
        <w:rPr>
          <w:rFonts w:ascii="Arial" w:cs="Arial" w:hAnsi="Arial"/>
          <w:b/>
          <w:sz w:val="20"/>
          <w:szCs w:val="20"/>
        </w:rPr>
      </w:pPr>
    </w:p>
    <w:p>
      <w:pPr>
        <w:pStyle w:val="style0"/>
        <w:jc w:val="both"/>
        <w:rPr>
          <w:rFonts w:ascii="Arial" w:cs="Arial" w:hAnsi="Arial"/>
          <w:b/>
        </w:rPr>
      </w:pPr>
      <w:r>
        <w:rPr>
          <w:rFonts w:ascii="Arial" w:cs="Arial" w:hAnsi="Arial"/>
          <w:b/>
        </w:rPr>
        <w:t>RESULTS</w:t>
      </w:r>
    </w:p>
    <w:p>
      <w:pPr>
        <w:pStyle w:val="style0"/>
        <w:spacing w:after="0" w:lineRule="auto" w:line="360"/>
        <w:jc w:val="both"/>
        <w:rPr>
          <w:rFonts w:ascii="Arial" w:cs="Arial" w:hAnsi="Arial"/>
          <w:b/>
          <w:sz w:val="20"/>
          <w:szCs w:val="20"/>
        </w:rPr>
      </w:pPr>
      <w:r>
        <w:rPr>
          <w:rFonts w:ascii="Arial" w:cs="Arial" w:hAnsi="Arial"/>
          <w:b/>
          <w:sz w:val="20"/>
          <w:szCs w:val="20"/>
        </w:rPr>
        <w:t>Histological features of the substantia nigra of male Wistar rats in normal control (</w:t>
      </w:r>
      <w:r>
        <w:rPr>
          <w:rFonts w:ascii="Arial" w:cs="Arial" w:hAnsi="Arial"/>
          <w:b/>
          <w:sz w:val="20"/>
          <w:szCs w:val="20"/>
        </w:rPr>
        <w:t>G</w:t>
      </w:r>
      <w:r>
        <w:rPr>
          <w:rFonts w:ascii="Arial" w:cs="Arial" w:hAnsi="Arial"/>
          <w:b/>
          <w:sz w:val="20"/>
          <w:szCs w:val="20"/>
        </w:rPr>
        <w:t>roup A) that received feed and water only:</w:t>
      </w:r>
    </w:p>
    <w:p>
      <w:pPr>
        <w:pStyle w:val="style0"/>
        <w:spacing w:after="0" w:lineRule="auto" w:line="360"/>
        <w:jc w:val="center"/>
        <w:rPr>
          <w:rFonts w:ascii="Arial" w:cs="Arial" w:hAnsi="Arial"/>
          <w:b/>
          <w:sz w:val="20"/>
          <w:szCs w:val="20"/>
        </w:rPr>
      </w:pPr>
      <w:r>
        <w:rPr>
          <w:rFonts w:ascii="Arial" w:cs="Arial" w:hAnsi="Arial"/>
          <w:b/>
          <w:noProof/>
          <w:sz w:val="20"/>
          <w:szCs w:val="20"/>
        </w:rPr>
        <w:drawing>
          <wp:inline distL="0" distT="0" distB="0" distR="0">
            <wp:extent cx="3629531" cy="2791215"/>
            <wp:effectExtent l="0" t="0" r="9525" b="9525"/>
            <wp:docPr id="102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 cstate="print"/>
                    <a:srcRect l="0" t="0" r="0" b="0"/>
                    <a:stretch/>
                  </pic:blipFill>
                  <pic:spPr>
                    <a:xfrm rot="0">
                      <a:off x="0" y="0"/>
                      <a:ext cx="3629531" cy="2791215"/>
                    </a:xfrm>
                    <a:prstGeom prst="rect"/>
                  </pic:spPr>
                </pic:pic>
              </a:graphicData>
            </a:graphic>
          </wp:inline>
        </w:drawing>
      </w:r>
    </w:p>
    <w:p>
      <w:pPr>
        <w:pStyle w:val="style0"/>
        <w:spacing w:after="0" w:lineRule="auto" w:line="360"/>
        <w:jc w:val="both"/>
        <w:rPr>
          <w:rFonts w:ascii="Arial" w:cs="Arial" w:hAnsi="Arial"/>
          <w:b/>
          <w:sz w:val="20"/>
          <w:szCs w:val="20"/>
        </w:rPr>
      </w:pPr>
      <w:r>
        <w:rPr>
          <w:rFonts w:ascii="Arial" w:cs="Arial" w:hAnsi="Arial"/>
          <w:b/>
          <w:sz w:val="20"/>
          <w:szCs w:val="20"/>
        </w:rPr>
        <w:t>Plate 1:</w:t>
      </w:r>
      <w:r>
        <w:rPr>
          <w:rFonts w:ascii="Arial" w:cs="Arial" w:hAnsi="Arial"/>
          <w:sz w:val="20"/>
          <w:szCs w:val="20"/>
        </w:rPr>
        <w:t xml:space="preserve"> photomicrograph shows normal histoarchitecture with numerous neuromelanin-containing dopaminergic neurons exhibiting large (MPG), vesicular nuclei (N) with prominent nucleoli. The neuropil (NP) is dense and well organized, and neuronal processes appear intact with no evidence of degeneration (H&amp;E, X400).</w:t>
      </w:r>
    </w:p>
    <w:p>
      <w:pPr>
        <w:pStyle w:val="style0"/>
        <w:spacing w:after="0" w:lineRule="auto" w:line="360"/>
        <w:jc w:val="both"/>
        <w:rPr>
          <w:rFonts w:ascii="Arial" w:cs="Arial" w:hAnsi="Arial"/>
          <w:b/>
          <w:sz w:val="20"/>
          <w:szCs w:val="20"/>
        </w:rPr>
      </w:pPr>
    </w:p>
    <w:p>
      <w:pPr>
        <w:pStyle w:val="style0"/>
        <w:tabs>
          <w:tab w:val="center" w:leader="none" w:pos="4680"/>
        </w:tabs>
        <w:spacing w:lineRule="auto" w:line="360"/>
        <w:rPr>
          <w:rFonts w:ascii="Arial" w:cs="Arial" w:hAnsi="Arial"/>
          <w:b/>
          <w:sz w:val="20"/>
          <w:szCs w:val="20"/>
        </w:rPr>
      </w:pPr>
    </w:p>
    <w:p>
      <w:pPr>
        <w:pStyle w:val="style0"/>
        <w:tabs>
          <w:tab w:val="center" w:leader="none" w:pos="4680"/>
        </w:tabs>
        <w:spacing w:lineRule="auto" w:line="360"/>
        <w:jc w:val="both"/>
        <w:rPr>
          <w:rFonts w:ascii="Arial" w:cs="Arial" w:hAnsi="Arial"/>
          <w:b/>
          <w:sz w:val="20"/>
          <w:szCs w:val="20"/>
        </w:rPr>
      </w:pPr>
    </w:p>
    <w:p>
      <w:pPr>
        <w:pStyle w:val="style0"/>
        <w:tabs>
          <w:tab w:val="center" w:leader="none" w:pos="4680"/>
        </w:tabs>
        <w:spacing w:lineRule="auto" w:line="360"/>
        <w:jc w:val="both"/>
        <w:rPr>
          <w:rFonts w:ascii="Arial" w:cs="Arial" w:hAnsi="Arial"/>
          <w:b/>
          <w:sz w:val="20"/>
          <w:szCs w:val="20"/>
        </w:rPr>
      </w:pPr>
    </w:p>
    <w:p>
      <w:pPr>
        <w:pStyle w:val="style0"/>
        <w:tabs>
          <w:tab w:val="center" w:leader="none" w:pos="4680"/>
        </w:tabs>
        <w:spacing w:lineRule="auto" w:line="360"/>
        <w:jc w:val="both"/>
        <w:rPr>
          <w:rFonts w:ascii="Arial" w:cs="Arial" w:hAnsi="Arial"/>
          <w:b/>
          <w:sz w:val="20"/>
          <w:szCs w:val="20"/>
        </w:rPr>
      </w:pPr>
    </w:p>
    <w:p>
      <w:pPr>
        <w:pStyle w:val="style0"/>
        <w:tabs>
          <w:tab w:val="center" w:leader="none" w:pos="4680"/>
        </w:tabs>
        <w:spacing w:lineRule="auto" w:line="360"/>
        <w:jc w:val="both"/>
        <w:rPr>
          <w:rFonts w:ascii="Arial" w:cs="Arial" w:hAnsi="Arial"/>
          <w:b/>
          <w:sz w:val="20"/>
          <w:szCs w:val="20"/>
        </w:rPr>
      </w:pPr>
    </w:p>
    <w:p>
      <w:pPr>
        <w:pStyle w:val="style0"/>
        <w:tabs>
          <w:tab w:val="center" w:leader="none" w:pos="4680"/>
        </w:tabs>
        <w:spacing w:lineRule="auto" w:line="360"/>
        <w:jc w:val="both"/>
        <w:rPr>
          <w:rFonts w:ascii="Arial" w:cs="Arial" w:hAnsi="Arial"/>
          <w:b/>
          <w:sz w:val="20"/>
          <w:szCs w:val="20"/>
        </w:rPr>
      </w:pPr>
    </w:p>
    <w:p>
      <w:pPr>
        <w:pStyle w:val="style0"/>
        <w:tabs>
          <w:tab w:val="center" w:leader="none" w:pos="4680"/>
        </w:tabs>
        <w:spacing w:lineRule="auto" w:line="360"/>
        <w:jc w:val="both"/>
        <w:rPr>
          <w:rFonts w:ascii="Arial" w:cs="Arial" w:hAnsi="Arial"/>
          <w:b/>
          <w:sz w:val="20"/>
          <w:szCs w:val="20"/>
        </w:rPr>
      </w:pPr>
    </w:p>
    <w:p>
      <w:pPr>
        <w:pStyle w:val="style0"/>
        <w:tabs>
          <w:tab w:val="center" w:leader="none" w:pos="4680"/>
        </w:tabs>
        <w:spacing w:lineRule="auto" w:line="360"/>
        <w:jc w:val="both"/>
        <w:rPr>
          <w:rFonts w:ascii="Arial" w:cs="Arial" w:hAnsi="Arial"/>
          <w:b/>
          <w:sz w:val="20"/>
          <w:szCs w:val="20"/>
        </w:rPr>
      </w:pPr>
    </w:p>
    <w:p>
      <w:pPr>
        <w:pStyle w:val="style0"/>
        <w:tabs>
          <w:tab w:val="center" w:leader="none" w:pos="4680"/>
        </w:tabs>
        <w:spacing w:lineRule="auto" w:line="360"/>
        <w:jc w:val="both"/>
        <w:rPr>
          <w:rFonts w:ascii="Arial" w:cs="Arial" w:hAnsi="Arial"/>
          <w:b/>
          <w:sz w:val="20"/>
          <w:szCs w:val="20"/>
        </w:rPr>
      </w:pPr>
    </w:p>
    <w:p>
      <w:pPr>
        <w:pStyle w:val="style0"/>
        <w:tabs>
          <w:tab w:val="center" w:leader="none" w:pos="4680"/>
        </w:tabs>
        <w:spacing w:lineRule="auto" w:line="360"/>
        <w:jc w:val="both"/>
        <w:rPr>
          <w:rFonts w:ascii="Arial" w:cs="Arial" w:hAnsi="Arial"/>
          <w:b/>
          <w:sz w:val="20"/>
          <w:szCs w:val="20"/>
        </w:rPr>
      </w:pPr>
    </w:p>
    <w:p>
      <w:pPr>
        <w:pStyle w:val="style0"/>
        <w:tabs>
          <w:tab w:val="center" w:leader="none" w:pos="4680"/>
        </w:tabs>
        <w:spacing w:lineRule="auto" w:line="360"/>
        <w:jc w:val="both"/>
        <w:rPr>
          <w:rFonts w:ascii="Arial" w:cs="Arial" w:hAnsi="Arial"/>
          <w:b/>
          <w:sz w:val="20"/>
          <w:szCs w:val="20"/>
        </w:rPr>
      </w:pPr>
      <w:r>
        <w:rPr>
          <w:rFonts w:ascii="Arial" w:cs="Arial" w:hAnsi="Arial"/>
          <w:b/>
          <w:sz w:val="20"/>
          <w:szCs w:val="20"/>
        </w:rPr>
        <w:t>Histological observations of the substantia nigra of Wistar rats in negative control (</w:t>
      </w:r>
      <w:r>
        <w:rPr>
          <w:rFonts w:ascii="Arial" w:cs="Arial" w:hAnsi="Arial"/>
          <w:b/>
          <w:sz w:val="20"/>
          <w:szCs w:val="20"/>
        </w:rPr>
        <w:t>G</w:t>
      </w:r>
      <w:r>
        <w:rPr>
          <w:rFonts w:ascii="Arial" w:cs="Arial" w:hAnsi="Arial"/>
          <w:b/>
          <w:sz w:val="20"/>
          <w:szCs w:val="20"/>
        </w:rPr>
        <w:t>roup B) that was induced with diabetes and exposed to mercury chloride without treatment:</w:t>
      </w:r>
    </w:p>
    <w:p>
      <w:pPr>
        <w:pStyle w:val="style0"/>
        <w:tabs>
          <w:tab w:val="center" w:leader="none" w:pos="4680"/>
        </w:tabs>
        <w:spacing w:lineRule="auto" w:line="360"/>
        <w:jc w:val="center"/>
        <w:rPr>
          <w:rFonts w:ascii="Arial" w:cs="Arial" w:hAnsi="Arial"/>
          <w:b/>
          <w:sz w:val="20"/>
          <w:szCs w:val="20"/>
        </w:rPr>
      </w:pPr>
      <w:r>
        <w:rPr>
          <w:rFonts w:ascii="Arial" w:cs="Arial" w:hAnsi="Arial"/>
          <w:b/>
          <w:noProof/>
          <w:sz w:val="20"/>
          <w:szCs w:val="20"/>
        </w:rPr>
        <w:drawing>
          <wp:inline distL="0" distT="0" distB="0" distR="0">
            <wp:extent cx="3772425" cy="2905530"/>
            <wp:effectExtent l="0" t="0" r="0" b="9525"/>
            <wp:docPr id="1027"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7"/>
                    <pic:cNvPicPr/>
                  </pic:nvPicPr>
                  <pic:blipFill>
                    <a:blip r:embed="rId3" cstate="print"/>
                    <a:srcRect l="0" t="0" r="0" b="0"/>
                    <a:stretch/>
                  </pic:blipFill>
                  <pic:spPr>
                    <a:xfrm rot="0">
                      <a:off x="0" y="0"/>
                      <a:ext cx="3772425" cy="2905530"/>
                    </a:xfrm>
                    <a:prstGeom prst="rect"/>
                  </pic:spPr>
                </pic:pic>
              </a:graphicData>
            </a:graphic>
          </wp:inline>
        </w:drawing>
      </w:r>
    </w:p>
    <w:p>
      <w:pPr>
        <w:pStyle w:val="style0"/>
        <w:spacing w:lineRule="auto" w:line="360"/>
        <w:jc w:val="both"/>
        <w:rPr>
          <w:rFonts w:ascii="Arial" w:cs="Arial" w:hAnsi="Arial"/>
          <w:sz w:val="20"/>
          <w:szCs w:val="20"/>
        </w:rPr>
      </w:pPr>
      <w:r>
        <w:rPr>
          <w:rFonts w:ascii="Arial" w:cs="Arial" w:hAnsi="Arial"/>
          <w:b/>
          <w:sz w:val="20"/>
          <w:szCs w:val="20"/>
        </w:rPr>
        <w:t>Plate 2:</w:t>
      </w:r>
      <w:r>
        <w:rPr>
          <w:rFonts w:ascii="Arial" w:cs="Arial" w:hAnsi="Arial"/>
          <w:sz w:val="20"/>
          <w:szCs w:val="20"/>
        </w:rPr>
        <w:t xml:space="preserve"> Section reveals severe neurodegenerative changes, including reduced melanin pigment (RMP), cytoplasmic vacuolation (NV), and pyknotic nuclei (PN) indicative of apoptosis. The neuropil appears disrupted and loosely arranged, with scattered degenerating neurons, reflecting the combined toxic effects of hyperglycemia and mercury exposure (H&amp;E, X400).</w:t>
      </w:r>
    </w:p>
    <w:p>
      <w:pPr>
        <w:pStyle w:val="style0"/>
        <w:tabs>
          <w:tab w:val="center" w:leader="none" w:pos="4680"/>
        </w:tabs>
        <w:spacing w:lineRule="auto" w:line="360"/>
        <w:jc w:val="both"/>
        <w:rPr>
          <w:rFonts w:ascii="Arial" w:cs="Arial" w:hAnsi="Arial"/>
          <w:b/>
          <w:sz w:val="20"/>
          <w:szCs w:val="20"/>
        </w:rPr>
      </w:pPr>
    </w:p>
    <w:p>
      <w:pPr>
        <w:pStyle w:val="style0"/>
        <w:tabs>
          <w:tab w:val="center" w:leader="none" w:pos="4680"/>
        </w:tabs>
        <w:spacing w:lineRule="auto" w:line="360"/>
        <w:rPr>
          <w:rFonts w:ascii="Arial" w:cs="Arial" w:hAnsi="Arial"/>
          <w:b/>
          <w:sz w:val="20"/>
          <w:szCs w:val="20"/>
        </w:rPr>
      </w:pPr>
    </w:p>
    <w:p>
      <w:pPr>
        <w:pStyle w:val="style0"/>
        <w:spacing w:lineRule="auto" w:line="360"/>
        <w:rPr>
          <w:rFonts w:ascii="Arial" w:cs="Arial" w:hAnsi="Arial"/>
          <w:b/>
          <w:sz w:val="20"/>
          <w:szCs w:val="20"/>
        </w:rPr>
      </w:pPr>
    </w:p>
    <w:p>
      <w:pPr>
        <w:pStyle w:val="style0"/>
        <w:spacing w:lineRule="auto" w:line="360"/>
        <w:rPr>
          <w:rFonts w:ascii="Arial" w:cs="Arial" w:hAnsi="Arial"/>
          <w:b/>
          <w:sz w:val="20"/>
          <w:szCs w:val="20"/>
        </w:rPr>
      </w:pPr>
    </w:p>
    <w:p>
      <w:pPr>
        <w:pStyle w:val="style0"/>
        <w:spacing w:lineRule="auto" w:line="360"/>
        <w:rPr>
          <w:rFonts w:ascii="Arial" w:cs="Arial" w:hAnsi="Arial"/>
          <w:b/>
          <w:sz w:val="20"/>
          <w:szCs w:val="20"/>
        </w:rPr>
      </w:pPr>
    </w:p>
    <w:p>
      <w:pPr>
        <w:pStyle w:val="style0"/>
        <w:spacing w:lineRule="auto" w:line="360"/>
        <w:rPr>
          <w:rFonts w:ascii="Arial" w:cs="Arial" w:hAnsi="Arial"/>
          <w:b/>
          <w:sz w:val="20"/>
          <w:szCs w:val="20"/>
        </w:rPr>
      </w:pPr>
    </w:p>
    <w:p>
      <w:pPr>
        <w:pStyle w:val="style0"/>
        <w:spacing w:lineRule="auto" w:line="360"/>
        <w:rPr>
          <w:rFonts w:ascii="Arial" w:cs="Arial" w:hAnsi="Arial"/>
          <w:b/>
          <w:sz w:val="20"/>
          <w:szCs w:val="20"/>
        </w:rPr>
      </w:pPr>
    </w:p>
    <w:p>
      <w:pPr>
        <w:pStyle w:val="style0"/>
        <w:spacing w:lineRule="auto" w:line="360"/>
        <w:rPr>
          <w:rFonts w:ascii="Arial" w:cs="Arial" w:hAnsi="Arial"/>
          <w:b/>
          <w:sz w:val="20"/>
          <w:szCs w:val="20"/>
        </w:rPr>
      </w:pPr>
    </w:p>
    <w:p>
      <w:pPr>
        <w:pStyle w:val="style0"/>
        <w:spacing w:lineRule="auto" w:line="360"/>
        <w:rPr>
          <w:rFonts w:ascii="Arial" w:cs="Arial" w:hAnsi="Arial"/>
          <w:b/>
          <w:sz w:val="20"/>
          <w:szCs w:val="20"/>
        </w:rPr>
      </w:pPr>
    </w:p>
    <w:p>
      <w:pPr>
        <w:pStyle w:val="style0"/>
        <w:spacing w:lineRule="auto" w:line="360"/>
        <w:jc w:val="both"/>
        <w:rPr>
          <w:rFonts w:ascii="Arial" w:cs="Arial" w:hAnsi="Arial"/>
          <w:b/>
          <w:sz w:val="20"/>
          <w:szCs w:val="20"/>
        </w:rPr>
      </w:pPr>
    </w:p>
    <w:p>
      <w:pPr>
        <w:pStyle w:val="style0"/>
        <w:spacing w:lineRule="auto" w:line="360"/>
        <w:jc w:val="both"/>
        <w:rPr>
          <w:rFonts w:ascii="Arial" w:cs="Arial" w:hAnsi="Arial"/>
          <w:b/>
          <w:sz w:val="20"/>
          <w:szCs w:val="20"/>
        </w:rPr>
      </w:pPr>
      <w:r>
        <w:rPr>
          <w:rFonts w:ascii="Arial" w:cs="Arial" w:hAnsi="Arial"/>
          <w:b/>
          <w:sz w:val="20"/>
          <w:szCs w:val="20"/>
        </w:rPr>
        <w:t>Histological features of the substantia nigra of male Wistar rats in the positive Group (Group C) that was induced with diabetes, exposed to mercury chloride and treated with a standard drug, Metformin):</w:t>
      </w:r>
    </w:p>
    <w:p>
      <w:pPr>
        <w:pStyle w:val="style0"/>
        <w:spacing w:lineRule="auto" w:line="360"/>
        <w:jc w:val="center"/>
        <w:rPr>
          <w:rFonts w:ascii="Arial" w:cs="Arial" w:hAnsi="Arial"/>
          <w:b/>
          <w:sz w:val="20"/>
          <w:szCs w:val="20"/>
        </w:rPr>
      </w:pPr>
      <w:r>
        <w:rPr>
          <w:rFonts w:ascii="Arial" w:cs="Arial" w:hAnsi="Arial"/>
          <w:b/>
          <w:noProof/>
          <w:sz w:val="20"/>
          <w:szCs w:val="20"/>
        </w:rPr>
        <w:drawing>
          <wp:inline distL="0" distT="0" distB="0" distR="0">
            <wp:extent cx="4363059" cy="3010320"/>
            <wp:effectExtent l="0" t="0" r="0" b="0"/>
            <wp:docPr id="1028"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8"/>
                    <pic:cNvPicPr/>
                  </pic:nvPicPr>
                  <pic:blipFill>
                    <a:blip r:embed="rId4" cstate="print"/>
                    <a:srcRect l="0" t="0" r="0" b="0"/>
                    <a:stretch/>
                  </pic:blipFill>
                  <pic:spPr>
                    <a:xfrm rot="0">
                      <a:off x="0" y="0"/>
                      <a:ext cx="4363059" cy="3010320"/>
                    </a:xfrm>
                    <a:prstGeom prst="rect"/>
                  </pic:spPr>
                </pic:pic>
              </a:graphicData>
            </a:graphic>
          </wp:inline>
        </w:drawing>
      </w:r>
    </w:p>
    <w:p>
      <w:pPr>
        <w:pStyle w:val="style0"/>
        <w:spacing w:lineRule="auto" w:line="360"/>
        <w:jc w:val="both"/>
        <w:rPr>
          <w:rFonts w:ascii="Arial" w:cs="Arial" w:hAnsi="Arial"/>
          <w:b/>
          <w:sz w:val="20"/>
          <w:szCs w:val="20"/>
        </w:rPr>
      </w:pPr>
      <w:r>
        <w:rPr>
          <w:rFonts w:ascii="Arial" w:cs="Arial" w:hAnsi="Arial"/>
          <w:b/>
          <w:sz w:val="20"/>
          <w:szCs w:val="20"/>
        </w:rPr>
        <w:t>Plate 3:</w:t>
      </w:r>
      <w:r>
        <w:rPr>
          <w:rFonts w:ascii="Arial" w:cs="Arial" w:hAnsi="Arial"/>
          <w:sz w:val="20"/>
          <w:szCs w:val="20"/>
        </w:rPr>
        <w:t xml:space="preserve"> Photomicrograph demonstrates moderate neuroprotection, with increased melanin piment granules (MPG) compared to the negative control. Neurons (N) display improved morphology and reduced nuclear pyknosis (NP), while vacuolation (V) is markedly reduced. The neuropil shows partial restoration of normal architecture, indicating therapeutic efficacy of metformin (H&amp;E, X400).</w:t>
      </w:r>
    </w:p>
    <w:p>
      <w:pPr>
        <w:pStyle w:val="style0"/>
        <w:spacing w:lineRule="auto" w:line="360"/>
        <w:jc w:val="both"/>
        <w:rPr>
          <w:rFonts w:ascii="Arial" w:cs="Arial" w:hAnsi="Arial"/>
          <w:b/>
          <w:sz w:val="20"/>
          <w:szCs w:val="20"/>
        </w:rPr>
      </w:pPr>
    </w:p>
    <w:p>
      <w:pPr>
        <w:pStyle w:val="style0"/>
        <w:spacing w:lineRule="auto" w:line="360"/>
        <w:rPr>
          <w:rFonts w:ascii="Arial" w:cs="Arial" w:hAnsi="Arial"/>
          <w:b/>
          <w:sz w:val="20"/>
          <w:szCs w:val="20"/>
        </w:rPr>
      </w:pPr>
    </w:p>
    <w:p>
      <w:pPr>
        <w:pStyle w:val="style0"/>
        <w:spacing w:lineRule="auto" w:line="360"/>
        <w:jc w:val="both"/>
        <w:rPr>
          <w:rFonts w:ascii="Arial" w:cs="Arial" w:hAnsi="Arial"/>
          <w:b/>
          <w:sz w:val="20"/>
          <w:szCs w:val="20"/>
        </w:rPr>
      </w:pPr>
    </w:p>
    <w:p>
      <w:pPr>
        <w:pStyle w:val="style0"/>
        <w:spacing w:lineRule="auto" w:line="360"/>
        <w:jc w:val="both"/>
        <w:rPr>
          <w:rFonts w:ascii="Arial" w:cs="Arial" w:hAnsi="Arial"/>
          <w:b/>
          <w:sz w:val="20"/>
          <w:szCs w:val="20"/>
        </w:rPr>
      </w:pPr>
    </w:p>
    <w:p>
      <w:pPr>
        <w:pStyle w:val="style0"/>
        <w:spacing w:lineRule="auto" w:line="360"/>
        <w:jc w:val="both"/>
        <w:rPr>
          <w:rFonts w:ascii="Arial" w:cs="Arial" w:hAnsi="Arial"/>
          <w:b/>
          <w:sz w:val="20"/>
          <w:szCs w:val="20"/>
        </w:rPr>
      </w:pPr>
    </w:p>
    <w:p>
      <w:pPr>
        <w:pStyle w:val="style0"/>
        <w:spacing w:lineRule="auto" w:line="360"/>
        <w:jc w:val="both"/>
        <w:rPr>
          <w:rFonts w:ascii="Arial" w:cs="Arial" w:hAnsi="Arial"/>
          <w:b/>
          <w:sz w:val="20"/>
          <w:szCs w:val="20"/>
        </w:rPr>
      </w:pPr>
    </w:p>
    <w:p>
      <w:pPr>
        <w:pStyle w:val="style0"/>
        <w:spacing w:lineRule="auto" w:line="360"/>
        <w:jc w:val="both"/>
        <w:rPr>
          <w:rFonts w:ascii="Arial" w:cs="Arial" w:hAnsi="Arial"/>
          <w:b/>
          <w:sz w:val="20"/>
          <w:szCs w:val="20"/>
        </w:rPr>
      </w:pPr>
    </w:p>
    <w:p>
      <w:pPr>
        <w:pStyle w:val="style0"/>
        <w:spacing w:lineRule="auto" w:line="360"/>
        <w:jc w:val="both"/>
        <w:rPr>
          <w:rFonts w:ascii="Arial" w:cs="Arial" w:hAnsi="Arial"/>
          <w:b/>
          <w:sz w:val="20"/>
          <w:szCs w:val="20"/>
        </w:rPr>
      </w:pPr>
    </w:p>
    <w:p>
      <w:pPr>
        <w:pStyle w:val="style0"/>
        <w:spacing w:lineRule="auto" w:line="360"/>
        <w:jc w:val="both"/>
        <w:rPr>
          <w:rFonts w:ascii="Arial" w:cs="Arial" w:hAnsi="Arial"/>
          <w:b/>
          <w:sz w:val="20"/>
          <w:szCs w:val="20"/>
        </w:rPr>
      </w:pPr>
    </w:p>
    <w:p>
      <w:pPr>
        <w:pStyle w:val="style0"/>
        <w:spacing w:lineRule="auto" w:line="360"/>
        <w:jc w:val="both"/>
        <w:rPr>
          <w:rFonts w:ascii="Arial" w:cs="Arial" w:hAnsi="Arial"/>
          <w:b/>
          <w:sz w:val="20"/>
          <w:szCs w:val="20"/>
        </w:rPr>
      </w:pPr>
    </w:p>
    <w:p>
      <w:pPr>
        <w:pStyle w:val="style0"/>
        <w:spacing w:lineRule="auto" w:line="360"/>
        <w:jc w:val="both"/>
        <w:rPr>
          <w:rFonts w:ascii="Arial" w:cs="Arial" w:hAnsi="Arial"/>
          <w:b/>
          <w:sz w:val="20"/>
          <w:szCs w:val="20"/>
        </w:rPr>
      </w:pPr>
      <w:r>
        <w:rPr>
          <w:rFonts w:ascii="Arial" w:cs="Arial" w:hAnsi="Arial"/>
          <w:b/>
          <w:sz w:val="20"/>
          <w:szCs w:val="20"/>
        </w:rPr>
        <w:t>Histological observations of the substantia nigra of Wistar rats in experimental group 1 (Group D) that was induced with diabetes, exposed to mercury chloride and treated with 200mg/kg of extract:</w:t>
      </w:r>
    </w:p>
    <w:p>
      <w:pPr>
        <w:pStyle w:val="style0"/>
        <w:spacing w:lineRule="auto" w:line="360"/>
        <w:jc w:val="center"/>
        <w:rPr>
          <w:rFonts w:ascii="Arial" w:cs="Arial" w:hAnsi="Arial"/>
          <w:b/>
          <w:sz w:val="20"/>
          <w:szCs w:val="20"/>
        </w:rPr>
      </w:pPr>
      <w:r>
        <w:rPr>
          <w:rFonts w:ascii="Arial" w:cs="Arial" w:hAnsi="Arial"/>
          <w:b/>
          <w:noProof/>
          <w:sz w:val="20"/>
          <w:szCs w:val="20"/>
        </w:rPr>
        <w:drawing>
          <wp:inline distL="0" distT="0" distB="0" distR="0">
            <wp:extent cx="4277322" cy="2953162"/>
            <wp:effectExtent l="0" t="0" r="9525" b="0"/>
            <wp:docPr id="1029" name="Picture 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9"/>
                    <pic:cNvPicPr/>
                  </pic:nvPicPr>
                  <pic:blipFill>
                    <a:blip r:embed="rId5" cstate="print"/>
                    <a:srcRect l="0" t="0" r="0" b="0"/>
                    <a:stretch/>
                  </pic:blipFill>
                  <pic:spPr>
                    <a:xfrm rot="0">
                      <a:off x="0" y="0"/>
                      <a:ext cx="4277322" cy="2953162"/>
                    </a:xfrm>
                    <a:prstGeom prst="rect"/>
                  </pic:spPr>
                </pic:pic>
              </a:graphicData>
            </a:graphic>
          </wp:inline>
        </w:drawing>
      </w:r>
    </w:p>
    <w:p>
      <w:pPr>
        <w:pStyle w:val="style0"/>
        <w:spacing w:lineRule="auto" w:line="360"/>
        <w:jc w:val="both"/>
        <w:rPr>
          <w:rFonts w:ascii="Arial" w:cs="Arial" w:hAnsi="Arial"/>
          <w:sz w:val="20"/>
          <w:szCs w:val="20"/>
        </w:rPr>
      </w:pPr>
      <w:r>
        <w:rPr>
          <w:rFonts w:ascii="Arial" w:cs="Arial" w:hAnsi="Arial"/>
          <w:b/>
          <w:sz w:val="20"/>
          <w:szCs w:val="20"/>
        </w:rPr>
        <w:t>Plate 4:</w:t>
      </w:r>
      <w:r>
        <w:rPr>
          <w:rFonts w:ascii="Arial" w:cs="Arial" w:hAnsi="Arial"/>
          <w:sz w:val="20"/>
          <w:szCs w:val="20"/>
        </w:rPr>
        <w:t xml:space="preserve"> Section shows mild neuroprotective effects, with slight improvement in neuronal density (MPG) and reduction in degenerative features. Some pyknotic nuclei persist, but there is evidence of partial restoration of neuropil organization (Np). Neuronal morphology is moderately improved compared to the negative control (H&amp;E, X400).</w:t>
      </w:r>
    </w:p>
    <w:p>
      <w:pPr>
        <w:pStyle w:val="style0"/>
        <w:spacing w:lineRule="auto" w:line="360"/>
        <w:jc w:val="both"/>
        <w:rPr>
          <w:rFonts w:ascii="Arial" w:cs="Arial" w:hAnsi="Arial"/>
          <w:b/>
          <w:sz w:val="20"/>
          <w:szCs w:val="20"/>
        </w:rPr>
      </w:pPr>
    </w:p>
    <w:bookmarkStart w:id="13" w:name="_Hlk212780557"/>
    <w:p>
      <w:pPr>
        <w:pStyle w:val="style0"/>
        <w:spacing w:lineRule="auto" w:line="360"/>
        <w:jc w:val="both"/>
        <w:rPr>
          <w:rFonts w:ascii="Arial" w:cs="Arial" w:hAnsi="Arial"/>
          <w:b/>
          <w:sz w:val="20"/>
          <w:szCs w:val="20"/>
        </w:rPr>
      </w:pPr>
    </w:p>
    <w:p>
      <w:pPr>
        <w:pStyle w:val="style0"/>
        <w:spacing w:lineRule="auto" w:line="360"/>
        <w:jc w:val="both"/>
        <w:rPr>
          <w:rFonts w:ascii="Arial" w:cs="Arial" w:hAnsi="Arial"/>
          <w:b/>
          <w:sz w:val="20"/>
          <w:szCs w:val="20"/>
        </w:rPr>
      </w:pPr>
    </w:p>
    <w:p>
      <w:pPr>
        <w:pStyle w:val="style0"/>
        <w:spacing w:lineRule="auto" w:line="360"/>
        <w:jc w:val="both"/>
        <w:rPr>
          <w:rFonts w:ascii="Arial" w:cs="Arial" w:hAnsi="Arial"/>
          <w:b/>
          <w:sz w:val="20"/>
          <w:szCs w:val="20"/>
        </w:rPr>
      </w:pPr>
    </w:p>
    <w:p>
      <w:pPr>
        <w:pStyle w:val="style0"/>
        <w:spacing w:lineRule="auto" w:line="360"/>
        <w:jc w:val="both"/>
        <w:rPr>
          <w:rFonts w:ascii="Arial" w:cs="Arial" w:hAnsi="Arial"/>
          <w:b/>
          <w:sz w:val="20"/>
          <w:szCs w:val="20"/>
        </w:rPr>
      </w:pPr>
    </w:p>
    <w:p>
      <w:pPr>
        <w:pStyle w:val="style0"/>
        <w:spacing w:lineRule="auto" w:line="360"/>
        <w:jc w:val="both"/>
        <w:rPr>
          <w:rFonts w:ascii="Arial" w:cs="Arial" w:hAnsi="Arial"/>
          <w:b/>
          <w:sz w:val="20"/>
          <w:szCs w:val="20"/>
        </w:rPr>
      </w:pPr>
    </w:p>
    <w:p>
      <w:pPr>
        <w:pStyle w:val="style0"/>
        <w:spacing w:lineRule="auto" w:line="360"/>
        <w:jc w:val="both"/>
        <w:rPr>
          <w:rFonts w:ascii="Arial" w:cs="Arial" w:hAnsi="Arial"/>
          <w:b/>
          <w:sz w:val="20"/>
          <w:szCs w:val="20"/>
        </w:rPr>
      </w:pPr>
    </w:p>
    <w:p>
      <w:pPr>
        <w:pStyle w:val="style0"/>
        <w:spacing w:lineRule="auto" w:line="360"/>
        <w:jc w:val="both"/>
        <w:rPr>
          <w:rFonts w:ascii="Arial" w:cs="Arial" w:hAnsi="Arial"/>
          <w:b/>
          <w:sz w:val="20"/>
          <w:szCs w:val="20"/>
        </w:rPr>
      </w:pPr>
    </w:p>
    <w:p>
      <w:pPr>
        <w:pStyle w:val="style0"/>
        <w:spacing w:lineRule="auto" w:line="360"/>
        <w:jc w:val="both"/>
        <w:rPr>
          <w:rFonts w:ascii="Arial" w:cs="Arial" w:hAnsi="Arial"/>
          <w:b/>
          <w:sz w:val="20"/>
          <w:szCs w:val="20"/>
        </w:rPr>
      </w:pPr>
    </w:p>
    <w:p>
      <w:pPr>
        <w:pStyle w:val="style0"/>
        <w:spacing w:lineRule="auto" w:line="360"/>
        <w:jc w:val="both"/>
        <w:rPr>
          <w:rFonts w:ascii="Arial" w:cs="Arial" w:hAnsi="Arial"/>
          <w:b/>
          <w:sz w:val="20"/>
          <w:szCs w:val="20"/>
        </w:rPr>
      </w:pPr>
    </w:p>
    <w:p>
      <w:pPr>
        <w:pStyle w:val="style0"/>
        <w:spacing w:lineRule="auto" w:line="360"/>
        <w:jc w:val="both"/>
        <w:rPr>
          <w:rFonts w:ascii="Arial" w:cs="Arial" w:hAnsi="Arial"/>
          <w:b/>
          <w:bCs/>
          <w:sz w:val="20"/>
          <w:szCs w:val="20"/>
        </w:rPr>
      </w:pPr>
      <w:r>
        <w:rPr>
          <w:rFonts w:ascii="Arial" w:cs="Arial" w:hAnsi="Arial"/>
          <w:b/>
          <w:bCs/>
          <w:sz w:val="20"/>
          <w:szCs w:val="20"/>
        </w:rPr>
        <w:t>Histological observations of the substantia nigra of Wistar rats in the experimental group 2 (Group E) that was induced with diabetes, exposed to mercury chloride and treated with 400mg/kg of extract:</w:t>
      </w:r>
    </w:p>
    <w:p>
      <w:pPr>
        <w:pStyle w:val="style0"/>
        <w:spacing w:lineRule="auto" w:line="360"/>
        <w:jc w:val="center"/>
        <w:rPr>
          <w:rFonts w:ascii="Arial" w:cs="Arial" w:hAnsi="Arial"/>
          <w:b/>
          <w:sz w:val="20"/>
          <w:szCs w:val="20"/>
        </w:rPr>
      </w:pPr>
      <w:r>
        <w:rPr>
          <w:rFonts w:ascii="Arial" w:cs="Arial" w:hAnsi="Arial"/>
          <w:b/>
          <w:noProof/>
          <w:sz w:val="20"/>
          <w:szCs w:val="20"/>
        </w:rPr>
        <w:drawing>
          <wp:inline distL="0" distT="0" distB="0" distR="0">
            <wp:extent cx="4229690" cy="2934109"/>
            <wp:effectExtent l="0" t="0" r="0" b="0"/>
            <wp:docPr id="1030" name="Picture 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10"/>
                    <pic:cNvPicPr/>
                  </pic:nvPicPr>
                  <pic:blipFill>
                    <a:blip r:embed="rId6" cstate="print"/>
                    <a:srcRect l="0" t="0" r="0" b="0"/>
                    <a:stretch/>
                  </pic:blipFill>
                  <pic:spPr>
                    <a:xfrm rot="0">
                      <a:off x="0" y="0"/>
                      <a:ext cx="4229690" cy="2934109"/>
                    </a:xfrm>
                    <a:prstGeom prst="rect"/>
                  </pic:spPr>
                </pic:pic>
              </a:graphicData>
            </a:graphic>
          </wp:inline>
        </w:drawing>
      </w:r>
    </w:p>
    <w:p>
      <w:pPr>
        <w:pStyle w:val="style0"/>
        <w:spacing w:lineRule="auto" w:line="360"/>
        <w:jc w:val="both"/>
        <w:rPr>
          <w:rFonts w:ascii="Arial" w:cs="Arial" w:hAnsi="Arial"/>
          <w:sz w:val="20"/>
          <w:szCs w:val="20"/>
        </w:rPr>
      </w:pPr>
      <w:r>
        <w:rPr>
          <w:rFonts w:ascii="Arial" w:cs="Arial" w:hAnsi="Arial"/>
          <w:b/>
          <w:sz w:val="20"/>
          <w:szCs w:val="20"/>
        </w:rPr>
        <w:t>Plate 5:</w:t>
      </w:r>
      <w:r>
        <w:rPr>
          <w:rFonts w:ascii="Arial" w:cs="Arial" w:hAnsi="Arial"/>
          <w:sz w:val="20"/>
          <w:szCs w:val="20"/>
        </w:rPr>
        <w:t xml:space="preserve"> Photomicrograph reveals pronounced improvement in neuronal architecture with well-defined neurons and moderate neuromelanin deposition (MPG). Degenerative changes are significantly reduced, and the neuropil (Np) appears more compact and organized, indicating enhanced neuroprotective activity at this dose (H&amp;E, X400).</w:t>
      </w:r>
    </w:p>
    <w:p>
      <w:pPr>
        <w:pStyle w:val="style0"/>
        <w:spacing w:lineRule="auto" w:line="360"/>
        <w:jc w:val="both"/>
        <w:rPr>
          <w:rFonts w:ascii="Arial" w:cs="Arial" w:hAnsi="Arial"/>
          <w:b/>
          <w:sz w:val="20"/>
          <w:szCs w:val="20"/>
        </w:rPr>
      </w:pPr>
    </w:p>
    <w:p>
      <w:pPr>
        <w:pStyle w:val="style0"/>
        <w:spacing w:lineRule="auto" w:line="360"/>
        <w:jc w:val="both"/>
        <w:rPr>
          <w:rFonts w:ascii="Arial" w:cs="Arial" w:hAnsi="Arial"/>
          <w:b/>
          <w:sz w:val="20"/>
          <w:szCs w:val="20"/>
        </w:rPr>
      </w:pPr>
    </w:p>
    <w:p>
      <w:pPr>
        <w:pStyle w:val="style0"/>
        <w:spacing w:lineRule="auto" w:line="360"/>
        <w:jc w:val="both"/>
        <w:rPr>
          <w:rFonts w:ascii="Arial" w:cs="Arial" w:hAnsi="Arial"/>
          <w:b/>
          <w:sz w:val="20"/>
          <w:szCs w:val="20"/>
        </w:rPr>
      </w:pPr>
    </w:p>
    <w:p>
      <w:pPr>
        <w:pStyle w:val="style0"/>
        <w:spacing w:lineRule="auto" w:line="360"/>
        <w:jc w:val="both"/>
        <w:rPr>
          <w:rFonts w:ascii="Arial" w:cs="Arial" w:hAnsi="Arial"/>
          <w:b/>
          <w:sz w:val="20"/>
          <w:szCs w:val="20"/>
        </w:rPr>
      </w:pPr>
    </w:p>
    <w:p>
      <w:pPr>
        <w:pStyle w:val="style0"/>
        <w:spacing w:lineRule="auto" w:line="360"/>
        <w:jc w:val="both"/>
        <w:rPr>
          <w:rFonts w:ascii="Arial" w:cs="Arial" w:hAnsi="Arial"/>
          <w:b/>
          <w:sz w:val="20"/>
          <w:szCs w:val="20"/>
        </w:rPr>
      </w:pPr>
    </w:p>
    <w:p>
      <w:pPr>
        <w:pStyle w:val="style0"/>
        <w:spacing w:lineRule="auto" w:line="360"/>
        <w:jc w:val="both"/>
        <w:rPr>
          <w:rFonts w:ascii="Arial" w:cs="Arial" w:hAnsi="Arial"/>
          <w:b/>
          <w:sz w:val="20"/>
          <w:szCs w:val="20"/>
        </w:rPr>
      </w:pPr>
    </w:p>
    <w:p>
      <w:pPr>
        <w:pStyle w:val="style0"/>
        <w:spacing w:lineRule="auto" w:line="360"/>
        <w:jc w:val="both"/>
        <w:rPr>
          <w:rFonts w:ascii="Arial" w:cs="Arial" w:hAnsi="Arial"/>
          <w:b/>
          <w:sz w:val="20"/>
          <w:szCs w:val="20"/>
        </w:rPr>
      </w:pPr>
    </w:p>
    <w:p>
      <w:pPr>
        <w:pStyle w:val="style0"/>
        <w:spacing w:lineRule="auto" w:line="360"/>
        <w:jc w:val="both"/>
        <w:rPr>
          <w:rFonts w:ascii="Arial" w:cs="Arial" w:hAnsi="Arial"/>
          <w:b/>
          <w:sz w:val="20"/>
          <w:szCs w:val="20"/>
        </w:rPr>
      </w:pPr>
    </w:p>
    <w:p>
      <w:pPr>
        <w:pStyle w:val="style0"/>
        <w:spacing w:lineRule="auto" w:line="360"/>
        <w:jc w:val="both"/>
        <w:rPr>
          <w:rFonts w:ascii="Arial" w:cs="Arial" w:hAnsi="Arial"/>
          <w:b/>
          <w:sz w:val="20"/>
          <w:szCs w:val="20"/>
        </w:rPr>
      </w:pPr>
    </w:p>
    <w:p>
      <w:pPr>
        <w:pStyle w:val="style0"/>
        <w:spacing w:lineRule="auto" w:line="360"/>
        <w:jc w:val="both"/>
        <w:rPr>
          <w:rFonts w:ascii="Arial" w:cs="Arial" w:hAnsi="Arial"/>
          <w:b/>
          <w:sz w:val="20"/>
          <w:szCs w:val="20"/>
        </w:rPr>
      </w:pPr>
      <w:r>
        <w:rPr>
          <w:rFonts w:ascii="Arial" w:cs="Arial" w:hAnsi="Arial"/>
          <w:b/>
          <w:sz w:val="20"/>
          <w:szCs w:val="20"/>
        </w:rPr>
        <w:t>Histological observations of the substantia nigra of Wistar rats in the experimental group 3 (Group F) that was induced with diabetes, exposed to mercury chloride and treated with 600mg/kg of extract:</w:t>
      </w:r>
    </w:p>
    <w:p>
      <w:pPr>
        <w:pStyle w:val="style0"/>
        <w:spacing w:lineRule="auto" w:line="360"/>
        <w:jc w:val="center"/>
        <w:rPr>
          <w:rFonts w:ascii="Arial" w:cs="Arial" w:hAnsi="Arial"/>
          <w:b/>
          <w:sz w:val="20"/>
          <w:szCs w:val="20"/>
        </w:rPr>
      </w:pPr>
      <w:r>
        <w:rPr>
          <w:rFonts w:ascii="Arial" w:cs="Arial" w:hAnsi="Arial"/>
          <w:b/>
          <w:noProof/>
          <w:sz w:val="20"/>
          <w:szCs w:val="20"/>
        </w:rPr>
        <w:drawing>
          <wp:inline distL="0" distT="0" distB="0" distR="0">
            <wp:extent cx="4305901" cy="2705478"/>
            <wp:effectExtent l="0" t="0" r="0" b="0"/>
            <wp:docPr id="1031" name="Picture 1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1"/>
                    <pic:cNvPicPr/>
                  </pic:nvPicPr>
                  <pic:blipFill>
                    <a:blip r:embed="rId7" cstate="print"/>
                    <a:srcRect l="0" t="0" r="0" b="0"/>
                    <a:stretch/>
                  </pic:blipFill>
                  <pic:spPr>
                    <a:xfrm rot="0">
                      <a:off x="0" y="0"/>
                      <a:ext cx="4305901" cy="2705478"/>
                    </a:xfrm>
                    <a:prstGeom prst="rect"/>
                  </pic:spPr>
                </pic:pic>
              </a:graphicData>
            </a:graphic>
          </wp:inline>
        </w:drawing>
      </w:r>
    </w:p>
    <w:p>
      <w:pPr>
        <w:pStyle w:val="style0"/>
        <w:spacing w:lineRule="auto" w:line="360"/>
        <w:jc w:val="both"/>
        <w:rPr>
          <w:rFonts w:ascii="Arial" w:cs="Arial" w:hAnsi="Arial"/>
          <w:sz w:val="20"/>
          <w:szCs w:val="20"/>
        </w:rPr>
      </w:pPr>
      <w:r>
        <w:rPr>
          <w:rFonts w:ascii="Arial" w:cs="Arial" w:hAnsi="Arial"/>
          <w:b/>
          <w:sz w:val="20"/>
          <w:szCs w:val="20"/>
        </w:rPr>
        <w:t>Plate 6:</w:t>
      </w:r>
      <w:r>
        <w:rPr>
          <w:rFonts w:ascii="Arial" w:cs="Arial" w:hAnsi="Arial"/>
          <w:sz w:val="20"/>
          <w:szCs w:val="20"/>
        </w:rPr>
        <w:t xml:space="preserve"> Section demonstrates marked neuroprotection, characterized by abundant neuromelanin-containing neurons (MPG), intact neuronal morphology (N), and dense neuronal population (Nc). The neuropil is well preserved, closely resembling the normal control group, with minimal evidence of degeneration, indicating a dose-dependent restorative effect (H&amp;E, X400).</w:t>
      </w:r>
    </w:p>
    <w:bookmarkEnd w:id="13"/>
    <w:p>
      <w:pPr>
        <w:pStyle w:val="style0"/>
        <w:spacing w:lineRule="auto" w:line="360"/>
        <w:jc w:val="both"/>
        <w:rPr>
          <w:rFonts w:ascii="Arial" w:cs="Arial" w:eastAsia="Times New Roman" w:hAnsi="Arial"/>
          <w:b/>
          <w:sz w:val="20"/>
          <w:szCs w:val="20"/>
        </w:rPr>
      </w:pPr>
    </w:p>
    <w:p>
      <w:pPr>
        <w:pStyle w:val="style0"/>
        <w:spacing w:lineRule="auto" w:line="360"/>
        <w:jc w:val="both"/>
        <w:rPr>
          <w:rFonts w:ascii="Arial" w:cs="Arial" w:hAnsi="Arial"/>
          <w:b/>
          <w:sz w:val="20"/>
          <w:szCs w:val="20"/>
        </w:rPr>
      </w:pPr>
      <w:r>
        <w:rPr>
          <w:rFonts w:ascii="Arial" w:cs="Arial" w:eastAsia="Times New Roman" w:hAnsi="Arial"/>
          <w:b/>
          <w:sz w:val="20"/>
          <w:szCs w:val="20"/>
        </w:rPr>
        <w:t>Table 2: Showing the body weights (initial and final) and blood glucose (initial and final) levels for all groups after the five-weeks study</w:t>
      </w:r>
      <w:r>
        <w:rPr>
          <w:rFonts w:ascii="Arial" w:cs="Arial" w:eastAsia="Times New Roman" w:hAnsi="Arial"/>
          <w:b/>
          <w:sz w:val="20"/>
          <w:szCs w:val="20"/>
          <w:lang w:val="en-US"/>
        </w:rPr>
        <w:t>:</w:t>
      </w:r>
    </w:p>
    <w:bookmarkStart w:id="14" w:name="_Hlk212955866"/>
    <w:tbl>
      <w:tblPr>
        <w:tblStyle w:val="style4098"/>
        <w:tblW w:w="10625" w:type="dxa"/>
        <w:tblInd w:w="-72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70"/>
        <w:gridCol w:w="1890"/>
        <w:gridCol w:w="2070"/>
        <w:gridCol w:w="2160"/>
        <w:gridCol w:w="2253"/>
        <w:gridCol w:w="1082"/>
      </w:tblGrid>
      <w:tr>
        <w:trPr>
          <w:trHeight w:val="747" w:hRule="atLeast"/>
        </w:trPr>
        <w:tc>
          <w:tcPr>
            <w:tcW w:w="1170" w:type="dxa"/>
            <w:tcBorders/>
          </w:tcPr>
          <w:p>
            <w:pPr>
              <w:pStyle w:val="style0"/>
              <w:jc w:val="center"/>
              <w:rPr>
                <w:rFonts w:ascii="Arial" w:cs="Arial" w:hAnsi="Arial"/>
                <w:sz w:val="20"/>
                <w:szCs w:val="20"/>
              </w:rPr>
            </w:pPr>
            <w:r>
              <w:rPr>
                <w:rFonts w:ascii="Arial" w:cs="Arial" w:hAnsi="Arial"/>
                <w:sz w:val="20"/>
                <w:szCs w:val="20"/>
              </w:rPr>
              <w:t>Group</w:t>
            </w:r>
          </w:p>
        </w:tc>
        <w:tc>
          <w:tcPr>
            <w:tcW w:w="1890" w:type="dxa"/>
            <w:tcBorders/>
          </w:tcPr>
          <w:p>
            <w:pPr>
              <w:pStyle w:val="style0"/>
              <w:jc w:val="center"/>
              <w:rPr>
                <w:rFonts w:ascii="Arial" w:cs="Arial" w:hAnsi="Arial"/>
                <w:sz w:val="20"/>
                <w:szCs w:val="20"/>
              </w:rPr>
            </w:pPr>
            <w:r>
              <w:rPr>
                <w:rFonts w:ascii="Arial" w:cs="Arial" w:hAnsi="Arial"/>
                <w:sz w:val="20"/>
                <w:szCs w:val="20"/>
              </w:rPr>
              <w:t>Initial body wt (g) mean ± SD</w:t>
            </w:r>
          </w:p>
        </w:tc>
        <w:tc>
          <w:tcPr>
            <w:tcW w:w="2070" w:type="dxa"/>
            <w:tcBorders/>
          </w:tcPr>
          <w:p>
            <w:pPr>
              <w:pStyle w:val="style0"/>
              <w:jc w:val="center"/>
              <w:rPr>
                <w:rFonts w:ascii="Arial" w:cs="Arial" w:hAnsi="Arial"/>
                <w:sz w:val="20"/>
                <w:szCs w:val="20"/>
              </w:rPr>
            </w:pPr>
            <w:r>
              <w:rPr>
                <w:rFonts w:ascii="Arial" w:cs="Arial" w:hAnsi="Arial"/>
                <w:sz w:val="20"/>
                <w:szCs w:val="20"/>
              </w:rPr>
              <w:t>Final body wt (g) mean ± SD</w:t>
            </w:r>
          </w:p>
        </w:tc>
        <w:tc>
          <w:tcPr>
            <w:tcW w:w="2160" w:type="dxa"/>
            <w:tcBorders/>
          </w:tcPr>
          <w:p>
            <w:pPr>
              <w:pStyle w:val="style0"/>
              <w:jc w:val="center"/>
              <w:rPr>
                <w:rFonts w:ascii="Arial" w:cs="Arial" w:hAnsi="Arial"/>
                <w:sz w:val="20"/>
                <w:szCs w:val="20"/>
              </w:rPr>
            </w:pPr>
            <w:r>
              <w:rPr>
                <w:rFonts w:ascii="Arial" w:cs="Arial" w:hAnsi="Arial"/>
                <w:sz w:val="20"/>
                <w:szCs w:val="20"/>
              </w:rPr>
              <w:t>Initial FBG (mg/dl) mean ± SD</w:t>
            </w:r>
          </w:p>
        </w:tc>
        <w:tc>
          <w:tcPr>
            <w:tcW w:w="2253" w:type="dxa"/>
            <w:tcBorders/>
          </w:tcPr>
          <w:p>
            <w:pPr>
              <w:pStyle w:val="style0"/>
              <w:jc w:val="center"/>
              <w:rPr>
                <w:rFonts w:ascii="Arial" w:cs="Arial" w:hAnsi="Arial"/>
                <w:sz w:val="20"/>
                <w:szCs w:val="20"/>
              </w:rPr>
            </w:pPr>
            <w:r>
              <w:rPr>
                <w:rFonts w:ascii="Arial" w:cs="Arial" w:hAnsi="Arial"/>
                <w:sz w:val="20"/>
                <w:szCs w:val="20"/>
              </w:rPr>
              <w:t>Final FBG (mg/dl) mean ± SD</w:t>
            </w:r>
          </w:p>
        </w:tc>
        <w:tc>
          <w:tcPr>
            <w:tcW w:w="1082" w:type="dxa"/>
            <w:tcBorders/>
          </w:tcPr>
          <w:p>
            <w:pPr>
              <w:pStyle w:val="style0"/>
              <w:jc w:val="center"/>
              <w:rPr>
                <w:rFonts w:ascii="Arial" w:cs="Arial" w:hAnsi="Arial"/>
                <w:sz w:val="20"/>
                <w:szCs w:val="20"/>
              </w:rPr>
            </w:pPr>
            <w:r>
              <w:rPr>
                <w:rFonts w:ascii="Arial" w:cs="Arial" w:hAnsi="Arial"/>
                <w:bCs w:val="false"/>
                <w:sz w:val="20"/>
                <w:szCs w:val="20"/>
              </w:rPr>
              <w:t>P-Value</w:t>
            </w:r>
          </w:p>
        </w:tc>
      </w:tr>
      <w:bookmarkEnd w:id="14"/>
      <w:tr>
        <w:tblPrEx/>
        <w:trPr>
          <w:trHeight w:val="603" w:hRule="atLeast"/>
        </w:trPr>
        <w:tc>
          <w:tcPr>
            <w:tcW w:w="1170" w:type="dxa"/>
            <w:tcBorders/>
          </w:tcPr>
          <w:p>
            <w:pPr>
              <w:pStyle w:val="style0"/>
              <w:jc w:val="center"/>
              <w:rPr>
                <w:rFonts w:ascii="Arial" w:cs="Arial" w:hAnsi="Arial"/>
                <w:sz w:val="20"/>
                <w:szCs w:val="20"/>
              </w:rPr>
            </w:pPr>
            <w:r>
              <w:rPr>
                <w:rFonts w:ascii="Arial" w:cs="Arial" w:hAnsi="Arial"/>
                <w:sz w:val="20"/>
                <w:szCs w:val="20"/>
              </w:rPr>
              <w:t>A</w:t>
            </w:r>
          </w:p>
        </w:tc>
        <w:tc>
          <w:tcPr>
            <w:tcW w:w="1890" w:type="dxa"/>
            <w:tcBorders/>
          </w:tcPr>
          <w:p>
            <w:pPr>
              <w:pStyle w:val="style0"/>
              <w:jc w:val="center"/>
              <w:rPr>
                <w:rFonts w:ascii="Arial" w:cs="Arial" w:hAnsi="Arial"/>
                <w:sz w:val="20"/>
                <w:szCs w:val="20"/>
              </w:rPr>
            </w:pPr>
            <w:r>
              <w:rPr>
                <w:rFonts w:ascii="Arial" w:cs="Arial" w:hAnsi="Arial"/>
                <w:sz w:val="20"/>
                <w:szCs w:val="20"/>
              </w:rPr>
              <w:t>280 ± 12</w:t>
            </w:r>
          </w:p>
        </w:tc>
        <w:tc>
          <w:tcPr>
            <w:tcW w:w="2070" w:type="dxa"/>
            <w:tcBorders/>
          </w:tcPr>
          <w:p>
            <w:pPr>
              <w:pStyle w:val="style0"/>
              <w:jc w:val="center"/>
              <w:rPr>
                <w:rFonts w:ascii="Arial" w:cs="Arial" w:hAnsi="Arial"/>
                <w:sz w:val="20"/>
                <w:szCs w:val="20"/>
              </w:rPr>
            </w:pPr>
            <w:r>
              <w:rPr>
                <w:rFonts w:ascii="Arial" w:cs="Arial" w:hAnsi="Arial"/>
                <w:sz w:val="20"/>
                <w:szCs w:val="20"/>
              </w:rPr>
              <w:t>295 ± 10</w:t>
            </w:r>
            <w:r>
              <w:rPr>
                <w:rFonts w:ascii="Arial" w:cs="Arial" w:hAnsi="Arial"/>
                <w:sz w:val="20"/>
                <w:szCs w:val="20"/>
                <w:vertAlign w:val="superscript"/>
              </w:rPr>
              <w:t>a</w:t>
            </w:r>
          </w:p>
        </w:tc>
        <w:tc>
          <w:tcPr>
            <w:tcW w:w="2160" w:type="dxa"/>
            <w:tcBorders/>
          </w:tcPr>
          <w:p>
            <w:pPr>
              <w:pStyle w:val="style0"/>
              <w:spacing w:lineRule="auto" w:line="480"/>
              <w:jc w:val="center"/>
              <w:rPr>
                <w:rFonts w:ascii="Arial" w:cs="Arial" w:hAnsi="Arial"/>
                <w:sz w:val="20"/>
                <w:szCs w:val="20"/>
              </w:rPr>
            </w:pPr>
            <w:r>
              <w:rPr>
                <w:rFonts w:ascii="Arial" w:cs="Arial" w:hAnsi="Arial"/>
                <w:sz w:val="20"/>
                <w:szCs w:val="20"/>
              </w:rPr>
              <w:t>92 ± 6</w:t>
            </w:r>
          </w:p>
          <w:p>
            <w:pPr>
              <w:pStyle w:val="style0"/>
              <w:spacing w:lineRule="auto" w:line="480"/>
              <w:jc w:val="center"/>
              <w:rPr>
                <w:rFonts w:ascii="Arial" w:cs="Arial" w:hAnsi="Arial"/>
                <w:sz w:val="20"/>
                <w:szCs w:val="20"/>
              </w:rPr>
            </w:pPr>
          </w:p>
        </w:tc>
        <w:tc>
          <w:tcPr>
            <w:tcW w:w="2253" w:type="dxa"/>
            <w:tcBorders/>
          </w:tcPr>
          <w:p>
            <w:pPr>
              <w:pStyle w:val="style0"/>
              <w:spacing w:lineRule="auto" w:line="480"/>
              <w:jc w:val="center"/>
              <w:rPr>
                <w:rFonts w:ascii="Arial" w:cs="Arial" w:hAnsi="Arial"/>
                <w:sz w:val="20"/>
                <w:szCs w:val="20"/>
              </w:rPr>
            </w:pPr>
            <w:r>
              <w:rPr>
                <w:rFonts w:ascii="Arial" w:cs="Arial" w:hAnsi="Arial"/>
                <w:sz w:val="20"/>
                <w:szCs w:val="20"/>
              </w:rPr>
              <w:t>95 ± 7</w:t>
            </w:r>
            <w:r>
              <w:rPr>
                <w:rFonts w:ascii="Arial" w:cs="Arial" w:hAnsi="Arial"/>
                <w:sz w:val="20"/>
                <w:szCs w:val="20"/>
                <w:vertAlign w:val="superscript"/>
              </w:rPr>
              <w:t>a</w:t>
            </w:r>
          </w:p>
          <w:p>
            <w:pPr>
              <w:pStyle w:val="style0"/>
              <w:spacing w:lineRule="auto" w:line="480"/>
              <w:jc w:val="center"/>
              <w:rPr>
                <w:rFonts w:ascii="Arial" w:cs="Arial" w:hAnsi="Arial"/>
                <w:sz w:val="20"/>
                <w:szCs w:val="20"/>
              </w:rPr>
            </w:pPr>
          </w:p>
        </w:tc>
        <w:tc>
          <w:tcPr>
            <w:tcW w:w="1082" w:type="dxa"/>
            <w:tcBorders/>
          </w:tcPr>
          <w:p>
            <w:pPr>
              <w:pStyle w:val="style0"/>
              <w:spacing w:lineRule="auto" w:line="480"/>
              <w:rPr>
                <w:rFonts w:ascii="Arial" w:cs="Arial" w:hAnsi="Arial"/>
                <w:sz w:val="20"/>
                <w:szCs w:val="20"/>
              </w:rPr>
            </w:pPr>
            <w:r>
              <w:rPr>
                <w:rFonts w:ascii="Arial" w:cs="Arial" w:hAnsi="Arial"/>
                <w:sz w:val="20"/>
                <w:szCs w:val="20"/>
              </w:rPr>
              <w:t>&lt; 0.001</w:t>
            </w:r>
          </w:p>
        </w:tc>
      </w:tr>
      <w:tr>
        <w:tblPrEx/>
        <w:trPr>
          <w:trHeight w:val="566" w:hRule="atLeast"/>
        </w:trPr>
        <w:tc>
          <w:tcPr>
            <w:tcW w:w="1170" w:type="dxa"/>
            <w:tcBorders/>
          </w:tcPr>
          <w:p>
            <w:pPr>
              <w:pStyle w:val="style0"/>
              <w:jc w:val="center"/>
              <w:rPr>
                <w:rFonts w:ascii="Arial" w:cs="Arial" w:hAnsi="Arial"/>
                <w:sz w:val="20"/>
                <w:szCs w:val="20"/>
              </w:rPr>
            </w:pPr>
            <w:r>
              <w:rPr>
                <w:rFonts w:ascii="Arial" w:cs="Arial" w:hAnsi="Arial"/>
                <w:sz w:val="20"/>
                <w:szCs w:val="20"/>
              </w:rPr>
              <w:t>B</w:t>
            </w:r>
          </w:p>
        </w:tc>
        <w:tc>
          <w:tcPr>
            <w:tcW w:w="1890" w:type="dxa"/>
            <w:tcBorders/>
          </w:tcPr>
          <w:p>
            <w:pPr>
              <w:pStyle w:val="style0"/>
              <w:jc w:val="center"/>
              <w:rPr>
                <w:rFonts w:ascii="Arial" w:cs="Arial" w:hAnsi="Arial"/>
                <w:sz w:val="20"/>
                <w:szCs w:val="20"/>
              </w:rPr>
            </w:pPr>
            <w:r>
              <w:rPr>
                <w:rFonts w:ascii="Arial" w:cs="Arial" w:hAnsi="Arial"/>
                <w:sz w:val="20"/>
                <w:szCs w:val="20"/>
              </w:rPr>
              <w:t>282 ± 11</w:t>
            </w:r>
          </w:p>
        </w:tc>
        <w:tc>
          <w:tcPr>
            <w:tcW w:w="2070" w:type="dxa"/>
            <w:tcBorders/>
          </w:tcPr>
          <w:p>
            <w:pPr>
              <w:pStyle w:val="style0"/>
              <w:jc w:val="center"/>
              <w:rPr>
                <w:rFonts w:ascii="Arial" w:cs="Arial" w:hAnsi="Arial"/>
                <w:sz w:val="20"/>
                <w:szCs w:val="20"/>
              </w:rPr>
            </w:pPr>
            <w:r>
              <w:rPr>
                <w:rFonts w:ascii="Arial" w:cs="Arial" w:hAnsi="Arial"/>
                <w:sz w:val="20"/>
                <w:szCs w:val="20"/>
              </w:rPr>
              <w:t>190 ± 15</w:t>
            </w:r>
            <w:r>
              <w:rPr>
                <w:rFonts w:ascii="Arial" w:cs="Arial" w:hAnsi="Arial"/>
                <w:sz w:val="20"/>
                <w:szCs w:val="20"/>
                <w:vertAlign w:val="superscript"/>
              </w:rPr>
              <w:t>d</w:t>
            </w:r>
          </w:p>
        </w:tc>
        <w:tc>
          <w:tcPr>
            <w:tcW w:w="2160" w:type="dxa"/>
            <w:tcBorders/>
          </w:tcPr>
          <w:p>
            <w:pPr>
              <w:pStyle w:val="style0"/>
              <w:spacing w:lineRule="auto" w:line="480"/>
              <w:jc w:val="center"/>
              <w:rPr>
                <w:rFonts w:ascii="Arial" w:cs="Arial" w:hAnsi="Arial"/>
                <w:sz w:val="20"/>
                <w:szCs w:val="20"/>
              </w:rPr>
            </w:pPr>
            <w:r>
              <w:rPr>
                <w:rFonts w:ascii="Arial" w:cs="Arial" w:hAnsi="Arial"/>
                <w:sz w:val="20"/>
                <w:szCs w:val="20"/>
              </w:rPr>
              <w:t>94 ± 7</w:t>
            </w:r>
          </w:p>
          <w:p>
            <w:pPr>
              <w:pStyle w:val="style0"/>
              <w:spacing w:lineRule="auto" w:line="480"/>
              <w:jc w:val="center"/>
              <w:rPr>
                <w:rFonts w:ascii="Arial" w:cs="Arial" w:hAnsi="Arial"/>
                <w:sz w:val="20"/>
                <w:szCs w:val="20"/>
              </w:rPr>
            </w:pPr>
          </w:p>
          <w:bookmarkStart w:id="15" w:name="_Hlk230595050"/>
        </w:tc>
        <w:tc>
          <w:tcPr>
            <w:tcW w:w="2253" w:type="dxa"/>
            <w:tcBorders/>
          </w:tcPr>
          <w:p>
            <w:pPr>
              <w:pStyle w:val="style0"/>
              <w:spacing w:lineRule="auto" w:line="480"/>
              <w:jc w:val="center"/>
              <w:rPr>
                <w:rFonts w:ascii="Arial" w:cs="Arial" w:hAnsi="Arial"/>
                <w:sz w:val="20"/>
                <w:szCs w:val="20"/>
              </w:rPr>
            </w:pPr>
            <w:r>
              <w:rPr>
                <w:rFonts w:ascii="Arial" w:cs="Arial" w:hAnsi="Arial"/>
                <w:sz w:val="20"/>
                <w:szCs w:val="20"/>
              </w:rPr>
              <w:t>370 ± 32</w:t>
            </w:r>
            <w:r>
              <w:rPr>
                <w:rFonts w:ascii="Arial" w:cs="Arial" w:hAnsi="Arial"/>
                <w:sz w:val="20"/>
                <w:szCs w:val="20"/>
                <w:vertAlign w:val="superscript"/>
              </w:rPr>
              <w:t>e</w:t>
            </w:r>
          </w:p>
          <w:bookmarkEnd w:id="15"/>
          <w:p>
            <w:pPr>
              <w:pStyle w:val="style0"/>
              <w:spacing w:lineRule="auto" w:line="480"/>
              <w:jc w:val="center"/>
              <w:rPr>
                <w:rFonts w:ascii="Arial" w:cs="Arial" w:hAnsi="Arial"/>
                <w:sz w:val="20"/>
                <w:szCs w:val="20"/>
              </w:rPr>
            </w:pPr>
          </w:p>
        </w:tc>
        <w:tc>
          <w:tcPr>
            <w:tcW w:w="1082" w:type="dxa"/>
            <w:tcBorders/>
          </w:tcPr>
          <w:p>
            <w:pPr>
              <w:pStyle w:val="style0"/>
              <w:spacing w:lineRule="auto" w:line="480"/>
              <w:jc w:val="center"/>
              <w:rPr>
                <w:rFonts w:ascii="Arial" w:cs="Arial" w:hAnsi="Arial"/>
                <w:sz w:val="20"/>
                <w:szCs w:val="20"/>
              </w:rPr>
            </w:pPr>
            <w:r>
              <w:rPr>
                <w:rFonts w:ascii="Arial" w:cs="Arial" w:hAnsi="Arial"/>
                <w:sz w:val="20"/>
                <w:szCs w:val="20"/>
              </w:rPr>
              <w:t>&lt; 0.001</w:t>
            </w:r>
          </w:p>
          <w:p>
            <w:pPr>
              <w:pStyle w:val="style0"/>
              <w:spacing w:lineRule="auto" w:line="480"/>
              <w:jc w:val="center"/>
              <w:rPr>
                <w:rFonts w:ascii="Arial" w:cs="Arial" w:hAnsi="Arial"/>
                <w:sz w:val="20"/>
                <w:szCs w:val="20"/>
              </w:rPr>
            </w:pPr>
          </w:p>
        </w:tc>
      </w:tr>
      <w:tr>
        <w:tblPrEx/>
        <w:trPr>
          <w:trHeight w:val="566" w:hRule="atLeast"/>
        </w:trPr>
        <w:tc>
          <w:tcPr>
            <w:tcW w:w="1170" w:type="dxa"/>
            <w:tcBorders/>
          </w:tcPr>
          <w:p>
            <w:pPr>
              <w:pStyle w:val="style0"/>
              <w:jc w:val="center"/>
              <w:rPr>
                <w:rFonts w:ascii="Arial" w:cs="Arial" w:hAnsi="Arial"/>
                <w:sz w:val="20"/>
                <w:szCs w:val="20"/>
              </w:rPr>
            </w:pPr>
            <w:r>
              <w:rPr>
                <w:rFonts w:ascii="Arial" w:cs="Arial" w:hAnsi="Arial"/>
                <w:sz w:val="20"/>
                <w:szCs w:val="20"/>
              </w:rPr>
              <w:t>C</w:t>
            </w:r>
          </w:p>
        </w:tc>
        <w:tc>
          <w:tcPr>
            <w:tcW w:w="1890" w:type="dxa"/>
            <w:tcBorders/>
          </w:tcPr>
          <w:p>
            <w:pPr>
              <w:pStyle w:val="style0"/>
              <w:jc w:val="center"/>
              <w:rPr>
                <w:rFonts w:ascii="Arial" w:cs="Arial" w:hAnsi="Arial"/>
                <w:sz w:val="20"/>
                <w:szCs w:val="20"/>
              </w:rPr>
            </w:pPr>
            <w:r>
              <w:rPr>
                <w:rFonts w:ascii="Arial" w:cs="Arial" w:hAnsi="Arial"/>
                <w:sz w:val="20"/>
                <w:szCs w:val="20"/>
              </w:rPr>
              <w:t>278 ± 13</w:t>
            </w:r>
          </w:p>
        </w:tc>
        <w:tc>
          <w:tcPr>
            <w:tcW w:w="2070" w:type="dxa"/>
            <w:tcBorders/>
          </w:tcPr>
          <w:p>
            <w:pPr>
              <w:pStyle w:val="style0"/>
              <w:jc w:val="center"/>
              <w:rPr>
                <w:rFonts w:ascii="Arial" w:cs="Arial" w:hAnsi="Arial"/>
                <w:sz w:val="20"/>
                <w:szCs w:val="20"/>
              </w:rPr>
            </w:pPr>
            <w:r>
              <w:rPr>
                <w:rFonts w:ascii="Arial" w:cs="Arial" w:hAnsi="Arial"/>
                <w:sz w:val="20"/>
                <w:szCs w:val="20"/>
              </w:rPr>
              <w:t>220 ± 12</w:t>
            </w:r>
            <w:r>
              <w:rPr>
                <w:rFonts w:ascii="Arial" w:cs="Arial" w:hAnsi="Arial"/>
                <w:sz w:val="20"/>
                <w:szCs w:val="20"/>
                <w:vertAlign w:val="superscript"/>
              </w:rPr>
              <w:t>c</w:t>
            </w:r>
          </w:p>
        </w:tc>
        <w:tc>
          <w:tcPr>
            <w:tcW w:w="2160" w:type="dxa"/>
            <w:tcBorders/>
          </w:tcPr>
          <w:p>
            <w:pPr>
              <w:pStyle w:val="style0"/>
              <w:spacing w:lineRule="auto" w:line="480"/>
              <w:jc w:val="center"/>
              <w:rPr>
                <w:rFonts w:ascii="Arial" w:cs="Arial" w:hAnsi="Arial"/>
                <w:sz w:val="20"/>
                <w:szCs w:val="20"/>
              </w:rPr>
            </w:pPr>
            <w:r>
              <w:rPr>
                <w:rFonts w:ascii="Arial" w:cs="Arial" w:hAnsi="Arial"/>
                <w:sz w:val="20"/>
                <w:szCs w:val="20"/>
              </w:rPr>
              <w:t>95 ± 8</w:t>
            </w:r>
          </w:p>
          <w:p>
            <w:pPr>
              <w:pStyle w:val="style0"/>
              <w:spacing w:lineRule="auto" w:line="480"/>
              <w:jc w:val="center"/>
              <w:rPr>
                <w:rFonts w:ascii="Arial" w:cs="Arial" w:hAnsi="Arial"/>
                <w:sz w:val="20"/>
                <w:szCs w:val="20"/>
              </w:rPr>
            </w:pPr>
          </w:p>
        </w:tc>
        <w:tc>
          <w:tcPr>
            <w:tcW w:w="2253" w:type="dxa"/>
            <w:tcBorders/>
          </w:tcPr>
          <w:p>
            <w:pPr>
              <w:pStyle w:val="style0"/>
              <w:spacing w:lineRule="auto" w:line="480"/>
              <w:jc w:val="center"/>
              <w:rPr>
                <w:rFonts w:ascii="Arial" w:cs="Arial" w:hAnsi="Arial"/>
                <w:sz w:val="20"/>
                <w:szCs w:val="20"/>
              </w:rPr>
            </w:pPr>
            <w:r>
              <w:rPr>
                <w:rFonts w:ascii="Arial" w:cs="Arial" w:hAnsi="Arial"/>
                <w:sz w:val="20"/>
                <w:szCs w:val="20"/>
              </w:rPr>
              <w:t>166 ± 20</w:t>
            </w:r>
            <w:r>
              <w:rPr>
                <w:rFonts w:ascii="Arial" w:cs="Arial" w:hAnsi="Arial"/>
                <w:sz w:val="20"/>
                <w:szCs w:val="20"/>
                <w:vertAlign w:val="superscript"/>
              </w:rPr>
              <w:t>c</w:t>
            </w:r>
          </w:p>
          <w:p>
            <w:pPr>
              <w:pStyle w:val="style0"/>
              <w:spacing w:lineRule="auto" w:line="480"/>
              <w:jc w:val="center"/>
              <w:rPr>
                <w:rFonts w:ascii="Arial" w:cs="Arial" w:hAnsi="Arial"/>
                <w:sz w:val="20"/>
                <w:szCs w:val="20"/>
              </w:rPr>
            </w:pPr>
          </w:p>
        </w:tc>
        <w:tc>
          <w:tcPr>
            <w:tcW w:w="1082" w:type="dxa"/>
            <w:tcBorders/>
          </w:tcPr>
          <w:p>
            <w:pPr>
              <w:pStyle w:val="style0"/>
              <w:spacing w:lineRule="auto" w:line="480"/>
              <w:jc w:val="center"/>
              <w:rPr>
                <w:rFonts w:ascii="Arial" w:cs="Arial" w:hAnsi="Arial"/>
                <w:sz w:val="20"/>
                <w:szCs w:val="20"/>
              </w:rPr>
            </w:pPr>
            <w:r>
              <w:rPr>
                <w:rFonts w:ascii="Arial" w:cs="Arial" w:hAnsi="Arial"/>
                <w:sz w:val="20"/>
                <w:szCs w:val="20"/>
              </w:rPr>
              <w:t>&lt; 0.001</w:t>
            </w:r>
          </w:p>
          <w:p>
            <w:pPr>
              <w:pStyle w:val="style0"/>
              <w:spacing w:lineRule="auto" w:line="480"/>
              <w:jc w:val="center"/>
              <w:rPr>
                <w:rFonts w:ascii="Arial" w:cs="Arial" w:hAnsi="Arial"/>
                <w:sz w:val="20"/>
                <w:szCs w:val="20"/>
              </w:rPr>
            </w:pPr>
          </w:p>
        </w:tc>
      </w:tr>
      <w:tr>
        <w:tblPrEx/>
        <w:trPr>
          <w:trHeight w:val="566" w:hRule="atLeast"/>
        </w:trPr>
        <w:tc>
          <w:tcPr>
            <w:tcW w:w="1170" w:type="dxa"/>
            <w:tcBorders/>
          </w:tcPr>
          <w:p>
            <w:pPr>
              <w:pStyle w:val="style0"/>
              <w:jc w:val="center"/>
              <w:rPr>
                <w:rFonts w:ascii="Arial" w:cs="Arial" w:hAnsi="Arial"/>
                <w:sz w:val="20"/>
                <w:szCs w:val="20"/>
              </w:rPr>
            </w:pPr>
            <w:r>
              <w:rPr>
                <w:rFonts w:ascii="Arial" w:cs="Arial" w:hAnsi="Arial"/>
                <w:sz w:val="20"/>
                <w:szCs w:val="20"/>
              </w:rPr>
              <w:t>D</w:t>
            </w:r>
          </w:p>
        </w:tc>
        <w:tc>
          <w:tcPr>
            <w:tcW w:w="1890" w:type="dxa"/>
            <w:tcBorders/>
          </w:tcPr>
          <w:p>
            <w:pPr>
              <w:pStyle w:val="style0"/>
              <w:jc w:val="center"/>
              <w:rPr>
                <w:rFonts w:ascii="Arial" w:cs="Arial" w:hAnsi="Arial"/>
                <w:sz w:val="20"/>
                <w:szCs w:val="20"/>
              </w:rPr>
            </w:pPr>
            <w:r>
              <w:rPr>
                <w:rFonts w:ascii="Arial" w:cs="Arial" w:hAnsi="Arial"/>
                <w:sz w:val="20"/>
                <w:szCs w:val="20"/>
              </w:rPr>
              <w:t>276 ± 12</w:t>
            </w:r>
          </w:p>
        </w:tc>
        <w:tc>
          <w:tcPr>
            <w:tcW w:w="2070" w:type="dxa"/>
            <w:tcBorders/>
          </w:tcPr>
          <w:p>
            <w:pPr>
              <w:pStyle w:val="style0"/>
              <w:jc w:val="center"/>
              <w:rPr>
                <w:rFonts w:ascii="Arial" w:cs="Arial" w:hAnsi="Arial"/>
                <w:sz w:val="20"/>
                <w:szCs w:val="20"/>
              </w:rPr>
            </w:pPr>
            <w:r>
              <w:rPr>
                <w:rFonts w:ascii="Arial" w:cs="Arial" w:hAnsi="Arial"/>
                <w:sz w:val="20"/>
                <w:szCs w:val="20"/>
              </w:rPr>
              <w:t>200 ± 13</w:t>
            </w:r>
            <w:r>
              <w:rPr>
                <w:rFonts w:ascii="Arial" w:cs="Arial" w:hAnsi="Arial"/>
                <w:sz w:val="20"/>
                <w:szCs w:val="20"/>
                <w:vertAlign w:val="superscript"/>
              </w:rPr>
              <w:t>cd</w:t>
            </w:r>
          </w:p>
        </w:tc>
        <w:tc>
          <w:tcPr>
            <w:tcW w:w="2160" w:type="dxa"/>
            <w:tcBorders/>
          </w:tcPr>
          <w:p>
            <w:pPr>
              <w:pStyle w:val="style0"/>
              <w:spacing w:lineRule="auto" w:line="480"/>
              <w:jc w:val="center"/>
              <w:rPr>
                <w:rFonts w:ascii="Arial" w:cs="Arial" w:hAnsi="Arial"/>
                <w:sz w:val="20"/>
                <w:szCs w:val="20"/>
              </w:rPr>
            </w:pPr>
            <w:r>
              <w:rPr>
                <w:rFonts w:ascii="Arial" w:cs="Arial" w:hAnsi="Arial"/>
                <w:sz w:val="20"/>
                <w:szCs w:val="20"/>
              </w:rPr>
              <w:t>94 ± 7</w:t>
            </w:r>
          </w:p>
        </w:tc>
        <w:tc>
          <w:tcPr>
            <w:tcW w:w="2253" w:type="dxa"/>
            <w:tcBorders/>
          </w:tcPr>
          <w:p>
            <w:pPr>
              <w:pStyle w:val="style0"/>
              <w:spacing w:lineRule="auto" w:line="480"/>
              <w:jc w:val="center"/>
              <w:rPr>
                <w:rFonts w:ascii="Arial" w:cs="Arial" w:hAnsi="Arial"/>
                <w:sz w:val="20"/>
                <w:szCs w:val="20"/>
              </w:rPr>
            </w:pPr>
            <w:r>
              <w:rPr>
                <w:rFonts w:ascii="Arial" w:cs="Arial" w:hAnsi="Arial"/>
                <w:sz w:val="20"/>
                <w:szCs w:val="20"/>
              </w:rPr>
              <w:t>285 ± 28</w:t>
            </w:r>
            <w:r>
              <w:rPr>
                <w:rFonts w:ascii="Arial" w:cs="Arial" w:hAnsi="Arial"/>
                <w:sz w:val="20"/>
                <w:szCs w:val="20"/>
                <w:vertAlign w:val="superscript"/>
              </w:rPr>
              <w:t>d</w:t>
            </w:r>
          </w:p>
          <w:p>
            <w:pPr>
              <w:pStyle w:val="style0"/>
              <w:spacing w:lineRule="auto" w:line="480"/>
              <w:jc w:val="center"/>
              <w:rPr>
                <w:rFonts w:ascii="Arial" w:cs="Arial" w:hAnsi="Arial"/>
                <w:sz w:val="20"/>
                <w:szCs w:val="20"/>
              </w:rPr>
            </w:pPr>
          </w:p>
        </w:tc>
        <w:tc>
          <w:tcPr>
            <w:tcW w:w="1082" w:type="dxa"/>
            <w:tcBorders/>
          </w:tcPr>
          <w:p>
            <w:pPr>
              <w:pStyle w:val="style0"/>
              <w:spacing w:lineRule="auto" w:line="480"/>
              <w:jc w:val="center"/>
              <w:rPr>
                <w:rFonts w:ascii="Arial" w:cs="Arial" w:hAnsi="Arial"/>
                <w:sz w:val="20"/>
                <w:szCs w:val="20"/>
              </w:rPr>
            </w:pPr>
            <w:r>
              <w:rPr>
                <w:rFonts w:ascii="Arial" w:cs="Arial" w:hAnsi="Arial"/>
                <w:sz w:val="20"/>
                <w:szCs w:val="20"/>
              </w:rPr>
              <w:t>&lt; 0.001</w:t>
            </w:r>
          </w:p>
          <w:p>
            <w:pPr>
              <w:pStyle w:val="style0"/>
              <w:spacing w:lineRule="auto" w:line="480"/>
              <w:jc w:val="center"/>
              <w:rPr>
                <w:rFonts w:ascii="Arial" w:cs="Arial" w:hAnsi="Arial"/>
                <w:sz w:val="20"/>
                <w:szCs w:val="20"/>
              </w:rPr>
            </w:pPr>
          </w:p>
        </w:tc>
      </w:tr>
      <w:tr>
        <w:tblPrEx/>
        <w:trPr>
          <w:trHeight w:val="566" w:hRule="atLeast"/>
        </w:trPr>
        <w:tc>
          <w:tcPr>
            <w:tcW w:w="1170" w:type="dxa"/>
            <w:tcBorders/>
          </w:tcPr>
          <w:p>
            <w:pPr>
              <w:pStyle w:val="style0"/>
              <w:jc w:val="center"/>
              <w:rPr>
                <w:rFonts w:ascii="Arial" w:cs="Arial" w:hAnsi="Arial"/>
                <w:sz w:val="20"/>
                <w:szCs w:val="20"/>
              </w:rPr>
            </w:pPr>
            <w:r>
              <w:rPr>
                <w:rFonts w:ascii="Arial" w:cs="Arial" w:hAnsi="Arial"/>
                <w:sz w:val="20"/>
                <w:szCs w:val="20"/>
              </w:rPr>
              <w:t>E</w:t>
            </w:r>
          </w:p>
        </w:tc>
        <w:tc>
          <w:tcPr>
            <w:tcW w:w="1890" w:type="dxa"/>
            <w:tcBorders/>
          </w:tcPr>
          <w:p>
            <w:pPr>
              <w:pStyle w:val="style0"/>
              <w:jc w:val="center"/>
              <w:rPr>
                <w:rFonts w:ascii="Arial" w:cs="Arial" w:hAnsi="Arial"/>
                <w:sz w:val="20"/>
                <w:szCs w:val="20"/>
              </w:rPr>
            </w:pPr>
            <w:r>
              <w:rPr>
                <w:rFonts w:ascii="Arial" w:cs="Arial" w:hAnsi="Arial"/>
                <w:sz w:val="20"/>
                <w:szCs w:val="20"/>
              </w:rPr>
              <w:t>285 ± 10</w:t>
            </w:r>
          </w:p>
        </w:tc>
        <w:tc>
          <w:tcPr>
            <w:tcW w:w="2070" w:type="dxa"/>
            <w:tcBorders/>
          </w:tcPr>
          <w:p>
            <w:pPr>
              <w:pStyle w:val="style0"/>
              <w:jc w:val="center"/>
              <w:rPr>
                <w:rFonts w:ascii="Arial" w:cs="Arial" w:hAnsi="Arial"/>
                <w:sz w:val="20"/>
                <w:szCs w:val="20"/>
              </w:rPr>
            </w:pPr>
            <w:r>
              <w:rPr>
                <w:rFonts w:ascii="Arial" w:cs="Arial" w:hAnsi="Arial"/>
                <w:sz w:val="20"/>
                <w:szCs w:val="20"/>
              </w:rPr>
              <w:t>230 ± 11</w:t>
            </w:r>
            <w:r>
              <w:rPr>
                <w:rFonts w:ascii="Arial" w:cs="Arial" w:hAnsi="Arial"/>
                <w:sz w:val="20"/>
                <w:szCs w:val="20"/>
                <w:vertAlign w:val="superscript"/>
              </w:rPr>
              <w:t>bc</w:t>
            </w:r>
          </w:p>
        </w:tc>
        <w:tc>
          <w:tcPr>
            <w:tcW w:w="2160" w:type="dxa"/>
            <w:tcBorders/>
          </w:tcPr>
          <w:p>
            <w:pPr>
              <w:pStyle w:val="style0"/>
              <w:spacing w:lineRule="auto" w:line="480"/>
              <w:jc w:val="center"/>
              <w:rPr>
                <w:rFonts w:ascii="Arial" w:cs="Arial" w:hAnsi="Arial"/>
                <w:sz w:val="20"/>
                <w:szCs w:val="20"/>
              </w:rPr>
            </w:pPr>
            <w:r>
              <w:rPr>
                <w:rFonts w:ascii="Arial" w:cs="Arial" w:hAnsi="Arial"/>
                <w:sz w:val="20"/>
                <w:szCs w:val="20"/>
              </w:rPr>
              <w:t>93 ± 6</w:t>
            </w:r>
          </w:p>
          <w:p>
            <w:pPr>
              <w:pStyle w:val="style0"/>
              <w:spacing w:lineRule="auto" w:line="480"/>
              <w:jc w:val="center"/>
              <w:rPr>
                <w:rFonts w:ascii="Arial" w:cs="Arial" w:hAnsi="Arial"/>
                <w:sz w:val="20"/>
                <w:szCs w:val="20"/>
              </w:rPr>
            </w:pPr>
          </w:p>
        </w:tc>
        <w:tc>
          <w:tcPr>
            <w:tcW w:w="2253" w:type="dxa"/>
            <w:tcBorders/>
          </w:tcPr>
          <w:p>
            <w:pPr>
              <w:pStyle w:val="style0"/>
              <w:spacing w:lineRule="auto" w:line="480"/>
              <w:jc w:val="center"/>
              <w:rPr>
                <w:rFonts w:ascii="Arial" w:cs="Arial" w:hAnsi="Arial"/>
                <w:sz w:val="20"/>
                <w:szCs w:val="20"/>
              </w:rPr>
            </w:pPr>
            <w:r>
              <w:rPr>
                <w:rFonts w:ascii="Arial" w:cs="Arial" w:hAnsi="Arial"/>
                <w:sz w:val="20"/>
                <w:szCs w:val="20"/>
              </w:rPr>
              <w:t>195 ± 22</w:t>
            </w:r>
            <w:r>
              <w:rPr>
                <w:rFonts w:ascii="Arial" w:cs="Arial" w:hAnsi="Arial"/>
                <w:sz w:val="20"/>
                <w:szCs w:val="20"/>
                <w:vertAlign w:val="superscript"/>
              </w:rPr>
              <w:t>b</w:t>
            </w:r>
          </w:p>
          <w:p>
            <w:pPr>
              <w:pStyle w:val="style0"/>
              <w:spacing w:lineRule="auto" w:line="480"/>
              <w:jc w:val="center"/>
              <w:rPr>
                <w:rFonts w:ascii="Arial" w:cs="Arial" w:hAnsi="Arial"/>
                <w:sz w:val="20"/>
                <w:szCs w:val="20"/>
              </w:rPr>
            </w:pPr>
          </w:p>
        </w:tc>
        <w:tc>
          <w:tcPr>
            <w:tcW w:w="1082" w:type="dxa"/>
            <w:tcBorders/>
          </w:tcPr>
          <w:p>
            <w:pPr>
              <w:pStyle w:val="style0"/>
              <w:spacing w:lineRule="auto" w:line="480"/>
              <w:jc w:val="center"/>
              <w:rPr>
                <w:rFonts w:ascii="Arial" w:cs="Arial" w:hAnsi="Arial"/>
                <w:sz w:val="20"/>
                <w:szCs w:val="20"/>
              </w:rPr>
            </w:pPr>
            <w:r>
              <w:rPr>
                <w:rFonts w:ascii="Arial" w:cs="Arial" w:hAnsi="Arial"/>
                <w:sz w:val="20"/>
                <w:szCs w:val="20"/>
              </w:rPr>
              <w:t>&lt; 0.001</w:t>
            </w:r>
          </w:p>
          <w:p>
            <w:pPr>
              <w:pStyle w:val="style0"/>
              <w:spacing w:lineRule="auto" w:line="480"/>
              <w:jc w:val="center"/>
              <w:rPr>
                <w:rFonts w:ascii="Arial" w:cs="Arial" w:hAnsi="Arial"/>
                <w:sz w:val="20"/>
                <w:szCs w:val="20"/>
              </w:rPr>
            </w:pPr>
          </w:p>
        </w:tc>
      </w:tr>
      <w:tr>
        <w:tblPrEx/>
        <w:trPr>
          <w:trHeight w:val="566" w:hRule="atLeast"/>
        </w:trPr>
        <w:tc>
          <w:tcPr>
            <w:tcW w:w="1170" w:type="dxa"/>
            <w:tcBorders/>
          </w:tcPr>
          <w:p>
            <w:pPr>
              <w:pStyle w:val="style0"/>
              <w:jc w:val="center"/>
              <w:rPr>
                <w:rFonts w:ascii="Arial" w:cs="Arial" w:hAnsi="Arial"/>
                <w:sz w:val="20"/>
                <w:szCs w:val="20"/>
              </w:rPr>
            </w:pPr>
            <w:r>
              <w:rPr>
                <w:rFonts w:ascii="Arial" w:cs="Arial" w:hAnsi="Arial"/>
                <w:sz w:val="20"/>
                <w:szCs w:val="20"/>
              </w:rPr>
              <w:t>F</w:t>
            </w:r>
          </w:p>
        </w:tc>
        <w:tc>
          <w:tcPr>
            <w:tcW w:w="1890" w:type="dxa"/>
            <w:tcBorders/>
          </w:tcPr>
          <w:p>
            <w:pPr>
              <w:pStyle w:val="style0"/>
              <w:jc w:val="center"/>
              <w:rPr>
                <w:rFonts w:ascii="Arial" w:cs="Arial" w:hAnsi="Arial"/>
                <w:sz w:val="20"/>
                <w:szCs w:val="20"/>
              </w:rPr>
            </w:pPr>
            <w:r>
              <w:rPr>
                <w:rFonts w:ascii="Arial" w:cs="Arial" w:hAnsi="Arial"/>
                <w:sz w:val="20"/>
                <w:szCs w:val="20"/>
              </w:rPr>
              <w:t>290 ± 9</w:t>
            </w:r>
          </w:p>
        </w:tc>
        <w:tc>
          <w:tcPr>
            <w:tcW w:w="2070" w:type="dxa"/>
            <w:tcBorders/>
          </w:tcPr>
          <w:p>
            <w:pPr>
              <w:pStyle w:val="style0"/>
              <w:jc w:val="center"/>
              <w:rPr>
                <w:rFonts w:ascii="Arial" w:cs="Arial" w:hAnsi="Arial"/>
                <w:sz w:val="20"/>
                <w:szCs w:val="20"/>
              </w:rPr>
            </w:pPr>
            <w:r>
              <w:rPr>
                <w:rFonts w:ascii="Arial" w:cs="Arial" w:hAnsi="Arial"/>
                <w:sz w:val="20"/>
                <w:szCs w:val="20"/>
              </w:rPr>
              <w:t>250 ± 10</w:t>
            </w:r>
            <w:r>
              <w:rPr>
                <w:rFonts w:ascii="Arial" w:cs="Arial" w:hAnsi="Arial"/>
                <w:sz w:val="20"/>
                <w:szCs w:val="20"/>
                <w:vertAlign w:val="superscript"/>
              </w:rPr>
              <w:t>b</w:t>
            </w:r>
          </w:p>
        </w:tc>
        <w:tc>
          <w:tcPr>
            <w:tcW w:w="2160" w:type="dxa"/>
            <w:tcBorders/>
          </w:tcPr>
          <w:p>
            <w:pPr>
              <w:pStyle w:val="style0"/>
              <w:spacing w:lineRule="auto" w:line="480"/>
              <w:jc w:val="center"/>
              <w:rPr>
                <w:rFonts w:ascii="Arial" w:cs="Arial" w:hAnsi="Arial"/>
                <w:sz w:val="20"/>
                <w:szCs w:val="20"/>
              </w:rPr>
            </w:pPr>
            <w:r>
              <w:rPr>
                <w:rFonts w:ascii="Arial" w:cs="Arial" w:hAnsi="Arial"/>
                <w:sz w:val="20"/>
                <w:szCs w:val="20"/>
              </w:rPr>
              <w:t>92 ± 6</w:t>
            </w:r>
          </w:p>
          <w:p>
            <w:pPr>
              <w:pStyle w:val="style0"/>
              <w:spacing w:lineRule="auto" w:line="480"/>
              <w:jc w:val="center"/>
              <w:rPr>
                <w:rFonts w:ascii="Arial" w:cs="Arial" w:hAnsi="Arial"/>
                <w:sz w:val="20"/>
                <w:szCs w:val="20"/>
              </w:rPr>
            </w:pPr>
          </w:p>
        </w:tc>
        <w:tc>
          <w:tcPr>
            <w:tcW w:w="2253" w:type="dxa"/>
            <w:tcBorders/>
          </w:tcPr>
          <w:p>
            <w:pPr>
              <w:pStyle w:val="style0"/>
              <w:spacing w:lineRule="auto" w:line="480"/>
              <w:jc w:val="center"/>
              <w:rPr>
                <w:rFonts w:ascii="Arial" w:cs="Arial" w:hAnsi="Arial"/>
                <w:sz w:val="20"/>
                <w:szCs w:val="20"/>
              </w:rPr>
            </w:pPr>
            <w:r>
              <w:rPr>
                <w:rFonts w:ascii="Arial" w:cs="Arial" w:hAnsi="Arial"/>
                <w:sz w:val="20"/>
                <w:szCs w:val="20"/>
              </w:rPr>
              <w:t>135 ± 17</w:t>
            </w:r>
            <w:r>
              <w:rPr>
                <w:rFonts w:ascii="Arial" w:cs="Arial" w:hAnsi="Arial"/>
                <w:sz w:val="20"/>
                <w:szCs w:val="20"/>
                <w:vertAlign w:val="superscript"/>
              </w:rPr>
              <w:t>a</w:t>
            </w:r>
          </w:p>
          <w:p>
            <w:pPr>
              <w:pStyle w:val="style0"/>
              <w:spacing w:lineRule="auto" w:line="480"/>
              <w:jc w:val="center"/>
              <w:rPr>
                <w:rFonts w:ascii="Arial" w:cs="Arial" w:hAnsi="Arial"/>
                <w:sz w:val="20"/>
                <w:szCs w:val="20"/>
              </w:rPr>
            </w:pPr>
          </w:p>
        </w:tc>
        <w:tc>
          <w:tcPr>
            <w:tcW w:w="1082" w:type="dxa"/>
            <w:tcBorders/>
          </w:tcPr>
          <w:p>
            <w:pPr>
              <w:pStyle w:val="style0"/>
              <w:spacing w:lineRule="auto" w:line="480"/>
              <w:jc w:val="center"/>
              <w:rPr>
                <w:rFonts w:ascii="Arial" w:cs="Arial" w:hAnsi="Arial"/>
                <w:sz w:val="20"/>
                <w:szCs w:val="20"/>
              </w:rPr>
            </w:pPr>
            <w:r>
              <w:rPr>
                <w:rFonts w:ascii="Arial" w:cs="Arial" w:hAnsi="Arial"/>
                <w:sz w:val="20"/>
                <w:szCs w:val="20"/>
              </w:rPr>
              <w:t>&lt; 0.001</w:t>
            </w:r>
          </w:p>
          <w:p>
            <w:pPr>
              <w:pStyle w:val="style0"/>
              <w:spacing w:lineRule="auto" w:line="480"/>
              <w:jc w:val="center"/>
              <w:rPr>
                <w:rFonts w:ascii="Arial" w:cs="Arial" w:hAnsi="Arial"/>
                <w:sz w:val="20"/>
                <w:szCs w:val="20"/>
              </w:rPr>
            </w:pPr>
          </w:p>
        </w:tc>
      </w:tr>
    </w:tbl>
    <w:p>
      <w:pPr>
        <w:pStyle w:val="style0"/>
        <w:spacing w:lineRule="auto" w:line="240"/>
        <w:rPr>
          <w:rFonts w:ascii="Arial" w:cs="Arial" w:hAnsi="Arial"/>
          <w:sz w:val="20"/>
          <w:szCs w:val="20"/>
        </w:rPr>
      </w:pPr>
      <w:r>
        <w:rPr>
          <w:rFonts w:ascii="Arial" w:cs="Arial" w:hAnsi="Arial"/>
          <w:sz w:val="20"/>
          <w:szCs w:val="20"/>
        </w:rPr>
        <w:t>a-e in the same column indicate significant differences (</w:t>
      </w:r>
      <w:r>
        <w:rPr>
          <w:rFonts w:ascii="Arial" w:cs="Arial" w:hAnsi="Arial"/>
          <w:i/>
          <w:sz w:val="20"/>
          <w:szCs w:val="20"/>
        </w:rPr>
        <w:t>P</w:t>
      </w:r>
      <w:r>
        <w:rPr>
          <w:rFonts w:ascii="Arial" w:cs="Arial" w:hAnsi="Arial"/>
          <w:sz w:val="20"/>
          <w:szCs w:val="20"/>
        </w:rPr>
        <w:t xml:space="preserve"> = .05), body weight (g) and blood glucose (mg/dl) </w:t>
      </w:r>
    </w:p>
    <w:p>
      <w:pPr>
        <w:pStyle w:val="style0"/>
        <w:spacing w:lineRule="auto" w:line="240"/>
        <w:jc w:val="both"/>
        <w:rPr>
          <w:rFonts w:ascii="Arial" w:cs="Arial" w:hAnsi="Arial"/>
          <w:b/>
          <w:sz w:val="20"/>
          <w:szCs w:val="20"/>
        </w:rPr>
      </w:pPr>
    </w:p>
    <w:p>
      <w:pPr>
        <w:pStyle w:val="style0"/>
        <w:spacing w:lineRule="auto" w:line="240"/>
        <w:jc w:val="both"/>
        <w:rPr>
          <w:rFonts w:ascii="Arial" w:cs="Arial" w:hAnsi="Arial"/>
          <w:b/>
          <w:sz w:val="20"/>
          <w:szCs w:val="20"/>
        </w:rPr>
      </w:pPr>
      <w:r>
        <w:rPr>
          <w:rFonts w:ascii="Arial" w:cs="Arial" w:hAnsi="Arial"/>
          <w:b/>
          <w:sz w:val="20"/>
          <w:szCs w:val="20"/>
        </w:rPr>
        <w:t>Observations from the Comparison of both initial and final body weights and initial and final blood glucose levels of rats in different treatment groups</w:t>
      </w:r>
      <w:r>
        <w:rPr>
          <w:rFonts w:ascii="Arial" w:cs="Arial" w:hAnsi="Arial"/>
          <w:b/>
          <w:sz w:val="20"/>
          <w:szCs w:val="20"/>
          <w:lang w:val="en-US"/>
        </w:rPr>
        <w:t>:</w:t>
      </w:r>
    </w:p>
    <w:p>
      <w:pPr>
        <w:pStyle w:val="style0"/>
        <w:spacing w:lineRule="auto" w:line="360"/>
        <w:jc w:val="both"/>
        <w:rPr>
          <w:rFonts w:ascii="Arial" w:cs="Arial" w:hAnsi="Arial"/>
          <w:sz w:val="20"/>
          <w:szCs w:val="20"/>
        </w:rPr>
      </w:pPr>
    </w:p>
    <w:p>
      <w:pPr>
        <w:pStyle w:val="style0"/>
        <w:spacing w:lineRule="auto" w:line="360"/>
        <w:jc w:val="both"/>
        <w:rPr>
          <w:rFonts w:ascii="Arial" w:cs="Arial" w:hAnsi="Arial"/>
          <w:sz w:val="20"/>
          <w:szCs w:val="20"/>
        </w:rPr>
      </w:pPr>
      <w:r>
        <w:rPr>
          <w:rFonts w:ascii="Arial" w:cs="Arial" w:hAnsi="Arial"/>
          <w:sz w:val="20"/>
          <w:szCs w:val="20"/>
        </w:rPr>
        <w:t>From tables 2, the result of the body weight and fasting blood glucose levels revealed that there were no significant differences in the initial parameters across all groups indicating similar baseline conditions prior to treatment. However, the administration of alloxan and mercury chloride in the positive control (Group B) caused a marked decrease in final body weight</w:t>
      </w:r>
      <w:r>
        <w:rPr>
          <w:rFonts w:ascii="Arial" w:cs="Arial" w:hAnsi="Arial"/>
          <w:sz w:val="20"/>
          <w:szCs w:val="20"/>
        </w:rPr>
        <w:t xml:space="preserve"> (</w:t>
      </w:r>
      <w:r>
        <w:rPr>
          <w:rFonts w:ascii="Arial" w:cs="Arial" w:hAnsi="Arial"/>
          <w:sz w:val="20"/>
          <w:szCs w:val="20"/>
        </w:rPr>
        <w:t>190 ± 15</w:t>
      </w:r>
      <w:r>
        <w:rPr>
          <w:rFonts w:ascii="Arial" w:cs="Arial" w:hAnsi="Arial"/>
          <w:sz w:val="20"/>
          <w:szCs w:val="20"/>
        </w:rPr>
        <w:t>)</w:t>
      </w:r>
      <w:r>
        <w:rPr>
          <w:rFonts w:ascii="Arial" w:cs="Arial" w:hAnsi="Arial"/>
          <w:sz w:val="20"/>
          <w:szCs w:val="20"/>
        </w:rPr>
        <w:t xml:space="preserve"> and a significant elevation in fasting blood glucose level</w:t>
      </w:r>
      <w:r>
        <w:rPr>
          <w:rFonts w:ascii="Arial" w:cs="Arial" w:hAnsi="Arial"/>
          <w:sz w:val="20"/>
          <w:szCs w:val="20"/>
        </w:rPr>
        <w:t xml:space="preserve"> (</w:t>
      </w:r>
      <w:r>
        <w:rPr>
          <w:rFonts w:ascii="Arial" w:cs="Arial" w:hAnsi="Arial"/>
          <w:sz w:val="20"/>
          <w:szCs w:val="20"/>
        </w:rPr>
        <w:t>370 ± 32</w:t>
      </w:r>
      <w:r>
        <w:rPr>
          <w:rFonts w:ascii="Arial" w:cs="Arial" w:hAnsi="Arial"/>
          <w:sz w:val="20"/>
          <w:szCs w:val="20"/>
        </w:rPr>
        <w:t>)</w:t>
      </w:r>
      <w:r>
        <w:rPr>
          <w:rFonts w:ascii="Arial" w:cs="Arial" w:hAnsi="Arial"/>
          <w:sz w:val="20"/>
          <w:szCs w:val="20"/>
        </w:rPr>
        <w:t xml:space="preserve"> compared with the negative control group</w:t>
      </w:r>
      <w:r>
        <w:rPr>
          <w:rFonts w:ascii="Arial" w:cs="Arial" w:hAnsi="Arial"/>
          <w:sz w:val="20"/>
          <w:szCs w:val="20"/>
        </w:rPr>
        <w:t xml:space="preserve"> (</w:t>
      </w:r>
      <w:r>
        <w:rPr>
          <w:rFonts w:ascii="Arial" w:cs="Arial" w:hAnsi="Arial"/>
          <w:sz w:val="20"/>
          <w:szCs w:val="20"/>
        </w:rPr>
        <w:t>295 ± 10</w:t>
      </w:r>
      <w:r>
        <w:rPr>
          <w:rFonts w:ascii="Arial" w:cs="Arial" w:hAnsi="Arial"/>
          <w:sz w:val="20"/>
          <w:szCs w:val="20"/>
        </w:rPr>
        <w:t xml:space="preserve"> and </w:t>
      </w:r>
      <w:r>
        <w:rPr>
          <w:rFonts w:ascii="Arial" w:cs="Arial" w:hAnsi="Arial"/>
          <w:sz w:val="20"/>
          <w:szCs w:val="20"/>
        </w:rPr>
        <w:t>95 ± 7</w:t>
      </w:r>
      <w:r>
        <w:rPr>
          <w:rFonts w:ascii="Arial" w:cs="Arial" w:hAnsi="Arial"/>
          <w:sz w:val="20"/>
          <w:szCs w:val="20"/>
        </w:rPr>
        <w:t>)</w:t>
      </w:r>
      <w:r>
        <w:rPr>
          <w:rFonts w:ascii="Arial" w:cs="Arial" w:hAnsi="Arial"/>
          <w:sz w:val="20"/>
          <w:szCs w:val="20"/>
        </w:rPr>
        <w:t xml:space="preserve">, confirming the successful induction of diabetes and metabolic toxicity. Treatment with metformin (Group C) and </w:t>
      </w:r>
      <w:r>
        <w:rPr>
          <w:rFonts w:ascii="Arial" w:cs="Arial" w:hAnsi="Arial"/>
          <w:i/>
          <w:sz w:val="20"/>
          <w:szCs w:val="20"/>
        </w:rPr>
        <w:t>Chromolaena odorata</w:t>
      </w:r>
      <w:r>
        <w:rPr>
          <w:rFonts w:ascii="Arial" w:cs="Arial" w:hAnsi="Arial"/>
          <w:sz w:val="20"/>
          <w:szCs w:val="20"/>
        </w:rPr>
        <w:t xml:space="preserve"> extracts (Group D to Group F) resulted in notable improvements in both body weight and blood glucose regulation. The effect of </w:t>
      </w:r>
      <w:r>
        <w:rPr>
          <w:rFonts w:ascii="Arial" w:cs="Arial" w:hAnsi="Arial"/>
          <w:i/>
          <w:sz w:val="20"/>
          <w:szCs w:val="20"/>
        </w:rPr>
        <w:t>C. odorata</w:t>
      </w:r>
      <w:r>
        <w:rPr>
          <w:rFonts w:ascii="Arial" w:cs="Arial" w:hAnsi="Arial"/>
          <w:sz w:val="20"/>
          <w:szCs w:val="20"/>
        </w:rPr>
        <w:t xml:space="preserve"> was dose-dependent, with the 600 mg/kg extract (Group F) showing the greatest improvement, comparable to the standard drug group. This suggests that </w:t>
      </w:r>
      <w:r>
        <w:rPr>
          <w:rFonts w:ascii="Arial" w:cs="Arial" w:hAnsi="Arial"/>
          <w:i/>
          <w:sz w:val="20"/>
          <w:szCs w:val="20"/>
        </w:rPr>
        <w:t xml:space="preserve">C. </w:t>
      </w:r>
      <w:r>
        <w:rPr>
          <w:rFonts w:ascii="Arial" w:cs="Arial" w:hAnsi="Arial"/>
          <w:i/>
          <w:sz w:val="20"/>
          <w:szCs w:val="20"/>
        </w:rPr>
        <w:t>odorata</w:t>
      </w:r>
      <w:r>
        <w:rPr>
          <w:rFonts w:ascii="Arial" w:cs="Arial" w:hAnsi="Arial"/>
          <w:sz w:val="20"/>
          <w:szCs w:val="20"/>
        </w:rPr>
        <w:t xml:space="preserve"> </w:t>
      </w:r>
      <w:r>
        <w:rPr>
          <w:rFonts w:ascii="Arial" w:cs="Arial" w:hAnsi="Arial"/>
          <w:sz w:val="20"/>
          <w:szCs w:val="20"/>
        </w:rPr>
        <w:t xml:space="preserve">leaf-extract </w:t>
      </w:r>
      <w:r>
        <w:rPr>
          <w:rFonts w:ascii="Arial" w:cs="Arial" w:hAnsi="Arial"/>
          <w:sz w:val="20"/>
          <w:szCs w:val="20"/>
        </w:rPr>
        <w:t>possesses potent anti-hyperglycemic and body weight restorative properties likely due to its phytochemical constituents with antioxidant and insulin-sensitizing activities that counteract the deleterious effects of alloxan and mercury chloride on pancreatic and metabolic functions.</w:t>
      </w:r>
    </w:p>
    <w:p>
      <w:pPr>
        <w:pStyle w:val="style0"/>
        <w:spacing w:after="0" w:lineRule="auto" w:line="480"/>
        <w:jc w:val="both"/>
        <w:rPr>
          <w:rFonts w:ascii="Arial" w:cs="Arial" w:hAnsi="Arial"/>
          <w:b/>
          <w:sz w:val="20"/>
          <w:szCs w:val="20"/>
        </w:rPr>
      </w:pPr>
      <w:r>
        <w:rPr>
          <w:rFonts w:ascii="Arial" w:cs="Arial" w:hAnsi="Arial"/>
          <w:b/>
          <w:sz w:val="20"/>
          <w:szCs w:val="20"/>
        </w:rPr>
        <w:t>DISCUSSION</w:t>
      </w:r>
    </w:p>
    <w:p>
      <w:pPr>
        <w:pStyle w:val="style0"/>
        <w:spacing w:after="0" w:lineRule="auto" w:line="360"/>
        <w:jc w:val="both"/>
        <w:rPr>
          <w:rFonts w:ascii="Arial" w:cs="Arial" w:hAnsi="Arial"/>
          <w:sz w:val="20"/>
          <w:szCs w:val="20"/>
        </w:rPr>
      </w:pPr>
      <w:r>
        <w:rPr>
          <w:rFonts w:ascii="Arial" w:cs="Arial" w:hAnsi="Arial"/>
          <w:sz w:val="20"/>
          <w:szCs w:val="20"/>
        </w:rPr>
        <w:t>The study investigated the neuro</w:t>
      </w:r>
      <w:r>
        <w:rPr>
          <w:rFonts w:ascii="Arial" w:cs="Arial" w:hAnsi="Arial"/>
          <w:sz w:val="20"/>
          <w:szCs w:val="20"/>
        </w:rPr>
        <w:t>restora</w:t>
      </w:r>
      <w:r>
        <w:rPr>
          <w:rFonts w:ascii="Arial" w:cs="Arial" w:hAnsi="Arial"/>
          <w:sz w:val="20"/>
          <w:szCs w:val="20"/>
        </w:rPr>
        <w:t xml:space="preserve">tive and antidiabetic effects of </w:t>
      </w:r>
      <w:r>
        <w:rPr>
          <w:rFonts w:ascii="Arial" w:cs="Arial" w:hAnsi="Arial"/>
          <w:i/>
          <w:sz w:val="20"/>
          <w:szCs w:val="20"/>
        </w:rPr>
        <w:t>Chromolaena</w:t>
      </w:r>
      <w:r>
        <w:rPr>
          <w:rFonts w:ascii="Arial" w:cs="Arial" w:hAnsi="Arial"/>
          <w:sz w:val="20"/>
          <w:szCs w:val="20"/>
        </w:rPr>
        <w:t xml:space="preserve"> </w:t>
      </w:r>
      <w:r>
        <w:rPr>
          <w:rFonts w:ascii="Arial" w:cs="Arial" w:hAnsi="Arial"/>
          <w:i/>
          <w:sz w:val="20"/>
          <w:szCs w:val="20"/>
        </w:rPr>
        <w:t>odorata</w:t>
      </w:r>
      <w:r>
        <w:rPr>
          <w:rFonts w:ascii="Arial" w:cs="Arial" w:hAnsi="Arial"/>
          <w:sz w:val="20"/>
          <w:szCs w:val="20"/>
        </w:rPr>
        <w:t xml:space="preserve"> </w:t>
      </w:r>
      <w:r>
        <w:rPr>
          <w:rFonts w:ascii="Arial" w:cs="Arial" w:hAnsi="Arial"/>
          <w:sz w:val="20"/>
          <w:szCs w:val="20"/>
        </w:rPr>
        <w:t>l</w:t>
      </w:r>
      <w:r>
        <w:rPr>
          <w:rFonts w:ascii="Arial" w:cs="Arial" w:hAnsi="Arial"/>
          <w:sz w:val="20"/>
          <w:szCs w:val="20"/>
        </w:rPr>
        <w:t>eaf-</w:t>
      </w:r>
      <w:r>
        <w:rPr>
          <w:rFonts w:ascii="Arial" w:cs="Arial" w:hAnsi="Arial"/>
          <w:sz w:val="20"/>
          <w:szCs w:val="20"/>
        </w:rPr>
        <w:t>e</w:t>
      </w:r>
      <w:r>
        <w:rPr>
          <w:rFonts w:ascii="Arial" w:cs="Arial" w:hAnsi="Arial"/>
          <w:sz w:val="20"/>
          <w:szCs w:val="20"/>
        </w:rPr>
        <w:t>xtract on the substantia nigra of diabetic rats exposed to mercury, a histopathological study. The substantia nigra is highly susceptible to oxidative stress. Alloxan is known to cause diabetes mellitus by selectively destroying pancreatic β-cells leading to hyperglycemia and the overproduction of reactive oxygen species (ROS). Mercury chloride is a well-established environmental neurotoxin that disrupts cellular metabolism, damages mitochondria and induces apoptosis in neuronal cells. The combination of both agents in this study successfully produced a model of oxidative neurotoxicity.</w:t>
      </w:r>
    </w:p>
    <w:p>
      <w:pPr>
        <w:pStyle w:val="style0"/>
        <w:spacing w:after="0" w:lineRule="auto" w:line="360"/>
        <w:jc w:val="both"/>
        <w:rPr>
          <w:rFonts w:ascii="Arial" w:cs="Arial" w:hAnsi="Arial"/>
          <w:sz w:val="20"/>
          <w:szCs w:val="20"/>
        </w:rPr>
      </w:pPr>
    </w:p>
    <w:p>
      <w:pPr>
        <w:pStyle w:val="style0"/>
        <w:spacing w:after="0" w:lineRule="auto" w:line="360"/>
        <w:jc w:val="both"/>
        <w:rPr>
          <w:rFonts w:ascii="Arial" w:cs="Arial" w:hAnsi="Arial"/>
          <w:sz w:val="20"/>
          <w:szCs w:val="20"/>
        </w:rPr>
      </w:pPr>
      <w:r>
        <w:rPr>
          <w:rFonts w:ascii="Arial" w:cs="Arial" w:hAnsi="Arial"/>
          <w:sz w:val="20"/>
          <w:szCs w:val="20"/>
        </w:rPr>
        <w:t xml:space="preserve">Histologically, rats in the negative control group (Group B) exhibited extensive vacuolation, neuronal necrosis and disorganization of the nigral architecture. These findings agree with the observations of </w:t>
      </w:r>
      <w:bookmarkStart w:id="16" w:name="_Hlk212715193"/>
      <w:r>
        <w:rPr>
          <w:rFonts w:ascii="Arial" w:cs="Arial" w:hAnsi="Arial"/>
          <w:sz w:val="20"/>
          <w:szCs w:val="20"/>
        </w:rPr>
        <w:t xml:space="preserve">Adebayo et al. (2021) </w:t>
      </w:r>
      <w:bookmarkEnd w:id="16"/>
      <w:r>
        <w:rPr>
          <w:rFonts w:ascii="Arial" w:cs="Arial" w:hAnsi="Arial"/>
          <w:sz w:val="20"/>
          <w:szCs w:val="20"/>
        </w:rPr>
        <w:t xml:space="preserve">who reported that mercury-induced oxidative stress results in neuronal degeneration and gliosis. Similarly, Adebiyi </w:t>
      </w:r>
      <w:r>
        <w:rPr>
          <w:rFonts w:ascii="Arial" w:cs="Arial" w:hAnsi="Arial"/>
          <w:i/>
          <w:sz w:val="20"/>
          <w:szCs w:val="20"/>
        </w:rPr>
        <w:t>et al.</w:t>
      </w:r>
      <w:r>
        <w:rPr>
          <w:rFonts w:ascii="Arial" w:cs="Arial" w:hAnsi="Arial"/>
          <w:sz w:val="20"/>
          <w:szCs w:val="20"/>
        </w:rPr>
        <w:t xml:space="preserve"> (2020) observed that alloxan-induced hyperglycemia enhances lipid peroxidation and contributes to brain tissue injury.</w:t>
      </w:r>
    </w:p>
    <w:p>
      <w:pPr>
        <w:pStyle w:val="style0"/>
        <w:spacing w:after="0" w:lineRule="auto" w:line="480"/>
        <w:jc w:val="both"/>
        <w:rPr>
          <w:rFonts w:ascii="Arial" w:cs="Arial" w:hAnsi="Arial"/>
          <w:sz w:val="20"/>
          <w:szCs w:val="20"/>
        </w:rPr>
      </w:pPr>
    </w:p>
    <w:p>
      <w:pPr>
        <w:pStyle w:val="style0"/>
        <w:spacing w:after="0" w:lineRule="auto" w:line="360"/>
        <w:jc w:val="both"/>
        <w:rPr>
          <w:rFonts w:ascii="Arial" w:cs="Arial" w:hAnsi="Arial"/>
          <w:sz w:val="20"/>
          <w:szCs w:val="20"/>
        </w:rPr>
      </w:pPr>
      <w:r>
        <w:rPr>
          <w:rFonts w:ascii="Arial" w:cs="Arial" w:hAnsi="Arial"/>
          <w:sz w:val="20"/>
          <w:szCs w:val="20"/>
        </w:rPr>
        <w:t xml:space="preserve">The findings of this study demonstrated that induction of alloxan leading to diabetes and mercury chloride exposure caused marked neurodegenerative changes in the histoarchitecture of the substantia nigra while treatment with </w:t>
      </w:r>
      <w:r>
        <w:rPr>
          <w:rFonts w:ascii="Arial" w:cs="Arial" w:hAnsi="Arial"/>
          <w:i/>
          <w:sz w:val="20"/>
          <w:szCs w:val="20"/>
        </w:rPr>
        <w:t>Chromolaena odorata</w:t>
      </w:r>
      <w:r>
        <w:rPr>
          <w:rFonts w:ascii="Arial" w:cs="Arial" w:hAnsi="Arial"/>
          <w:sz w:val="20"/>
          <w:szCs w:val="20"/>
        </w:rPr>
        <w:t xml:space="preserve"> leaf-extract significantly ameliorated these alterations in a dose-dependent manner. Treatment with </w:t>
      </w:r>
      <w:r>
        <w:rPr>
          <w:rFonts w:ascii="Arial" w:cs="Arial" w:hAnsi="Arial"/>
          <w:i/>
          <w:sz w:val="20"/>
          <w:szCs w:val="20"/>
        </w:rPr>
        <w:t>Chromolaena odorata</w:t>
      </w:r>
      <w:r>
        <w:rPr>
          <w:rFonts w:ascii="Arial" w:cs="Arial" w:hAnsi="Arial"/>
          <w:sz w:val="20"/>
          <w:szCs w:val="20"/>
        </w:rPr>
        <w:t xml:space="preserve"> extract produced significant improvement in nigral histoarchitecture. The 200mg/kg of the extract administered to Group D showed mild restoration of the nigral architecture while the 600mg/kg of the extract administered to Group F revealed near-normal histological features comparable to the normal control (Group A). These results suggest that </w:t>
      </w:r>
      <w:r>
        <w:rPr>
          <w:rFonts w:ascii="Arial" w:cs="Arial" w:hAnsi="Arial"/>
          <w:i/>
          <w:sz w:val="20"/>
          <w:szCs w:val="20"/>
        </w:rPr>
        <w:t>C.</w:t>
      </w:r>
      <w:r>
        <w:rPr>
          <w:rFonts w:ascii="Arial" w:cs="Arial" w:hAnsi="Arial"/>
          <w:sz w:val="20"/>
          <w:szCs w:val="20"/>
        </w:rPr>
        <w:t xml:space="preserve"> </w:t>
      </w:r>
      <w:r>
        <w:rPr>
          <w:rFonts w:ascii="Arial" w:cs="Arial" w:hAnsi="Arial"/>
          <w:i/>
          <w:sz w:val="20"/>
          <w:szCs w:val="20"/>
        </w:rPr>
        <w:t xml:space="preserve">odorata </w:t>
      </w:r>
      <w:r>
        <w:rPr>
          <w:rFonts w:ascii="Arial" w:cs="Arial" w:hAnsi="Arial"/>
          <w:sz w:val="20"/>
          <w:szCs w:val="20"/>
        </w:rPr>
        <w:t>leaf-extract</w:t>
      </w:r>
      <w:r>
        <w:rPr>
          <w:rFonts w:ascii="Arial" w:cs="Arial" w:hAnsi="Arial"/>
          <w:i/>
          <w:sz w:val="20"/>
          <w:szCs w:val="20"/>
        </w:rPr>
        <w:t xml:space="preserve"> </w:t>
      </w:r>
      <w:r>
        <w:rPr>
          <w:rFonts w:ascii="Arial" w:cs="Arial" w:hAnsi="Arial"/>
          <w:sz w:val="20"/>
          <w:szCs w:val="20"/>
        </w:rPr>
        <w:t>exerts a dose-dependent effect, potentially due to its rich phytochemical profile containing flavonoids, tannins, alkaloids, saponins and phenolic compounds. These constituents possess strong antioxidant, anti-inflammatory and antidiabetic properties that scavenge free radicals and stabilize cellular membranes and metabolic processes.</w:t>
      </w:r>
    </w:p>
    <w:p>
      <w:pPr>
        <w:pStyle w:val="style0"/>
        <w:spacing w:after="0" w:lineRule="auto" w:line="480"/>
        <w:jc w:val="both"/>
        <w:rPr>
          <w:rFonts w:ascii="Arial" w:cs="Arial" w:hAnsi="Arial"/>
          <w:b/>
          <w:sz w:val="20"/>
          <w:szCs w:val="20"/>
        </w:rPr>
      </w:pPr>
    </w:p>
    <w:p>
      <w:pPr>
        <w:pStyle w:val="style0"/>
        <w:spacing w:after="0" w:lineRule="auto" w:line="360"/>
        <w:jc w:val="both"/>
        <w:rPr>
          <w:rFonts w:ascii="Arial" w:cs="Arial" w:hAnsi="Arial"/>
          <w:sz w:val="20"/>
          <w:szCs w:val="20"/>
        </w:rPr>
      </w:pPr>
      <w:r>
        <w:rPr>
          <w:rFonts w:ascii="Arial" w:cs="Arial" w:hAnsi="Arial"/>
          <w:sz w:val="20"/>
          <w:szCs w:val="20"/>
        </w:rPr>
        <w:t>Metformin, which is a</w:t>
      </w:r>
      <w:r>
        <w:rPr>
          <w:rFonts w:ascii="Arial" w:cs="Arial" w:hAnsi="Arial"/>
          <w:sz w:val="20"/>
          <w:szCs w:val="20"/>
        </w:rPr>
        <w:t xml:space="preserve"> well-</w:t>
      </w:r>
      <w:r>
        <w:rPr>
          <w:rFonts w:ascii="Arial" w:cs="Arial" w:hAnsi="Arial"/>
          <w:sz w:val="20"/>
          <w:szCs w:val="20"/>
        </w:rPr>
        <w:t xml:space="preserve">known standard antidiabetic drug, served as a reference treatment (Standard Group) in the study. The metformin-treated group (Group C) exhibited partial restoration of tissue architecture when compared with the negative control (Group B). However, </w:t>
      </w:r>
      <w:r>
        <w:rPr>
          <w:rFonts w:ascii="Arial" w:cs="Arial" w:hAnsi="Arial"/>
          <w:i/>
          <w:sz w:val="20"/>
          <w:szCs w:val="20"/>
        </w:rPr>
        <w:t>Chromolaena odorata</w:t>
      </w:r>
      <w:r>
        <w:rPr>
          <w:rFonts w:ascii="Arial" w:cs="Arial" w:hAnsi="Arial"/>
          <w:sz w:val="20"/>
          <w:szCs w:val="20"/>
        </w:rPr>
        <w:t xml:space="preserve"> leaf-extract at 600mg/kg showed comparable restorative effects to metformin suggesting that the extract possesses both metabolic and neurorestorative benefits. These findings suggest that </w:t>
      </w:r>
      <w:r>
        <w:rPr>
          <w:rFonts w:ascii="Arial" w:cs="Arial" w:hAnsi="Arial"/>
          <w:i/>
          <w:sz w:val="20"/>
          <w:szCs w:val="20"/>
        </w:rPr>
        <w:t>C.</w:t>
      </w:r>
      <w:r>
        <w:rPr>
          <w:rFonts w:ascii="Arial" w:cs="Arial" w:hAnsi="Arial"/>
          <w:sz w:val="20"/>
          <w:szCs w:val="20"/>
        </w:rPr>
        <w:t xml:space="preserve"> </w:t>
      </w:r>
      <w:r>
        <w:rPr>
          <w:rFonts w:ascii="Arial" w:cs="Arial" w:hAnsi="Arial"/>
          <w:i/>
          <w:sz w:val="20"/>
          <w:szCs w:val="20"/>
        </w:rPr>
        <w:t>odorata</w:t>
      </w:r>
      <w:r>
        <w:rPr>
          <w:rFonts w:ascii="Arial" w:cs="Arial" w:hAnsi="Arial"/>
          <w:sz w:val="20"/>
          <w:szCs w:val="20"/>
        </w:rPr>
        <w:t xml:space="preserve"> leaf-extract may not only regulate oxidative stress but also enhance neuronal recovery mechanisms.</w:t>
      </w:r>
    </w:p>
    <w:bookmarkStart w:id="17" w:name="_Hlk227075059"/>
    <w:p>
      <w:pPr>
        <w:pStyle w:val="style0"/>
        <w:spacing w:after="0" w:lineRule="auto" w:line="480"/>
        <w:jc w:val="both"/>
        <w:rPr>
          <w:rFonts w:ascii="Arial" w:cs="Arial" w:hAnsi="Arial"/>
          <w:b/>
          <w:sz w:val="20"/>
          <w:szCs w:val="20"/>
        </w:rPr>
      </w:pPr>
    </w:p>
    <w:bookmarkEnd w:id="17"/>
    <w:p>
      <w:pPr>
        <w:pStyle w:val="style0"/>
        <w:spacing w:lineRule="auto" w:line="360"/>
        <w:jc w:val="both"/>
        <w:rPr>
          <w:rFonts w:ascii="Arial" w:cs="Arial" w:hAnsi="Arial"/>
          <w:sz w:val="20"/>
          <w:szCs w:val="20"/>
        </w:rPr>
      </w:pPr>
      <w:r>
        <w:rPr>
          <w:rFonts w:ascii="Arial" w:cs="Arial" w:hAnsi="Arial"/>
          <w:sz w:val="20"/>
          <w:szCs w:val="20"/>
        </w:rPr>
        <w:t xml:space="preserve">In summary, alloxan and mercury chloride induced severe histopathological alterations in the substantia nigra of male Wistar rats, characterized by neuronal degeneration, gliosis and destruction of the beta-cells of the pancreas. </w:t>
      </w:r>
      <w:r>
        <w:rPr>
          <w:rFonts w:ascii="Arial" w:cs="Arial" w:hAnsi="Arial"/>
          <w:i/>
          <w:sz w:val="20"/>
          <w:szCs w:val="20"/>
        </w:rPr>
        <w:t>Chromolaena</w:t>
      </w:r>
      <w:r>
        <w:rPr>
          <w:rFonts w:ascii="Arial" w:cs="Arial" w:hAnsi="Arial"/>
          <w:i/>
          <w:sz w:val="20"/>
          <w:szCs w:val="20"/>
        </w:rPr>
        <w:t xml:space="preserve"> </w:t>
      </w:r>
      <w:r>
        <w:rPr>
          <w:rFonts w:ascii="Arial" w:cs="Arial" w:hAnsi="Arial"/>
          <w:i/>
          <w:sz w:val="20"/>
          <w:szCs w:val="20"/>
        </w:rPr>
        <w:t>odorata</w:t>
      </w:r>
      <w:r>
        <w:rPr>
          <w:rFonts w:ascii="Arial" w:cs="Arial" w:hAnsi="Arial"/>
          <w:sz w:val="20"/>
          <w:szCs w:val="20"/>
        </w:rPr>
        <w:t xml:space="preserve"> </w:t>
      </w:r>
      <w:r>
        <w:rPr>
          <w:rFonts w:ascii="Arial" w:cs="Arial" w:hAnsi="Arial"/>
          <w:sz w:val="20"/>
          <w:szCs w:val="20"/>
        </w:rPr>
        <w:t>leaf-</w:t>
      </w:r>
      <w:r>
        <w:rPr>
          <w:rFonts w:ascii="Arial" w:cs="Arial" w:hAnsi="Arial"/>
          <w:sz w:val="20"/>
          <w:szCs w:val="20"/>
        </w:rPr>
        <w:t xml:space="preserve">extract caused dose-dependent amelioration, improving cellular integrity and also enhanced metabolic processes. The 600mg/kg dose of </w:t>
      </w:r>
      <w:r>
        <w:rPr>
          <w:rFonts w:ascii="Arial" w:cs="Arial" w:hAnsi="Arial"/>
          <w:i/>
          <w:sz w:val="20"/>
          <w:szCs w:val="20"/>
        </w:rPr>
        <w:t>C</w:t>
      </w:r>
      <w:r>
        <w:rPr>
          <w:rFonts w:ascii="Arial" w:cs="Arial" w:hAnsi="Arial"/>
          <w:sz w:val="20"/>
          <w:szCs w:val="20"/>
        </w:rPr>
        <w:t xml:space="preserve">. </w:t>
      </w:r>
      <w:r>
        <w:rPr>
          <w:rFonts w:ascii="Arial" w:cs="Arial" w:hAnsi="Arial"/>
          <w:i/>
          <w:sz w:val="20"/>
          <w:szCs w:val="20"/>
        </w:rPr>
        <w:t>odorata</w:t>
      </w:r>
      <w:r>
        <w:rPr>
          <w:rFonts w:ascii="Arial" w:cs="Arial" w:hAnsi="Arial"/>
          <w:sz w:val="20"/>
          <w:szCs w:val="20"/>
        </w:rPr>
        <w:t xml:space="preserve"> leaf-extract demonstrated the highest neurorestorative potential with results comparable to the standard drug, metformin.</w:t>
      </w:r>
    </w:p>
    <w:p>
      <w:pPr>
        <w:pStyle w:val="style0"/>
        <w:spacing w:after="0" w:lineRule="auto" w:line="480"/>
        <w:jc w:val="both"/>
        <w:rPr>
          <w:rFonts w:ascii="Arial" w:cs="Arial" w:hAnsi="Arial"/>
          <w:b/>
          <w:sz w:val="20"/>
          <w:szCs w:val="20"/>
        </w:rPr>
      </w:pPr>
      <w:r>
        <w:rPr>
          <w:rFonts w:ascii="Arial" w:cs="Arial" w:hAnsi="Arial"/>
          <w:b/>
          <w:sz w:val="20"/>
          <w:szCs w:val="20"/>
        </w:rPr>
        <w:t>LIMITATIONS OF THE STUDY</w:t>
      </w:r>
    </w:p>
    <w:p>
      <w:pPr>
        <w:pStyle w:val="style0"/>
        <w:spacing w:after="0" w:lineRule="auto" w:line="360"/>
        <w:jc w:val="both"/>
        <w:rPr>
          <w:rFonts w:ascii="Arial" w:cs="Arial" w:hAnsi="Arial"/>
          <w:sz w:val="20"/>
          <w:szCs w:val="20"/>
        </w:rPr>
      </w:pPr>
      <w:r>
        <w:rPr>
          <w:rFonts w:ascii="Arial" w:cs="Arial" w:hAnsi="Arial"/>
          <w:b/>
          <w:sz w:val="20"/>
          <w:szCs w:val="20"/>
        </w:rPr>
        <w:t xml:space="preserve">Use of an animal model: </w:t>
      </w:r>
      <w:r>
        <w:rPr>
          <w:rFonts w:ascii="Arial" w:cs="Arial" w:hAnsi="Arial"/>
          <w:sz w:val="20"/>
          <w:szCs w:val="20"/>
        </w:rPr>
        <w:t xml:space="preserve">The experiment was conducted on Wistar rats and although they are commonly used in biomedical research, the results may not fully represent the exact response in humans. Interspecies differences limited translation to humans. Additionally, alloxan induction caused type 1 diabetes and dosage of </w:t>
      </w:r>
      <w:r>
        <w:rPr>
          <w:rFonts w:ascii="Arial" w:cs="Arial" w:hAnsi="Arial"/>
          <w:i/>
          <w:sz w:val="20"/>
          <w:szCs w:val="20"/>
        </w:rPr>
        <w:t>chromolaena</w:t>
      </w:r>
      <w:r>
        <w:rPr>
          <w:rFonts w:ascii="Arial" w:cs="Arial" w:hAnsi="Arial"/>
          <w:sz w:val="20"/>
          <w:szCs w:val="20"/>
        </w:rPr>
        <w:t xml:space="preserve"> </w:t>
      </w:r>
      <w:r>
        <w:rPr>
          <w:rFonts w:ascii="Arial" w:cs="Arial" w:hAnsi="Arial"/>
          <w:i/>
          <w:sz w:val="20"/>
          <w:szCs w:val="20"/>
        </w:rPr>
        <w:t>odorata</w:t>
      </w:r>
      <w:r>
        <w:rPr>
          <w:rFonts w:ascii="Arial" w:cs="Arial" w:hAnsi="Arial"/>
          <w:sz w:val="20"/>
          <w:szCs w:val="20"/>
        </w:rPr>
        <w:t xml:space="preserve"> leaf-extract may not directly reflect human pharmacological responses.</w:t>
      </w:r>
    </w:p>
    <w:p>
      <w:pPr>
        <w:pStyle w:val="style0"/>
        <w:spacing w:after="0" w:lineRule="auto" w:line="480"/>
        <w:jc w:val="both"/>
        <w:rPr>
          <w:rFonts w:ascii="Arial" w:cs="Arial" w:hAnsi="Arial"/>
          <w:b/>
          <w:sz w:val="20"/>
          <w:szCs w:val="20"/>
        </w:rPr>
      </w:pPr>
    </w:p>
    <w:p>
      <w:pPr>
        <w:pStyle w:val="style0"/>
        <w:spacing w:after="0" w:lineRule="auto" w:line="360"/>
        <w:jc w:val="both"/>
        <w:rPr>
          <w:rFonts w:ascii="Arial" w:cs="Arial" w:hAnsi="Arial"/>
          <w:sz w:val="20"/>
          <w:szCs w:val="20"/>
        </w:rPr>
      </w:pPr>
      <w:r>
        <w:rPr>
          <w:rFonts w:ascii="Arial" w:cs="Arial" w:hAnsi="Arial"/>
          <w:b/>
          <w:sz w:val="20"/>
          <w:szCs w:val="20"/>
        </w:rPr>
        <w:t xml:space="preserve">Short duration of exposure and treatment: </w:t>
      </w:r>
      <w:r>
        <w:rPr>
          <w:rFonts w:ascii="Arial" w:cs="Arial" w:hAnsi="Arial"/>
          <w:sz w:val="20"/>
          <w:szCs w:val="20"/>
        </w:rPr>
        <w:t xml:space="preserve">The duration of mercury exposure and the leaf-extract of </w:t>
      </w:r>
      <w:r>
        <w:rPr>
          <w:rFonts w:ascii="Arial" w:cs="Arial" w:hAnsi="Arial"/>
          <w:i/>
          <w:sz w:val="20"/>
          <w:szCs w:val="20"/>
        </w:rPr>
        <w:t>Chromolaena odorata</w:t>
      </w:r>
      <w:r>
        <w:rPr>
          <w:rFonts w:ascii="Arial" w:cs="Arial" w:hAnsi="Arial"/>
          <w:sz w:val="20"/>
          <w:szCs w:val="20"/>
        </w:rPr>
        <w:t xml:space="preserve"> treatment was relatively short, which may not reflect the chronic and progressive nature of diabetes and neurodegeneration in humans, thereby limiting extrapolation of the long-term effects of </w:t>
      </w:r>
      <w:r>
        <w:rPr>
          <w:rFonts w:ascii="Arial" w:cs="Arial" w:hAnsi="Arial"/>
          <w:i/>
          <w:sz w:val="20"/>
          <w:szCs w:val="20"/>
        </w:rPr>
        <w:t>chromolaena</w:t>
      </w:r>
      <w:r>
        <w:rPr>
          <w:rFonts w:ascii="Arial" w:cs="Arial" w:hAnsi="Arial"/>
          <w:sz w:val="20"/>
          <w:szCs w:val="20"/>
        </w:rPr>
        <w:t xml:space="preserve"> </w:t>
      </w:r>
      <w:r>
        <w:rPr>
          <w:rFonts w:ascii="Arial" w:cs="Arial" w:hAnsi="Arial"/>
          <w:i/>
          <w:sz w:val="20"/>
          <w:szCs w:val="20"/>
        </w:rPr>
        <w:t>odorata</w:t>
      </w:r>
      <w:r>
        <w:rPr>
          <w:rFonts w:ascii="Arial" w:cs="Arial" w:hAnsi="Arial"/>
          <w:sz w:val="20"/>
          <w:szCs w:val="20"/>
        </w:rPr>
        <w:t xml:space="preserve"> leaf-extract to clinical settings.</w:t>
      </w:r>
    </w:p>
    <w:p>
      <w:pPr>
        <w:pStyle w:val="style0"/>
        <w:spacing w:after="0" w:lineRule="auto" w:line="360"/>
        <w:jc w:val="both"/>
        <w:rPr>
          <w:rFonts w:ascii="Arial" w:cs="Arial" w:hAnsi="Arial"/>
          <w:sz w:val="20"/>
          <w:szCs w:val="20"/>
        </w:rPr>
      </w:pPr>
    </w:p>
    <w:p>
      <w:pPr>
        <w:pStyle w:val="style0"/>
        <w:spacing w:after="0" w:lineRule="auto" w:line="360"/>
        <w:jc w:val="both"/>
        <w:rPr>
          <w:rFonts w:ascii="Arial" w:cs="Arial" w:hAnsi="Arial"/>
          <w:sz w:val="20"/>
          <w:szCs w:val="20"/>
        </w:rPr>
      </w:pPr>
      <w:r>
        <w:rPr>
          <w:rFonts w:ascii="Arial" w:cs="Arial" w:hAnsi="Arial"/>
          <w:b/>
          <w:sz w:val="20"/>
          <w:szCs w:val="20"/>
        </w:rPr>
        <w:t>Variation in plant extract composition:</w:t>
      </w:r>
      <w:r>
        <w:rPr>
          <w:rFonts w:ascii="Arial" w:cs="Arial" w:hAnsi="Arial"/>
          <w:sz w:val="20"/>
          <w:szCs w:val="20"/>
        </w:rPr>
        <w:t xml:space="preserve"> The phytochemical composition of </w:t>
      </w:r>
      <w:r>
        <w:rPr>
          <w:rFonts w:ascii="Arial" w:cs="Arial" w:hAnsi="Arial"/>
          <w:i/>
          <w:sz w:val="20"/>
          <w:szCs w:val="20"/>
        </w:rPr>
        <w:t>Chromolaena odorata</w:t>
      </w:r>
      <w:r>
        <w:rPr>
          <w:rFonts w:ascii="Arial" w:cs="Arial" w:hAnsi="Arial"/>
          <w:sz w:val="20"/>
          <w:szCs w:val="20"/>
        </w:rPr>
        <w:t xml:space="preserve"> extract may vary depending on factors such as harvesting time, environment, part of the plant used and extraction method, which may affect reproducibility.</w:t>
      </w:r>
    </w:p>
    <w:p>
      <w:pPr>
        <w:pStyle w:val="style0"/>
        <w:spacing w:after="0" w:lineRule="auto" w:line="480"/>
        <w:jc w:val="both"/>
        <w:rPr>
          <w:rFonts w:ascii="Arial" w:cs="Arial" w:hAnsi="Arial"/>
          <w:sz w:val="20"/>
          <w:szCs w:val="20"/>
        </w:rPr>
      </w:pPr>
    </w:p>
    <w:p>
      <w:pPr>
        <w:pStyle w:val="style0"/>
        <w:spacing w:after="0" w:lineRule="auto" w:line="360"/>
        <w:jc w:val="both"/>
        <w:rPr>
          <w:rFonts w:ascii="Arial" w:cs="Arial" w:hAnsi="Arial"/>
          <w:sz w:val="20"/>
          <w:szCs w:val="20"/>
        </w:rPr>
      </w:pPr>
      <w:r>
        <w:rPr>
          <w:rFonts w:ascii="Arial" w:cs="Arial" w:hAnsi="Arial"/>
          <w:b/>
          <w:sz w:val="20"/>
          <w:szCs w:val="20"/>
        </w:rPr>
        <w:t xml:space="preserve">Dose limitation: </w:t>
      </w:r>
      <w:r>
        <w:rPr>
          <w:rFonts w:ascii="Arial" w:cs="Arial" w:hAnsi="Arial"/>
          <w:sz w:val="20"/>
          <w:szCs w:val="20"/>
        </w:rPr>
        <w:t>Only three (3) number of doses (200mg/kg, 400mg/kg and 600mg/kg body weight) of the plant leaf-extract, 3mgkg body weight of mercury chloride and 150mg/kg body weight were evaluated, which may not fully determine the dose–response relationship.</w:t>
      </w:r>
    </w:p>
    <w:p>
      <w:pPr>
        <w:pStyle w:val="style0"/>
        <w:spacing w:after="0" w:lineRule="auto" w:line="360"/>
        <w:jc w:val="both"/>
        <w:rPr>
          <w:rFonts w:ascii="Arial" w:cs="Arial" w:hAnsi="Arial"/>
          <w:sz w:val="20"/>
          <w:szCs w:val="20"/>
        </w:rPr>
      </w:pPr>
    </w:p>
    <w:p>
      <w:pPr>
        <w:pStyle w:val="style0"/>
        <w:spacing w:after="0" w:lineRule="auto" w:line="360"/>
        <w:jc w:val="both"/>
        <w:rPr>
          <w:rFonts w:ascii="Arial" w:cs="Arial" w:hAnsi="Arial"/>
          <w:sz w:val="20"/>
          <w:szCs w:val="20"/>
        </w:rPr>
      </w:pPr>
      <w:r>
        <w:rPr>
          <w:rFonts w:ascii="Arial" w:cs="Arial" w:hAnsi="Arial"/>
          <w:b/>
          <w:sz w:val="20"/>
          <w:szCs w:val="20"/>
        </w:rPr>
        <w:t xml:space="preserve">Restricted brain regions examined: </w:t>
      </w:r>
      <w:r>
        <w:rPr>
          <w:rFonts w:ascii="Arial" w:cs="Arial" w:hAnsi="Arial"/>
          <w:sz w:val="20"/>
          <w:szCs w:val="20"/>
        </w:rPr>
        <w:t>The present study examined only the substantia nigra while mercury toxicity and diabetes can also affect other brain regions such as the hippocampus, cerebellum and cerebral cortex.</w:t>
      </w:r>
    </w:p>
    <w:p>
      <w:pPr>
        <w:pStyle w:val="style0"/>
        <w:spacing w:after="0" w:lineRule="auto" w:line="480"/>
        <w:jc w:val="both"/>
        <w:rPr>
          <w:rFonts w:ascii="Arial" w:cs="Arial" w:hAnsi="Arial"/>
          <w:b/>
          <w:sz w:val="20"/>
          <w:szCs w:val="20"/>
        </w:rPr>
      </w:pPr>
    </w:p>
    <w:p>
      <w:pPr>
        <w:pStyle w:val="style0"/>
        <w:spacing w:after="0" w:lineRule="auto" w:line="480"/>
        <w:jc w:val="both"/>
        <w:rPr>
          <w:rFonts w:ascii="Arial" w:cs="Arial" w:hAnsi="Arial"/>
          <w:b/>
          <w:sz w:val="20"/>
          <w:szCs w:val="20"/>
        </w:rPr>
      </w:pPr>
      <w:r>
        <w:rPr>
          <w:rFonts w:ascii="Arial" w:cs="Arial" w:hAnsi="Arial"/>
          <w:b/>
          <w:sz w:val="20"/>
          <w:szCs w:val="20"/>
        </w:rPr>
        <w:t>CONCLUSION</w:t>
      </w:r>
    </w:p>
    <w:bookmarkStart w:id="18" w:name="_Hlk227075235"/>
    <w:p>
      <w:pPr>
        <w:pStyle w:val="style0"/>
        <w:spacing w:after="0" w:lineRule="auto" w:line="360"/>
        <w:jc w:val="both"/>
        <w:rPr>
          <w:rFonts w:ascii="Arial" w:cs="Arial" w:hAnsi="Arial"/>
          <w:sz w:val="20"/>
          <w:szCs w:val="20"/>
        </w:rPr>
      </w:pPr>
      <w:r>
        <w:rPr>
          <w:rFonts w:ascii="Arial" w:cs="Arial" w:hAnsi="Arial"/>
          <w:sz w:val="20"/>
          <w:szCs w:val="20"/>
        </w:rPr>
        <w:t xml:space="preserve">In conclusion, this research established that </w:t>
      </w:r>
      <w:r>
        <w:rPr>
          <w:rFonts w:ascii="Arial" w:cs="Arial" w:hAnsi="Arial"/>
          <w:i/>
          <w:sz w:val="20"/>
          <w:szCs w:val="20"/>
        </w:rPr>
        <w:t>Chromolaena odorata</w:t>
      </w:r>
      <w:r>
        <w:rPr>
          <w:rFonts w:ascii="Arial" w:cs="Arial" w:hAnsi="Arial"/>
          <w:sz w:val="20"/>
          <w:szCs w:val="20"/>
        </w:rPr>
        <w:t xml:space="preserve"> leaf-extract may offer significant restorative effects on nigral neurons of diabetic Wistar rats exposed to mercury chloride. The extract restored tissue morphology</w:t>
      </w:r>
      <w:r>
        <w:rPr>
          <w:rFonts w:ascii="Arial" w:cs="Arial" w:hAnsi="Arial"/>
          <w:sz w:val="20"/>
          <w:szCs w:val="20"/>
        </w:rPr>
        <w:t xml:space="preserve"> and </w:t>
      </w:r>
      <w:r>
        <w:rPr>
          <w:rFonts w:ascii="Arial" w:cs="Arial" w:hAnsi="Arial"/>
          <w:sz w:val="20"/>
          <w:szCs w:val="20"/>
        </w:rPr>
        <w:t>neuronal integrity</w:t>
      </w:r>
      <w:r>
        <w:rPr>
          <w:rFonts w:ascii="Arial" w:cs="Arial" w:hAnsi="Arial"/>
          <w:sz w:val="20"/>
          <w:szCs w:val="20"/>
        </w:rPr>
        <w:t>. These beneficial effects</w:t>
      </w:r>
      <w:r>
        <w:rPr>
          <w:rFonts w:ascii="Arial" w:cs="Arial" w:hAnsi="Arial"/>
          <w:sz w:val="20"/>
          <w:szCs w:val="20"/>
        </w:rPr>
        <w:t xml:space="preserve"> of </w:t>
      </w:r>
      <w:r>
        <w:rPr>
          <w:rFonts w:ascii="Arial" w:cs="Arial" w:hAnsi="Arial"/>
          <w:i/>
          <w:sz w:val="20"/>
          <w:szCs w:val="20"/>
        </w:rPr>
        <w:t>Chromolaena</w:t>
      </w:r>
      <w:r>
        <w:rPr>
          <w:rFonts w:ascii="Arial" w:cs="Arial" w:hAnsi="Arial"/>
          <w:i/>
          <w:sz w:val="20"/>
          <w:szCs w:val="20"/>
        </w:rPr>
        <w:t xml:space="preserve"> </w:t>
      </w:r>
      <w:r>
        <w:rPr>
          <w:rFonts w:ascii="Arial" w:cs="Arial" w:hAnsi="Arial"/>
          <w:i/>
          <w:sz w:val="20"/>
          <w:szCs w:val="20"/>
        </w:rPr>
        <w:t>odorata</w:t>
      </w:r>
      <w:r>
        <w:rPr>
          <w:rFonts w:ascii="Arial" w:cs="Arial" w:hAnsi="Arial"/>
          <w:sz w:val="20"/>
          <w:szCs w:val="20"/>
        </w:rPr>
        <w:t xml:space="preserve"> leaf-extract</w:t>
      </w:r>
      <w:r>
        <w:rPr>
          <w:rFonts w:ascii="Arial" w:cs="Arial" w:hAnsi="Arial"/>
          <w:sz w:val="20"/>
          <w:szCs w:val="20"/>
        </w:rPr>
        <w:t xml:space="preserve"> were dose-dependent, with the 600mg/kg</w:t>
      </w:r>
      <w:r>
        <w:rPr>
          <w:rFonts w:ascii="Arial" w:cs="Arial" w:hAnsi="Arial"/>
          <w:sz w:val="20"/>
          <w:szCs w:val="20"/>
        </w:rPr>
        <w:t xml:space="preserve"> </w:t>
      </w:r>
      <w:r>
        <w:rPr>
          <w:rFonts w:ascii="Arial" w:cs="Arial" w:hAnsi="Arial"/>
          <w:sz w:val="20"/>
          <w:szCs w:val="20"/>
        </w:rPr>
        <w:t>dose</w:t>
      </w:r>
      <w:r>
        <w:rPr>
          <w:rFonts w:ascii="Arial" w:cs="Arial" w:hAnsi="Arial"/>
          <w:sz w:val="20"/>
          <w:szCs w:val="20"/>
        </w:rPr>
        <w:t xml:space="preserve"> showing the most remarkable improvement in the nigral histoarchitecture. Therefore, </w:t>
      </w:r>
      <w:r>
        <w:rPr>
          <w:rFonts w:ascii="Arial" w:cs="Arial" w:hAnsi="Arial"/>
          <w:i/>
          <w:sz w:val="20"/>
          <w:szCs w:val="20"/>
        </w:rPr>
        <w:t>Chromolaena odorata</w:t>
      </w:r>
      <w:r>
        <w:rPr>
          <w:rFonts w:ascii="Arial" w:cs="Arial" w:hAnsi="Arial"/>
          <w:sz w:val="20"/>
          <w:szCs w:val="20"/>
        </w:rPr>
        <w:t xml:space="preserve"> leaf-extract may be regarded as a promising natural neurorestorative and antidiabetic agent with potential applications in restoring and managing diabetes-related and heavy metal-induced neurodegenerative disorders</w:t>
      </w:r>
      <w:bookmarkEnd w:id="18"/>
      <w:r>
        <w:rPr>
          <w:rFonts w:ascii="Arial" w:cs="Arial" w:hAnsi="Arial"/>
          <w:sz w:val="20"/>
          <w:szCs w:val="20"/>
        </w:rPr>
        <w:t>.</w:t>
      </w:r>
    </w:p>
    <w:p>
      <w:pPr>
        <w:pStyle w:val="style0"/>
        <w:spacing w:after="0" w:lineRule="auto" w:line="480"/>
        <w:jc w:val="both"/>
        <w:rPr>
          <w:rFonts w:ascii="Arial" w:cs="Arial" w:hAnsi="Arial"/>
          <w:sz w:val="20"/>
          <w:szCs w:val="20"/>
        </w:rPr>
      </w:pPr>
    </w:p>
    <w:p>
      <w:pPr>
        <w:pStyle w:val="style0"/>
        <w:spacing w:after="0" w:lineRule="auto" w:line="480"/>
        <w:jc w:val="both"/>
        <w:rPr>
          <w:rFonts w:ascii="Arial" w:cs="Arial" w:hAnsi="Arial"/>
          <w:b/>
          <w:sz w:val="20"/>
          <w:szCs w:val="20"/>
        </w:rPr>
      </w:pPr>
      <w:r>
        <w:rPr>
          <w:rFonts w:ascii="Arial" w:cs="Arial" w:hAnsi="Arial"/>
          <w:b/>
          <w:sz w:val="20"/>
          <w:szCs w:val="20"/>
        </w:rPr>
        <w:t>CONFLICT OF INTEREST STATEMENT</w:t>
      </w:r>
    </w:p>
    <w:p>
      <w:pPr>
        <w:pStyle w:val="style0"/>
        <w:spacing w:after="0" w:lineRule="auto" w:line="360"/>
        <w:jc w:val="both"/>
        <w:rPr>
          <w:rFonts w:ascii="Arial" w:cs="Arial" w:hAnsi="Arial"/>
          <w:sz w:val="20"/>
          <w:szCs w:val="20"/>
        </w:rPr>
      </w:pPr>
      <w:r>
        <w:rPr>
          <w:rFonts w:ascii="Arial" w:cs="Arial" w:hAnsi="Arial"/>
          <w:sz w:val="20"/>
          <w:szCs w:val="20"/>
        </w:rPr>
        <w:t>The authors guarantee responsibility for all the data published in this manuscript. The authors confirm the absence of a conflict of interest and the absence of their financial interest in carrying out this research and articulating this manuscript. This manuscript is extracted and written from the original research work and has never been published, nor is it under any consideration for publication elsewhere.</w:t>
      </w:r>
    </w:p>
    <w:p>
      <w:pPr>
        <w:pStyle w:val="style0"/>
        <w:spacing w:after="0" w:lineRule="auto" w:line="480"/>
        <w:jc w:val="both"/>
        <w:rPr>
          <w:rFonts w:ascii="Arial" w:cs="Arial" w:hAnsi="Arial"/>
          <w:b/>
          <w:sz w:val="20"/>
          <w:szCs w:val="20"/>
        </w:rPr>
      </w:pPr>
    </w:p>
    <w:p>
      <w:pPr>
        <w:pStyle w:val="style0"/>
        <w:spacing w:after="0" w:lineRule="auto" w:line="480"/>
        <w:jc w:val="both"/>
        <w:rPr>
          <w:rFonts w:ascii="Arial" w:cs="Arial" w:hAnsi="Arial"/>
          <w:b/>
          <w:sz w:val="20"/>
          <w:szCs w:val="20"/>
        </w:rPr>
      </w:pPr>
      <w:r>
        <w:rPr>
          <w:rFonts w:ascii="Arial" w:cs="Arial" w:hAnsi="Arial"/>
          <w:b/>
          <w:sz w:val="20"/>
          <w:szCs w:val="20"/>
        </w:rPr>
        <w:t>ETHICAL APPROVAL STATEMENT</w:t>
      </w:r>
    </w:p>
    <w:p>
      <w:pPr>
        <w:pStyle w:val="style0"/>
        <w:spacing w:after="0" w:lineRule="auto" w:line="360"/>
        <w:jc w:val="both"/>
        <w:rPr>
          <w:rFonts w:ascii="Arial" w:cs="Arial" w:hAnsi="Arial"/>
          <w:sz w:val="20"/>
          <w:szCs w:val="20"/>
        </w:rPr>
      </w:pPr>
      <w:r>
        <w:rPr>
          <w:rFonts w:ascii="Arial" w:cs="Arial" w:hAnsi="Arial"/>
          <w:sz w:val="20"/>
          <w:szCs w:val="20"/>
        </w:rPr>
        <w:t xml:space="preserve">This study was conducted in accordance with the ethical standards for animal experimentation and approved by the Institutional Animal Ethics Committee, Ebonyi State University, Abakaliki, Ebonyi State, </w:t>
      </w:r>
      <w:r>
        <w:rPr>
          <w:rFonts w:ascii="Arial" w:cs="Arial" w:hAnsi="Arial"/>
          <w:sz w:val="20"/>
          <w:szCs w:val="20"/>
        </w:rPr>
        <w:t xml:space="preserve">Nigeria with approval number </w:t>
      </w:r>
      <w:r>
        <w:rPr>
          <w:rFonts w:ascii="Arial" w:cs="Arial" w:hAnsi="Arial"/>
          <w:b/>
          <w:sz w:val="20"/>
          <w:szCs w:val="20"/>
        </w:rPr>
        <w:t xml:space="preserve">MPC/2502/30/012. </w:t>
      </w:r>
      <w:r>
        <w:rPr>
          <w:rFonts w:ascii="Arial" w:cs="Arial" w:hAnsi="Arial"/>
          <w:sz w:val="20"/>
          <w:szCs w:val="20"/>
        </w:rPr>
        <w:t>All procedures conformed to national and institutional guidelines for the care and use of laboratory animals. Efforts were made to minimize animal suffering and to also reduce the number of animals used. The study design, execution and reporting strictly adhered to the ARRIVE 2.0 Animal Research Reporting guidelines to ensure transparency, reproducibility and scientific rigor.</w:t>
      </w:r>
    </w:p>
    <w:p>
      <w:pPr>
        <w:pStyle w:val="style0"/>
        <w:spacing w:after="0" w:lineRule="auto" w:line="360"/>
        <w:jc w:val="both"/>
        <w:rPr>
          <w:rFonts w:ascii="Arial" w:cs="Arial" w:hAnsi="Arial"/>
          <w:sz w:val="20"/>
          <w:szCs w:val="20"/>
        </w:rPr>
      </w:pPr>
    </w:p>
    <w:p>
      <w:pPr>
        <w:pStyle w:val="style0"/>
        <w:spacing w:after="0" w:lineRule="auto" w:line="360"/>
        <w:jc w:val="both"/>
        <w:rPr>
          <w:rFonts w:ascii="Arial" w:cs="Arial" w:hAnsi="Arial"/>
          <w:sz w:val="20"/>
          <w:szCs w:val="20"/>
        </w:rPr>
      </w:pPr>
    </w:p>
    <w:p>
      <w:pPr>
        <w:pStyle w:val="style0"/>
        <w:jc w:val="both"/>
        <w:outlineLvl w:val="0"/>
        <w:rPr>
          <w:rFonts w:ascii="Arial" w:cs="Arial" w:hAnsi="Arial"/>
          <w:sz w:val="20"/>
          <w:szCs w:val="20"/>
        </w:rPr>
      </w:pPr>
      <w:r>
        <w:rPr>
          <w:rFonts w:ascii="Arial" w:cs="Arial" w:hAnsi="Arial"/>
          <w:b/>
          <w:bCs/>
          <w:sz w:val="20"/>
          <w:szCs w:val="20"/>
        </w:rPr>
        <w:t>COMPETING INTERESTS DISCLAIMER:</w:t>
      </w:r>
    </w:p>
    <w:p>
      <w:pPr>
        <w:pStyle w:val="style0"/>
        <w:rPr>
          <w:sz w:val="20"/>
          <w:szCs w:val="20"/>
        </w:rPr>
      </w:pPr>
      <w:r>
        <w:rPr>
          <w:sz w:val="20"/>
          <w:szCs w:val="20"/>
        </w:rPr>
        <w:t>Authors have declared that they have no known competing financial interests OR non-financial interests OR personal relationships that could have appeared to influence the work reported in this paper.</w:t>
      </w:r>
    </w:p>
    <w:p>
      <w:pPr>
        <w:pStyle w:val="style0"/>
        <w:rPr>
          <w:sz w:val="20"/>
          <w:szCs w:val="20"/>
        </w:rPr>
      </w:pPr>
    </w:p>
    <w:bookmarkStart w:id="19" w:name="_Hlk198031404"/>
    <w:p>
      <w:pPr>
        <w:pStyle w:val="style157"/>
        <w:rPr>
          <w:rFonts w:ascii="Arial" w:cs="Arial" w:hAnsi="Arial"/>
          <w:sz w:val="20"/>
          <w:szCs w:val="20"/>
          <w:highlight w:val="yellow"/>
        </w:rPr>
      </w:pPr>
      <w:r>
        <w:rPr>
          <w:rFonts w:ascii="Arial" w:cs="Arial" w:hAnsi="Arial"/>
          <w:sz w:val="20"/>
          <w:szCs w:val="20"/>
          <w:highlight w:val="yellow"/>
        </w:rPr>
        <w:t>Disclaimer (Artificial intelligence)</w:t>
      </w:r>
    </w:p>
    <w:p>
      <w:pPr>
        <w:pStyle w:val="style157"/>
        <w:rPr>
          <w:rFonts w:ascii="Arial" w:cs="Arial" w:hAnsi="Arial"/>
          <w:sz w:val="20"/>
          <w:szCs w:val="20"/>
          <w:highlight w:val="yellow"/>
        </w:rPr>
      </w:pPr>
    </w:p>
    <w:p>
      <w:pPr>
        <w:pStyle w:val="style157"/>
        <w:rPr>
          <w:rFonts w:ascii="Arial" w:cs="Arial" w:hAnsi="Arial"/>
          <w:sz w:val="20"/>
          <w:szCs w:val="20"/>
          <w:highlight w:val="yellow"/>
        </w:rPr>
      </w:pPr>
      <w:r>
        <w:rPr>
          <w:rFonts w:ascii="Arial" w:cs="Arial" w:hAnsi="Arial"/>
          <w:sz w:val="20"/>
          <w:szCs w:val="20"/>
          <w:highlight w:val="yellow"/>
        </w:rPr>
        <w:t xml:space="preserve">Author(s) hereby declare that NO generative AI technologies such as Large Language Models (ChatGPT, COPILOT, etc.) and text-to-image generators have been used during the writing or editing of this manuscript. </w:t>
      </w:r>
    </w:p>
    <w:bookmarkEnd w:id="19"/>
    <w:p>
      <w:pPr>
        <w:pStyle w:val="style0"/>
        <w:rPr>
          <w:sz w:val="20"/>
          <w:szCs w:val="20"/>
        </w:rPr>
      </w:pPr>
    </w:p>
    <w:p>
      <w:pPr>
        <w:pStyle w:val="style0"/>
        <w:jc w:val="both"/>
        <w:rPr>
          <w:rFonts w:ascii="Arial" w:cs="Arial" w:hAnsi="Arial"/>
          <w:b/>
          <w:sz w:val="20"/>
          <w:szCs w:val="20"/>
        </w:rPr>
      </w:pPr>
      <w:r>
        <w:rPr>
          <w:rFonts w:ascii="Arial" w:cs="Arial" w:hAnsi="Arial"/>
          <w:b/>
          <w:sz w:val="20"/>
          <w:szCs w:val="20"/>
        </w:rPr>
        <w:t xml:space="preserve">REFERENCES </w:t>
      </w:r>
    </w:p>
    <w:bookmarkStart w:id="20" w:name="_Hlk205957990"/>
    <w:p>
      <w:pPr>
        <w:pStyle w:val="style0"/>
        <w:spacing w:after="0" w:lineRule="auto" w:line="360"/>
        <w:ind w:left="540" w:hanging="540"/>
        <w:jc w:val="both"/>
        <w:rPr>
          <w:rFonts w:ascii="Arial" w:cs="Arial" w:hAnsi="Arial"/>
          <w:sz w:val="20"/>
          <w:szCs w:val="20"/>
        </w:rPr>
      </w:pPr>
      <w:r>
        <w:rPr>
          <w:rFonts w:ascii="Arial" w:cs="Arial" w:hAnsi="Arial"/>
          <w:sz w:val="20"/>
          <w:szCs w:val="20"/>
        </w:rPr>
        <w:t>Bublíková</w:t>
      </w:r>
      <w:bookmarkEnd w:id="20"/>
      <w:r>
        <w:rPr>
          <w:rFonts w:ascii="Arial" w:cs="Arial" w:hAnsi="Arial"/>
          <w:sz w:val="20"/>
          <w:szCs w:val="20"/>
        </w:rPr>
        <w:t xml:space="preserve">, I., Mareček, S., Krajča, T., Malá, C., Dušek, P., &amp; Krupička, R. (2025). Structural connectivity of the substantia nigra: A comprehensive review of diffusion imaging and tractography studies. Applied Sciences, 15(14), 7902. </w:t>
      </w:r>
      <w:r>
        <w:rPr/>
        <w:fldChar w:fldCharType="begin"/>
      </w:r>
      <w:r>
        <w:instrText xml:space="preserve"> HYPERLINK "https://doi.org/10.3390/app15147902" </w:instrText>
      </w:r>
      <w:r>
        <w:rPr/>
        <w:fldChar w:fldCharType="separate"/>
      </w:r>
      <w:r>
        <w:rPr>
          <w:rFonts w:ascii="Arial" w:cs="Arial" w:hAnsi="Arial"/>
          <w:sz w:val="20"/>
          <w:szCs w:val="20"/>
        </w:rPr>
        <w:t>https://doi.org/10.3390/app15147902</w:t>
      </w:r>
      <w:r>
        <w:rPr/>
        <w:fldChar w:fldCharType="end"/>
      </w:r>
    </w:p>
    <w:p>
      <w:pPr>
        <w:pStyle w:val="style0"/>
        <w:spacing w:after="0" w:lineRule="auto" w:line="360"/>
        <w:ind w:left="540" w:hanging="540"/>
        <w:jc w:val="both"/>
        <w:rPr>
          <w:rFonts w:ascii="Arial" w:cs="Arial" w:hAnsi="Arial"/>
          <w:sz w:val="20"/>
          <w:szCs w:val="20"/>
        </w:rPr>
      </w:pPr>
    </w:p>
    <w:p>
      <w:pPr>
        <w:pStyle w:val="style0"/>
        <w:spacing w:after="0" w:lineRule="auto" w:line="360"/>
        <w:ind w:left="540" w:hanging="540"/>
        <w:jc w:val="both"/>
        <w:rPr>
          <w:rFonts w:ascii="Arial" w:cs="Arial" w:hAnsi="Arial"/>
          <w:sz w:val="20"/>
          <w:szCs w:val="20"/>
        </w:rPr>
      </w:pPr>
      <w:r>
        <w:rPr>
          <w:rFonts w:ascii="Arial" w:cs="Arial" w:hAnsi="Arial"/>
          <w:sz w:val="20"/>
          <w:szCs w:val="20"/>
        </w:rPr>
        <w:t xml:space="preserve">Chen, Q., Chen, Y., Zhang, Y., Wang, F., Yu, H., Zhang, C., &amp; Luo, W. (2019). Iron deposition in Parkinson’s disease by quantitative susceptibility mapping. BMC Neuroscience, 20, 23. </w:t>
      </w:r>
      <w:r>
        <w:rPr/>
        <w:fldChar w:fldCharType="begin"/>
      </w:r>
      <w:r>
        <w:instrText xml:space="preserve"> HYPERLINK "https://doi.org/10.1186/s12868-019-0505-9" </w:instrText>
      </w:r>
      <w:r>
        <w:rPr/>
        <w:fldChar w:fldCharType="separate"/>
      </w:r>
      <w:r>
        <w:rPr>
          <w:rFonts w:ascii="Arial" w:cs="Arial" w:hAnsi="Arial"/>
          <w:sz w:val="20"/>
          <w:szCs w:val="20"/>
        </w:rPr>
        <w:t>https://doi.org/10.1186/s12868-019-0505-9</w:t>
      </w:r>
      <w:r>
        <w:rPr/>
        <w:fldChar w:fldCharType="end"/>
      </w:r>
      <w:r>
        <w:rPr>
          <w:rFonts w:ascii="Arial" w:cs="Arial" w:hAnsi="Arial"/>
          <w:sz w:val="20"/>
          <w:szCs w:val="20"/>
        </w:rPr>
        <w:t xml:space="preserve"> </w:t>
      </w:r>
    </w:p>
    <w:p>
      <w:pPr>
        <w:pStyle w:val="style0"/>
        <w:spacing w:after="0" w:lineRule="auto" w:line="360"/>
        <w:ind w:left="540" w:hanging="540"/>
        <w:jc w:val="both"/>
        <w:rPr>
          <w:rFonts w:ascii="Arial" w:cs="Arial" w:hAnsi="Arial"/>
          <w:sz w:val="20"/>
          <w:szCs w:val="20"/>
        </w:rPr>
      </w:pPr>
    </w:p>
    <w:p>
      <w:pPr>
        <w:pStyle w:val="style0"/>
        <w:spacing w:after="0" w:lineRule="auto" w:line="360"/>
        <w:ind w:left="540" w:hanging="540"/>
        <w:jc w:val="both"/>
        <w:rPr>
          <w:rFonts w:ascii="Arial" w:cs="Arial" w:hAnsi="Arial"/>
          <w:sz w:val="20"/>
          <w:szCs w:val="20"/>
        </w:rPr>
      </w:pPr>
      <w:r>
        <w:rPr>
          <w:rFonts w:ascii="Arial" w:cs="Arial" w:hAnsi="Arial"/>
          <w:sz w:val="20"/>
          <w:szCs w:val="20"/>
        </w:rPr>
        <w:t xml:space="preserve">Sulzer, D., Cassidy, C., &amp; Horga, G. (2024). Neuromelanin-sensitive MRI for mechanistic research and biomarker development. Neuropsychopharmacology, 49(11), 1526–1545. </w:t>
      </w:r>
      <w:r>
        <w:rPr/>
        <w:fldChar w:fldCharType="begin"/>
      </w:r>
      <w:r>
        <w:instrText xml:space="preserve"> HYPERLINK "https://doi.org/10.1038/s41386-024-01934-y" </w:instrText>
      </w:r>
      <w:r>
        <w:rPr/>
        <w:fldChar w:fldCharType="separate"/>
      </w:r>
      <w:r>
        <w:rPr>
          <w:rFonts w:ascii="Arial" w:cs="Arial" w:hAnsi="Arial"/>
          <w:sz w:val="20"/>
          <w:szCs w:val="20"/>
        </w:rPr>
        <w:t>https://doi.org/10.1038/s41386-024-01934-y</w:t>
      </w:r>
      <w:r>
        <w:rPr/>
        <w:fldChar w:fldCharType="end"/>
      </w:r>
      <w:r>
        <w:rPr>
          <w:rFonts w:ascii="Arial" w:cs="Arial" w:hAnsi="Arial"/>
          <w:sz w:val="20"/>
          <w:szCs w:val="20"/>
        </w:rPr>
        <w:t xml:space="preserve"> </w:t>
      </w:r>
    </w:p>
    <w:p>
      <w:pPr>
        <w:pStyle w:val="style0"/>
        <w:jc w:val="both"/>
        <w:rPr>
          <w:rFonts w:ascii="Arial" w:cs="Arial" w:hAnsi="Arial"/>
          <w:b/>
          <w:sz w:val="20"/>
          <w:szCs w:val="20"/>
        </w:rPr>
      </w:pPr>
    </w:p>
    <w:p>
      <w:pPr>
        <w:pStyle w:val="style0"/>
        <w:spacing w:after="0" w:lineRule="auto" w:line="360"/>
        <w:ind w:left="540" w:hanging="540"/>
        <w:jc w:val="both"/>
        <w:rPr>
          <w:rFonts w:ascii="Arial" w:cs="Arial" w:hAnsi="Arial"/>
          <w:sz w:val="20"/>
          <w:szCs w:val="20"/>
        </w:rPr>
      </w:pPr>
      <w:r>
        <w:rPr>
          <w:rFonts w:ascii="Arial" w:cs="Arial" w:hAnsi="Arial"/>
          <w:sz w:val="20"/>
          <w:szCs w:val="20"/>
        </w:rPr>
        <w:t xml:space="preserve">Goyal, R., &amp; Kalra, B. S. (2021). Laboratory animal models for diabetes and related complications. </w:t>
      </w:r>
      <w:r>
        <w:rPr>
          <w:rFonts w:ascii="Arial" w:cs="Arial" w:hAnsi="Arial"/>
          <w:i/>
          <w:sz w:val="20"/>
          <w:szCs w:val="20"/>
        </w:rPr>
        <w:t>Biomedical and Pharmacology Journal</w:t>
      </w:r>
      <w:r>
        <w:rPr>
          <w:rFonts w:ascii="Arial" w:cs="Arial" w:hAnsi="Arial"/>
          <w:sz w:val="20"/>
          <w:szCs w:val="20"/>
        </w:rPr>
        <w:t xml:space="preserve">, 14(1), 63–74. </w:t>
      </w:r>
      <w:r>
        <w:rPr/>
        <w:fldChar w:fldCharType="begin"/>
      </w:r>
      <w:r>
        <w:instrText xml:space="preserve"> HYPERLINK "https://doi.org/10.13005/bpj/2112" </w:instrText>
      </w:r>
      <w:r>
        <w:rPr/>
        <w:fldChar w:fldCharType="separate"/>
      </w:r>
      <w:r>
        <w:rPr>
          <w:rFonts w:ascii="Arial" w:cs="Arial" w:hAnsi="Arial"/>
          <w:sz w:val="20"/>
          <w:szCs w:val="20"/>
        </w:rPr>
        <w:t>https://doi.org/10.13005/bpj/2112</w:t>
      </w:r>
      <w:r>
        <w:rPr/>
        <w:fldChar w:fldCharType="end"/>
      </w:r>
    </w:p>
    <w:p>
      <w:pPr>
        <w:pStyle w:val="style0"/>
        <w:jc w:val="both"/>
        <w:rPr>
          <w:rFonts w:ascii="Arial" w:cs="Arial" w:hAnsi="Arial"/>
          <w:b/>
          <w:sz w:val="20"/>
          <w:szCs w:val="20"/>
        </w:rPr>
      </w:pPr>
    </w:p>
    <w:p>
      <w:pPr>
        <w:pStyle w:val="style0"/>
        <w:spacing w:after="0" w:lineRule="auto" w:line="360"/>
        <w:ind w:left="540" w:hanging="540"/>
        <w:jc w:val="both"/>
        <w:rPr>
          <w:rFonts w:ascii="Arial" w:cs="Arial" w:hAnsi="Arial"/>
          <w:sz w:val="20"/>
          <w:szCs w:val="20"/>
        </w:rPr>
      </w:pPr>
      <w:r>
        <w:rPr>
          <w:rFonts w:ascii="Arial" w:cs="Arial" w:hAnsi="Arial"/>
          <w:sz w:val="20"/>
          <w:szCs w:val="20"/>
        </w:rPr>
        <w:t xml:space="preserve">El-Missiry, M. A., Othman, A. I., Al-Abdan, M. A., &amp; El-Sayed, A. A. (2015). Ameliorative effect of melatonin on mercury-induced neurotoxicity in the cerebellum of rats. Toxicology and Industrial Health, 31(10), 887–896. </w:t>
      </w:r>
      <w:r>
        <w:rPr/>
        <w:fldChar w:fldCharType="begin"/>
      </w:r>
      <w:r>
        <w:instrText xml:space="preserve"> HYPERLINK "https://doi.org/10.1177/0748233713498447" </w:instrText>
      </w:r>
      <w:r>
        <w:rPr/>
        <w:fldChar w:fldCharType="separate"/>
      </w:r>
      <w:r>
        <w:rPr>
          <w:rFonts w:ascii="Arial" w:cs="Arial" w:hAnsi="Arial"/>
          <w:sz w:val="20"/>
          <w:szCs w:val="20"/>
        </w:rPr>
        <w:t>https://doi.org/10.1177/0748233713498447</w:t>
      </w:r>
      <w:r>
        <w:rPr/>
        <w:fldChar w:fldCharType="end"/>
      </w:r>
    </w:p>
    <w:p>
      <w:pPr>
        <w:pStyle w:val="style0"/>
        <w:rPr>
          <w:rFonts w:ascii="Arial" w:cs="Arial" w:hAnsi="Arial"/>
          <w:sz w:val="20"/>
          <w:szCs w:val="20"/>
        </w:rPr>
      </w:pPr>
    </w:p>
    <w:p>
      <w:pPr>
        <w:pStyle w:val="style0"/>
        <w:spacing w:after="0" w:lineRule="auto" w:line="360"/>
        <w:ind w:left="540" w:hanging="540"/>
        <w:jc w:val="both"/>
        <w:rPr>
          <w:rFonts w:ascii="Arial" w:cs="Arial" w:hAnsi="Arial"/>
          <w:sz w:val="20"/>
          <w:szCs w:val="20"/>
        </w:rPr>
      </w:pPr>
      <w:r>
        <w:rPr>
          <w:rFonts w:ascii="Arial" w:cs="Arial" w:hAnsi="Arial"/>
          <w:sz w:val="20"/>
          <w:szCs w:val="20"/>
        </w:rPr>
        <w:t xml:space="preserve">Bose-O’Reilly, S., Drasch, G., &amp; Beinhoff, C. (2020). Mercury in the human body: Pathways and forms. Environmental Research, 181, 108602. </w:t>
      </w:r>
      <w:r>
        <w:rPr/>
        <w:fldChar w:fldCharType="begin"/>
      </w:r>
      <w:r>
        <w:instrText xml:space="preserve"> HYPERLINK "https://doi.org/10.1016/j.envres.2019.108602" </w:instrText>
      </w:r>
      <w:r>
        <w:rPr/>
        <w:fldChar w:fldCharType="separate"/>
      </w:r>
      <w:r>
        <w:rPr>
          <w:rFonts w:ascii="Arial" w:cs="Arial" w:hAnsi="Arial"/>
          <w:sz w:val="20"/>
          <w:szCs w:val="20"/>
        </w:rPr>
        <w:t>https://doi.org/10.1016/j.envres.2019.108602</w:t>
      </w:r>
      <w:r>
        <w:rPr/>
        <w:fldChar w:fldCharType="end"/>
      </w:r>
    </w:p>
    <w:p>
      <w:pPr>
        <w:pStyle w:val="style0"/>
        <w:rPr>
          <w:rFonts w:ascii="Arial" w:cs="Arial" w:hAnsi="Arial"/>
          <w:sz w:val="20"/>
          <w:szCs w:val="20"/>
        </w:rPr>
      </w:pPr>
    </w:p>
    <w:p>
      <w:pPr>
        <w:pStyle w:val="style0"/>
        <w:spacing w:after="0" w:lineRule="auto" w:line="360"/>
        <w:ind w:left="540" w:hanging="540"/>
        <w:jc w:val="both"/>
        <w:rPr>
          <w:rFonts w:ascii="Arial" w:cs="Arial" w:hAnsi="Arial"/>
          <w:sz w:val="20"/>
          <w:szCs w:val="20"/>
        </w:rPr>
      </w:pPr>
      <w:r>
        <w:rPr>
          <w:rFonts w:ascii="Arial" w:cs="Arial" w:hAnsi="Arial"/>
          <w:sz w:val="20"/>
          <w:szCs w:val="20"/>
        </w:rPr>
        <w:t xml:space="preserve">Idu, M., Omonigho, S. E., &amp; Erhabor, J. O. (2016). Chromolaena odorata: Ethnomedicinal, phytochemical and pharmacological review. </w:t>
      </w:r>
      <w:r>
        <w:rPr>
          <w:rFonts w:ascii="Arial" w:cs="Arial" w:hAnsi="Arial"/>
          <w:i/>
          <w:sz w:val="20"/>
          <w:szCs w:val="20"/>
        </w:rPr>
        <w:t>Journal of Ethnopharmacology</w:t>
      </w:r>
      <w:r>
        <w:rPr>
          <w:rFonts w:ascii="Arial" w:cs="Arial" w:hAnsi="Arial"/>
          <w:sz w:val="20"/>
          <w:szCs w:val="20"/>
        </w:rPr>
        <w:t xml:space="preserve">, 180(14), 85–100. </w:t>
      </w:r>
      <w:r>
        <w:rPr/>
        <w:fldChar w:fldCharType="begin"/>
      </w:r>
      <w:r>
        <w:instrText xml:space="preserve"> HYPERLINK "https://doi.org/10.1016/j.jep.2016.01.015" </w:instrText>
      </w:r>
      <w:r>
        <w:rPr/>
        <w:fldChar w:fldCharType="separate"/>
      </w:r>
      <w:r>
        <w:rPr>
          <w:rFonts w:ascii="Arial" w:cs="Arial" w:hAnsi="Arial"/>
          <w:sz w:val="20"/>
          <w:szCs w:val="20"/>
        </w:rPr>
        <w:t>https://doi.org/10.1016/j.jep.2016.01.015</w:t>
      </w:r>
      <w:r>
        <w:rPr/>
        <w:fldChar w:fldCharType="end"/>
      </w:r>
    </w:p>
    <w:p>
      <w:pPr>
        <w:pStyle w:val="style0"/>
        <w:rPr>
          <w:rFonts w:ascii="Arial" w:cs="Arial" w:hAnsi="Arial"/>
          <w:sz w:val="20"/>
          <w:szCs w:val="20"/>
        </w:rPr>
      </w:pPr>
    </w:p>
    <w:p>
      <w:pPr>
        <w:pStyle w:val="style0"/>
        <w:spacing w:after="0" w:lineRule="auto" w:line="360"/>
        <w:ind w:left="540" w:hanging="540"/>
        <w:jc w:val="both"/>
        <w:rPr>
          <w:rStyle w:val="style85"/>
          <w:rFonts w:ascii="Arial" w:cs="Arial" w:hAnsi="Arial"/>
          <w:color w:val="auto"/>
          <w:sz w:val="20"/>
          <w:szCs w:val="20"/>
          <w:u w:val="none"/>
        </w:rPr>
      </w:pPr>
      <w:r>
        <w:rPr>
          <w:rFonts w:ascii="Arial" w:cs="Arial" w:hAnsi="Arial"/>
          <w:sz w:val="20"/>
          <w:szCs w:val="20"/>
        </w:rPr>
        <w:t xml:space="preserve">Ama, M. I., Ikwuka, A. O., &amp; Eteudo, A. N. (2023). Sperm Parameters and Testicular Histology of Male Wistar Rats Treated with Phoenix dactylifera After Consumption of Local Mmahi Salt. </w:t>
      </w:r>
      <w:r>
        <w:rPr>
          <w:rFonts w:ascii="Arial" w:cs="Arial" w:hAnsi="Arial"/>
          <w:i/>
          <w:sz w:val="20"/>
          <w:szCs w:val="20"/>
        </w:rPr>
        <w:t>American Journal of Bioscience and Bioinformatics</w:t>
      </w:r>
      <w:r>
        <w:rPr>
          <w:rFonts w:ascii="Arial" w:cs="Arial" w:hAnsi="Arial"/>
          <w:sz w:val="20"/>
          <w:szCs w:val="20"/>
        </w:rPr>
        <w:t xml:space="preserve">, 2(1), 41-51. </w:t>
      </w:r>
      <w:r>
        <w:rPr/>
        <w:fldChar w:fldCharType="begin"/>
      </w:r>
      <w:r>
        <w:instrText xml:space="preserve"> HYPERLINK "https://doi.org/10.54536/ajbb.v2i1.2275" </w:instrText>
      </w:r>
      <w:r>
        <w:rPr/>
        <w:fldChar w:fldCharType="separate"/>
      </w:r>
      <w:r>
        <w:rPr>
          <w:rStyle w:val="style85"/>
          <w:rFonts w:ascii="Arial" w:cs="Arial" w:hAnsi="Arial"/>
          <w:color w:val="auto"/>
          <w:sz w:val="20"/>
          <w:szCs w:val="20"/>
          <w:u w:val="none"/>
        </w:rPr>
        <w:t>https://doi.org/10.54536/ajbb.v2i1.2275</w:t>
      </w:r>
      <w:r>
        <w:rPr/>
        <w:fldChar w:fldCharType="end"/>
      </w:r>
      <w:r>
        <w:rPr>
          <w:rStyle w:val="style85"/>
          <w:rFonts w:ascii="Arial" w:cs="Arial" w:hAnsi="Arial"/>
          <w:color w:val="auto"/>
          <w:sz w:val="20"/>
          <w:szCs w:val="20"/>
          <w:u w:val="none"/>
        </w:rPr>
        <w:t>.</w:t>
      </w:r>
    </w:p>
    <w:p>
      <w:pPr>
        <w:pStyle w:val="style0"/>
        <w:rPr>
          <w:rFonts w:ascii="Arial" w:cs="Arial" w:hAnsi="Arial"/>
          <w:sz w:val="20"/>
          <w:szCs w:val="20"/>
        </w:rPr>
      </w:pPr>
    </w:p>
    <w:p>
      <w:pPr>
        <w:pStyle w:val="style0"/>
        <w:spacing w:after="0" w:lineRule="auto" w:line="360"/>
        <w:ind w:left="630" w:hanging="630"/>
        <w:jc w:val="both"/>
        <w:rPr>
          <w:rFonts w:ascii="Arial" w:cs="Arial" w:hAnsi="Arial"/>
          <w:sz w:val="20"/>
          <w:szCs w:val="20"/>
        </w:rPr>
      </w:pPr>
      <w:r>
        <w:rPr>
          <w:rFonts w:ascii="Arial" w:cs="Arial" w:hAnsi="Arial"/>
          <w:sz w:val="20"/>
          <w:szCs w:val="20"/>
        </w:rPr>
        <w:t>Adebayo, A. M., Balogun, A. O., &amp; Ezenwajiaku, J. U. (2021). Mercury-induced apoptosis in the cerebellum: Role of oxidative stress and caspase activation. Toxicologic Pathology, 49(2), 186–194.</w:t>
      </w:r>
    </w:p>
    <w:p>
      <w:pPr>
        <w:pStyle w:val="style0"/>
        <w:rPr>
          <w:rFonts w:ascii="Arial" w:cs="Arial" w:hAnsi="Arial"/>
          <w:sz w:val="20"/>
          <w:szCs w:val="20"/>
        </w:rPr>
      </w:pPr>
    </w:p>
    <w:p>
      <w:pPr>
        <w:pStyle w:val="style0"/>
        <w:spacing w:after="0" w:lineRule="auto" w:line="360"/>
        <w:ind w:left="540" w:hanging="540"/>
        <w:jc w:val="both"/>
        <w:rPr>
          <w:rFonts w:ascii="Arial" w:cs="Arial" w:hAnsi="Arial"/>
          <w:sz w:val="20"/>
          <w:szCs w:val="20"/>
        </w:rPr>
      </w:pPr>
      <w:r>
        <w:rPr>
          <w:rFonts w:ascii="Arial" w:cs="Arial" w:hAnsi="Arial"/>
          <w:sz w:val="20"/>
          <w:szCs w:val="20"/>
        </w:rPr>
        <w:t>Adebiyi, A. A., Ogundele, O. M., &amp; Ajayi, F. T. (2020). Glial activation and oxidative stress in diabetic cerebellar degeneration: A histological perspective</w:t>
      </w:r>
      <w:r>
        <w:rPr>
          <w:rFonts w:ascii="Arial" w:cs="Arial" w:hAnsi="Arial"/>
          <w:i/>
          <w:sz w:val="20"/>
          <w:szCs w:val="20"/>
        </w:rPr>
        <w:t>. Journal of Neuroscience Research</w:t>
      </w:r>
      <w:r>
        <w:rPr>
          <w:rFonts w:ascii="Arial" w:cs="Arial" w:hAnsi="Arial"/>
          <w:sz w:val="20"/>
          <w:szCs w:val="20"/>
        </w:rPr>
        <w:t>, 98(7), 1374–1382.</w:t>
      </w:r>
    </w:p>
    <w:p>
      <w:pPr>
        <w:pStyle w:val="style0"/>
        <w:rPr>
          <w:rFonts w:ascii="Arial" w:cs="Arial" w:hAnsi="Arial"/>
          <w:sz w:val="20"/>
          <w:szCs w:val="20"/>
        </w:rPr>
      </w:pPr>
    </w:p>
    <w:p>
      <w:pPr>
        <w:pStyle w:val="style0"/>
        <w:spacing w:after="0" w:lineRule="auto" w:line="360"/>
        <w:ind w:left="540" w:hanging="540"/>
        <w:jc w:val="both"/>
        <w:rPr>
          <w:rFonts w:ascii="Arial" w:cs="Arial" w:eastAsia="Times New Roman" w:hAnsi="Arial"/>
          <w:sz w:val="20"/>
          <w:szCs w:val="20"/>
        </w:rPr>
      </w:pPr>
      <w:r>
        <w:rPr>
          <w:rFonts w:ascii="Arial" w:cs="Arial" w:hAnsi="Arial"/>
          <w:sz w:val="20"/>
          <w:szCs w:val="20"/>
        </w:rPr>
        <w:t xml:space="preserve">Ajay, </w:t>
      </w:r>
      <w:r>
        <w:rPr>
          <w:rFonts w:ascii="Arial" w:cs="Arial" w:eastAsia="Times New Roman" w:hAnsi="Arial"/>
          <w:sz w:val="20"/>
          <w:szCs w:val="20"/>
        </w:rPr>
        <w:t>A., Kumar, R., Badhusha, S., Abhishek, K., Gowda, S. K., &amp; Ramesh, B. (2021).</w:t>
      </w:r>
      <w:r>
        <w:rPr>
          <w:rFonts w:ascii="Arial" w:cs="Arial" w:hAnsi="Arial"/>
          <w:sz w:val="20"/>
          <w:szCs w:val="20"/>
        </w:rPr>
        <w:t xml:space="preserve"> </w:t>
      </w:r>
      <w:r>
        <w:rPr>
          <w:rFonts w:ascii="Arial" w:cs="Arial" w:eastAsia="Times New Roman" w:hAnsi="Arial"/>
          <w:sz w:val="20"/>
          <w:szCs w:val="20"/>
        </w:rPr>
        <w:t>Pharmacological importance of Chromolaena odorata: a review.</w:t>
      </w:r>
      <w:r>
        <w:rPr>
          <w:rFonts w:ascii="Arial" w:cs="Arial" w:hAnsi="Arial"/>
          <w:sz w:val="20"/>
          <w:szCs w:val="20"/>
        </w:rPr>
        <w:t xml:space="preserve"> </w:t>
      </w:r>
      <w:r>
        <w:rPr>
          <w:rFonts w:ascii="Arial" w:cs="Arial" w:eastAsia="Times New Roman" w:hAnsi="Arial"/>
          <w:i/>
          <w:sz w:val="20"/>
          <w:szCs w:val="20"/>
        </w:rPr>
        <w:t>International Journal of Pharmacology and Drug Analysis</w:t>
      </w:r>
      <w:r>
        <w:rPr>
          <w:rFonts w:ascii="Arial" w:cs="Arial" w:eastAsia="Times New Roman" w:hAnsi="Arial"/>
          <w:sz w:val="20"/>
          <w:szCs w:val="20"/>
        </w:rPr>
        <w:t>.  pp. 8-11.</w:t>
      </w:r>
    </w:p>
    <w:p>
      <w:pPr>
        <w:pStyle w:val="style0"/>
        <w:spacing w:after="0" w:lineRule="auto" w:line="360"/>
        <w:ind w:left="540" w:hanging="540"/>
        <w:jc w:val="both"/>
        <w:rPr>
          <w:rFonts w:ascii="Arial" w:cs="Arial" w:eastAsia="Times New Roman" w:hAnsi="Arial"/>
          <w:sz w:val="20"/>
          <w:szCs w:val="20"/>
        </w:rPr>
      </w:pPr>
    </w:p>
    <w:p>
      <w:pPr>
        <w:pStyle w:val="style0"/>
        <w:spacing w:after="0" w:lineRule="auto" w:line="360"/>
        <w:ind w:left="540" w:hanging="540"/>
        <w:jc w:val="both"/>
        <w:rPr>
          <w:rFonts w:ascii="Arial" w:cs="Arial" w:hAnsi="Arial"/>
          <w:sz w:val="20"/>
          <w:szCs w:val="20"/>
        </w:rPr>
      </w:pPr>
      <w:r>
        <w:rPr>
          <w:rFonts w:ascii="Arial" w:cs="Arial" w:hAnsi="Arial"/>
          <w:sz w:val="20"/>
          <w:szCs w:val="20"/>
        </w:rPr>
        <w:t>Ajiboye, B. O., Oyeleke, O. O., &amp; Bello, O. O. (2022). TNF-α and IL-1β mediated neuroinflammation in mercury-exposed diabetic rats: A glial response mechanism. Toxicology and Industrial Health, 38(5), 232–240.</w:t>
      </w:r>
    </w:p>
    <w:p>
      <w:pPr>
        <w:pStyle w:val="style0"/>
        <w:spacing w:after="0" w:lineRule="auto" w:line="360"/>
        <w:ind w:left="540" w:hanging="540"/>
        <w:jc w:val="both"/>
        <w:rPr>
          <w:rFonts w:ascii="Arial" w:cs="Arial" w:hAnsi="Arial"/>
          <w:sz w:val="20"/>
          <w:szCs w:val="20"/>
        </w:rPr>
      </w:pPr>
    </w:p>
    <w:p>
      <w:pPr>
        <w:pStyle w:val="style0"/>
        <w:spacing w:after="0" w:lineRule="auto" w:line="360"/>
        <w:ind w:left="540" w:hanging="540"/>
        <w:jc w:val="both"/>
        <w:rPr>
          <w:rFonts w:ascii="Arial" w:cs="Arial" w:hAnsi="Arial"/>
          <w:sz w:val="20"/>
          <w:szCs w:val="20"/>
        </w:rPr>
      </w:pPr>
      <w:r>
        <w:rPr>
          <w:rFonts w:ascii="Arial" w:cs="Arial" w:hAnsi="Arial"/>
          <w:sz w:val="20"/>
          <w:szCs w:val="20"/>
        </w:rPr>
        <w:t xml:space="preserve">Akinlabi, A. A., Fakunle, P. B., &amp; Okonji, R. E. (2022). Oxidative stress-mediated neurotoxicity in mercury-exposed rat brain: Biochemical and histological evaluation. NeuroToxicology, 93(17), 230–238. </w:t>
      </w:r>
      <w:r>
        <w:rPr/>
        <w:fldChar w:fldCharType="begin"/>
      </w:r>
      <w:r>
        <w:instrText xml:space="preserve"> HYPERLINK "https://doi.org/10.1016/j.neuro.2022.06.003" </w:instrText>
      </w:r>
      <w:r>
        <w:rPr/>
        <w:fldChar w:fldCharType="separate"/>
      </w:r>
      <w:r>
        <w:rPr>
          <w:rFonts w:ascii="Arial" w:cs="Arial" w:hAnsi="Arial"/>
          <w:sz w:val="20"/>
          <w:szCs w:val="20"/>
        </w:rPr>
        <w:t>https://doi.org/10.1016/j.neuro.2022.06.003</w:t>
      </w:r>
      <w:r>
        <w:rPr/>
        <w:fldChar w:fldCharType="end"/>
      </w:r>
    </w:p>
    <w:p>
      <w:pPr>
        <w:pStyle w:val="style0"/>
        <w:spacing w:after="0" w:lineRule="auto" w:line="360"/>
        <w:jc w:val="both"/>
        <w:rPr>
          <w:rFonts w:ascii="Arial" w:cs="Arial" w:hAnsi="Arial"/>
          <w:sz w:val="20"/>
          <w:szCs w:val="20"/>
        </w:rPr>
      </w:pPr>
      <w:r>
        <w:rPr>
          <w:rFonts w:ascii="Arial" w:cs="Arial" w:hAnsi="Arial"/>
          <w:sz w:val="20"/>
          <w:szCs w:val="20"/>
        </w:rPr>
        <w:t>Kaur, R. (2020). Chromolaena odorata and its pharmacological effects: A review. Phytochemistry Reviews, 19(4), 733-748.</w:t>
      </w:r>
    </w:p>
    <w:p>
      <w:pPr>
        <w:pStyle w:val="style0"/>
        <w:spacing w:after="0" w:lineRule="auto" w:line="360"/>
        <w:ind w:left="540" w:hanging="540"/>
        <w:jc w:val="both"/>
        <w:rPr>
          <w:rFonts w:ascii="Arial" w:cs="Arial" w:hAnsi="Arial"/>
          <w:sz w:val="20"/>
          <w:szCs w:val="20"/>
        </w:rPr>
      </w:pPr>
    </w:p>
    <w:p>
      <w:pPr>
        <w:pStyle w:val="style0"/>
        <w:spacing w:after="0" w:lineRule="auto" w:line="360"/>
        <w:ind w:left="540" w:hanging="540"/>
        <w:jc w:val="both"/>
        <w:rPr>
          <w:rFonts w:ascii="Arial" w:cs="Arial" w:hAnsi="Arial"/>
          <w:sz w:val="20"/>
          <w:szCs w:val="20"/>
        </w:rPr>
      </w:pPr>
      <w:r>
        <w:rPr>
          <w:rFonts w:ascii="Arial" w:cs="Arial" w:hAnsi="Arial"/>
          <w:sz w:val="20"/>
          <w:szCs w:val="20"/>
        </w:rPr>
        <w:t xml:space="preserve">Kawahata, I., Ito, M., Ohta, M., &amp; Fukuda, T. (2022). Metabolic vulnerability of the cerebellum: Insights from diabetes-induced neurotoxicity. Frontiers in Neuroscience, 16, 889302. </w:t>
      </w:r>
      <w:r>
        <w:rPr/>
        <w:fldChar w:fldCharType="begin"/>
      </w:r>
      <w:r>
        <w:instrText xml:space="preserve"> HYPERLINK "https://doi.org/10.3389/fnins.2022.889302" </w:instrText>
      </w:r>
      <w:r>
        <w:rPr/>
        <w:fldChar w:fldCharType="separate"/>
      </w:r>
      <w:r>
        <w:rPr>
          <w:rFonts w:ascii="Arial" w:cs="Arial" w:hAnsi="Arial"/>
          <w:sz w:val="20"/>
          <w:szCs w:val="20"/>
        </w:rPr>
        <w:t>https://doi.org/10.3389/fnins.2022.889302</w:t>
      </w:r>
      <w:r>
        <w:rPr/>
        <w:fldChar w:fldCharType="end"/>
      </w:r>
    </w:p>
    <w:p>
      <w:pPr>
        <w:pStyle w:val="style0"/>
        <w:spacing w:after="0" w:lineRule="auto" w:line="360"/>
        <w:ind w:left="540" w:hanging="540"/>
        <w:jc w:val="both"/>
        <w:rPr>
          <w:rFonts w:ascii="Arial" w:cs="Arial" w:hAnsi="Arial"/>
          <w:sz w:val="20"/>
          <w:szCs w:val="20"/>
        </w:rPr>
      </w:pPr>
    </w:p>
    <w:p>
      <w:pPr>
        <w:pStyle w:val="style0"/>
        <w:spacing w:after="0" w:lineRule="auto" w:line="360"/>
        <w:ind w:left="540" w:hanging="540"/>
        <w:jc w:val="both"/>
        <w:rPr>
          <w:rFonts w:ascii="Arial" w:cs="Arial" w:hAnsi="Arial"/>
          <w:sz w:val="20"/>
          <w:szCs w:val="20"/>
        </w:rPr>
      </w:pPr>
      <w:r>
        <w:rPr>
          <w:rFonts w:ascii="Arial" w:cs="Arial" w:hAnsi="Arial"/>
          <w:sz w:val="20"/>
          <w:szCs w:val="20"/>
        </w:rPr>
        <w:t xml:space="preserve">Keller, A., Onyango, I. G., &amp; Dennis, J. (2020). Cerebellar neuropathology in diabetes and its implications. Brain Research, 1739, 146841. </w:t>
      </w:r>
      <w:r>
        <w:rPr/>
        <w:fldChar w:fldCharType="begin"/>
      </w:r>
      <w:r>
        <w:instrText xml:space="preserve"> HYPERLINK "https://doi.org/10.1016/j.brainres.2020.146841" </w:instrText>
      </w:r>
      <w:r>
        <w:rPr/>
        <w:fldChar w:fldCharType="separate"/>
      </w:r>
      <w:r>
        <w:rPr>
          <w:rFonts w:ascii="Arial" w:cs="Arial" w:hAnsi="Arial"/>
          <w:sz w:val="20"/>
          <w:szCs w:val="20"/>
        </w:rPr>
        <w:t>https://doi.org/10.1016/j.brainres.2020.146841</w:t>
      </w:r>
      <w:r>
        <w:rPr/>
        <w:fldChar w:fldCharType="end"/>
      </w:r>
    </w:p>
    <w:p>
      <w:pPr>
        <w:pStyle w:val="style0"/>
        <w:spacing w:after="0" w:lineRule="auto" w:line="360"/>
        <w:ind w:left="540" w:hanging="540"/>
        <w:jc w:val="both"/>
        <w:rPr>
          <w:rFonts w:ascii="Arial" w:cs="Arial" w:hAnsi="Arial"/>
          <w:sz w:val="20"/>
          <w:szCs w:val="20"/>
        </w:rPr>
      </w:pPr>
    </w:p>
    <w:p>
      <w:pPr>
        <w:pStyle w:val="style0"/>
        <w:spacing w:after="0" w:lineRule="auto" w:line="360"/>
        <w:ind w:left="540" w:hanging="540"/>
        <w:jc w:val="both"/>
        <w:rPr>
          <w:rFonts w:ascii="Arial" w:cs="Arial" w:hAnsi="Arial"/>
          <w:sz w:val="20"/>
          <w:szCs w:val="20"/>
        </w:rPr>
      </w:pPr>
      <w:r>
        <w:rPr>
          <w:rFonts w:ascii="Arial" w:cs="Arial" w:hAnsi="Arial"/>
          <w:sz w:val="20"/>
          <w:szCs w:val="20"/>
        </w:rPr>
        <w:t xml:space="preserve">Magar, K. T., Uddin, M. J., &amp; Alam, M. J. (2023). Neuroprotective potential of flavonoids: Mechanistic insights and pharmacological updates. Current Neuropharmacology, 21(2), 112–127. </w:t>
      </w:r>
      <w:r>
        <w:rPr/>
        <w:fldChar w:fldCharType="begin"/>
      </w:r>
      <w:r>
        <w:instrText xml:space="preserve"> HYPERLINK "https://doi.org/10.2174/1570159X20666221222010453" </w:instrText>
      </w:r>
      <w:r>
        <w:rPr/>
        <w:fldChar w:fldCharType="separate"/>
      </w:r>
      <w:r>
        <w:rPr>
          <w:rFonts w:ascii="Arial" w:cs="Arial" w:hAnsi="Arial"/>
          <w:sz w:val="20"/>
          <w:szCs w:val="20"/>
        </w:rPr>
        <w:t>https://doi.org/10.2174/1570159X20666221222010453</w:t>
      </w:r>
      <w:r>
        <w:rPr/>
        <w:fldChar w:fldCharType="end"/>
      </w:r>
    </w:p>
    <w:p>
      <w:pPr>
        <w:pStyle w:val="style0"/>
        <w:spacing w:after="0" w:lineRule="auto" w:line="360"/>
        <w:ind w:left="540" w:hanging="540"/>
        <w:jc w:val="both"/>
        <w:rPr>
          <w:rFonts w:ascii="Arial" w:cs="Arial" w:hAnsi="Arial"/>
          <w:sz w:val="20"/>
          <w:szCs w:val="20"/>
        </w:rPr>
      </w:pPr>
    </w:p>
    <w:p>
      <w:pPr>
        <w:pStyle w:val="style0"/>
        <w:spacing w:after="0" w:lineRule="auto" w:line="360"/>
        <w:ind w:left="540" w:hanging="540"/>
        <w:jc w:val="both"/>
        <w:rPr>
          <w:rFonts w:ascii="Arial" w:cs="Arial" w:hAnsi="Arial"/>
          <w:sz w:val="20"/>
          <w:szCs w:val="20"/>
        </w:rPr>
      </w:pPr>
      <w:r>
        <w:rPr>
          <w:rFonts w:ascii="Arial" w:cs="Arial" w:eastAsia="Times New Roman" w:hAnsi="Arial"/>
          <w:sz w:val="20"/>
          <w:szCs w:val="20"/>
        </w:rPr>
        <w:t>Maione, F., Russo, R., Khan, H., &amp; Mascolo, N. (2016).</w:t>
      </w:r>
      <w:r>
        <w:rPr>
          <w:rFonts w:ascii="Arial" w:cs="Arial" w:hAnsi="Arial"/>
          <w:sz w:val="20"/>
          <w:szCs w:val="20"/>
        </w:rPr>
        <w:t xml:space="preserve"> </w:t>
      </w:r>
      <w:r>
        <w:rPr>
          <w:rFonts w:ascii="Arial" w:cs="Arial" w:eastAsia="Times New Roman" w:hAnsi="Arial"/>
          <w:sz w:val="20"/>
          <w:szCs w:val="20"/>
        </w:rPr>
        <w:t>Medicinal plants with anti-inflammatory activities.</w:t>
      </w:r>
      <w:r>
        <w:rPr>
          <w:rFonts w:ascii="Arial" w:cs="Arial" w:hAnsi="Arial"/>
          <w:sz w:val="20"/>
          <w:szCs w:val="20"/>
        </w:rPr>
        <w:t xml:space="preserve"> </w:t>
      </w:r>
      <w:r>
        <w:rPr>
          <w:rFonts w:ascii="Arial" w:cs="Arial" w:eastAsia="Times New Roman" w:hAnsi="Arial"/>
          <w:sz w:val="20"/>
          <w:szCs w:val="20"/>
        </w:rPr>
        <w:t>Nat. Prod. Res., 30 (2016), pp. 1343-1352.</w:t>
      </w:r>
      <w:r>
        <w:rPr>
          <w:rFonts w:ascii="Arial" w:cs="Arial" w:hAnsi="Arial"/>
          <w:sz w:val="20"/>
          <w:szCs w:val="20"/>
        </w:rPr>
        <w:t xml:space="preserve"> </w:t>
      </w:r>
    </w:p>
    <w:p>
      <w:pPr>
        <w:pStyle w:val="style0"/>
        <w:spacing w:after="0" w:lineRule="auto" w:line="360"/>
        <w:ind w:left="540" w:hanging="540"/>
        <w:jc w:val="both"/>
        <w:rPr>
          <w:rFonts w:ascii="Arial" w:cs="Arial" w:hAnsi="Arial"/>
          <w:sz w:val="20"/>
          <w:szCs w:val="20"/>
        </w:rPr>
      </w:pPr>
    </w:p>
    <w:p>
      <w:pPr>
        <w:pStyle w:val="style0"/>
        <w:spacing w:after="0" w:lineRule="auto" w:line="360"/>
        <w:ind w:left="540" w:hanging="540"/>
        <w:jc w:val="both"/>
        <w:rPr>
          <w:rFonts w:ascii="Arial" w:cs="Arial" w:hAnsi="Arial"/>
          <w:sz w:val="20"/>
          <w:szCs w:val="20"/>
        </w:rPr>
      </w:pPr>
      <w:r>
        <w:rPr>
          <w:rFonts w:ascii="Arial" w:cs="Arial" w:hAnsi="Arial"/>
          <w:sz w:val="20"/>
          <w:szCs w:val="20"/>
        </w:rPr>
        <w:t xml:space="preserve">Obot, C. J., Ekanem, A. P., &amp; Udoh, P. B. (2022). Evaluation of oxidative stress and antioxidant defense markers in the brain of diabetic rats. Biochemistry and Biophysics Reports, 32, 101306. </w:t>
      </w:r>
      <w:r>
        <w:rPr/>
        <w:fldChar w:fldCharType="begin"/>
      </w:r>
      <w:r>
        <w:instrText xml:space="preserve"> HYPERLINK "https://doi.org/10.1016/j.bbrep.2022.101306" </w:instrText>
      </w:r>
      <w:r>
        <w:rPr/>
        <w:fldChar w:fldCharType="separate"/>
      </w:r>
      <w:r>
        <w:rPr>
          <w:rFonts w:ascii="Arial" w:cs="Arial" w:hAnsi="Arial"/>
          <w:sz w:val="20"/>
          <w:szCs w:val="20"/>
        </w:rPr>
        <w:t>https://doi.org/10.1016/j.bbrep.2022.101306</w:t>
      </w:r>
      <w:r>
        <w:rPr/>
        <w:fldChar w:fldCharType="end"/>
      </w:r>
    </w:p>
    <w:p>
      <w:pPr>
        <w:pStyle w:val="style0"/>
        <w:spacing w:after="0" w:lineRule="auto" w:line="360"/>
        <w:ind w:left="540" w:hanging="540"/>
        <w:jc w:val="both"/>
        <w:rPr>
          <w:rFonts w:ascii="Arial" w:cs="Arial" w:hAnsi="Arial"/>
          <w:sz w:val="20"/>
          <w:szCs w:val="20"/>
        </w:rPr>
      </w:pPr>
    </w:p>
    <w:p>
      <w:pPr>
        <w:pStyle w:val="style0"/>
        <w:spacing w:after="0" w:lineRule="auto" w:line="360"/>
        <w:ind w:left="540" w:hanging="540"/>
        <w:jc w:val="both"/>
        <w:rPr>
          <w:rFonts w:ascii="Arial" w:cs="Arial" w:eastAsia="Times New Roman" w:hAnsi="Arial"/>
          <w:sz w:val="20"/>
          <w:szCs w:val="20"/>
        </w:rPr>
      </w:pPr>
      <w:r>
        <w:rPr>
          <w:rFonts w:ascii="Arial" w:cs="Arial" w:eastAsia="Times New Roman" w:hAnsi="Arial"/>
          <w:sz w:val="20"/>
          <w:szCs w:val="20"/>
        </w:rPr>
        <w:t>Odutayo, F., Ezeamagu, C., Kabiawu, T., Aina, D., &amp; Mensah-Agyei, G. (2017).</w:t>
      </w:r>
      <w:r>
        <w:rPr>
          <w:rFonts w:ascii="Arial" w:cs="Arial" w:hAnsi="Arial"/>
          <w:sz w:val="20"/>
          <w:szCs w:val="20"/>
        </w:rPr>
        <w:t xml:space="preserve"> </w:t>
      </w:r>
      <w:r>
        <w:rPr>
          <w:rFonts w:ascii="Arial" w:cs="Arial" w:eastAsia="Times New Roman" w:hAnsi="Arial"/>
          <w:sz w:val="20"/>
          <w:szCs w:val="20"/>
        </w:rPr>
        <w:t>Phytochemical screening and antimicrobial activity of Chromolaena odorata leaf extract against selected microorganisms.</w:t>
      </w:r>
      <w:r>
        <w:rPr>
          <w:rFonts w:ascii="Arial" w:cs="Arial" w:hAnsi="Arial"/>
          <w:sz w:val="20"/>
          <w:szCs w:val="20"/>
        </w:rPr>
        <w:t xml:space="preserve"> </w:t>
      </w:r>
      <w:r>
        <w:rPr>
          <w:rFonts w:ascii="Arial" w:cs="Arial" w:eastAsia="Times New Roman" w:hAnsi="Arial"/>
          <w:i/>
          <w:sz w:val="20"/>
          <w:szCs w:val="20"/>
        </w:rPr>
        <w:t>Journal of Advanced Medicine and Pharmaceutical. Science</w:t>
      </w:r>
      <w:r>
        <w:rPr>
          <w:rFonts w:ascii="Arial" w:cs="Arial" w:eastAsia="Times New Roman" w:hAnsi="Arial"/>
          <w:sz w:val="20"/>
          <w:szCs w:val="20"/>
        </w:rPr>
        <w:t>, 13 (4) (2017), pp. 1-9.</w:t>
      </w:r>
    </w:p>
    <w:p>
      <w:pPr>
        <w:pStyle w:val="style0"/>
        <w:spacing w:after="0" w:lineRule="auto" w:line="360"/>
        <w:ind w:left="540" w:hanging="540"/>
        <w:jc w:val="both"/>
        <w:rPr>
          <w:rFonts w:ascii="Arial" w:cs="Arial" w:eastAsia="Times New Roman" w:hAnsi="Arial"/>
          <w:sz w:val="20"/>
          <w:szCs w:val="20"/>
        </w:rPr>
      </w:pPr>
    </w:p>
    <w:p>
      <w:pPr>
        <w:pStyle w:val="style0"/>
        <w:spacing w:after="0" w:lineRule="auto" w:line="360"/>
        <w:ind w:left="540" w:hanging="540"/>
        <w:jc w:val="both"/>
        <w:rPr>
          <w:rFonts w:ascii="Arial" w:cs="Arial" w:hAnsi="Arial"/>
          <w:sz w:val="20"/>
          <w:szCs w:val="20"/>
        </w:rPr>
      </w:pPr>
      <w:r>
        <w:rPr>
          <w:rFonts w:ascii="Arial" w:cs="Arial" w:hAnsi="Arial"/>
          <w:sz w:val="20"/>
          <w:szCs w:val="20"/>
        </w:rPr>
        <w:t>Paterson, I. D., Zachariades, C. &amp; Co-authors. (2013). (Programmatic and review literature on genetic origins, ISSR and population structure used by biological-control programs). Biological Control / proceedings (see Paterson &amp; Zachariades, 2013 above).</w:t>
      </w:r>
    </w:p>
    <w:p>
      <w:pPr>
        <w:pStyle w:val="style0"/>
        <w:spacing w:after="0" w:lineRule="auto" w:line="360"/>
        <w:ind w:left="540" w:hanging="540"/>
        <w:jc w:val="both"/>
        <w:rPr>
          <w:rFonts w:ascii="Arial" w:cs="Arial" w:hAnsi="Arial"/>
          <w:sz w:val="20"/>
          <w:szCs w:val="20"/>
        </w:rPr>
      </w:pPr>
    </w:p>
    <w:p>
      <w:pPr>
        <w:pStyle w:val="style0"/>
        <w:spacing w:after="0" w:lineRule="auto" w:line="360"/>
        <w:ind w:left="540" w:hanging="540"/>
        <w:jc w:val="both"/>
        <w:rPr>
          <w:rFonts w:ascii="Arial" w:cs="Arial" w:hAnsi="Arial"/>
          <w:sz w:val="20"/>
          <w:szCs w:val="20"/>
        </w:rPr>
      </w:pPr>
    </w:p>
    <w:p>
      <w:pPr>
        <w:pStyle w:val="style0"/>
        <w:spacing w:after="0" w:lineRule="auto" w:line="360"/>
        <w:ind w:left="540" w:hanging="540"/>
        <w:jc w:val="both"/>
        <w:rPr>
          <w:rFonts w:ascii="Arial" w:cs="Arial" w:eastAsia="Times New Roman" w:hAnsi="Arial"/>
          <w:sz w:val="20"/>
          <w:szCs w:val="20"/>
        </w:rPr>
      </w:pPr>
      <w:r>
        <w:rPr>
          <w:rFonts w:ascii="Arial" w:cs="Arial" w:eastAsia="Times New Roman" w:hAnsi="Arial"/>
          <w:sz w:val="20"/>
          <w:szCs w:val="20"/>
        </w:rPr>
        <w:t>Yerra, V. G., Gundu, C., Bachewal, P., &amp; Kumar, A. (2016).</w:t>
      </w:r>
      <w:r>
        <w:rPr>
          <w:rFonts w:ascii="Arial" w:cs="Arial" w:hAnsi="Arial"/>
          <w:sz w:val="20"/>
          <w:szCs w:val="20"/>
        </w:rPr>
        <w:t xml:space="preserve"> </w:t>
      </w:r>
      <w:r>
        <w:rPr>
          <w:rFonts w:ascii="Arial" w:cs="Arial" w:eastAsia="Times New Roman" w:hAnsi="Arial"/>
          <w:sz w:val="20"/>
          <w:szCs w:val="20"/>
        </w:rPr>
        <w:t>Autophagy: the missing link in diabetic neuropathy?</w:t>
      </w:r>
      <w:r>
        <w:rPr>
          <w:rFonts w:ascii="Arial" w:cs="Arial" w:hAnsi="Arial"/>
          <w:sz w:val="20"/>
          <w:szCs w:val="20"/>
        </w:rPr>
        <w:t xml:space="preserve"> </w:t>
      </w:r>
      <w:r>
        <w:rPr>
          <w:rFonts w:ascii="Arial" w:cs="Arial" w:eastAsia="Times New Roman" w:hAnsi="Arial"/>
          <w:sz w:val="20"/>
          <w:szCs w:val="20"/>
        </w:rPr>
        <w:t>Med. Hypotheses, (86), pp. 120-128.</w:t>
      </w:r>
    </w:p>
    <w:p>
      <w:pPr>
        <w:pStyle w:val="style0"/>
        <w:spacing w:after="0" w:lineRule="auto" w:line="360"/>
        <w:ind w:left="540" w:hanging="540"/>
        <w:jc w:val="both"/>
        <w:rPr>
          <w:rFonts w:ascii="Arial" w:cs="Arial" w:eastAsia="Times New Roman" w:hAnsi="Arial"/>
          <w:sz w:val="20"/>
          <w:szCs w:val="20"/>
        </w:rPr>
      </w:pPr>
    </w:p>
    <w:p>
      <w:pPr>
        <w:pStyle w:val="style0"/>
        <w:spacing w:after="0" w:lineRule="auto" w:line="360"/>
        <w:ind w:left="540" w:hanging="540"/>
        <w:jc w:val="both"/>
        <w:rPr>
          <w:rFonts w:ascii="Arial" w:cs="Arial" w:eastAsia="Times New Roman" w:hAnsi="Arial"/>
          <w:sz w:val="20"/>
          <w:szCs w:val="20"/>
        </w:rPr>
      </w:pPr>
      <w:r>
        <w:rPr>
          <w:rFonts w:ascii="Arial" w:cs="Arial" w:eastAsia="Times New Roman" w:hAnsi="Arial"/>
          <w:sz w:val="20"/>
          <w:szCs w:val="20"/>
        </w:rPr>
        <w:t>Yu, F., Akin-Fajiye, M., Thapa Magar, K., Ren, J., &amp; Gurevitch, J. (2016).</w:t>
      </w:r>
      <w:r>
        <w:rPr>
          <w:rFonts w:ascii="Arial" w:cs="Arial" w:hAnsi="Arial"/>
          <w:sz w:val="20"/>
          <w:szCs w:val="20"/>
        </w:rPr>
        <w:t xml:space="preserve"> </w:t>
      </w:r>
      <w:r>
        <w:rPr>
          <w:rFonts w:ascii="Arial" w:cs="Arial" w:eastAsia="Times New Roman" w:hAnsi="Arial"/>
          <w:sz w:val="20"/>
          <w:szCs w:val="20"/>
        </w:rPr>
        <w:t>A global systematic review of ecological field studies on two major invasive plant species, Ageratina adenophora and chromolaena odorata.</w:t>
      </w:r>
      <w:r>
        <w:rPr>
          <w:rFonts w:ascii="Arial" w:cs="Arial" w:hAnsi="Arial"/>
          <w:sz w:val="20"/>
          <w:szCs w:val="20"/>
        </w:rPr>
        <w:t xml:space="preserve"> </w:t>
      </w:r>
      <w:r>
        <w:rPr>
          <w:rFonts w:ascii="Arial" w:cs="Arial" w:eastAsia="Times New Roman" w:hAnsi="Arial"/>
          <w:sz w:val="20"/>
          <w:szCs w:val="20"/>
        </w:rPr>
        <w:t>Divers Distribution, (22), pp. 1174-1185.</w:t>
      </w:r>
    </w:p>
    <w:p>
      <w:pPr>
        <w:pStyle w:val="style0"/>
        <w:spacing w:after="0" w:lineRule="auto" w:line="360"/>
        <w:ind w:left="540" w:hanging="540"/>
        <w:jc w:val="both"/>
        <w:rPr>
          <w:rFonts w:ascii="Arial" w:cs="Arial" w:eastAsia="Times New Roman" w:hAnsi="Arial"/>
          <w:sz w:val="20"/>
          <w:szCs w:val="20"/>
        </w:rPr>
      </w:pPr>
    </w:p>
    <w:p>
      <w:pPr>
        <w:pStyle w:val="style0"/>
        <w:spacing w:after="0" w:lineRule="auto" w:line="360"/>
        <w:ind w:left="540" w:hanging="540"/>
        <w:jc w:val="both"/>
        <w:rPr>
          <w:rFonts w:ascii="Arial" w:cs="Arial" w:hAnsi="Arial"/>
          <w:sz w:val="20"/>
          <w:szCs w:val="20"/>
        </w:rPr>
      </w:pPr>
      <w:r>
        <w:rPr>
          <w:rFonts w:ascii="Arial" w:cs="Arial" w:hAnsi="Arial"/>
          <w:sz w:val="20"/>
          <w:szCs w:val="20"/>
        </w:rPr>
        <w:t xml:space="preserve">Zhang, D., Yao, J., Sun, J., Wang, J., Chen, L., He, H., &amp; Wu, T. (2023). Iron accumulation in midbrain dopaminergic regions in Parkinson’s disease: A multimodal atlas study. Frontiers in Aging Neuroscience, 15, 1187684. https://doi.org/10.3389/fnagi.2023.1187684 </w:t>
      </w:r>
    </w:p>
    <w:p>
      <w:pPr>
        <w:pStyle w:val="style0"/>
        <w:spacing w:before="240" w:after="0" w:lineRule="auto" w:line="360"/>
        <w:ind w:left="540" w:hanging="540"/>
        <w:jc w:val="both"/>
        <w:textAlignment w:val="baseline"/>
        <w:rPr>
          <w:rFonts w:ascii="Arial" w:cs="Arial" w:eastAsia="Times New Roman" w:hAnsi="Arial"/>
          <w:sz w:val="20"/>
          <w:szCs w:val="20"/>
        </w:rPr>
      </w:pPr>
      <w:r>
        <w:rPr>
          <w:rFonts w:ascii="Arial" w:cs="Arial" w:eastAsia="Times New Roman" w:hAnsi="Arial"/>
          <w:sz w:val="20"/>
          <w:szCs w:val="20"/>
        </w:rPr>
        <w:t>Zhang, J., Tran-Anh, K., Hirata, T., &amp; Sugihara, I. (2021). Striped distribution pattern of Purkinje cells of different birthdates in the mouse cerebellar cortex studied with the Neurog2-CreER transgenic line.</w:t>
      </w:r>
    </w:p>
    <w:p>
      <w:pPr>
        <w:pStyle w:val="style0"/>
        <w:spacing w:after="0" w:lineRule="auto" w:line="360"/>
        <w:ind w:left="540" w:hanging="540"/>
        <w:jc w:val="both"/>
        <w:textAlignment w:val="baseline"/>
        <w:rPr>
          <w:rFonts w:ascii="Arial" w:cs="Arial" w:eastAsia="Times New Roman" w:hAnsi="Arial"/>
          <w:sz w:val="20"/>
          <w:szCs w:val="20"/>
        </w:rPr>
      </w:pPr>
    </w:p>
    <w:p>
      <w:pPr>
        <w:pStyle w:val="style0"/>
        <w:spacing w:after="0" w:lineRule="auto" w:line="360"/>
        <w:ind w:left="540" w:hanging="540"/>
        <w:jc w:val="both"/>
        <w:rPr>
          <w:rFonts w:ascii="Arial" w:cs="Arial" w:hAnsi="Arial"/>
          <w:sz w:val="20"/>
          <w:szCs w:val="20"/>
        </w:rPr>
      </w:pPr>
      <w:r>
        <w:rPr>
          <w:rFonts w:ascii="Arial" w:cs="Arial" w:hAnsi="Arial"/>
          <w:sz w:val="20"/>
          <w:szCs w:val="20"/>
        </w:rPr>
        <w:t xml:space="preserve">Zhang, Y., Li, P., Sun, Q., &amp; Wang, J. (2025). Regional neuromelanin reduction in the substantia nigra across Parkinson’s disease subtypes and its clinical correlates. NeuroImage: Clinical, 49, 104144. </w:t>
      </w:r>
      <w:r>
        <w:rPr/>
        <w:fldChar w:fldCharType="begin"/>
      </w:r>
      <w:r>
        <w:instrText xml:space="preserve"> HYPERLINK "https://doi.org/10.1016/j.nicl.2025.104144" </w:instrText>
      </w:r>
      <w:r>
        <w:rPr/>
        <w:fldChar w:fldCharType="separate"/>
      </w:r>
      <w:r>
        <w:rPr>
          <w:rFonts w:ascii="Arial" w:cs="Arial" w:hAnsi="Arial"/>
          <w:color w:val="0000ff"/>
          <w:sz w:val="20"/>
          <w:szCs w:val="20"/>
          <w:u w:val="single"/>
        </w:rPr>
        <w:t>https://doi.org/10.1016/j.nicl.2025.104144</w:t>
      </w:r>
      <w:r>
        <w:rPr/>
        <w:fldChar w:fldCharType="end"/>
      </w:r>
      <w:r>
        <w:rPr>
          <w:rFonts w:ascii="Arial" w:cs="Arial" w:hAnsi="Arial"/>
          <w:sz w:val="20"/>
          <w:szCs w:val="20"/>
        </w:rPr>
        <w:t xml:space="preserve"> </w:t>
      </w:r>
    </w:p>
    <w:p>
      <w:pPr>
        <w:pStyle w:val="style0"/>
        <w:spacing w:after="0" w:lineRule="auto" w:line="360"/>
        <w:ind w:left="540" w:hanging="540"/>
        <w:jc w:val="both"/>
        <w:rPr>
          <w:rFonts w:ascii="Arial" w:cs="Arial" w:hAnsi="Arial"/>
          <w:sz w:val="20"/>
          <w:szCs w:val="20"/>
        </w:rPr>
      </w:pPr>
    </w:p>
    <w:p>
      <w:pPr>
        <w:pStyle w:val="style0"/>
        <w:spacing w:lineRule="auto" w:line="360"/>
        <w:jc w:val="both"/>
        <w:rPr>
          <w:rFonts w:ascii="Arial" w:cs="Arial" w:hAnsi="Arial"/>
          <w:sz w:val="20"/>
          <w:szCs w:val="20"/>
        </w:rPr>
      </w:pPr>
      <w:r>
        <w:rPr>
          <w:rFonts w:ascii="Arial" w:cs="Arial" w:hAnsi="Arial"/>
          <w:sz w:val="20"/>
          <w:szCs w:val="20"/>
        </w:rPr>
        <w:t>Ikpeze</w:t>
      </w:r>
      <w:r>
        <w:rPr>
          <w:rFonts w:ascii="Arial" w:cs="Arial" w:hAnsi="Arial"/>
          <w:sz w:val="20"/>
          <w:szCs w:val="20"/>
        </w:rPr>
        <w:t xml:space="preserve">, S. C., </w:t>
      </w:r>
      <w:r>
        <w:rPr>
          <w:rFonts w:ascii="Arial" w:cs="Arial" w:hAnsi="Arial"/>
          <w:sz w:val="20"/>
          <w:szCs w:val="20"/>
        </w:rPr>
        <w:t>Ama</w:t>
      </w:r>
      <w:r>
        <w:rPr>
          <w:rFonts w:ascii="Arial" w:cs="Arial" w:hAnsi="Arial"/>
          <w:sz w:val="20"/>
          <w:szCs w:val="20"/>
        </w:rPr>
        <w:t xml:space="preserve">, I. M., </w:t>
      </w:r>
      <w:r>
        <w:rPr>
          <w:rFonts w:ascii="Arial" w:cs="Arial" w:hAnsi="Arial"/>
          <w:sz w:val="20"/>
          <w:szCs w:val="20"/>
        </w:rPr>
        <w:t>Anosike</w:t>
      </w:r>
      <w:r>
        <w:rPr>
          <w:rFonts w:ascii="Arial" w:cs="Arial" w:hAnsi="Arial"/>
          <w:sz w:val="20"/>
          <w:szCs w:val="20"/>
        </w:rPr>
        <w:t xml:space="preserve">, I. U., &amp; </w:t>
      </w:r>
      <w:r>
        <w:rPr>
          <w:rFonts w:ascii="Arial" w:cs="Arial" w:hAnsi="Arial"/>
          <w:sz w:val="20"/>
          <w:szCs w:val="20"/>
        </w:rPr>
        <w:t>Nwovu</w:t>
      </w:r>
      <w:r>
        <w:rPr>
          <w:rFonts w:ascii="Arial" w:cs="Arial" w:hAnsi="Arial"/>
          <w:sz w:val="20"/>
          <w:szCs w:val="20"/>
        </w:rPr>
        <w:t xml:space="preserve">, F. C. (2024). Assessment and Impact of Technology-Based Self-Directed Learning of Anatomy Among Clinical and Anatomy Students in Two Universities. </w:t>
      </w:r>
      <w:r>
        <w:rPr>
          <w:rFonts w:ascii="Arial" w:cs="Arial" w:hAnsi="Arial"/>
          <w:i/>
          <w:sz w:val="20"/>
          <w:szCs w:val="20"/>
        </w:rPr>
        <w:t>British Journal of Healthcare and Medical Research</w:t>
      </w:r>
      <w:r>
        <w:rPr>
          <w:rFonts w:ascii="Arial" w:cs="Arial" w:hAnsi="Arial"/>
          <w:sz w:val="20"/>
          <w:szCs w:val="20"/>
        </w:rPr>
        <w:t xml:space="preserve">, 11(2), 285–301. </w:t>
      </w:r>
      <w:r>
        <w:rPr/>
        <w:fldChar w:fldCharType="begin"/>
      </w:r>
      <w:r>
        <w:instrText xml:space="preserve"> HYPERLINK "https://doi.org/10.14738/bjhmr.112.16776" </w:instrText>
      </w:r>
      <w:r>
        <w:rPr/>
        <w:fldChar w:fldCharType="separate"/>
      </w:r>
      <w:r>
        <w:rPr>
          <w:rStyle w:val="style85"/>
          <w:rFonts w:ascii="Arial" w:cs="Arial" w:hAnsi="Arial"/>
          <w:sz w:val="20"/>
          <w:szCs w:val="20"/>
        </w:rPr>
        <w:t>https://doi.org/10.14738/bjhmr.112.16776</w:t>
      </w:r>
      <w:r>
        <w:rPr/>
        <w:fldChar w:fldCharType="end"/>
      </w:r>
    </w:p>
    <w:p>
      <w:pPr>
        <w:pStyle w:val="style0"/>
        <w:spacing w:after="0" w:lineRule="auto" w:line="360"/>
        <w:ind w:left="540" w:hanging="540"/>
        <w:jc w:val="both"/>
        <w:rPr>
          <w:rFonts w:ascii="Arial" w:cs="Arial" w:hAnsi="Arial"/>
          <w:sz w:val="20"/>
          <w:szCs w:val="20"/>
        </w:rPr>
      </w:pPr>
    </w:p>
    <w:p>
      <w:pPr>
        <w:pStyle w:val="style0"/>
        <w:rPr>
          <w:rFonts w:ascii="Arial" w:cs="Arial" w:hAnsi="Arial"/>
          <w:sz w:val="20"/>
          <w:szCs w:val="20"/>
        </w:rPr>
      </w:pPr>
    </w:p>
    <w:p>
      <w:pPr>
        <w:pStyle w:val="style0"/>
        <w:rPr>
          <w:rFonts w:ascii="Arial" w:cs="Arial" w:hAnsi="Arial"/>
          <w:sz w:val="20"/>
          <w:szCs w:val="20"/>
        </w:rPr>
      </w:pPr>
    </w:p>
    <w:sectPr>
      <w:headerReference w:type="even" r:id="rId8"/>
      <w:headerReference w:type="default" r:id="rId9"/>
      <w:footerReference w:type="even" r:id="rId10"/>
      <w:footerReference w:type="default" r:id="rId11"/>
      <w:headerReference w:type="first" r:id="rId12"/>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000030204"/>
    <w:charset w:val="00"/>
    <w:family w:val="swiss"/>
    <w:pitch w:val="variable"/>
    <w:sig w:usb0="E4002EFF" w:usb1="C000247B" w:usb2="00000009" w:usb3="00000000" w:csb0="000001FF" w:csb1="00000000"/>
  </w:font>
  <w:font w:name="SimSun">
    <w:altName w:val="宋体"/>
    <w:panose1 w:val="02010600030000010101"/>
    <w:charset w:val="86"/>
    <w:family w:val="auto"/>
    <w:pitch w:val="variable"/>
    <w:sig w:usb0="00000203" w:usb1="288F0000" w:usb2="00000016" w:usb3="00000000" w:csb0="00040001" w:csb1="00000000"/>
  </w:font>
  <w:font w:name="Times New Roman">
    <w:altName w:val="Times New Roman"/>
    <w:panose1 w:val="02020603050000020304"/>
    <w:charset w:val="00"/>
    <w:family w:val="roman"/>
    <w:pitch w:val="variable"/>
    <w:sig w:usb0="E0002EFF" w:usb1="C000785B" w:usb2="00000009" w:usb3="00000000" w:csb0="000001FF" w:csb1="00000000"/>
  </w:font>
  <w:font w:name="Arial">
    <w:altName w:val="Arial"/>
    <w:panose1 w:val="020b0604020000020204"/>
    <w:charset w:val="00"/>
    <w:family w:val="swiss"/>
    <w:pitch w:val="variable"/>
    <w:sig w:usb0="E0002EFF" w:usb1="C000785B" w:usb2="00000009" w:usb3="00000000" w:csb0="000001FF" w:csb1="00000000"/>
  </w:font>
  <w:font w:name="Cambria Math">
    <w:altName w:val="Cambria Math"/>
    <w:panose1 w:val="02040503050000030204"/>
    <w:charset w:val="00"/>
    <w:family w:val="roman"/>
    <w:pitch w:val="variable"/>
    <w:sig w:usb0="E00006FF" w:usb1="420024FF" w:usb2="02000000" w:usb3="00000000" w:csb0="0000019F" w:csb1="00000000"/>
  </w:font>
  <w:font w:name="Cambria">
    <w:altName w:val="Cambria"/>
    <w:panose1 w:val="02040503050000030204"/>
    <w:charset w:val="00"/>
    <w:family w:val="roman"/>
    <w:pitch w:val="variable"/>
    <w:sig w:usb0="E00006FF" w:usb1="420024FF" w:usb2="02000000" w:usb3="00000000" w:csb0="0000019F" w:csb1="00000000"/>
  </w:font>
</w:fonts>
</file>

<file path=word/footer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rPr/>
    </w:pPr>
  </w:p>
</w:ftr>
</file>

<file path=word/footer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r>
      <w:rPr>
        <w:noProof/>
      </w:rPr>
      <w:pict>
        <v:shapetype id="_x0000_t136" coordsize="21600,21600" adj="10800" o:spt="136"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locs="@9,0;@10,10800;@11,21600;@12,10800" o:connecttype="custom" o:connectangles="270,180,90,0"/>
          <v:textpath on="t" fitshape="t"/>
          <v:handles>
            <v:h position="#0,bottomRight" xrange="6629,14971"/>
          </v:handles>
          <o:lock v:ext="edit" text="t" shapetype="t"/>
        </v:shapetype>
        <v:shape id="4098" type="#_x0000_t136" fillcolor="silver" stroked="f" style="position:absolute;margin-left:0.0pt;margin-top:0.0pt;width:555.05pt;height:104.65pt;z-index:-2147483644;mso-position-horizontal:center;mso-position-vertical:center;mso-position-horizontal-relative:margin;mso-position-vertical-relative:margin;mso-width-relative:page;mso-height-relative:page;mso-wrap-distance-left:0.0pt;mso-wrap-distance-right:0.0pt;visibility:visible;rotation:-2949120fd;" o:allowincell="false">
          <v:stroke on="f"/>
          <o:lock text="true" v:ext="view"/>
          <v:fill opacity="50%"/>
          <v:textpath string="UNDER PEER REVIEW" fitshape="t" on="t" style="font-size:1.0pt;font-family:&quot;Calibri&quot;;"/>
        </v:shape>
      </w:pict>
    </w:r>
  </w:p>
</w:hdr>
</file>

<file path=word/header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r>
      <w:rPr>
        <w:noProof/>
      </w:rPr>
      <w:pict>
        <v:shapetype id="_x0000_t136" coordsize="21600,21600" adj="10800" o:spt="136"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locs="@9,0;@10,10800;@11,21600;@12,10800" o:connecttype="custom" o:connectangles="270,180,90,0"/>
          <v:textpath on="t" fitshape="t"/>
          <v:handles>
            <v:h position="#0,bottomRight" xrange="6629,14971"/>
          </v:handles>
          <o:lock v:ext="edit" text="t" shapetype="t"/>
        </v:shapetype>
        <v:shape id="4099" type="#_x0000_t136" fillcolor="silver" stroked="f" style="position:absolute;margin-left:0.0pt;margin-top:0.0pt;width:555.05pt;height:104.65pt;z-index:-2147483643;mso-position-horizontal:center;mso-position-vertical:center;mso-position-horizontal-relative:margin;mso-position-vertical-relative:margin;mso-width-relative:page;mso-height-relative:page;mso-wrap-distance-left:0.0pt;mso-wrap-distance-right:0.0pt;visibility:visible;rotation:-2949120fd;" o:allowincell="false">
          <v:stroke on="f"/>
          <o:lock text="true" v:ext="view"/>
          <v:fill opacity="50%"/>
          <v:textpath string="UNDER PEER REVIEW" fitshape="t" on="t" style="font-size:1.0pt;font-family:&quot;Calibri&quot;;"/>
        </v:shape>
      </w:pict>
    </w:r>
  </w:p>
</w:hdr>
</file>

<file path=word/header5.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r>
      <w:rPr>
        <w:noProof/>
      </w:rPr>
      <w:pict>
        <v:shapetype id="_x0000_t136" coordsize="21600,21600" adj="10800" o:spt="136"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locs="@9,0;@10,10800;@11,21600;@12,10800" o:connecttype="custom" o:connectangles="270,180,90,0"/>
          <v:textpath on="t" fitshape="t"/>
          <v:handles>
            <v:h position="#0,bottomRight" xrange="6629,14971"/>
          </v:handles>
          <o:lock v:ext="edit" text="t" shapetype="t"/>
        </v:shapetype>
        <v:shape id="4100" type="#_x0000_t136" fillcolor="silver" stroked="f" style="position:absolute;margin-left:0.0pt;margin-top:0.0pt;width:555.05pt;height:104.65pt;z-index:-2147483645;mso-position-horizontal:center;mso-position-vertical:center;mso-position-horizontal-relative:margin;mso-position-vertical-relative:margin;mso-width-relative:page;mso-height-relative:page;mso-wrap-distance-left:0.0pt;mso-wrap-distance-right:0.0pt;visibility:visible;rotation:-2949120fd;" o:allowincell="false">
          <v:stroke on="f"/>
          <o:lock text="true" v:ext="view"/>
          <v:fill opacity="50%"/>
          <v:textpath string="UNDER PEER REVIEW" fitshape="t" on="t" style="font-size:1.0pt;font-family:&quot;Calibri&qu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SimSun"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styleId="style85">
    <w:name w:val="Hyperlink"/>
    <w:basedOn w:val="style65"/>
    <w:next w:val="style85"/>
    <w:uiPriority w:val="99"/>
    <w:rPr>
      <w:color w:val="0000ff"/>
      <w:u w:val="single"/>
    </w:rPr>
  </w:style>
  <w:style w:type="character" w:customStyle="1" w:styleId="style4097">
    <w:name w:val="uv3um"/>
    <w:basedOn w:val="style65"/>
    <w:next w:val="style4097"/>
  </w:style>
  <w:style w:type="table" w:customStyle="1" w:styleId="style4098">
    <w:name w:val="Plain Table 41"/>
    <w:basedOn w:val="style105"/>
    <w:next w:val="style4098"/>
    <w:uiPriority w:val="44"/>
    <w:pPr>
      <w:spacing w:after="0" w:lineRule="auto" w:line="240"/>
    </w:pPr>
    <w:rPr>
      <w:rFonts w:eastAsia="SimSun"/>
    </w:rPr>
    <w:tblPr>
      <w:tblStyleRowBandSize w:val="1"/>
      <w:tblStyleColBandSize w:val="1"/>
    </w:tblPr>
    <w:tblStylePr w:type="firstRow">
      <w:pPr/>
      <w:rPr>
        <w:b/>
        <w:bCs/>
      </w:rPr>
      <w:tcPr>
        <w:tcBorders/>
      </w:tcPr>
    </w:tblStylePr>
    <w:tblStylePr w:type="lastRow">
      <w:pPr/>
      <w:rPr>
        <w:b/>
        <w:bCs/>
      </w:rPr>
      <w:tcPr>
        <w:tcBorders/>
      </w:tcPr>
    </w:tblStylePr>
    <w:tblStylePr w:type="band1Horz">
      <w:pPr/>
      <w:tblPr/>
      <w:tcPr>
        <w:tcBorders/>
        <w:shd w:val="clear" w:color="auto" w:fill="f2f2f2"/>
      </w:tcPr>
    </w:tblStylePr>
    <w:tblStylePr w:type="firstCol">
      <w:pPr/>
      <w:rPr>
        <w:b/>
        <w:bCs/>
      </w:rPr>
      <w:tcPr>
        <w:tcBorders/>
      </w:tcPr>
    </w:tblStylePr>
    <w:tblStylePr w:type="lastCol">
      <w:pPr/>
      <w:rPr>
        <w:b/>
        <w:bCs/>
      </w:rPr>
      <w:tcPr>
        <w:tcBorders/>
      </w:tcPr>
    </w:tblStylePr>
    <w:tblStylePr w:type="band1Vert">
      <w:pPr/>
      <w:tblPr/>
      <w:tcPr>
        <w:tcBorders/>
        <w:shd w:val="clear" w:color="auto" w:fill="f2f2f2"/>
      </w:tcPr>
    </w:tblStylePr>
    <w:tcPr>
      <w:tcBorders/>
    </w:tc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sz w:val="24"/>
      <w:szCs w:val="24"/>
    </w:rPr>
  </w:style>
  <w:style w:type="character" w:customStyle="1" w:styleId="style4099">
    <w:name w:val="Unresolved Mention"/>
    <w:basedOn w:val="style65"/>
    <w:next w:val="style4099"/>
    <w:uiPriority w:val="99"/>
    <w:rPr>
      <w:color w:val="605e5c"/>
      <w:shd w:val="clear" w:color="auto" w:fill="e1dfdd"/>
    </w:rPr>
  </w:style>
  <w:style w:type="paragraph" w:styleId="style31">
    <w:name w:val="header"/>
    <w:basedOn w:val="style0"/>
    <w:next w:val="style31"/>
    <w:link w:val="style4100"/>
    <w:uiPriority w:val="99"/>
    <w:pPr>
      <w:tabs>
        <w:tab w:val="center" w:leader="none" w:pos="4680"/>
        <w:tab w:val="right" w:leader="none" w:pos="9360"/>
      </w:tabs>
      <w:spacing w:after="0" w:lineRule="auto" w:line="240"/>
    </w:pPr>
    <w:rPr/>
  </w:style>
  <w:style w:type="character" w:customStyle="1" w:styleId="style4100">
    <w:name w:val="Header Char_df6daa77-1ce8-46c8-89c5-9faf853744a1"/>
    <w:basedOn w:val="style65"/>
    <w:next w:val="style4100"/>
    <w:link w:val="style31"/>
    <w:uiPriority w:val="99"/>
  </w:style>
  <w:style w:type="paragraph" w:styleId="style32">
    <w:name w:val="footer"/>
    <w:basedOn w:val="style0"/>
    <w:next w:val="style32"/>
    <w:link w:val="style4101"/>
    <w:uiPriority w:val="99"/>
    <w:pPr>
      <w:tabs>
        <w:tab w:val="center" w:leader="none" w:pos="4680"/>
        <w:tab w:val="right" w:leader="none" w:pos="9360"/>
      </w:tabs>
      <w:spacing w:after="0" w:lineRule="auto" w:line="240"/>
    </w:pPr>
    <w:rPr/>
  </w:style>
  <w:style w:type="character" w:customStyle="1" w:styleId="style4101">
    <w:name w:val="Footer Char_78f786dd-de83-4647-af33-14b18acec671"/>
    <w:basedOn w:val="style65"/>
    <w:next w:val="style4101"/>
    <w:link w:val="style32"/>
    <w:uiPriority w:val="99"/>
  </w:style>
  <w:style w:type="paragraph" w:styleId="style157">
    <w:name w:val="No Spacing"/>
    <w:next w:val="style157"/>
    <w:qFormat/>
    <w:uiPriority w:val="1"/>
    <w:pPr>
      <w:spacing w:after="0" w:lineRule="auto" w:line="240"/>
    </w:pPr>
    <w:rPr>
      <w:rFonts w:ascii="Calibri" w:cs="宋体" w:eastAsia="Calibri" w:hAnsi="Calibri"/>
      <w:lang w:val="en-GB"/>
    </w:rPr>
  </w:style>
</w:styles>
</file>

<file path=word/_rels/document.xml.rels><?xml version="1.0" encoding="UTF-8"?>
<Relationships xmlns="http://schemas.openxmlformats.org/package/2006/relationships"><Relationship Id="rId11" Type="http://schemas.openxmlformats.org/officeDocument/2006/relationships/footer" Target="footer4.xml"/><Relationship Id="rId10" Type="http://schemas.openxmlformats.org/officeDocument/2006/relationships/footer" Target="footer3.xml"/><Relationship Id="rId13" Type="http://schemas.openxmlformats.org/officeDocument/2006/relationships/styles" Target="styles.xml"/><Relationship Id="rId12" Type="http://schemas.openxmlformats.org/officeDocument/2006/relationships/header" Target="header5.xml"/><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9" Type="http://schemas.openxmlformats.org/officeDocument/2006/relationships/header" Target="header2.xml"/><Relationship Id="rId15" Type="http://schemas.openxmlformats.org/officeDocument/2006/relationships/settings" Target="settings.xml"/><Relationship Id="rId14" Type="http://schemas.openxmlformats.org/officeDocument/2006/relationships/fontTable" Target="fontTable.xml"/><Relationship Id="rId16" Type="http://schemas.openxmlformats.org/officeDocument/2006/relationships/theme" Target="theme/theme1.xml"/><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142</TotalTime>
  <Words>5288</Words>
  <Pages>20</Pages>
  <Characters>32293</Characters>
  <Application>WPS Office</Application>
  <DocSecurity>0</DocSecurity>
  <Paragraphs>387</Paragraphs>
  <ScaleCrop>false</ScaleCrop>
  <LinksUpToDate>false</LinksUpToDate>
  <CharactersWithSpaces>37369</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2026-05-16T18:35:00Z</dcterms:created>
  <dc:creator>HiUser</dc:creator>
  <lastModifiedBy>TECNO KJ5</lastModifiedBy>
  <dcterms:modified xsi:type="dcterms:W3CDTF">2026-05-25T20:40:32Z</dcterms:modified>
  <revision>19</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5d97c775c3a149038f05ab7184627d14</vt:lpwstr>
  </property>
</Properties>
</file>