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8329" w14:textId="77777777" w:rsidR="00264D7A" w:rsidRPr="00264D7A" w:rsidRDefault="00264D7A" w:rsidP="00264D7A">
      <w:pPr>
        <w:spacing w:after="0" w:line="240" w:lineRule="auto"/>
        <w:jc w:val="center"/>
        <w:rPr>
          <w:rFonts w:eastAsia="Times New Roman" w:cs="Times New Roman"/>
          <w:color w:val="000000"/>
          <w:sz w:val="20"/>
          <w:szCs w:val="20"/>
          <w:lang w:val="en-IN" w:eastAsia="en-IN"/>
        </w:rPr>
      </w:pPr>
      <w:r w:rsidRPr="00264D7A">
        <w:rPr>
          <w:rFonts w:eastAsia="Times New Roman" w:cs="Times New Roman"/>
          <w:color w:val="000000"/>
          <w:sz w:val="20"/>
          <w:szCs w:val="20"/>
          <w:lang w:val="en-IN" w:eastAsia="en-IN"/>
        </w:rPr>
        <w:t>Original Research Article</w:t>
      </w:r>
    </w:p>
    <w:p w14:paraId="1E45AE8A" w14:textId="77777777" w:rsidR="00264D7A" w:rsidRDefault="00264D7A" w:rsidP="007218FD">
      <w:pPr>
        <w:spacing w:line="240" w:lineRule="auto"/>
        <w:jc w:val="center"/>
        <w:rPr>
          <w:rFonts w:cs="Times New Roman"/>
          <w:b/>
          <w:szCs w:val="24"/>
        </w:rPr>
      </w:pPr>
    </w:p>
    <w:p w14:paraId="7245944F" w14:textId="77777777" w:rsidR="00F61392" w:rsidRPr="001F37A9" w:rsidRDefault="00F61392" w:rsidP="007218FD">
      <w:pPr>
        <w:spacing w:line="240" w:lineRule="auto"/>
        <w:jc w:val="center"/>
        <w:rPr>
          <w:rFonts w:cs="Times New Roman"/>
          <w:szCs w:val="24"/>
        </w:rPr>
      </w:pPr>
      <w:r w:rsidRPr="001F37A9">
        <w:rPr>
          <w:rFonts w:cs="Times New Roman"/>
          <w:b/>
          <w:szCs w:val="24"/>
        </w:rPr>
        <w:t>Audit Committee Effectiveness and Earnings Management: Evidence from Listed Non-Financial Firms in Nigeria</w:t>
      </w:r>
    </w:p>
    <w:p w14:paraId="72579308" w14:textId="77777777" w:rsidR="001D0366" w:rsidRDefault="001D0366" w:rsidP="007218FD">
      <w:pPr>
        <w:spacing w:after="0" w:line="240" w:lineRule="auto"/>
        <w:rPr>
          <w:rFonts w:cs="Times New Roman"/>
          <w:b/>
          <w:szCs w:val="24"/>
        </w:rPr>
      </w:pPr>
    </w:p>
    <w:p w14:paraId="24B08F52" w14:textId="77777777" w:rsidR="00C27DB1" w:rsidRDefault="00C27DB1" w:rsidP="007218FD">
      <w:pPr>
        <w:spacing w:after="0" w:line="240" w:lineRule="auto"/>
        <w:rPr>
          <w:rFonts w:cs="Times New Roman"/>
          <w:b/>
          <w:szCs w:val="24"/>
        </w:rPr>
      </w:pPr>
    </w:p>
    <w:p w14:paraId="2477088B" w14:textId="77777777" w:rsidR="00C27DB1" w:rsidRDefault="00C27DB1" w:rsidP="007218FD">
      <w:pPr>
        <w:spacing w:after="0" w:line="240" w:lineRule="auto"/>
        <w:rPr>
          <w:rFonts w:cs="Times New Roman"/>
          <w:b/>
          <w:szCs w:val="24"/>
        </w:rPr>
      </w:pPr>
    </w:p>
    <w:p w14:paraId="058F887A" w14:textId="77777777" w:rsidR="00F61392" w:rsidRPr="001F37A9" w:rsidRDefault="00F61392" w:rsidP="007218FD">
      <w:pPr>
        <w:spacing w:after="0" w:line="240" w:lineRule="auto"/>
        <w:rPr>
          <w:rFonts w:cs="Times New Roman"/>
          <w:szCs w:val="24"/>
        </w:rPr>
      </w:pPr>
      <w:r w:rsidRPr="001F37A9">
        <w:rPr>
          <w:rFonts w:cs="Times New Roman"/>
          <w:b/>
          <w:szCs w:val="24"/>
        </w:rPr>
        <w:t>Abstract</w:t>
      </w:r>
    </w:p>
    <w:p w14:paraId="6E736AD6" w14:textId="77777777" w:rsidR="00F61392" w:rsidRPr="001F37A9" w:rsidRDefault="00F61392" w:rsidP="007218FD">
      <w:pPr>
        <w:spacing w:line="240" w:lineRule="auto"/>
        <w:jc w:val="both"/>
        <w:rPr>
          <w:rFonts w:cs="Times New Roman"/>
          <w:szCs w:val="24"/>
        </w:rPr>
      </w:pPr>
      <w:bookmarkStart w:id="0" w:name="_Hlk231475555"/>
      <w:bookmarkEnd w:id="0"/>
      <w:r>
        <w:rPr>
          <w:highlight w:val="yellow"/>
        </w:rPr>
        <w:t>This study examines the effect of audit committee effectiveness on earnings management among listed non-financial firms in Nigeria over the eleven-year period from 2014 to 2024. The study is grounded in agency theory, resource dependency theory, and signalling theory, and adopts an ex post facto research design using balanced panel data from 56 firms, producing 616 firm-year observations. Audit committee effectiveness is measured through five attributes: size, independence, gender diversity, diligence, and financial expertise. Earnings management is captured with two complementary proxies: discretionary accruals, estimated using the Modified Jones model, and earnings smoothness, measured as the ratio of earnings volatility to cash-flow volatility. A composite earnings management index is also constructed by standardising and averaging both proxies. The Generalised Method of Moments estimator is used to address endogeneity, autocorrelation, and heteroscedasticity concerns within the panel estimation. The results show that audit committee size significantly reduces earnings smoothness and composite earnings management, but increases discretionary accruals, suggesting that larger committees may enhance broad oversight while weakening detailed accrual scrutiny. Audit committee independence is positively associated with all three earnings management proxies, indicating that formal independence does not necessarily translate into substantive monitoring effectiveness in the Nigerian governance context. Gender diversity and meeting frequency show mixed effects across the earnings management measures, while financial expertise is excluded from the regression models because it displays no variation across the sampled firms. Overall, the study provides contemporary evidence that audit committee effectiveness depends on the substantive quality of committee attributes rather than on structural compliance alone.</w:t>
      </w:r>
    </w:p>
    <w:p w14:paraId="5CD68EA0" w14:textId="77777777" w:rsidR="00F61392" w:rsidRPr="001F37A9" w:rsidRDefault="00F61392" w:rsidP="007218FD">
      <w:pPr>
        <w:spacing w:line="240" w:lineRule="auto"/>
        <w:rPr>
          <w:rFonts w:cs="Times New Roman"/>
          <w:szCs w:val="24"/>
        </w:rPr>
      </w:pPr>
      <w:r>
        <w:rPr>
          <w:b/>
          <w:i/>
          <w:highlight w:val="yellow"/>
        </w:rPr>
        <w:t>Keywords: Audit committee effectiveness; earnings management; discretionary accruals; earnings smoothness; corporate governance; financial reporting quality; audit committee independence; gender diversity; Generalised Method of Moments; listed non-financial firms; Nigeria</w:t>
      </w:r>
    </w:p>
    <w:p w14:paraId="2E2A65C5" w14:textId="77777777" w:rsidR="00F61392" w:rsidRPr="001F37A9" w:rsidRDefault="00F61392" w:rsidP="007218FD">
      <w:pPr>
        <w:spacing w:line="240" w:lineRule="auto"/>
        <w:rPr>
          <w:rFonts w:cs="Times New Roman"/>
          <w:szCs w:val="24"/>
        </w:rPr>
      </w:pPr>
      <w:r w:rsidRPr="001F37A9">
        <w:rPr>
          <w:rFonts w:cs="Times New Roman"/>
          <w:b/>
          <w:szCs w:val="24"/>
        </w:rPr>
        <w:t>1. Introduction</w:t>
      </w:r>
    </w:p>
    <w:p w14:paraId="2B8F01A5" w14:textId="1B247BB6" w:rsidR="00F61392" w:rsidRPr="001F37A9" w:rsidRDefault="00F61392" w:rsidP="00243E40">
      <w:pPr>
        <w:spacing w:line="240" w:lineRule="auto"/>
        <w:ind w:firstLine="720"/>
        <w:jc w:val="both"/>
        <w:rPr>
          <w:rFonts w:cs="Times New Roman"/>
          <w:szCs w:val="24"/>
        </w:rPr>
      </w:pPr>
      <w:bookmarkStart w:id="1" w:name="_Hlk231493070"/>
      <w:bookmarkEnd w:id="1"/>
      <w:r>
        <w:rPr>
          <w:highlight w:val="yellow"/>
        </w:rPr>
        <w:t>The integrity of financial reporting is a fundamental pillar of capital market stability and investor confidence. However, the prevalence of earnings management, defined as the use of managerial discretion in financial reporting to mislead stakeholders or influence contractual outcomes remains a pervasive challenge globally, and particularly in emerging markets such as Nigeria (Uwuigbe et al., 20</w:t>
      </w:r>
      <w:r w:rsidR="000F1E0E">
        <w:rPr>
          <w:highlight w:val="yellow"/>
        </w:rPr>
        <w:t>15</w:t>
      </w:r>
      <w:r>
        <w:rPr>
          <w:highlight w:val="yellow"/>
        </w:rPr>
        <w:t>). High-profile corporate failures, including those involving Cadbury Nigeria Plc and Afribank, have been historically linked to aggressive earnings manipulation and the failure of internal oversight mechanisms (</w:t>
      </w:r>
      <w:r w:rsidR="002E209C" w:rsidRPr="002E209C">
        <w:t>Kaoje</w:t>
      </w:r>
      <w:r w:rsidR="002E209C">
        <w:t xml:space="preserve"> et al.</w:t>
      </w:r>
      <w:r>
        <w:rPr>
          <w:highlight w:val="yellow"/>
        </w:rPr>
        <w:t>, 2023). Even after the CAMA 2020 reforms, the market still faces transparency challenges. In response, the Nigerian regulatory landscape has undergone significant reforms, most notably the Nigerian Code of Corporate Governance 2018 (Financial Reporting Council of Nigeria [FRCN], 2018) and the Companies and Allied Matters Act 2020 (Federal Republic of Nigeria, 2020). Central to these reforms is the role of the audit committee. As a sub-committee of the board, the audit committee is tasked with overseeing the financial reporting process, internal controls and the audit function (</w:t>
      </w:r>
      <w:r w:rsidR="00400139">
        <w:rPr>
          <w:highlight w:val="yellow"/>
        </w:rPr>
        <w:t>Bawuah, 2024</w:t>
      </w:r>
      <w:r>
        <w:rPr>
          <w:highlight w:val="yellow"/>
        </w:rPr>
        <w:t>). Despite statutory requirements, a persistent debate remains about whether these committees are genuinely effective or merely ceremonial, lacking the technical capacity or autonomy to challenge aggressive accounting choices by executive management (</w:t>
      </w:r>
      <w:r w:rsidR="00FC2E34">
        <w:rPr>
          <w:highlight w:val="yellow"/>
        </w:rPr>
        <w:t>Kaoje et al., 2023</w:t>
      </w:r>
      <w:r>
        <w:rPr>
          <w:highlight w:val="yellow"/>
        </w:rPr>
        <w:t xml:space="preserve">). </w:t>
      </w:r>
      <w:r>
        <w:rPr>
          <w:highlight w:val="yellow"/>
        </w:rPr>
        <w:lastRenderedPageBreak/>
        <w:t>Prior Nigerian studies have produced mixed results. Some find that independence is the primary deterrent to earnings manipulation (</w:t>
      </w:r>
      <w:r w:rsidR="00D3138D" w:rsidRPr="00D3138D">
        <w:t>Kaoje</w:t>
      </w:r>
      <w:r w:rsidR="00D3138D">
        <w:t xml:space="preserve"> et al.</w:t>
      </w:r>
      <w:r>
        <w:rPr>
          <w:highlight w:val="yellow"/>
        </w:rPr>
        <w:t>, 2023), while others argue that expertise is more critical (</w:t>
      </w:r>
      <w:r w:rsidR="00DD3A45">
        <w:rPr>
          <w:highlight w:val="yellow"/>
        </w:rPr>
        <w:t>Bawuah, 2024</w:t>
      </w:r>
      <w:r>
        <w:rPr>
          <w:highlight w:val="yellow"/>
        </w:rPr>
        <w:t>). A further weakness in extant literature is the narrow focus on a single proxy for earnings management typically discretionary accruals which may fail to capture the full spectrum of managerial manipulation, particularly income smoothing. This study addresses these gaps by simultaneously examining the effect of five audit committee attributes on two distinct earnings management proxies: discretionary accruals and earnings smoothness. The study contributes to the literature in three ways. First, it adopts a multi-proxy approach to earnings management, capturing both accrual-based manipulation and income smoothing. Second, it employs the GMM estimator to correct for endogeneity, a common methodological shortcoming in governance research. Third, it spans an eleven-year period (2014–2024) that encompasses major regulatory transitions under NCCG 2018 and CAMA 2020, providing contemporary evidence on whether these reforms have substantively improved financial reporting quality in Nigeria.</w:t>
      </w:r>
    </w:p>
    <w:p w14:paraId="283EF0EF" w14:textId="77777777" w:rsidR="00F61392" w:rsidRPr="001F37A9" w:rsidRDefault="00F61392" w:rsidP="007218FD">
      <w:pPr>
        <w:shd w:val="clear" w:color="auto" w:fill="FFFFFF"/>
        <w:spacing w:after="270" w:line="240" w:lineRule="auto"/>
        <w:jc w:val="both"/>
        <w:outlineLvl w:val="2"/>
        <w:rPr>
          <w:rFonts w:eastAsia="Times New Roman" w:cs="Times New Roman"/>
          <w:b/>
          <w:bCs/>
          <w:color w:val="2B2D31"/>
          <w:szCs w:val="24"/>
        </w:rPr>
      </w:pPr>
      <w:r w:rsidRPr="001F37A9">
        <w:rPr>
          <w:rFonts w:eastAsia="Times New Roman" w:cs="Times New Roman"/>
          <w:b/>
          <w:bCs/>
          <w:color w:val="2B2D31"/>
          <w:szCs w:val="24"/>
        </w:rPr>
        <w:t xml:space="preserve">2. </w:t>
      </w:r>
      <w:r w:rsidR="007218FD" w:rsidRPr="001F37A9">
        <w:rPr>
          <w:rFonts w:eastAsia="Times New Roman" w:cs="Times New Roman"/>
          <w:b/>
          <w:bCs/>
          <w:color w:val="2B2D31"/>
          <w:szCs w:val="24"/>
        </w:rPr>
        <w:tab/>
      </w:r>
      <w:r w:rsidRPr="001F37A9">
        <w:rPr>
          <w:rFonts w:eastAsia="Times New Roman" w:cs="Times New Roman"/>
          <w:b/>
          <w:bCs/>
          <w:color w:val="2B2D31"/>
          <w:szCs w:val="24"/>
        </w:rPr>
        <w:t>Literature review and hypotheses development</w:t>
      </w:r>
    </w:p>
    <w:p w14:paraId="11ADBA13" w14:textId="77777777" w:rsidR="00F61392" w:rsidRPr="001F37A9" w:rsidRDefault="00F61392" w:rsidP="007218FD">
      <w:pPr>
        <w:shd w:val="clear" w:color="auto" w:fill="FFFFFF"/>
        <w:spacing w:after="270" w:line="240" w:lineRule="auto"/>
        <w:ind w:firstLine="720"/>
        <w:jc w:val="both"/>
        <w:outlineLvl w:val="2"/>
        <w:rPr>
          <w:rFonts w:eastAsia="Times New Roman" w:cs="Times New Roman"/>
          <w:b/>
          <w:bCs/>
          <w:color w:val="2B2D31"/>
          <w:szCs w:val="24"/>
        </w:rPr>
      </w:pPr>
      <w:r>
        <w:rPr>
          <w:color w:val="2B2D31"/>
          <w:highlight w:val="yellow"/>
        </w:rPr>
        <w:t>This study reviews the key constructs of audit committee effectiveness and earnings management. It outlines the principal theoretical perspectives that explain how audit committee attributes influence financial reporting outcomes and how monitoring structures condition that relationship. Drawing on prior empirical evidence, the study develops testable hypotheses that link audit committee independence, expertise, size, and diligence to variations in earnings management quality across listed non-financial firms in Nigeria.</w:t>
      </w:r>
    </w:p>
    <w:p w14:paraId="50C815B0" w14:textId="77777777"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2.1 </w:t>
      </w:r>
      <w:r w:rsidR="007218FD" w:rsidRPr="001F37A9">
        <w:rPr>
          <w:rFonts w:eastAsia="Times New Roman" w:cs="Times New Roman"/>
          <w:b/>
          <w:bCs/>
          <w:color w:val="2B2D31"/>
          <w:szCs w:val="24"/>
        </w:rPr>
        <w:tab/>
      </w:r>
      <w:r w:rsidRPr="001F37A9">
        <w:rPr>
          <w:rFonts w:eastAsia="Times New Roman" w:cs="Times New Roman"/>
          <w:b/>
          <w:bCs/>
          <w:color w:val="2B2D31"/>
          <w:szCs w:val="24"/>
        </w:rPr>
        <w:t>Conceptual Review</w:t>
      </w:r>
    </w:p>
    <w:p w14:paraId="26F4CFEA" w14:textId="77777777" w:rsidR="00F61392" w:rsidRPr="001F37A9" w:rsidRDefault="00F61392" w:rsidP="007218FD">
      <w:pPr>
        <w:shd w:val="clear" w:color="auto" w:fill="FFFFFF"/>
        <w:spacing w:after="0" w:line="240" w:lineRule="auto"/>
        <w:ind w:firstLine="720"/>
        <w:jc w:val="both"/>
        <w:outlineLvl w:val="3"/>
        <w:rPr>
          <w:rFonts w:eastAsia="Times New Roman" w:cs="Times New Roman"/>
          <w:color w:val="2B2D31"/>
          <w:szCs w:val="24"/>
        </w:rPr>
      </w:pPr>
      <w:r w:rsidRPr="001F37A9">
        <w:rPr>
          <w:rFonts w:eastAsia="Times New Roman" w:cs="Times New Roman"/>
          <w:color w:val="2B2D31"/>
          <w:szCs w:val="24"/>
        </w:rPr>
        <w:t>The conceptual review examines the foundational constructs of audit committee effectiveness, earnings management, and the Nigerian regulatory environment, with a focus on how these elements converge within listed non-financial entities.</w:t>
      </w:r>
    </w:p>
    <w:p w14:paraId="18D908B8" w14:textId="77777777" w:rsidR="00F61392" w:rsidRPr="001F37A9" w:rsidRDefault="00F61392" w:rsidP="007218FD">
      <w:pPr>
        <w:shd w:val="clear" w:color="auto" w:fill="FFFFFF"/>
        <w:spacing w:after="0" w:line="240" w:lineRule="auto"/>
        <w:jc w:val="both"/>
        <w:outlineLvl w:val="3"/>
        <w:rPr>
          <w:rFonts w:eastAsia="Times New Roman" w:cs="Times New Roman"/>
          <w:color w:val="2B2D31"/>
          <w:szCs w:val="24"/>
        </w:rPr>
      </w:pPr>
    </w:p>
    <w:p w14:paraId="593043F9" w14:textId="77777777"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2.1.1 </w:t>
      </w:r>
      <w:r w:rsidR="007218FD" w:rsidRPr="001F37A9">
        <w:rPr>
          <w:rFonts w:eastAsia="Times New Roman" w:cs="Times New Roman"/>
          <w:b/>
          <w:bCs/>
          <w:color w:val="2B2D31"/>
          <w:szCs w:val="24"/>
        </w:rPr>
        <w:tab/>
      </w:r>
      <w:r w:rsidRPr="001F37A9">
        <w:rPr>
          <w:rFonts w:eastAsia="Times New Roman" w:cs="Times New Roman"/>
          <w:b/>
          <w:bCs/>
          <w:color w:val="2B2D31"/>
          <w:szCs w:val="24"/>
        </w:rPr>
        <w:t>Earnings Management</w:t>
      </w:r>
    </w:p>
    <w:p w14:paraId="2BAC8C16" w14:textId="7FED8435" w:rsidR="00F61392" w:rsidRPr="001F37A9" w:rsidRDefault="00F61392" w:rsidP="007218FD">
      <w:pPr>
        <w:shd w:val="clear" w:color="auto" w:fill="FFFFFF"/>
        <w:spacing w:after="0" w:line="240" w:lineRule="auto"/>
        <w:ind w:firstLine="720"/>
        <w:jc w:val="both"/>
        <w:outlineLvl w:val="3"/>
        <w:rPr>
          <w:rFonts w:eastAsia="Times New Roman" w:cs="Times New Roman"/>
          <w:color w:val="2B2D31"/>
          <w:szCs w:val="24"/>
        </w:rPr>
      </w:pPr>
      <w:r>
        <w:rPr>
          <w:color w:val="2B2D31"/>
          <w:highlight w:val="yellow"/>
        </w:rPr>
        <w:t>Earnings management is the purposeful intervention in the external financial reporting process with the intent of obtaining some private gain (</w:t>
      </w:r>
      <w:r w:rsidR="002E209C" w:rsidRPr="002E209C">
        <w:rPr>
          <w:color w:val="2B2D31"/>
        </w:rPr>
        <w:t>Qawqaze et al.</w:t>
      </w:r>
      <w:r w:rsidR="002E209C">
        <w:rPr>
          <w:color w:val="2B2D31"/>
        </w:rPr>
        <w:t>,</w:t>
      </w:r>
      <w:r w:rsidR="002E209C" w:rsidRPr="002E209C">
        <w:rPr>
          <w:color w:val="2B2D31"/>
        </w:rPr>
        <w:t xml:space="preserve"> 2022</w:t>
      </w:r>
      <w:r>
        <w:rPr>
          <w:color w:val="2B2D31"/>
          <w:highlight w:val="yellow"/>
        </w:rPr>
        <w:t>). This encompasses a range of activities through which managers use their discretion over accounting choices and operational decisions to influence reported earnings. Contemporary research distinguishes between two broad categories of earnings management: accrual-based earnings management, which involves manipulating accounting estimates and methods within the constraints of generally accepted accounting principles, and earnings smoothness, which entails smoothing earnings to achieve reporting objectives (</w:t>
      </w:r>
      <w:r w:rsidR="002E209C" w:rsidRPr="002E209C">
        <w:rPr>
          <w:color w:val="2B2D31"/>
        </w:rPr>
        <w:t>Kaoje et al., 2023</w:t>
      </w:r>
      <w:r>
        <w:rPr>
          <w:color w:val="2B2D31"/>
          <w:highlight w:val="yellow"/>
        </w:rPr>
        <w:t>). Accrual-based earnings management operates through discretionary accruals, which represent the portion of total accruals over which managers exercise judgement. While some accruals are necessary for the proper functioning of accrual accounting, managers can exploit the flexibility inherent in accounting standards to shift earnings between periods, smooth income streams, or meet earnings thresholds (Uwuigbe et al., 20</w:t>
      </w:r>
      <w:r w:rsidR="000F1E0E">
        <w:rPr>
          <w:color w:val="2B2D31"/>
          <w:highlight w:val="yellow"/>
        </w:rPr>
        <w:t>15</w:t>
      </w:r>
      <w:r>
        <w:rPr>
          <w:color w:val="2B2D31"/>
          <w:highlight w:val="yellow"/>
        </w:rPr>
        <w:t>). The Modified Jones model (Dechow et al., 1995) has become the most widely used approach for isolating discretionary accruals as a measure of earnings management. This model estimates non-discretionary accruals as a function of changes in revenue and the level of property, plant, and equipment, with the residual representing the discretionary component subject to managerial manipulation (</w:t>
      </w:r>
      <w:r w:rsidR="00DD3A45">
        <w:rPr>
          <w:color w:val="2B2D31"/>
          <w:highlight w:val="yellow"/>
        </w:rPr>
        <w:t>Bawuah, 2024</w:t>
      </w:r>
      <w:r>
        <w:rPr>
          <w:color w:val="2B2D31"/>
          <w:highlight w:val="yellow"/>
        </w:rPr>
        <w:t>). The prevalence and consequences of earnings management have been extensively documented in recent Nigerian studies. Research indicates that firms engage in earnings management to meet analyst forecasts (</w:t>
      </w:r>
      <w:r w:rsidR="0037782E" w:rsidRPr="0037782E">
        <w:rPr>
          <w:color w:val="2B2D31"/>
        </w:rPr>
        <w:t>Kaoje</w:t>
      </w:r>
      <w:r w:rsidR="0037782E">
        <w:rPr>
          <w:color w:val="2B2D31"/>
        </w:rPr>
        <w:t xml:space="preserve"> et al.</w:t>
      </w:r>
      <w:r>
        <w:rPr>
          <w:color w:val="2B2D31"/>
          <w:highlight w:val="yellow"/>
        </w:rPr>
        <w:t>, 202</w:t>
      </w:r>
      <w:r w:rsidR="0037782E">
        <w:rPr>
          <w:color w:val="2B2D31"/>
          <w:highlight w:val="yellow"/>
        </w:rPr>
        <w:t>3</w:t>
      </w:r>
      <w:r>
        <w:rPr>
          <w:color w:val="2B2D31"/>
          <w:highlight w:val="yellow"/>
        </w:rPr>
        <w:t>), avoid reporting losses (</w:t>
      </w:r>
      <w:r w:rsidR="00DD3A45" w:rsidRPr="00DD3A45">
        <w:rPr>
          <w:color w:val="2B2D31"/>
        </w:rPr>
        <w:t>Kaoje</w:t>
      </w:r>
      <w:r>
        <w:rPr>
          <w:color w:val="2B2D31"/>
          <w:highlight w:val="yellow"/>
        </w:rPr>
        <w:t xml:space="preserve"> et al., 2023), and maximise management compensation (</w:t>
      </w:r>
      <w:r w:rsidR="002E209C" w:rsidRPr="002E209C">
        <w:rPr>
          <w:color w:val="2B2D31"/>
        </w:rPr>
        <w:t>Kaoje et al., 2023</w:t>
      </w:r>
      <w:r>
        <w:rPr>
          <w:color w:val="2B2D31"/>
          <w:highlight w:val="yellow"/>
        </w:rPr>
        <w:t xml:space="preserve">). The consequences include mispricing of securities, inefficient capital allocation, erosion of investor confidence, and in extreme </w:t>
      </w:r>
      <w:r>
        <w:rPr>
          <w:color w:val="2B2D31"/>
          <w:highlight w:val="yellow"/>
        </w:rPr>
        <w:lastRenderedPageBreak/>
        <w:t>cases, corporate failure (</w:t>
      </w:r>
      <w:r w:rsidR="00400139">
        <w:rPr>
          <w:color w:val="2B2D31"/>
          <w:highlight w:val="yellow"/>
        </w:rPr>
        <w:t>Bawuah, 2024</w:t>
      </w:r>
      <w:r>
        <w:rPr>
          <w:color w:val="2B2D31"/>
          <w:highlight w:val="yellow"/>
        </w:rPr>
        <w:t>). These outcomes underscore the importance of effective governance mechanisms capable of constraining managerial opportunism in financial reporting.</w:t>
      </w:r>
    </w:p>
    <w:p w14:paraId="1586FFA9"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770ABDCC"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72203F48"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5A2896E1" w14:textId="77777777" w:rsidR="00F61392" w:rsidRPr="001F37A9" w:rsidRDefault="00F61392" w:rsidP="007218FD">
      <w:pPr>
        <w:shd w:val="clear" w:color="auto" w:fill="FFFFFF"/>
        <w:spacing w:after="0" w:line="240" w:lineRule="auto"/>
        <w:jc w:val="both"/>
        <w:outlineLvl w:val="3"/>
        <w:rPr>
          <w:rFonts w:eastAsia="Times New Roman" w:cs="Times New Roman"/>
          <w:color w:val="2B2D31"/>
          <w:szCs w:val="24"/>
        </w:rPr>
      </w:pPr>
    </w:p>
    <w:p w14:paraId="62311AF7" w14:textId="77777777"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2.1.2 </w:t>
      </w:r>
      <w:r w:rsidR="007218FD" w:rsidRPr="001F37A9">
        <w:rPr>
          <w:rFonts w:eastAsia="Times New Roman" w:cs="Times New Roman"/>
          <w:b/>
          <w:bCs/>
          <w:color w:val="2B2D31"/>
          <w:szCs w:val="24"/>
        </w:rPr>
        <w:tab/>
      </w:r>
      <w:r w:rsidRPr="001F37A9">
        <w:rPr>
          <w:rFonts w:eastAsia="Times New Roman" w:cs="Times New Roman"/>
          <w:b/>
          <w:bCs/>
          <w:color w:val="2B2D31"/>
          <w:szCs w:val="24"/>
        </w:rPr>
        <w:t>Audit Committee Effectiveness</w:t>
      </w:r>
    </w:p>
    <w:p w14:paraId="10E45EC8" w14:textId="15BAA975" w:rsidR="00F61392" w:rsidRPr="001F37A9" w:rsidRDefault="00F61392" w:rsidP="007218FD">
      <w:pPr>
        <w:shd w:val="clear" w:color="auto" w:fill="FFFFFF"/>
        <w:spacing w:after="0" w:line="240" w:lineRule="auto"/>
        <w:ind w:firstLine="720"/>
        <w:jc w:val="both"/>
        <w:outlineLvl w:val="3"/>
        <w:rPr>
          <w:rFonts w:eastAsia="Times New Roman" w:cs="Times New Roman"/>
          <w:color w:val="2B2D31"/>
          <w:szCs w:val="24"/>
        </w:rPr>
      </w:pPr>
      <w:r>
        <w:rPr>
          <w:highlight w:val="yellow"/>
        </w:rPr>
        <w:t>An audit committee is a standing committee of the board of directors, typically composed of non-executive directors, charged with oversight of the financial reporting process, internal control systems, and the audit function (</w:t>
      </w:r>
      <w:r w:rsidR="002E209C" w:rsidRPr="002E209C">
        <w:t>Qawqaze et al.</w:t>
      </w:r>
      <w:r w:rsidR="002E209C">
        <w:t>,</w:t>
      </w:r>
      <w:r w:rsidR="002E209C" w:rsidRPr="002E209C">
        <w:t xml:space="preserve"> 2022</w:t>
      </w:r>
      <w:r>
        <w:rPr>
          <w:highlight w:val="yellow"/>
        </w:rPr>
        <w:t>). The committee serves as an independent check, ensuring that both management and auditors discharge their responsibilities appropriately and that the resulting financial reports can be relied upon by stakeholders (</w:t>
      </w:r>
      <w:r w:rsidR="000F1E0E" w:rsidRPr="000F1E0E">
        <w:t>Bawuah</w:t>
      </w:r>
      <w:r>
        <w:rPr>
          <w:highlight w:val="yellow"/>
        </w:rPr>
        <w:t>, 2024). The effectiveness of an audit committee is not determined by its mere existence but by its capacity to perform its oversight functions diligently and independently (</w:t>
      </w:r>
      <w:r w:rsidR="002E209C" w:rsidRPr="002E209C">
        <w:t>Qawqaze et al.</w:t>
      </w:r>
      <w:r w:rsidR="002E209C">
        <w:t>,</w:t>
      </w:r>
      <w:r w:rsidR="002E209C" w:rsidRPr="002E209C">
        <w:t xml:space="preserve"> 2022</w:t>
      </w:r>
      <w:r>
        <w:rPr>
          <w:highlight w:val="yellow"/>
        </w:rPr>
        <w:t>). The literature typically decomposes audit committee effectiveness into several observable characteristics that proxy for the committee's ability to constrain earnings management. This study focuses on five attributes that have received sustained attention and are mandated by the Nigerian Code of Corporate Governance 2018 and the Companies and Allied Matters Act (CAMA) 2020. Audit committee effectiveness is proxied using audit committee expertise, audit committee independence, audit committee size, audit committee diligence, and audit committee gender diversity.</w:t>
      </w:r>
    </w:p>
    <w:p w14:paraId="2414EB76" w14:textId="1F2694A1" w:rsidR="00221479"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bookmarkStart w:id="2" w:name="_Hlk224937437"/>
      <w:bookmarkEnd w:id="2"/>
      <w:r>
        <w:rPr>
          <w:color w:val="2B2D31"/>
          <w:highlight w:val="yellow"/>
        </w:rPr>
        <w:t>Audit committee expertise is the presence of members with accounting or related financial management expertise. Financially literate members possess the technical knowledge necessary to understand complex accounting transactions and identify aggressive reporting practices (</w:t>
      </w:r>
      <w:r w:rsidR="00DD3A45">
        <w:rPr>
          <w:color w:val="2B2D31"/>
          <w:highlight w:val="yellow"/>
        </w:rPr>
        <w:t>Bawuah, 2024</w:t>
      </w:r>
      <w:r>
        <w:rPr>
          <w:color w:val="2B2D31"/>
          <w:highlight w:val="yellow"/>
        </w:rPr>
        <w:t>). The Nigerian regulatory framework requires that at least one member possess accounting or financial management expertise to ensure the committee can engage meaningfully with auditors (Uwuigbe et al., 20</w:t>
      </w:r>
      <w:r w:rsidR="000F1E0E">
        <w:rPr>
          <w:color w:val="2B2D31"/>
          <w:highlight w:val="yellow"/>
        </w:rPr>
        <w:t>15</w:t>
      </w:r>
      <w:r>
        <w:rPr>
          <w:color w:val="2B2D31"/>
          <w:highlight w:val="yellow"/>
        </w:rPr>
        <w:t>). Audit committee independence captures the extent to which committee members are free from relationships that could impair their objectivity. Independence is essential because directors with ties to management may be reluctant to challenge questionable reporting practices (</w:t>
      </w:r>
      <w:r w:rsidR="00D3138D" w:rsidRPr="00D3138D">
        <w:rPr>
          <w:color w:val="2B2D31"/>
        </w:rPr>
        <w:t>Kaoje et al., 2023</w:t>
      </w:r>
      <w:r>
        <w:rPr>
          <w:color w:val="2B2D31"/>
          <w:highlight w:val="yellow"/>
        </w:rPr>
        <w:t>). In the Nigerian context, the CAMA 2020 (Federal Republic of Nigeria, 2020) specifies that the audit committee should consist of an equal number of directors and representatives of the shareholders, emphasizing the need for objective oversight (</w:t>
      </w:r>
      <w:r w:rsidR="0037782E" w:rsidRPr="0037782E">
        <w:rPr>
          <w:color w:val="2B2D31"/>
        </w:rPr>
        <w:t>Kaoje et al., 2023</w:t>
      </w:r>
      <w:r>
        <w:rPr>
          <w:color w:val="2B2D31"/>
          <w:highlight w:val="yellow"/>
        </w:rPr>
        <w:t>). Audit committee size reflects the number of members serving on the committee. The optimal size represents a trade-off between the benefits of diverse perspectives and the coordination costs that can impair effectiveness in very large committees (</w:t>
      </w:r>
      <w:r w:rsidR="00DD3A45">
        <w:rPr>
          <w:color w:val="2B2D31"/>
          <w:highlight w:val="yellow"/>
        </w:rPr>
        <w:t>Bawuah, 2024</w:t>
      </w:r>
      <w:r>
        <w:rPr>
          <w:color w:val="2B2D31"/>
          <w:highlight w:val="yellow"/>
        </w:rPr>
        <w:t>). Nigerian law specifies a maximum of six members for public companies, aiming to balance diverse expertise with operational efficiency. Audit committee diligence is the proxy for the diligence with which the committee discharges its responsibilities. More frequent meetings suggest greater attention to oversight duties and enhanced communication with auditors (</w:t>
      </w:r>
      <w:r w:rsidR="000F1E0E" w:rsidRPr="000F1E0E">
        <w:rPr>
          <w:color w:val="2B2D31"/>
        </w:rPr>
        <w:t>Kaoje</w:t>
      </w:r>
      <w:r w:rsidR="000F1E0E">
        <w:rPr>
          <w:color w:val="2B2D31"/>
        </w:rPr>
        <w:t xml:space="preserve"> et al.</w:t>
      </w:r>
      <w:r>
        <w:rPr>
          <w:color w:val="2B2D31"/>
          <w:highlight w:val="yellow"/>
        </w:rPr>
        <w:t>, 2023). While the Nigerian Code recommends quarterly meetings, actual frequency varies based on institutional risk and governance maturity (</w:t>
      </w:r>
      <w:r w:rsidR="002E209C" w:rsidRPr="002E209C">
        <w:rPr>
          <w:color w:val="2B2D31"/>
        </w:rPr>
        <w:t>Kaoje et al., 2023</w:t>
      </w:r>
      <w:r>
        <w:rPr>
          <w:color w:val="2B2D31"/>
          <w:highlight w:val="yellow"/>
        </w:rPr>
        <w:t>). Audit committee gender diversity captures the proportion of female members serving on the audit committee. Female directors are generally associated with greater risk aversion, ethical sensitivity, and more rigorous monitoring behaviour, all of which may constrain managerial opportunism in financial reporting (Gull et al., 20</w:t>
      </w:r>
      <w:r w:rsidR="00DD3A45">
        <w:rPr>
          <w:color w:val="2B2D31"/>
          <w:highlight w:val="yellow"/>
        </w:rPr>
        <w:t>18</w:t>
      </w:r>
      <w:r>
        <w:rPr>
          <w:color w:val="2B2D31"/>
          <w:highlight w:val="yellow"/>
        </w:rPr>
        <w:t>). The Nigerian Code of Corporate Governance 2018 (FRCN, 2018) has increasingly emphasised gender inclusion on board sub-committees, including audit committees, recognizing that diversity of perspective enhances the quality of financial oversight and reduces the likelihood of groupthink in governance decision-making (Lückerath-Rovers, 20</w:t>
      </w:r>
      <w:r w:rsidR="00DD3A45">
        <w:rPr>
          <w:color w:val="2B2D31"/>
          <w:highlight w:val="yellow"/>
        </w:rPr>
        <w:t>1</w:t>
      </w:r>
      <w:r>
        <w:rPr>
          <w:color w:val="2B2D31"/>
          <w:highlight w:val="yellow"/>
        </w:rPr>
        <w:t>3).</w:t>
      </w:r>
    </w:p>
    <w:p w14:paraId="5199C84F"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13A6729E" w14:textId="77777777" w:rsidR="00F61392" w:rsidRPr="001F37A9" w:rsidRDefault="00F61392" w:rsidP="007218FD">
      <w:pPr>
        <w:spacing w:line="240" w:lineRule="auto"/>
        <w:rPr>
          <w:rFonts w:cs="Times New Roman"/>
          <w:szCs w:val="24"/>
        </w:rPr>
      </w:pPr>
      <w:r w:rsidRPr="001F37A9">
        <w:rPr>
          <w:rFonts w:cs="Times New Roman"/>
          <w:b/>
          <w:szCs w:val="24"/>
        </w:rPr>
        <w:t>2.2 Theoretical Framework</w:t>
      </w:r>
    </w:p>
    <w:p w14:paraId="7387CACC" w14:textId="77777777" w:rsidR="00B64811" w:rsidRPr="00B64811" w:rsidRDefault="00B64811" w:rsidP="00B64811">
      <w:pPr>
        <w:spacing w:line="240" w:lineRule="auto"/>
        <w:ind w:firstLine="720"/>
        <w:jc w:val="both"/>
        <w:rPr>
          <w:rFonts w:cs="Times New Roman"/>
          <w:szCs w:val="24"/>
        </w:rPr>
      </w:pPr>
      <w:r>
        <w:rPr>
          <w:highlight w:val="yellow"/>
        </w:rPr>
        <w:lastRenderedPageBreak/>
        <w:t>This study is primarily anchored in agency theory (Jensen &amp; Meckling, 1976), and complemented by resource dependency theory and signalling theory. Together, these frameworks provide a multi-dimensional explanation of how audit committee attributes influence the quality of financial reporting and the incidence of earnings management. While each theory offers a distinct lens, their combined explanatory power is greater than any single theory in isolation, particularly in the institutional context of Nigeria where governance mechanisms interact with enforcement constraints, ownership concentration, and evolving regulatory standards.</w:t>
      </w:r>
    </w:p>
    <w:p w14:paraId="3B7BE52D" w14:textId="77777777" w:rsidR="00B64811" w:rsidRPr="00B64811" w:rsidRDefault="00B64811" w:rsidP="00CB2798">
      <w:pPr>
        <w:spacing w:line="240" w:lineRule="auto"/>
        <w:jc w:val="both"/>
        <w:rPr>
          <w:rFonts w:cs="Times New Roman"/>
          <w:b/>
          <w:bCs/>
          <w:szCs w:val="24"/>
        </w:rPr>
      </w:pPr>
      <w:r w:rsidRPr="00B64811">
        <w:rPr>
          <w:rFonts w:cs="Times New Roman"/>
          <w:b/>
          <w:bCs/>
          <w:szCs w:val="24"/>
        </w:rPr>
        <w:t>2.2.1 Agency Theory</w:t>
      </w:r>
    </w:p>
    <w:p w14:paraId="1B13CCF0" w14:textId="286920B2" w:rsidR="00B64811" w:rsidRPr="00B64811" w:rsidRDefault="00B64811" w:rsidP="00B64811">
      <w:pPr>
        <w:spacing w:line="240" w:lineRule="auto"/>
        <w:ind w:firstLine="720"/>
        <w:jc w:val="both"/>
        <w:rPr>
          <w:rFonts w:cs="Times New Roman"/>
          <w:szCs w:val="24"/>
        </w:rPr>
      </w:pPr>
      <w:r>
        <w:rPr>
          <w:highlight w:val="yellow"/>
        </w:rPr>
        <w:t>Originally formulated by Jensen and Meckling (1976), Agency Theory constitutes the primary foundation of this study. It posits that the separation of ownership and control creates an inherent conflict of interest between shareholders (principals) and self-interested managers (agents). Managers leverage their informational advantage to engage in opportunistic behaviours, such as earnings management, to mislead principals or maximise personal utility. Within this framework, the audit committee serves as a critical monitoring mechanism to reduce information asymmetry and agency costs (</w:t>
      </w:r>
      <w:r w:rsidR="002E209C" w:rsidRPr="002E209C">
        <w:t>Qawqaze et al.</w:t>
      </w:r>
      <w:r w:rsidR="002E209C">
        <w:t>,</w:t>
      </w:r>
      <w:r w:rsidR="002E209C" w:rsidRPr="002E209C">
        <w:t xml:space="preserve"> 2022</w:t>
      </w:r>
      <w:r>
        <w:rPr>
          <w:highlight w:val="yellow"/>
        </w:rPr>
        <w:t>). The theory predicts that robust structural attributes such as independence, expertise, and diligence strengthen the committee’s capacity to detect and deter managerial opportunism. In Nigeria, where concentrated ownership and weak regulatory enforcement amplify agency conflicts (</w:t>
      </w:r>
      <w:r w:rsidR="004A250B">
        <w:rPr>
          <w:highlight w:val="yellow"/>
        </w:rPr>
        <w:t>Kaoje et al., 2023</w:t>
      </w:r>
      <w:r>
        <w:rPr>
          <w:highlight w:val="yellow"/>
        </w:rPr>
        <w:t>), this monitoring role is vital. However, as this study demonstrates, formal structures do not automatically guarantee substantive oversight unless backed by genuine autonomy and incentive alignment.</w:t>
      </w:r>
    </w:p>
    <w:p w14:paraId="61A9C1A4" w14:textId="77777777" w:rsidR="00B64811" w:rsidRPr="00B64811" w:rsidRDefault="00B64811" w:rsidP="00CB2798">
      <w:pPr>
        <w:spacing w:line="240" w:lineRule="auto"/>
        <w:jc w:val="both"/>
        <w:rPr>
          <w:rFonts w:cs="Times New Roman"/>
          <w:b/>
          <w:bCs/>
          <w:szCs w:val="24"/>
        </w:rPr>
      </w:pPr>
      <w:r w:rsidRPr="00B64811">
        <w:rPr>
          <w:rFonts w:cs="Times New Roman"/>
          <w:b/>
          <w:bCs/>
          <w:szCs w:val="24"/>
        </w:rPr>
        <w:t>2.2.2 Resource Dependency Theory</w:t>
      </w:r>
    </w:p>
    <w:p w14:paraId="4876A218" w14:textId="42C42D2F" w:rsidR="00B64811" w:rsidRPr="00B64811" w:rsidRDefault="00B64811" w:rsidP="00B64811">
      <w:pPr>
        <w:spacing w:line="240" w:lineRule="auto"/>
        <w:ind w:firstLine="720"/>
        <w:jc w:val="both"/>
        <w:rPr>
          <w:rFonts w:cs="Times New Roman"/>
          <w:szCs w:val="24"/>
        </w:rPr>
      </w:pPr>
      <w:r>
        <w:rPr>
          <w:highlight w:val="yellow"/>
        </w:rPr>
        <w:t>Advanced by Pfeffer and Salancik (1978), Resource Dependency Theory views boards and their sub-committees as boundary-spanning structures that secure critical external resources such as expertise, legitimacy, and capital essential for firm survival. Consequently, an audit committee's value extends beyond monitoring; it introduces cognitive and experiential resources that enhance financial reporting quality (Lückerath-Rovers, 20</w:t>
      </w:r>
      <w:r w:rsidR="00DD3A45">
        <w:rPr>
          <w:highlight w:val="yellow"/>
        </w:rPr>
        <w:t>1</w:t>
      </w:r>
      <w:r>
        <w:rPr>
          <w:highlight w:val="yellow"/>
        </w:rPr>
        <w:t>3). The theory suggests that larger size, financial expertise, and gender diversity equip committees to decode complex accounting treatments and mitigate income smoothing. This perspective supports the argument that gender diversity yields substantive governance benefits only after reaching a meaningful threshold (typically three or more women) rather than token representation (Lückerath-Rovers, 20</w:t>
      </w:r>
      <w:r w:rsidR="00DD3A45">
        <w:rPr>
          <w:highlight w:val="yellow"/>
        </w:rPr>
        <w:t>1</w:t>
      </w:r>
      <w:r>
        <w:rPr>
          <w:highlight w:val="yellow"/>
        </w:rPr>
        <w:t>3). This explains why gender diversity failed to consistently constrain earnings management in this study's Nigerian sample, where mean female representation was only 13.1%, highlighting the need for more ambitious targets under the NCCG framework.</w:t>
      </w:r>
    </w:p>
    <w:p w14:paraId="0A3553AE" w14:textId="77777777" w:rsidR="00B64811" w:rsidRPr="00B64811" w:rsidRDefault="00B64811" w:rsidP="00CB2798">
      <w:pPr>
        <w:spacing w:line="240" w:lineRule="auto"/>
        <w:jc w:val="both"/>
        <w:rPr>
          <w:rFonts w:cs="Times New Roman"/>
          <w:b/>
          <w:bCs/>
          <w:szCs w:val="24"/>
        </w:rPr>
      </w:pPr>
      <w:r>
        <w:rPr>
          <w:b/>
          <w:highlight w:val="yellow"/>
        </w:rPr>
        <w:t>2.2.3 Signalling Theory</w:t>
      </w:r>
    </w:p>
    <w:p w14:paraId="3AD7EF56" w14:textId="7FAB0802" w:rsidR="00B64811" w:rsidRDefault="00B64811" w:rsidP="00860305">
      <w:pPr>
        <w:spacing w:line="240" w:lineRule="auto"/>
        <w:ind w:firstLine="720"/>
        <w:jc w:val="both"/>
        <w:rPr>
          <w:rFonts w:cs="Times New Roman"/>
          <w:szCs w:val="24"/>
        </w:rPr>
      </w:pPr>
      <w:r>
        <w:rPr>
          <w:highlight w:val="yellow"/>
        </w:rPr>
        <w:t>Developed by Spence (1973), Signalling Theory explains how firms communicate internal governance quality to external stakeholders to mitigate market information asymmetry. Investing in high-quality audit committee attributes (e.g., expertise, active meeting schedules) sends a credible, costly signal to capital markets, lowering risk premiums and boosting investor confidence (</w:t>
      </w:r>
      <w:r w:rsidR="00DD3A45" w:rsidRPr="00DD3A45">
        <w:t>Kaoje</w:t>
      </w:r>
      <w:r>
        <w:rPr>
          <w:highlight w:val="yellow"/>
        </w:rPr>
        <w:t xml:space="preserve"> et al., 202</w:t>
      </w:r>
      <w:r w:rsidR="00DD3A45">
        <w:rPr>
          <w:highlight w:val="yellow"/>
        </w:rPr>
        <w:t>3</w:t>
      </w:r>
      <w:r>
        <w:rPr>
          <w:highlight w:val="yellow"/>
        </w:rPr>
        <w:t>). However, the theory also warns of ceremonial compliance, where firms adopt symbolic, mandated structures purely as cheap signals without internalising authentic oversight (</w:t>
      </w:r>
      <w:r w:rsidR="00FC2E34">
        <w:rPr>
          <w:highlight w:val="yellow"/>
        </w:rPr>
        <w:t>Kaoje et al., 2023</w:t>
      </w:r>
      <w:r>
        <w:rPr>
          <w:highlight w:val="yellow"/>
        </w:rPr>
        <w:t>). This illuminates the paradoxical finding of this study that independence and committee size, though mandated under CAMA 2020 and NCCG 2018, amplify rather than reduce earnings management in the Nigerian non-financial sector, suggesting they function primarily as institutionalised compliance signals.</w:t>
      </w:r>
    </w:p>
    <w:p w14:paraId="090587C5" w14:textId="77777777"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2.3. Empirical review and hypothesis development</w:t>
      </w:r>
    </w:p>
    <w:p w14:paraId="343635A8" w14:textId="6165399C" w:rsidR="00F61392" w:rsidRDefault="00F61392" w:rsidP="007218FD">
      <w:pPr>
        <w:shd w:val="clear" w:color="auto" w:fill="FFFFFF"/>
        <w:spacing w:before="100" w:beforeAutospacing="1" w:after="270" w:line="240" w:lineRule="auto"/>
        <w:ind w:firstLine="720"/>
        <w:jc w:val="both"/>
        <w:rPr>
          <w:rFonts w:eastAsia="Times New Roman" w:cs="Times New Roman"/>
          <w:color w:val="2B2D31"/>
          <w:szCs w:val="24"/>
        </w:rPr>
      </w:pPr>
      <w:r>
        <w:rPr>
          <w:color w:val="2B2D31"/>
          <w:highlight w:val="yellow"/>
        </w:rPr>
        <w:lastRenderedPageBreak/>
        <w:t xml:space="preserve">Recent literature suggests that the composition of the audit committee is more influential than its mere presence. Ibrahim and Ahmad (2024) found that in Nigerian listed firms, financial expertise significantly curtails opportunistic behaviour. Similarly, </w:t>
      </w:r>
      <w:r w:rsidR="00400139" w:rsidRPr="00400139">
        <w:rPr>
          <w:color w:val="2B2D31"/>
        </w:rPr>
        <w:t>Bawuah</w:t>
      </w:r>
      <w:r>
        <w:rPr>
          <w:color w:val="2B2D31"/>
          <w:highlight w:val="yellow"/>
        </w:rPr>
        <w:t xml:space="preserve"> (2024) noted that independence is the most critical factor in Western contexts, though its effect can be moderated by institutional factors in emerging markets.</w:t>
      </w:r>
    </w:p>
    <w:p w14:paraId="1EB54480" w14:textId="77777777" w:rsidR="00860305" w:rsidRPr="001F37A9" w:rsidRDefault="00860305" w:rsidP="007218FD">
      <w:pPr>
        <w:shd w:val="clear" w:color="auto" w:fill="FFFFFF"/>
        <w:spacing w:before="100" w:beforeAutospacing="1" w:after="270" w:line="240" w:lineRule="auto"/>
        <w:ind w:firstLine="720"/>
        <w:jc w:val="both"/>
        <w:rPr>
          <w:rFonts w:eastAsia="Times New Roman" w:cs="Times New Roman"/>
          <w:color w:val="2B2D31"/>
          <w:szCs w:val="24"/>
        </w:rPr>
      </w:pPr>
    </w:p>
    <w:p w14:paraId="2B11AD81" w14:textId="77777777" w:rsidR="00926F1B" w:rsidRPr="001F37A9" w:rsidRDefault="00926F1B" w:rsidP="007218FD">
      <w:pPr>
        <w:shd w:val="clear" w:color="auto" w:fill="FFFFFF"/>
        <w:spacing w:before="100" w:beforeAutospacing="1" w:after="0" w:line="240" w:lineRule="auto"/>
        <w:jc w:val="both"/>
        <w:rPr>
          <w:rFonts w:eastAsia="Times New Roman" w:cs="Times New Roman"/>
          <w:color w:val="2B2D31"/>
          <w:szCs w:val="24"/>
        </w:rPr>
      </w:pPr>
      <w:r w:rsidRPr="001F37A9">
        <w:rPr>
          <w:rFonts w:eastAsia="Times New Roman" w:cs="Times New Roman"/>
          <w:b/>
          <w:bCs/>
          <w:color w:val="2B2D31"/>
          <w:szCs w:val="24"/>
        </w:rPr>
        <w:t>2.3.1 Audit Committee Expertise and Earnings Management</w:t>
      </w:r>
    </w:p>
    <w:p w14:paraId="603A00E2" w14:textId="62CE30AC" w:rsidR="002B447D" w:rsidRPr="001F37A9" w:rsidRDefault="00926F1B" w:rsidP="007218FD">
      <w:pPr>
        <w:shd w:val="clear" w:color="auto" w:fill="FFFFFF"/>
        <w:spacing w:after="270" w:line="240" w:lineRule="auto"/>
        <w:ind w:firstLine="720"/>
        <w:jc w:val="both"/>
        <w:rPr>
          <w:rFonts w:eastAsia="Times New Roman" w:cs="Times New Roman"/>
          <w:color w:val="2B2D31"/>
          <w:szCs w:val="24"/>
        </w:rPr>
      </w:pPr>
      <w:r w:rsidRPr="001F37A9">
        <w:rPr>
          <w:rFonts w:eastAsia="Times New Roman" w:cs="Times New Roman"/>
          <w:color w:val="2B2D31"/>
          <w:szCs w:val="24"/>
        </w:rPr>
        <w:t>Audit committee members with financial expertise are better equipped to understand complex accounting issues, identify aggressive reporting practices, and ask probing questions of management and auditors (</w:t>
      </w:r>
      <w:r w:rsidR="0037782E" w:rsidRPr="0037782E">
        <w:rPr>
          <w:rFonts w:eastAsia="Times New Roman" w:cs="Times New Roman"/>
          <w:color w:val="2B2D31"/>
          <w:szCs w:val="24"/>
        </w:rPr>
        <w:t>Bilal</w:t>
      </w:r>
      <w:r w:rsidRPr="001F37A9">
        <w:rPr>
          <w:rFonts w:eastAsia="Times New Roman" w:cs="Times New Roman"/>
          <w:color w:val="2B2D31"/>
          <w:szCs w:val="24"/>
        </w:rPr>
        <w:t>, 20</w:t>
      </w:r>
      <w:r w:rsidR="0037782E">
        <w:rPr>
          <w:rFonts w:eastAsia="Times New Roman" w:cs="Times New Roman"/>
          <w:color w:val="2B2D31"/>
          <w:szCs w:val="24"/>
        </w:rPr>
        <w:t>18</w:t>
      </w:r>
      <w:r w:rsidRPr="001F37A9">
        <w:rPr>
          <w:rFonts w:eastAsia="Times New Roman" w:cs="Times New Roman"/>
          <w:color w:val="2B2D31"/>
          <w:szCs w:val="24"/>
        </w:rPr>
        <w:t>). The empirical evidence generally supports a negative association between financial expertise and earnings management, though findings vary across institutional and industrial co</w:t>
      </w:r>
      <w:r w:rsidR="007218FD" w:rsidRPr="001F37A9">
        <w:rPr>
          <w:rFonts w:eastAsia="Times New Roman" w:cs="Times New Roman"/>
          <w:color w:val="2B2D31"/>
          <w:szCs w:val="24"/>
        </w:rPr>
        <w:t>n</w:t>
      </w:r>
      <w:r w:rsidRPr="001F37A9">
        <w:rPr>
          <w:rFonts w:eastAsia="Times New Roman" w:cs="Times New Roman"/>
          <w:color w:val="2B2D31"/>
          <w:szCs w:val="24"/>
        </w:rPr>
        <w:t>texts.</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In the Nigerian context, </w:t>
      </w:r>
      <w:r w:rsidR="002E209C" w:rsidRPr="002E209C">
        <w:rPr>
          <w:rFonts w:eastAsia="Times New Roman" w:cs="Times New Roman"/>
          <w:color w:val="2B2D31"/>
          <w:szCs w:val="24"/>
        </w:rPr>
        <w:t>Bawuah</w:t>
      </w:r>
      <w:r w:rsidRPr="001F37A9">
        <w:rPr>
          <w:rFonts w:eastAsia="Times New Roman" w:cs="Times New Roman"/>
          <w:color w:val="2B2D31"/>
          <w:szCs w:val="24"/>
        </w:rPr>
        <w:t xml:space="preserve"> (202</w:t>
      </w:r>
      <w:r w:rsidR="002E209C">
        <w:rPr>
          <w:rFonts w:eastAsia="Times New Roman" w:cs="Times New Roman"/>
          <w:color w:val="2B2D31"/>
          <w:szCs w:val="24"/>
        </w:rPr>
        <w:t>4</w:t>
      </w:r>
      <w:r w:rsidRPr="001F37A9">
        <w:rPr>
          <w:rFonts w:eastAsia="Times New Roman" w:cs="Times New Roman"/>
          <w:color w:val="2B2D31"/>
          <w:szCs w:val="24"/>
        </w:rPr>
        <w:t xml:space="preserve">) investigated audit committee characteristics and reporting quality in listed Nigerian firms using OLS regression and found that financial expertise significantly reduced earnings management. However, </w:t>
      </w:r>
      <w:r w:rsidR="00FC2E34">
        <w:rPr>
          <w:rFonts w:eastAsia="Times New Roman" w:cs="Times New Roman"/>
          <w:color w:val="2B2D31"/>
          <w:szCs w:val="24"/>
        </w:rPr>
        <w:t>Kaoje et al. (2023)</w:t>
      </w:r>
      <w:r w:rsidRPr="001F37A9">
        <w:rPr>
          <w:rFonts w:eastAsia="Times New Roman" w:cs="Times New Roman"/>
          <w:color w:val="2B2D31"/>
          <w:szCs w:val="24"/>
        </w:rPr>
        <w:t xml:space="preserve"> found that the relationship between audit committee attributes and earnings management was nuanced, suggesting that the effect may depend on the prevailing enforcement environment and the presence of related-party pressures that constrain even technically capable members.</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International evidence reinforces the importance of technical competence. Kusnadi et al. (2022) studied listed firms across multiple jurisdictions and found that audit committee financial expertise had a negative and significant relationship with real earnings management and discretionary accruals. </w:t>
      </w:r>
      <w:r w:rsidR="00FC5E0A" w:rsidRPr="00FC5E0A">
        <w:rPr>
          <w:rFonts w:eastAsia="Times New Roman" w:cs="Times New Roman"/>
          <w:color w:val="2B2D31"/>
          <w:szCs w:val="24"/>
        </w:rPr>
        <w:t>Bilal</w:t>
      </w:r>
      <w:r w:rsidRPr="001F37A9">
        <w:rPr>
          <w:rFonts w:eastAsia="Times New Roman" w:cs="Times New Roman"/>
          <w:color w:val="2B2D31"/>
          <w:szCs w:val="24"/>
        </w:rPr>
        <w:t xml:space="preserve"> et al. (20</w:t>
      </w:r>
      <w:r w:rsidR="00FC5E0A">
        <w:rPr>
          <w:rFonts w:eastAsia="Times New Roman" w:cs="Times New Roman"/>
          <w:color w:val="2B2D31"/>
          <w:szCs w:val="24"/>
        </w:rPr>
        <w:t>18</w:t>
      </w:r>
      <w:r w:rsidRPr="001F37A9">
        <w:rPr>
          <w:rFonts w:eastAsia="Times New Roman" w:cs="Times New Roman"/>
          <w:color w:val="2B2D31"/>
          <w:szCs w:val="24"/>
        </w:rPr>
        <w:t>) examined firms in emerging markets and reported that financial expertise significantly reduced earnings management and earnings smoothness, aligning with agency theory predictions that expertise enhances monitoring effectiveness by enabling more rigorous scrutiny of complex accrual estimates.</w:t>
      </w:r>
    </w:p>
    <w:p w14:paraId="2C40C1D5" w14:textId="77777777" w:rsidR="002B447D" w:rsidRPr="001F37A9" w:rsidRDefault="002B447D" w:rsidP="007218FD">
      <w:pPr>
        <w:shd w:val="clear" w:color="auto" w:fill="FFFFFF"/>
        <w:spacing w:before="100" w:beforeAutospacing="1" w:after="0" w:line="240" w:lineRule="auto"/>
        <w:jc w:val="both"/>
        <w:rPr>
          <w:rFonts w:eastAsia="Times New Roman" w:cs="Times New Roman"/>
          <w:color w:val="2B2D31"/>
          <w:szCs w:val="24"/>
        </w:rPr>
      </w:pPr>
      <w:r w:rsidRPr="001F37A9">
        <w:rPr>
          <w:rFonts w:eastAsia="Times New Roman" w:cs="Times New Roman"/>
          <w:b/>
          <w:bCs/>
          <w:color w:val="2B2D31"/>
          <w:szCs w:val="24"/>
        </w:rPr>
        <w:t>2.3.2 Audit Committee Independence and Earnings Management</w:t>
      </w:r>
    </w:p>
    <w:p w14:paraId="4B58D927" w14:textId="39E26A85" w:rsidR="002B447D" w:rsidRPr="001F37A9" w:rsidRDefault="002B447D" w:rsidP="001D0366">
      <w:pPr>
        <w:shd w:val="clear" w:color="auto" w:fill="FFFFFF"/>
        <w:spacing w:after="270" w:line="240" w:lineRule="auto"/>
        <w:ind w:firstLine="720"/>
        <w:jc w:val="both"/>
        <w:rPr>
          <w:rFonts w:eastAsia="Times New Roman" w:cs="Times New Roman"/>
          <w:color w:val="2B2D31"/>
          <w:szCs w:val="24"/>
        </w:rPr>
      </w:pPr>
      <w:r w:rsidRPr="001F37A9">
        <w:rPr>
          <w:rFonts w:eastAsia="Times New Roman" w:cs="Times New Roman"/>
          <w:color w:val="2B2D31"/>
          <w:szCs w:val="24"/>
        </w:rPr>
        <w:t>Independent directors are presumed to be more effective monitors because they lack the personal or professional ties to management that could compromise objectivity (</w:t>
      </w:r>
      <w:r w:rsidR="004A250B">
        <w:rPr>
          <w:rFonts w:eastAsia="Times New Roman" w:cs="Times New Roman"/>
          <w:color w:val="2B2D31"/>
          <w:szCs w:val="24"/>
        </w:rPr>
        <w:t>Kaoje et al., 2023</w:t>
      </w:r>
      <w:r w:rsidRPr="001F37A9">
        <w:rPr>
          <w:rFonts w:eastAsia="Times New Roman" w:cs="Times New Roman"/>
          <w:color w:val="2B2D31"/>
          <w:szCs w:val="24"/>
        </w:rPr>
        <w:t>). Independent audit committee members should therefore be more willing to question aggressive accounting treatments.</w:t>
      </w:r>
      <w:r w:rsidR="001D0366">
        <w:rPr>
          <w:rFonts w:eastAsia="Times New Roman" w:cs="Times New Roman"/>
          <w:color w:val="2B2D31"/>
          <w:szCs w:val="24"/>
        </w:rPr>
        <w:t xml:space="preserve"> </w:t>
      </w:r>
      <w:r w:rsidRPr="001F37A9">
        <w:rPr>
          <w:rFonts w:eastAsia="Times New Roman" w:cs="Times New Roman"/>
          <w:color w:val="2B2D31"/>
          <w:szCs w:val="24"/>
        </w:rPr>
        <w:t xml:space="preserve">Nigerian evidence on independence presents a complex picture. </w:t>
      </w:r>
      <w:r w:rsidR="002E209C" w:rsidRPr="002E209C">
        <w:rPr>
          <w:rFonts w:eastAsia="Times New Roman" w:cs="Times New Roman"/>
          <w:color w:val="2B2D31"/>
          <w:szCs w:val="24"/>
        </w:rPr>
        <w:t>Bawuah</w:t>
      </w:r>
      <w:r w:rsidRPr="001F37A9">
        <w:rPr>
          <w:rFonts w:eastAsia="Times New Roman" w:cs="Times New Roman"/>
          <w:color w:val="2B2D31"/>
          <w:szCs w:val="24"/>
        </w:rPr>
        <w:t xml:space="preserve"> (202</w:t>
      </w:r>
      <w:r w:rsidR="002E209C">
        <w:rPr>
          <w:rFonts w:eastAsia="Times New Roman" w:cs="Times New Roman"/>
          <w:color w:val="2B2D31"/>
          <w:szCs w:val="24"/>
        </w:rPr>
        <w:t>4</w:t>
      </w:r>
      <w:r w:rsidRPr="001F37A9">
        <w:rPr>
          <w:rFonts w:eastAsia="Times New Roman" w:cs="Times New Roman"/>
          <w:color w:val="2B2D31"/>
          <w:szCs w:val="24"/>
        </w:rPr>
        <w:t xml:space="preserve">) found that audit committee independence significantly reduced earnings management in Nigerian listed firms. </w:t>
      </w:r>
      <w:r w:rsidR="0037782E" w:rsidRPr="0037782E">
        <w:rPr>
          <w:rFonts w:eastAsia="Times New Roman" w:cs="Times New Roman"/>
          <w:color w:val="2B2D31"/>
          <w:szCs w:val="24"/>
        </w:rPr>
        <w:t xml:space="preserve">Kaoje et al. </w:t>
      </w:r>
      <w:r w:rsidR="0037782E">
        <w:rPr>
          <w:rFonts w:eastAsia="Times New Roman" w:cs="Times New Roman"/>
          <w:color w:val="2B2D31"/>
          <w:szCs w:val="24"/>
        </w:rPr>
        <w:t>(</w:t>
      </w:r>
      <w:r w:rsidR="0037782E" w:rsidRPr="0037782E">
        <w:rPr>
          <w:rFonts w:eastAsia="Times New Roman" w:cs="Times New Roman"/>
          <w:color w:val="2B2D31"/>
          <w:szCs w:val="24"/>
        </w:rPr>
        <w:t>2023</w:t>
      </w:r>
      <w:r w:rsidR="0037782E">
        <w:rPr>
          <w:rFonts w:eastAsia="Times New Roman" w:cs="Times New Roman"/>
          <w:color w:val="2B2D31"/>
          <w:szCs w:val="24"/>
        </w:rPr>
        <w:t>)</w:t>
      </w:r>
      <w:r w:rsidRPr="001F37A9">
        <w:rPr>
          <w:rFonts w:eastAsia="Times New Roman" w:cs="Times New Roman"/>
          <w:color w:val="2B2D31"/>
          <w:szCs w:val="24"/>
        </w:rPr>
        <w:t xml:space="preserve"> reported that independent audit committee members constrained accrual-based earnings management in their sample. However, </w:t>
      </w:r>
      <w:r w:rsidR="00FC2E34">
        <w:rPr>
          <w:rFonts w:eastAsia="Times New Roman" w:cs="Times New Roman"/>
          <w:color w:val="2B2D31"/>
          <w:szCs w:val="24"/>
        </w:rPr>
        <w:t>Kaoje et al. (2023)</w:t>
      </w:r>
      <w:r w:rsidRPr="001F37A9">
        <w:rPr>
          <w:rFonts w:eastAsia="Times New Roman" w:cs="Times New Roman"/>
          <w:color w:val="2B2D31"/>
          <w:szCs w:val="24"/>
        </w:rPr>
        <w:t xml:space="preserve"> found no significant relationship between audit committee independence and earnings management, suggesting that the effectiveness of independence may depend on the broader institutional enforcement environment.</w:t>
      </w:r>
      <w:r w:rsidR="007218FD" w:rsidRPr="001F37A9">
        <w:rPr>
          <w:rFonts w:eastAsia="Times New Roman" w:cs="Times New Roman"/>
          <w:color w:val="2B2D31"/>
          <w:szCs w:val="24"/>
        </w:rPr>
        <w:t xml:space="preserve"> Prior</w:t>
      </w:r>
      <w:r w:rsidRPr="001F37A9">
        <w:rPr>
          <w:rFonts w:eastAsia="Times New Roman" w:cs="Times New Roman"/>
          <w:color w:val="2B2D31"/>
          <w:szCs w:val="24"/>
        </w:rPr>
        <w:t xml:space="preserve"> studies generally support this negative relationship. Bilal et al. (20</w:t>
      </w:r>
      <w:r w:rsidR="001D7BDF">
        <w:rPr>
          <w:rFonts w:eastAsia="Times New Roman" w:cs="Times New Roman"/>
          <w:color w:val="2B2D31"/>
          <w:szCs w:val="24"/>
        </w:rPr>
        <w:t>18</w:t>
      </w:r>
      <w:r w:rsidRPr="001F37A9">
        <w:rPr>
          <w:rFonts w:eastAsia="Times New Roman" w:cs="Times New Roman"/>
          <w:color w:val="2B2D31"/>
          <w:szCs w:val="24"/>
        </w:rPr>
        <w:t xml:space="preserve">) examined emerging markets and reported that audit committee independence was associated with lower earnings management. </w:t>
      </w:r>
      <w:r w:rsidR="002E209C" w:rsidRPr="002E209C">
        <w:rPr>
          <w:rFonts w:eastAsia="Times New Roman" w:cs="Times New Roman"/>
          <w:color w:val="2B2D31"/>
          <w:szCs w:val="24"/>
        </w:rPr>
        <w:t>Qawqaze et al. (2022)</w:t>
      </w:r>
      <w:r w:rsidRPr="001F37A9">
        <w:rPr>
          <w:rFonts w:eastAsia="Times New Roman" w:cs="Times New Roman"/>
          <w:color w:val="2B2D31"/>
          <w:szCs w:val="24"/>
        </w:rPr>
        <w:t xml:space="preserve"> found that independence significantly constrained opportunistic reporting.</w:t>
      </w:r>
      <w:r w:rsidR="00CC0B87">
        <w:rPr>
          <w:rFonts w:eastAsia="Times New Roman" w:cs="Times New Roman"/>
          <w:color w:val="2B2D31"/>
          <w:szCs w:val="24"/>
        </w:rPr>
        <w:t xml:space="preserve"> </w:t>
      </w:r>
      <w:r w:rsidR="00CC0B87" w:rsidRPr="00CC0B87">
        <w:rPr>
          <w:rFonts w:eastAsia="Times New Roman" w:cs="Times New Roman"/>
          <w:color w:val="2B2D31"/>
          <w:szCs w:val="24"/>
        </w:rPr>
        <w:t xml:space="preserve">This trend is further corroborated by </w:t>
      </w:r>
      <w:r w:rsidR="00015BC9" w:rsidRPr="00015BC9">
        <w:rPr>
          <w:rFonts w:eastAsia="Times New Roman" w:cs="Times New Roman"/>
          <w:color w:val="2B2D31"/>
          <w:szCs w:val="24"/>
        </w:rPr>
        <w:t>Bilal</w:t>
      </w:r>
      <w:r w:rsidR="00CC0B87" w:rsidRPr="00CC0B87">
        <w:rPr>
          <w:rFonts w:eastAsia="Times New Roman" w:cs="Times New Roman"/>
          <w:color w:val="2B2D31"/>
          <w:szCs w:val="24"/>
        </w:rPr>
        <w:t xml:space="preserve"> et al. (20</w:t>
      </w:r>
      <w:r w:rsidR="00015BC9">
        <w:rPr>
          <w:rFonts w:eastAsia="Times New Roman" w:cs="Times New Roman"/>
          <w:color w:val="2B2D31"/>
          <w:szCs w:val="24"/>
        </w:rPr>
        <w:t>18</w:t>
      </w:r>
      <w:r w:rsidR="00CC0B87" w:rsidRPr="00CC0B87">
        <w:rPr>
          <w:rFonts w:eastAsia="Times New Roman" w:cs="Times New Roman"/>
          <w:color w:val="2B2D31"/>
          <w:szCs w:val="24"/>
        </w:rPr>
        <w:t xml:space="preserve">) in Southeast Asia, who observed that independent committees effectively mitigate earnings manipulation by ensuring strict adherence to reporting standards. Similarly, </w:t>
      </w:r>
      <w:r w:rsidR="000F1E0E" w:rsidRPr="000F1E0E">
        <w:rPr>
          <w:rFonts w:eastAsia="Times New Roman" w:cs="Times New Roman"/>
          <w:color w:val="2B2D31"/>
          <w:szCs w:val="24"/>
        </w:rPr>
        <w:t>Bawuah</w:t>
      </w:r>
      <w:r w:rsidR="00CC0B87" w:rsidRPr="00CC0B87">
        <w:rPr>
          <w:rFonts w:eastAsia="Times New Roman" w:cs="Times New Roman"/>
          <w:color w:val="2B2D31"/>
          <w:szCs w:val="24"/>
        </w:rPr>
        <w:t xml:space="preserve"> (2024) highlighted that in the GCC context, audit committee independence serves as a primary gatekeeping function that safeguards financial reporting integrity against managerial overreach</w:t>
      </w:r>
      <w:r w:rsidR="00CC0B87">
        <w:rPr>
          <w:rFonts w:eastAsia="Times New Roman" w:cs="Times New Roman"/>
          <w:color w:val="2B2D31"/>
          <w:szCs w:val="24"/>
        </w:rPr>
        <w:t xml:space="preserve">. </w:t>
      </w:r>
      <w:r w:rsidRPr="001F37A9">
        <w:rPr>
          <w:rFonts w:eastAsia="Times New Roman" w:cs="Times New Roman"/>
          <w:color w:val="2B2D31"/>
          <w:szCs w:val="24"/>
        </w:rPr>
        <w:t>Furthermore, Al-Absy et al. (20</w:t>
      </w:r>
      <w:r w:rsidR="0037782E">
        <w:rPr>
          <w:rFonts w:eastAsia="Times New Roman" w:cs="Times New Roman"/>
          <w:color w:val="2B2D31"/>
          <w:szCs w:val="24"/>
        </w:rPr>
        <w:t>19</w:t>
      </w:r>
      <w:r w:rsidRPr="001F37A9">
        <w:rPr>
          <w:rFonts w:eastAsia="Times New Roman" w:cs="Times New Roman"/>
          <w:color w:val="2B2D31"/>
          <w:szCs w:val="24"/>
        </w:rPr>
        <w:t>) studied firms in emerging markets and reported that independent oversight played an effective role in curbing managerial opportunism.</w:t>
      </w:r>
    </w:p>
    <w:p w14:paraId="2A8F7FAA" w14:textId="77777777" w:rsidR="002B447D" w:rsidRPr="001F37A9" w:rsidRDefault="002B447D" w:rsidP="007218FD">
      <w:pPr>
        <w:shd w:val="clear" w:color="auto" w:fill="FFFFFF"/>
        <w:spacing w:after="0" w:line="240" w:lineRule="auto"/>
        <w:jc w:val="both"/>
        <w:rPr>
          <w:rFonts w:eastAsia="Times New Roman" w:cs="Times New Roman"/>
          <w:color w:val="2B2D31"/>
          <w:szCs w:val="24"/>
        </w:rPr>
      </w:pPr>
      <w:r w:rsidRPr="001F37A9">
        <w:rPr>
          <w:rFonts w:eastAsia="Times New Roman" w:cs="Times New Roman"/>
          <w:b/>
          <w:bCs/>
          <w:color w:val="2B2D31"/>
          <w:szCs w:val="24"/>
        </w:rPr>
        <w:t>2.3.3 Audit Committee Size and Earnings Management</w:t>
      </w:r>
    </w:p>
    <w:p w14:paraId="5E217612" w14:textId="39FA394E" w:rsidR="002B447D" w:rsidRPr="001F37A9" w:rsidRDefault="002B447D" w:rsidP="007218FD">
      <w:pPr>
        <w:shd w:val="clear" w:color="auto" w:fill="FFFFFF"/>
        <w:spacing w:after="270" w:line="240" w:lineRule="auto"/>
        <w:ind w:firstLine="720"/>
        <w:jc w:val="both"/>
        <w:rPr>
          <w:rFonts w:eastAsia="Times New Roman" w:cs="Times New Roman"/>
          <w:color w:val="2B2D31"/>
          <w:szCs w:val="24"/>
        </w:rPr>
      </w:pPr>
      <w:r>
        <w:rPr>
          <w:color w:val="2B2D31"/>
          <w:highlight w:val="yellow"/>
        </w:rPr>
        <w:t xml:space="preserve">The relationship between audit committee size and earnings management is theoretically ambiguous. Larger committees may benefit from a broader range of expertise and perspectives, potentially enhancing oversight capacity (Qawqaze &amp; Al-Absy, 2022). However, very large committees </w:t>
      </w:r>
      <w:r>
        <w:rPr>
          <w:color w:val="2B2D31"/>
          <w:highlight w:val="yellow"/>
        </w:rPr>
        <w:lastRenderedPageBreak/>
        <w:t>may suffer from coordination problems, free-riding, and diffusion of responsibility (</w:t>
      </w:r>
      <w:r w:rsidR="00DD3A45" w:rsidRPr="00DD3A45">
        <w:rPr>
          <w:color w:val="2B2D31"/>
        </w:rPr>
        <w:t>Bilal</w:t>
      </w:r>
      <w:r>
        <w:rPr>
          <w:color w:val="2B2D31"/>
          <w:highlight w:val="yellow"/>
        </w:rPr>
        <w:t>, 20</w:t>
      </w:r>
      <w:r w:rsidR="00DD3A45">
        <w:rPr>
          <w:color w:val="2B2D31"/>
          <w:highlight w:val="yellow"/>
        </w:rPr>
        <w:t>18</w:t>
      </w:r>
      <w:r>
        <w:rPr>
          <w:color w:val="2B2D31"/>
          <w:highlight w:val="yellow"/>
        </w:rPr>
        <w:t xml:space="preserve">). Recent Nigerian evidence reflects this ambiguity. </w:t>
      </w:r>
      <w:r w:rsidR="00FC2E34">
        <w:rPr>
          <w:color w:val="2B2D31"/>
          <w:highlight w:val="yellow"/>
        </w:rPr>
        <w:t>Kaoje et al. (2023)</w:t>
      </w:r>
      <w:r>
        <w:rPr>
          <w:color w:val="2B2D31"/>
          <w:highlight w:val="yellow"/>
        </w:rPr>
        <w:t xml:space="preserve"> found that audit committee size had no significant impact on earnings management in their sample of non-financial firms. </w:t>
      </w:r>
      <w:r w:rsidR="00115C52" w:rsidRPr="00115C52">
        <w:rPr>
          <w:color w:val="2B2D31"/>
        </w:rPr>
        <w:t xml:space="preserve">Kaoje et al. </w:t>
      </w:r>
      <w:r w:rsidR="00115C52">
        <w:rPr>
          <w:color w:val="2B2D31"/>
        </w:rPr>
        <w:t>(</w:t>
      </w:r>
      <w:r w:rsidR="00115C52" w:rsidRPr="00115C52">
        <w:rPr>
          <w:color w:val="2B2D31"/>
        </w:rPr>
        <w:t>2023</w:t>
      </w:r>
      <w:r w:rsidR="00115C52">
        <w:rPr>
          <w:color w:val="2B2D31"/>
        </w:rPr>
        <w:t>)</w:t>
      </w:r>
      <w:r>
        <w:rPr>
          <w:color w:val="2B2D31"/>
          <w:highlight w:val="yellow"/>
        </w:rPr>
        <w:t xml:space="preserve"> reported similar findings for consumer goods companies. However, Al-Qadasi et al. (20</w:t>
      </w:r>
      <w:r w:rsidR="002E209C">
        <w:rPr>
          <w:color w:val="2B2D31"/>
          <w:highlight w:val="yellow"/>
        </w:rPr>
        <w:t>19</w:t>
      </w:r>
      <w:r>
        <w:rPr>
          <w:color w:val="2B2D31"/>
          <w:highlight w:val="yellow"/>
        </w:rPr>
        <w:t xml:space="preserve">) found that committees with appropriate composition were associated with lower earnings management, suggesting that the effect may differ across sectors. Empirical evidence is equally mixed. </w:t>
      </w:r>
      <w:r w:rsidR="002E209C" w:rsidRPr="002E209C">
        <w:rPr>
          <w:color w:val="2B2D31"/>
        </w:rPr>
        <w:t>Qawqaze et al. (2022)</w:t>
      </w:r>
      <w:r>
        <w:rPr>
          <w:color w:val="2B2D31"/>
          <w:highlight w:val="yellow"/>
        </w:rPr>
        <w:t xml:space="preserve"> found no significant relationship between audit committee size and earnings management. </w:t>
      </w:r>
      <w:r w:rsidR="00DD3A45" w:rsidRPr="00DD3A45">
        <w:rPr>
          <w:color w:val="2B2D31"/>
        </w:rPr>
        <w:t>Kusnadi</w:t>
      </w:r>
      <w:r>
        <w:rPr>
          <w:color w:val="2B2D31"/>
          <w:highlight w:val="yellow"/>
        </w:rPr>
        <w:t xml:space="preserve"> et al. (202</w:t>
      </w:r>
      <w:r w:rsidR="00DD3A45">
        <w:rPr>
          <w:color w:val="2B2D31"/>
          <w:highlight w:val="yellow"/>
        </w:rPr>
        <w:t>2</w:t>
      </w:r>
      <w:r>
        <w:rPr>
          <w:color w:val="2B2D31"/>
          <w:highlight w:val="yellow"/>
        </w:rPr>
        <w:t xml:space="preserve">) reported that size was not significantly related to earnings management. In contrast, </w:t>
      </w:r>
      <w:r w:rsidR="00DD3A45" w:rsidRPr="00DD3A45">
        <w:rPr>
          <w:color w:val="2B2D31"/>
        </w:rPr>
        <w:t>Bilal</w:t>
      </w:r>
      <w:r>
        <w:rPr>
          <w:color w:val="2B2D31"/>
          <w:highlight w:val="yellow"/>
        </w:rPr>
        <w:t xml:space="preserve"> (20</w:t>
      </w:r>
      <w:r w:rsidR="00DD3A45">
        <w:rPr>
          <w:color w:val="2B2D31"/>
          <w:highlight w:val="yellow"/>
        </w:rPr>
        <w:t>18</w:t>
      </w:r>
      <w:r>
        <w:rPr>
          <w:color w:val="2B2D31"/>
          <w:highlight w:val="yellow"/>
        </w:rPr>
        <w:t>) found a negative association between committee size and reporting irregularities, suggesting that larger committees may provide more diverse oversight in specific regulatory environments.</w:t>
      </w:r>
    </w:p>
    <w:p w14:paraId="44BB7E29" w14:textId="77777777" w:rsidR="002B447D" w:rsidRPr="001F37A9" w:rsidRDefault="002B447D" w:rsidP="001D0366">
      <w:pPr>
        <w:shd w:val="clear" w:color="auto" w:fill="FFFFFF"/>
        <w:spacing w:after="0" w:line="240" w:lineRule="auto"/>
        <w:jc w:val="both"/>
        <w:rPr>
          <w:rFonts w:eastAsia="Times New Roman" w:cs="Times New Roman"/>
          <w:color w:val="2B2D31"/>
          <w:szCs w:val="24"/>
        </w:rPr>
      </w:pPr>
      <w:r w:rsidRPr="001F37A9">
        <w:rPr>
          <w:rFonts w:eastAsia="Times New Roman" w:cs="Times New Roman"/>
          <w:b/>
          <w:bCs/>
          <w:color w:val="2B2D31"/>
          <w:szCs w:val="24"/>
        </w:rPr>
        <w:t>2.3.4 Audit Committee Diligence and Earnings Management</w:t>
      </w:r>
    </w:p>
    <w:p w14:paraId="67E3BAC4" w14:textId="3BFF053A" w:rsidR="003F4E0A" w:rsidRPr="001F37A9" w:rsidRDefault="002B447D" w:rsidP="00DE3F00">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The frequency of audit committee meetings proxies for the diligence with which members discharge their oversight responsibilities (</w:t>
      </w:r>
      <w:r w:rsidR="000F1E0E" w:rsidRPr="000F1E0E">
        <w:rPr>
          <w:rFonts w:eastAsia="Times New Roman" w:cs="Times New Roman"/>
          <w:color w:val="2B2D31"/>
          <w:szCs w:val="24"/>
        </w:rPr>
        <w:t>Kaoje</w:t>
      </w:r>
      <w:r w:rsidR="000F1E0E">
        <w:rPr>
          <w:rFonts w:eastAsia="Times New Roman" w:cs="Times New Roman"/>
          <w:color w:val="2B2D31"/>
          <w:szCs w:val="24"/>
        </w:rPr>
        <w:t xml:space="preserve"> et al.</w:t>
      </w:r>
      <w:r w:rsidRPr="001F37A9">
        <w:rPr>
          <w:rFonts w:eastAsia="Times New Roman" w:cs="Times New Roman"/>
          <w:color w:val="2B2D31"/>
          <w:szCs w:val="24"/>
        </w:rPr>
        <w:t>, 2023). More frequent meetings suggest greater attention to financial reporting matters and enhanced communication with internal and external auditors.</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Nigerian evidence on meeting frequency is developing. </w:t>
      </w:r>
      <w:r w:rsidR="00FC2E34">
        <w:rPr>
          <w:rFonts w:eastAsia="Times New Roman" w:cs="Times New Roman"/>
          <w:color w:val="2B2D31"/>
          <w:szCs w:val="24"/>
        </w:rPr>
        <w:t>Kaoje et al. (2023)</w:t>
      </w:r>
      <w:r w:rsidRPr="001F37A9">
        <w:rPr>
          <w:rFonts w:eastAsia="Times New Roman" w:cs="Times New Roman"/>
          <w:color w:val="2B2D31"/>
          <w:szCs w:val="24"/>
        </w:rPr>
        <w:t xml:space="preserve"> found a weak relationship between meeting frequency and earnings management. However, </w:t>
      </w:r>
      <w:r w:rsidR="002E209C" w:rsidRPr="002E209C">
        <w:rPr>
          <w:rFonts w:eastAsia="Times New Roman" w:cs="Times New Roman"/>
          <w:color w:val="2B2D31"/>
          <w:szCs w:val="24"/>
        </w:rPr>
        <w:t xml:space="preserve">Kaoje et al. </w:t>
      </w:r>
      <w:r w:rsidR="002E209C">
        <w:rPr>
          <w:rFonts w:eastAsia="Times New Roman" w:cs="Times New Roman"/>
          <w:color w:val="2B2D31"/>
          <w:szCs w:val="24"/>
        </w:rPr>
        <w:t>(</w:t>
      </w:r>
      <w:r w:rsidR="002E209C" w:rsidRPr="002E209C">
        <w:rPr>
          <w:rFonts w:eastAsia="Times New Roman" w:cs="Times New Roman"/>
          <w:color w:val="2B2D31"/>
          <w:szCs w:val="24"/>
        </w:rPr>
        <w:t>2023</w:t>
      </w:r>
      <w:r w:rsidR="002E209C">
        <w:rPr>
          <w:rFonts w:eastAsia="Times New Roman" w:cs="Times New Roman"/>
          <w:color w:val="2B2D31"/>
          <w:szCs w:val="24"/>
        </w:rPr>
        <w:t xml:space="preserve">) </w:t>
      </w:r>
      <w:r w:rsidRPr="001F37A9">
        <w:rPr>
          <w:rFonts w:eastAsia="Times New Roman" w:cs="Times New Roman"/>
          <w:color w:val="2B2D31"/>
          <w:szCs w:val="24"/>
        </w:rPr>
        <w:t>reported that more frequent meetings were associated with higher earnings quality, suggesting that diligent committees provide more effective oversight.</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International evidence generally supports the diligence hypothesis. </w:t>
      </w:r>
      <w:r w:rsidR="002E209C" w:rsidRPr="002E209C">
        <w:rPr>
          <w:rFonts w:eastAsia="Times New Roman" w:cs="Times New Roman"/>
          <w:color w:val="2B2D31"/>
          <w:szCs w:val="24"/>
        </w:rPr>
        <w:t>Qawqaze et al. (2022)</w:t>
      </w:r>
      <w:r w:rsidR="002E209C">
        <w:rPr>
          <w:rFonts w:eastAsia="Times New Roman" w:cs="Times New Roman"/>
          <w:color w:val="2B2D31"/>
          <w:szCs w:val="24"/>
        </w:rPr>
        <w:t xml:space="preserve"> </w:t>
      </w:r>
      <w:r w:rsidRPr="001F37A9">
        <w:rPr>
          <w:rFonts w:eastAsia="Times New Roman" w:cs="Times New Roman"/>
          <w:color w:val="2B2D31"/>
          <w:szCs w:val="24"/>
        </w:rPr>
        <w:t xml:space="preserve">found that audit committee meetings significantly constrained earnings management in an emerging market context. </w:t>
      </w:r>
      <w:r w:rsidR="00015BC9" w:rsidRPr="00015BC9">
        <w:rPr>
          <w:rFonts w:eastAsia="Times New Roman" w:cs="Times New Roman"/>
          <w:color w:val="2B2D31"/>
          <w:szCs w:val="24"/>
        </w:rPr>
        <w:t>Kaoje</w:t>
      </w:r>
      <w:r w:rsidRPr="001F37A9">
        <w:rPr>
          <w:rFonts w:eastAsia="Times New Roman" w:cs="Times New Roman"/>
          <w:color w:val="2B2D31"/>
          <w:szCs w:val="24"/>
        </w:rPr>
        <w:t xml:space="preserve"> et al. (2023) reported a negative relationship in Nigerian firms, while </w:t>
      </w:r>
      <w:r w:rsidR="001D7BDF" w:rsidRPr="001D7BDF">
        <w:rPr>
          <w:rFonts w:eastAsia="Times New Roman" w:cs="Times New Roman"/>
          <w:color w:val="2B2D31"/>
          <w:szCs w:val="24"/>
        </w:rPr>
        <w:t>Bilal</w:t>
      </w:r>
      <w:r w:rsidR="001D7BDF">
        <w:rPr>
          <w:rFonts w:eastAsia="Times New Roman" w:cs="Times New Roman"/>
          <w:color w:val="2B2D31"/>
          <w:szCs w:val="24"/>
        </w:rPr>
        <w:t xml:space="preserve"> et al.</w:t>
      </w:r>
      <w:r w:rsidRPr="001F37A9">
        <w:rPr>
          <w:rFonts w:eastAsia="Times New Roman" w:cs="Times New Roman"/>
          <w:color w:val="2B2D31"/>
          <w:szCs w:val="24"/>
        </w:rPr>
        <w:t xml:space="preserve"> (20</w:t>
      </w:r>
      <w:r w:rsidR="001D7BDF">
        <w:rPr>
          <w:rFonts w:eastAsia="Times New Roman" w:cs="Times New Roman"/>
          <w:color w:val="2B2D31"/>
          <w:szCs w:val="24"/>
        </w:rPr>
        <w:t>18</w:t>
      </w:r>
      <w:r w:rsidRPr="001F37A9">
        <w:rPr>
          <w:rFonts w:eastAsia="Times New Roman" w:cs="Times New Roman"/>
          <w:color w:val="2B2D31"/>
          <w:szCs w:val="24"/>
        </w:rPr>
        <w:t>) found that meeting frequency was associated with lower earnings management across a broad sample of firms.</w:t>
      </w:r>
    </w:p>
    <w:p w14:paraId="2680E32C" w14:textId="77777777" w:rsidR="002B447D" w:rsidRPr="001F37A9" w:rsidRDefault="002B447D" w:rsidP="00B7006C">
      <w:pPr>
        <w:shd w:val="clear" w:color="auto" w:fill="FFFFFF"/>
        <w:spacing w:before="100" w:beforeAutospacing="1" w:after="0" w:line="240" w:lineRule="auto"/>
        <w:jc w:val="both"/>
        <w:rPr>
          <w:rFonts w:eastAsia="Times New Roman" w:cs="Times New Roman"/>
          <w:color w:val="2B2D31"/>
          <w:szCs w:val="24"/>
        </w:rPr>
      </w:pPr>
      <w:r w:rsidRPr="001F37A9">
        <w:rPr>
          <w:rFonts w:eastAsia="Times New Roman" w:cs="Times New Roman"/>
          <w:b/>
          <w:bCs/>
          <w:color w:val="2B2D31"/>
          <w:szCs w:val="24"/>
        </w:rPr>
        <w:t xml:space="preserve">2.3.5 </w:t>
      </w:r>
      <w:r w:rsidR="001F37A9" w:rsidRPr="001F37A9">
        <w:rPr>
          <w:rFonts w:eastAsia="Times New Roman" w:cs="Times New Roman"/>
          <w:b/>
          <w:bCs/>
          <w:color w:val="2B2D31"/>
          <w:szCs w:val="24"/>
        </w:rPr>
        <w:tab/>
      </w:r>
      <w:r w:rsidRPr="001F37A9">
        <w:rPr>
          <w:rFonts w:eastAsia="Times New Roman" w:cs="Times New Roman"/>
          <w:b/>
          <w:bCs/>
          <w:color w:val="2B2D31"/>
          <w:szCs w:val="24"/>
        </w:rPr>
        <w:t>Audit Committee Gender Diversity and Earnings Management</w:t>
      </w:r>
    </w:p>
    <w:p w14:paraId="3997CD07" w14:textId="522CB611" w:rsidR="002B447D" w:rsidRPr="001F37A9" w:rsidRDefault="002B447D" w:rsidP="001F37A9">
      <w:pPr>
        <w:shd w:val="clear" w:color="auto" w:fill="FFFFFF"/>
        <w:spacing w:after="0" w:line="240" w:lineRule="auto"/>
        <w:ind w:firstLine="720"/>
        <w:jc w:val="both"/>
        <w:rPr>
          <w:rFonts w:eastAsia="Times New Roman" w:cs="Times New Roman"/>
          <w:color w:val="2B2D31"/>
          <w:szCs w:val="24"/>
        </w:rPr>
      </w:pPr>
      <w:r>
        <w:rPr>
          <w:color w:val="2B2D31"/>
          <w:highlight w:val="yellow"/>
        </w:rPr>
        <w:t>Gender diversity on audit committees has gained significant attention following recent corporate governance reforms and is believed to influence financial reporting quality. Female directors are often associated with greater risk aversion, ethical sensitivity, and more rigorous monitoring behaviour, which may constrain managerial opportunism in financial reporting (Gull et al., 20</w:t>
      </w:r>
      <w:r w:rsidR="00DD3A45">
        <w:rPr>
          <w:color w:val="2B2D31"/>
          <w:highlight w:val="yellow"/>
        </w:rPr>
        <w:t>18</w:t>
      </w:r>
      <w:r>
        <w:rPr>
          <w:color w:val="2B2D31"/>
          <w:highlight w:val="yellow"/>
        </w:rPr>
        <w:t>). Women directors tend to be more diligent in attending meetings, more conservative in accounting choices, and more likely to challenge aggressive reporting practices (</w:t>
      </w:r>
      <w:r w:rsidR="00DD3A45" w:rsidRPr="00DD3A45">
        <w:rPr>
          <w:color w:val="2B2D31"/>
        </w:rPr>
        <w:t>Bawuah</w:t>
      </w:r>
      <w:r>
        <w:rPr>
          <w:color w:val="2B2D31"/>
          <w:highlight w:val="yellow"/>
        </w:rPr>
        <w:t>, 2024). The theoretical basis for gender diversity effects draws on both agency theory and resource dependency theory. From an agency perspective, diverse boards provide stronger oversight by reducing groupthink and enhancing decision-making quality (Lückerath-Rovers, 20</w:t>
      </w:r>
      <w:r w:rsidR="00DD3A45">
        <w:rPr>
          <w:color w:val="2B2D31"/>
          <w:highlight w:val="yellow"/>
        </w:rPr>
        <w:t>1</w:t>
      </w:r>
      <w:r>
        <w:rPr>
          <w:color w:val="2B2D31"/>
          <w:highlight w:val="yellow"/>
        </w:rPr>
        <w:t xml:space="preserve">3). Resource dependency theory suggests that a minority presence of women may be insufficient to influence committee dynamics; meaningful effects typically require a threshold proportion that enables substantive participation and effective monitoring. Empirical evidence on gender diversity in Nigeria presents a mixed picture. </w:t>
      </w:r>
      <w:r w:rsidR="0037782E" w:rsidRPr="0037782E">
        <w:rPr>
          <w:color w:val="2B2D31"/>
        </w:rPr>
        <w:t xml:space="preserve">Kaoje et al. </w:t>
      </w:r>
      <w:r w:rsidR="0037782E">
        <w:rPr>
          <w:color w:val="2B2D31"/>
        </w:rPr>
        <w:t>(</w:t>
      </w:r>
      <w:r w:rsidR="0037782E" w:rsidRPr="0037782E">
        <w:rPr>
          <w:color w:val="2B2D31"/>
        </w:rPr>
        <w:t>2023</w:t>
      </w:r>
      <w:r w:rsidR="0037782E">
        <w:rPr>
          <w:color w:val="2B2D31"/>
        </w:rPr>
        <w:t xml:space="preserve">) </w:t>
      </w:r>
      <w:r>
        <w:rPr>
          <w:color w:val="2B2D31"/>
          <w:highlight w:val="yellow"/>
        </w:rPr>
        <w:t xml:space="preserve">found that the presence of female directors on audit committees significantly reduced earnings management in listed Nigerian firms, particularly when women held financial expertise qualifications. Conversely, </w:t>
      </w:r>
      <w:r w:rsidR="002E209C" w:rsidRPr="002E209C">
        <w:rPr>
          <w:color w:val="2B2D31"/>
        </w:rPr>
        <w:t xml:space="preserve">Kaoje et al. </w:t>
      </w:r>
      <w:r w:rsidR="002E209C">
        <w:rPr>
          <w:color w:val="2B2D31"/>
        </w:rPr>
        <w:t>(</w:t>
      </w:r>
      <w:r w:rsidR="002E209C" w:rsidRPr="002E209C">
        <w:rPr>
          <w:color w:val="2B2D31"/>
        </w:rPr>
        <w:t>2023</w:t>
      </w:r>
      <w:r w:rsidR="002E209C">
        <w:rPr>
          <w:color w:val="2B2D31"/>
        </w:rPr>
        <w:t>)</w:t>
      </w:r>
      <w:r>
        <w:rPr>
          <w:color w:val="2B2D31"/>
          <w:highlight w:val="yellow"/>
        </w:rPr>
        <w:t xml:space="preserve"> reported no significant relationship between audit committee gender diversity and earnings quality in industrial goods companies, suggesting that the effect may be sector-specific or contingent on other governance factors. </w:t>
      </w:r>
      <w:r w:rsidR="002E209C" w:rsidRPr="002E209C">
        <w:rPr>
          <w:color w:val="2B2D31"/>
        </w:rPr>
        <w:t>Qawqaze et al. (2022)</w:t>
      </w:r>
      <w:r w:rsidR="002E209C">
        <w:rPr>
          <w:color w:val="2B2D31"/>
        </w:rPr>
        <w:t xml:space="preserve"> </w:t>
      </w:r>
      <w:r>
        <w:rPr>
          <w:color w:val="2B2D31"/>
          <w:highlight w:val="yellow"/>
        </w:rPr>
        <w:t xml:space="preserve">found that female audit committee members significantly constrained discretionary accruals. </w:t>
      </w:r>
      <w:r w:rsidR="00DD3A45" w:rsidRPr="00DD3A45">
        <w:rPr>
          <w:color w:val="2B2D31"/>
        </w:rPr>
        <w:t>Bawuah</w:t>
      </w:r>
      <w:r w:rsidR="00DD3A45" w:rsidRPr="00DD3A45">
        <w:rPr>
          <w:color w:val="2B2D31"/>
          <w:highlight w:val="yellow"/>
        </w:rPr>
        <w:t xml:space="preserve"> </w:t>
      </w:r>
      <w:r>
        <w:rPr>
          <w:color w:val="2B2D31"/>
          <w:highlight w:val="yellow"/>
        </w:rPr>
        <w:t xml:space="preserve">(2024) reported that gender-diverse audit committees were associated with higher internal control quality and lower earnings management. </w:t>
      </w:r>
      <w:r w:rsidR="00DD3A45" w:rsidRPr="00DD3A45">
        <w:rPr>
          <w:color w:val="2B2D31"/>
        </w:rPr>
        <w:t>Kusnadi</w:t>
      </w:r>
      <w:r>
        <w:rPr>
          <w:color w:val="2B2D31"/>
          <w:highlight w:val="yellow"/>
        </w:rPr>
        <w:t xml:space="preserve"> et al. (202</w:t>
      </w:r>
      <w:r w:rsidR="00DD3A45">
        <w:rPr>
          <w:color w:val="2B2D31"/>
          <w:highlight w:val="yellow"/>
        </w:rPr>
        <w:t>2</w:t>
      </w:r>
      <w:r>
        <w:rPr>
          <w:color w:val="2B2D31"/>
          <w:highlight w:val="yellow"/>
        </w:rPr>
        <w:t>) similarly documented that gender diversity on audit committees reduced opportunistic reporting in family business groups. Despite growing attention, gender diversity remains underexplored in the Nigerian non-financial sector, particularly in the post-CAMA 2020 regulatory environment, where governance standards have been significantly strengthened. This study addresses this gap by examining whether audit committee gender diversity significantly constrains earnings management among listed non-financial firms in Nigeria.</w:t>
      </w:r>
    </w:p>
    <w:p w14:paraId="0FA1484F" w14:textId="77777777" w:rsidR="001F37A9" w:rsidRPr="001F37A9" w:rsidRDefault="001F37A9" w:rsidP="001F37A9">
      <w:pPr>
        <w:shd w:val="clear" w:color="auto" w:fill="FFFFFF"/>
        <w:spacing w:after="0" w:line="240" w:lineRule="auto"/>
        <w:ind w:firstLine="720"/>
        <w:jc w:val="both"/>
        <w:rPr>
          <w:rFonts w:eastAsia="Times New Roman" w:cs="Times New Roman"/>
          <w:color w:val="2B2D31"/>
          <w:szCs w:val="24"/>
        </w:rPr>
      </w:pPr>
    </w:p>
    <w:p w14:paraId="395FAC1B" w14:textId="138AA965" w:rsidR="008650AE" w:rsidRPr="001F37A9" w:rsidRDefault="008650AE" w:rsidP="001F37A9">
      <w:pPr>
        <w:shd w:val="clear" w:color="auto" w:fill="FFFFFF"/>
        <w:spacing w:after="270" w:line="240" w:lineRule="auto"/>
        <w:ind w:firstLine="720"/>
        <w:jc w:val="both"/>
        <w:rPr>
          <w:rFonts w:eastAsia="Times New Roman" w:cs="Times New Roman"/>
          <w:color w:val="2B2D31"/>
          <w:szCs w:val="24"/>
        </w:rPr>
      </w:pPr>
      <w:r>
        <w:rPr>
          <w:highlight w:val="yellow"/>
        </w:rPr>
        <w:t xml:space="preserve">Despite the volume of research investigating the nexus between audit committee characteristics and earnings management, several gaps persist, particularly within the Nigerian institutional context. First, empirical findings in Nigeria remain largely inconsistent; while some studies such as </w:t>
      </w:r>
      <w:r w:rsidR="002E209C" w:rsidRPr="002E209C">
        <w:t>Bawuah</w:t>
      </w:r>
      <w:r>
        <w:rPr>
          <w:highlight w:val="yellow"/>
        </w:rPr>
        <w:t xml:space="preserve"> (202</w:t>
      </w:r>
      <w:r w:rsidR="002E209C">
        <w:rPr>
          <w:highlight w:val="yellow"/>
        </w:rPr>
        <w:t>4</w:t>
      </w:r>
      <w:r>
        <w:rPr>
          <w:highlight w:val="yellow"/>
        </w:rPr>
        <w:t xml:space="preserve">) suggest that committee independence is the primary deterrent for earnings manipulation, others such as </w:t>
      </w:r>
      <w:r w:rsidR="00FC2E34">
        <w:rPr>
          <w:highlight w:val="yellow"/>
        </w:rPr>
        <w:t>Kaoje et al. (2023)</w:t>
      </w:r>
      <w:r>
        <w:rPr>
          <w:highlight w:val="yellow"/>
        </w:rPr>
        <w:t xml:space="preserve"> find no significant relationship, suggesting that independence in a high-concentration ownership environment such as Nigeria's may be symbolic rather than substantive. Second, the majority of extant Nigerian literature has focused on traditional attributes such as size and independence, often neglecting the burgeoning importance of gender diversity and specific technical expertise following the CAMA 2020 reforms. Many previous studies utilised older datasets that do not reflect the current regulatory environment or the shift toward IFRS-based reporting complexities (</w:t>
      </w:r>
      <w:r w:rsidR="004A250B">
        <w:rPr>
          <w:highlight w:val="yellow"/>
        </w:rPr>
        <w:t>Kaoje et al., 2023</w:t>
      </w:r>
      <w:r>
        <w:rPr>
          <w:highlight w:val="yellow"/>
        </w:rPr>
        <w:t xml:space="preserve">; </w:t>
      </w:r>
      <w:r w:rsidR="00DD3A45" w:rsidRPr="00DD3A45">
        <w:t>Kaoje</w:t>
      </w:r>
      <w:r>
        <w:rPr>
          <w:highlight w:val="yellow"/>
        </w:rPr>
        <w:t xml:space="preserve"> et al., 202</w:t>
      </w:r>
      <w:r w:rsidR="00DD3A45">
        <w:rPr>
          <w:highlight w:val="yellow"/>
        </w:rPr>
        <w:t>3</w:t>
      </w:r>
      <w:r>
        <w:rPr>
          <w:highlight w:val="yellow"/>
        </w:rPr>
        <w:t>). Third, there is a methodological gap; many Nigerian studies employ cross-sectional designs or short-term time series (3–5 years), which fail to capture the longitudinal dynamics of corporate governance effectiveness (</w:t>
      </w:r>
      <w:r w:rsidR="00115C52" w:rsidRPr="00115C52">
        <w:t>Kaoje</w:t>
      </w:r>
      <w:r w:rsidR="00115C52">
        <w:t xml:space="preserve"> et al.</w:t>
      </w:r>
      <w:r>
        <w:rPr>
          <w:highlight w:val="yellow"/>
        </w:rPr>
        <w:t>, 202</w:t>
      </w:r>
      <w:r w:rsidR="00115C52">
        <w:rPr>
          <w:highlight w:val="yellow"/>
        </w:rPr>
        <w:t>3</w:t>
      </w:r>
      <w:r>
        <w:rPr>
          <w:highlight w:val="yellow"/>
        </w:rPr>
        <w:t xml:space="preserve">; </w:t>
      </w:r>
      <w:r w:rsidR="000F1E0E" w:rsidRPr="000F1E0E">
        <w:t>Bawuah</w:t>
      </w:r>
      <w:r>
        <w:rPr>
          <w:highlight w:val="yellow"/>
        </w:rPr>
        <w:t>, 202</w:t>
      </w:r>
      <w:r w:rsidR="000F1E0E">
        <w:rPr>
          <w:highlight w:val="yellow"/>
        </w:rPr>
        <w:t>4</w:t>
      </w:r>
      <w:r>
        <w:rPr>
          <w:highlight w:val="yellow"/>
        </w:rPr>
        <w:t>). This study addresses these deficiencies by utilising a robust eleven-year longitudinal dataset (2014–2024) and incorporating gender diversity as a core variable, thereby providing a more contemporary and comprehensive analysis of audit committee effectiveness in curbing discretionary accruals within listed non-financial firms.</w:t>
      </w:r>
    </w:p>
    <w:p w14:paraId="265A647F" w14:textId="77777777" w:rsidR="008650AE" w:rsidRPr="001F37A9" w:rsidRDefault="008650AE" w:rsidP="001F37A9">
      <w:pPr>
        <w:shd w:val="clear" w:color="auto" w:fill="FFFFFF"/>
        <w:spacing w:after="270" w:line="240" w:lineRule="auto"/>
        <w:jc w:val="both"/>
        <w:rPr>
          <w:rFonts w:eastAsia="Times New Roman" w:cs="Times New Roman"/>
          <w:color w:val="2B2D31"/>
          <w:szCs w:val="24"/>
        </w:rPr>
      </w:pPr>
      <w:r w:rsidRPr="001F37A9">
        <w:rPr>
          <w:rFonts w:eastAsia="Times New Roman" w:cs="Times New Roman"/>
          <w:b/>
          <w:bCs/>
          <w:color w:val="2B2D31"/>
          <w:szCs w:val="24"/>
        </w:rPr>
        <w:t>Hypotheses</w:t>
      </w:r>
      <w:r w:rsidR="00B7006C" w:rsidRPr="001F37A9">
        <w:rPr>
          <w:rFonts w:eastAsia="Times New Roman" w:cs="Times New Roman"/>
          <w:b/>
          <w:bCs/>
          <w:color w:val="2B2D31"/>
          <w:szCs w:val="24"/>
        </w:rPr>
        <w:t xml:space="preserve"> development</w:t>
      </w:r>
    </w:p>
    <w:p w14:paraId="74CE2A0F" w14:textId="77777777" w:rsidR="00C552E9" w:rsidRPr="001F37A9" w:rsidRDefault="008650AE" w:rsidP="001F37A9">
      <w:pPr>
        <w:shd w:val="clear" w:color="auto" w:fill="FFFFFF"/>
        <w:spacing w:after="0" w:line="240" w:lineRule="auto"/>
        <w:jc w:val="both"/>
        <w:rPr>
          <w:rFonts w:eastAsia="Times New Roman" w:cs="Times New Roman"/>
          <w:b/>
          <w:bCs/>
          <w:color w:val="2B2D31"/>
          <w:szCs w:val="24"/>
          <w:vertAlign w:val="subscript"/>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1</w:t>
      </w:r>
      <w:r w:rsidRPr="001F37A9">
        <w:rPr>
          <w:rFonts w:eastAsia="Times New Roman" w:cs="Times New Roman"/>
          <w:b/>
          <w:bCs/>
          <w:color w:val="2B2D31"/>
          <w:szCs w:val="24"/>
        </w:rPr>
        <w:t>:</w:t>
      </w:r>
      <w:r w:rsidRPr="001F37A9">
        <w:rPr>
          <w:rFonts w:eastAsia="Times New Roman" w:cs="Times New Roman"/>
          <w:color w:val="2B2D31"/>
          <w:szCs w:val="24"/>
        </w:rPr>
        <w:t> </w:t>
      </w:r>
      <w:r w:rsidR="00C552E9" w:rsidRPr="001F37A9">
        <w:rPr>
          <w:rFonts w:eastAsia="Times New Roman" w:cs="Times New Roman"/>
          <w:color w:val="2B2D31"/>
          <w:szCs w:val="24"/>
        </w:rPr>
        <w:t>Audit committee financial expertise has a significant negative effect on earnings management among listed non-financial firms in Nigeria.</w:t>
      </w:r>
    </w:p>
    <w:p w14:paraId="24307E0F" w14:textId="77777777" w:rsidR="00D05B86" w:rsidRPr="001F37A9" w:rsidRDefault="008650AE" w:rsidP="001F37A9">
      <w:pPr>
        <w:shd w:val="clear" w:color="auto" w:fill="FFFFFF"/>
        <w:spacing w:after="0" w:line="240" w:lineRule="auto"/>
        <w:jc w:val="both"/>
        <w:rPr>
          <w:rFonts w:eastAsia="Times New Roman" w:cs="Times New Roman"/>
          <w:b/>
          <w:bCs/>
          <w:color w:val="2B2D31"/>
          <w:szCs w:val="24"/>
          <w:vertAlign w:val="subscript"/>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2</w:t>
      </w:r>
      <w:r w:rsidRPr="001F37A9">
        <w:rPr>
          <w:rFonts w:eastAsia="Times New Roman" w:cs="Times New Roman"/>
          <w:b/>
          <w:bCs/>
          <w:color w:val="2B2D31"/>
          <w:szCs w:val="24"/>
        </w:rPr>
        <w:t>:</w:t>
      </w:r>
      <w:r w:rsidRPr="001F37A9">
        <w:rPr>
          <w:rFonts w:eastAsia="Times New Roman" w:cs="Times New Roman"/>
          <w:color w:val="2B2D31"/>
          <w:szCs w:val="24"/>
        </w:rPr>
        <w:t> </w:t>
      </w:r>
      <w:r w:rsidR="00C552E9" w:rsidRPr="001F37A9">
        <w:rPr>
          <w:rFonts w:eastAsia="Times New Roman" w:cs="Times New Roman"/>
          <w:color w:val="2B2D31"/>
          <w:szCs w:val="24"/>
        </w:rPr>
        <w:t>Audit committee independence has a significant negative effect on earnings management among listed non-financial firms in Nigeria.</w:t>
      </w:r>
    </w:p>
    <w:p w14:paraId="7360BB9F" w14:textId="77777777" w:rsidR="008650AE" w:rsidRPr="001F37A9" w:rsidRDefault="008650AE" w:rsidP="001F37A9">
      <w:pPr>
        <w:shd w:val="clear" w:color="auto" w:fill="FFFFFF"/>
        <w:spacing w:after="0" w:line="240" w:lineRule="auto"/>
        <w:jc w:val="both"/>
        <w:rPr>
          <w:rFonts w:eastAsia="Times New Roman" w:cs="Times New Roman"/>
          <w:b/>
          <w:bCs/>
          <w:color w:val="2B2D31"/>
          <w:szCs w:val="24"/>
          <w:vertAlign w:val="subscript"/>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3</w:t>
      </w:r>
      <w:r w:rsidRPr="001F37A9">
        <w:rPr>
          <w:rFonts w:eastAsia="Times New Roman" w:cs="Times New Roman"/>
          <w:b/>
          <w:bCs/>
          <w:color w:val="2B2D31"/>
          <w:szCs w:val="24"/>
        </w:rPr>
        <w:t>:</w:t>
      </w:r>
      <w:r w:rsidRPr="001F37A9">
        <w:rPr>
          <w:rFonts w:eastAsia="Times New Roman" w:cs="Times New Roman"/>
          <w:color w:val="2B2D31"/>
          <w:szCs w:val="24"/>
        </w:rPr>
        <w:t xml:space="preserve"> Audit committee size </w:t>
      </w:r>
      <w:r w:rsidR="00DE3AED" w:rsidRPr="001F37A9">
        <w:rPr>
          <w:rFonts w:eastAsia="Times New Roman" w:cs="Times New Roman"/>
          <w:color w:val="2B2D31"/>
          <w:szCs w:val="24"/>
        </w:rPr>
        <w:t>has</w:t>
      </w:r>
      <w:r w:rsidRPr="001F37A9">
        <w:rPr>
          <w:rFonts w:eastAsia="Times New Roman" w:cs="Times New Roman"/>
          <w:color w:val="2B2D31"/>
          <w:szCs w:val="24"/>
        </w:rPr>
        <w:t xml:space="preserve"> a significant effect on the level of earnings management among listed non-financial firms in Nigeria.</w:t>
      </w:r>
    </w:p>
    <w:p w14:paraId="610AA91D" w14:textId="77777777" w:rsidR="008650AE" w:rsidRPr="001F37A9" w:rsidRDefault="008650AE" w:rsidP="001F37A9">
      <w:pPr>
        <w:shd w:val="clear" w:color="auto" w:fill="FFFFFF"/>
        <w:spacing w:after="0" w:line="240" w:lineRule="auto"/>
        <w:jc w:val="both"/>
        <w:rPr>
          <w:rFonts w:eastAsia="Times New Roman" w:cs="Times New Roman"/>
          <w:b/>
          <w:bCs/>
          <w:color w:val="2B2D31"/>
          <w:szCs w:val="24"/>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4</w:t>
      </w:r>
      <w:r w:rsidRPr="001F37A9">
        <w:rPr>
          <w:rFonts w:eastAsia="Times New Roman" w:cs="Times New Roman"/>
          <w:b/>
          <w:bCs/>
          <w:color w:val="2B2D31"/>
          <w:szCs w:val="24"/>
        </w:rPr>
        <w:t>:</w:t>
      </w:r>
      <w:r w:rsidRPr="001F37A9">
        <w:rPr>
          <w:rFonts w:eastAsia="Times New Roman" w:cs="Times New Roman"/>
          <w:color w:val="2B2D31"/>
          <w:szCs w:val="24"/>
        </w:rPr>
        <w:t xml:space="preserve"> Audit committee diligence (meeting frequency) </w:t>
      </w:r>
      <w:r w:rsidR="00DE3AED" w:rsidRPr="001F37A9">
        <w:rPr>
          <w:rFonts w:eastAsia="Times New Roman" w:cs="Times New Roman"/>
          <w:color w:val="2B2D31"/>
          <w:szCs w:val="24"/>
        </w:rPr>
        <w:t>has</w:t>
      </w:r>
      <w:r w:rsidRPr="001F37A9">
        <w:rPr>
          <w:rFonts w:eastAsia="Times New Roman" w:cs="Times New Roman"/>
          <w:color w:val="2B2D31"/>
          <w:szCs w:val="24"/>
        </w:rPr>
        <w:t xml:space="preserve"> a significant negative effect on earnings management among listed non-financial firms in Nigeria.</w:t>
      </w:r>
    </w:p>
    <w:p w14:paraId="71069C2B" w14:textId="77777777" w:rsidR="008650AE" w:rsidRPr="001F37A9" w:rsidRDefault="008650AE" w:rsidP="001F37A9">
      <w:pPr>
        <w:shd w:val="clear" w:color="auto" w:fill="FFFFFF"/>
        <w:spacing w:after="0" w:line="240" w:lineRule="auto"/>
        <w:jc w:val="both"/>
        <w:rPr>
          <w:rFonts w:eastAsia="Times New Roman" w:cs="Times New Roman"/>
          <w:color w:val="2B2D31"/>
          <w:szCs w:val="24"/>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5</w:t>
      </w:r>
      <w:r w:rsidRPr="001F37A9">
        <w:rPr>
          <w:rFonts w:eastAsia="Times New Roman" w:cs="Times New Roman"/>
          <w:b/>
          <w:bCs/>
          <w:color w:val="2B2D31"/>
          <w:szCs w:val="24"/>
        </w:rPr>
        <w:t>:</w:t>
      </w:r>
      <w:r w:rsidRPr="001F37A9">
        <w:rPr>
          <w:rFonts w:eastAsia="Times New Roman" w:cs="Times New Roman"/>
          <w:color w:val="2B2D31"/>
          <w:szCs w:val="24"/>
        </w:rPr>
        <w:t> Audit committee</w:t>
      </w:r>
      <w:r w:rsidR="00D05B86" w:rsidRPr="001F37A9">
        <w:rPr>
          <w:rFonts w:eastAsia="Times New Roman" w:cs="Times New Roman"/>
          <w:color w:val="2B2D31"/>
          <w:szCs w:val="24"/>
        </w:rPr>
        <w:t xml:space="preserve"> </w:t>
      </w:r>
      <w:r w:rsidRPr="001F37A9">
        <w:rPr>
          <w:rFonts w:eastAsia="Times New Roman" w:cs="Times New Roman"/>
          <w:color w:val="2B2D31"/>
          <w:szCs w:val="24"/>
        </w:rPr>
        <w:t xml:space="preserve">diversity </w:t>
      </w:r>
      <w:r w:rsidR="00DE3AED" w:rsidRPr="001F37A9">
        <w:rPr>
          <w:rFonts w:eastAsia="Times New Roman" w:cs="Times New Roman"/>
          <w:color w:val="2B2D31"/>
          <w:szCs w:val="24"/>
        </w:rPr>
        <w:t>has</w:t>
      </w:r>
      <w:r w:rsidRPr="001F37A9">
        <w:rPr>
          <w:rFonts w:eastAsia="Times New Roman" w:cs="Times New Roman"/>
          <w:color w:val="2B2D31"/>
          <w:szCs w:val="24"/>
        </w:rPr>
        <w:t xml:space="preserve"> a significant negative effect on earnings management among listed non-financial firms in Nigeria.</w:t>
      </w:r>
    </w:p>
    <w:p w14:paraId="25A20746" w14:textId="77777777" w:rsidR="001F37A9" w:rsidRPr="001F37A9" w:rsidRDefault="001F37A9" w:rsidP="007218FD">
      <w:pPr>
        <w:spacing w:after="0" w:line="240" w:lineRule="auto"/>
        <w:jc w:val="both"/>
        <w:rPr>
          <w:rFonts w:eastAsia="Aptos" w:cs="Times New Roman"/>
          <w:b/>
          <w:bCs/>
          <w:kern w:val="2"/>
          <w:szCs w:val="24"/>
          <w14:ligatures w14:val="standardContextual"/>
        </w:rPr>
      </w:pPr>
    </w:p>
    <w:p w14:paraId="53FDC066" w14:textId="77777777" w:rsidR="000240DC" w:rsidRPr="001F37A9" w:rsidRDefault="000240DC" w:rsidP="007218FD">
      <w:pPr>
        <w:spacing w:after="0" w:line="240" w:lineRule="auto"/>
        <w:jc w:val="both"/>
        <w:rPr>
          <w:rFonts w:eastAsia="Aptos" w:cs="Times New Roman"/>
          <w:b/>
          <w:bCs/>
          <w:kern w:val="2"/>
          <w:szCs w:val="24"/>
          <w14:ligatures w14:val="standardContextual"/>
        </w:rPr>
      </w:pPr>
      <w:r w:rsidRPr="001F37A9">
        <w:rPr>
          <w:rFonts w:eastAsia="Aptos" w:cs="Times New Roman"/>
          <w:b/>
          <w:bCs/>
          <w:kern w:val="2"/>
          <w:szCs w:val="24"/>
          <w14:ligatures w14:val="standardContextual"/>
        </w:rPr>
        <w:t>3. Methodology</w:t>
      </w:r>
    </w:p>
    <w:p w14:paraId="48CAFD31" w14:textId="73036360" w:rsidR="0087668F" w:rsidRDefault="00DE6589" w:rsidP="007218FD">
      <w:pPr>
        <w:shd w:val="clear" w:color="auto" w:fill="FFFFFF"/>
        <w:spacing w:before="100" w:beforeAutospacing="1" w:after="270" w:line="240" w:lineRule="auto"/>
        <w:ind w:firstLine="720"/>
        <w:jc w:val="both"/>
        <w:rPr>
          <w:rFonts w:eastAsia="Times New Roman" w:cs="Times New Roman"/>
          <w:color w:val="2B2D31"/>
          <w:szCs w:val="24"/>
        </w:rPr>
      </w:pPr>
      <w:r>
        <w:rPr>
          <w:highlight w:val="yellow"/>
        </w:rPr>
        <w:t>This study adopted an ex post facto research design, utilising secondary data extracted from the audited annual financial reports and accounts of non-financial firms listed on the Nigerian Exchange Group (NGX). The ex post facto design was considered appropriate because it enables the examination of presumed causal relationships between variables using historical, non-manipulated data, without researcher interference in the variables under investigation (</w:t>
      </w:r>
      <w:r w:rsidR="00DD3A45" w:rsidRPr="00DD3A45">
        <w:t>Kaoje</w:t>
      </w:r>
      <w:r w:rsidR="00DD3A45">
        <w:t xml:space="preserve"> et al.</w:t>
      </w:r>
      <w:r>
        <w:rPr>
          <w:highlight w:val="yellow"/>
        </w:rPr>
        <w:t>, 202</w:t>
      </w:r>
      <w:r w:rsidR="00DD3A45">
        <w:rPr>
          <w:highlight w:val="yellow"/>
        </w:rPr>
        <w:t>3</w:t>
      </w:r>
      <w:r>
        <w:rPr>
          <w:highlight w:val="yellow"/>
        </w:rPr>
        <w:t>). Secondary data were sourced exclusively from the audited annual reports of the sampled firms, as these sources are subject to external review and regulatory oversight, thereby satisfying the study quality parameters of validity, reliability, generalisability, credibility, and transparency required for rigorous quantitative analysis. The target population comprised all 97 non-financial firms listed on the NGX. A final sample of 56 firms was selected using criterion sampling, based on the consistent availability of audited financial statements and governance disclosures across the study period, continuous listing on the NGX, and classification within the non-financial sector. This yielded a balanced panel of 616 firm-year observations spanning 2014 to 2024. The study period commences in 2014 to ensure analysis is conducted under a consistent and stable accounting framework, specifically following the stabilisation of the mandatory International Financial Reporting Standards (IFRS) adoption by all listed Nigerian firms in 2012, thereby eliminating transition-period volatility that could confound the governance-reporting relationship (</w:t>
      </w:r>
      <w:r w:rsidR="004A250B">
        <w:rPr>
          <w:highlight w:val="yellow"/>
        </w:rPr>
        <w:t xml:space="preserve">Kaoje et al., </w:t>
      </w:r>
      <w:r w:rsidR="004A250B">
        <w:rPr>
          <w:highlight w:val="yellow"/>
        </w:rPr>
        <w:lastRenderedPageBreak/>
        <w:t>2023</w:t>
      </w:r>
      <w:r>
        <w:rPr>
          <w:highlight w:val="yellow"/>
        </w:rPr>
        <w:t xml:space="preserve">; </w:t>
      </w:r>
      <w:r w:rsidR="00DD3A45" w:rsidRPr="00DD3A45">
        <w:t>Kaoje</w:t>
      </w:r>
      <w:r>
        <w:rPr>
          <w:highlight w:val="yellow"/>
        </w:rPr>
        <w:t xml:space="preserve"> et al., 202</w:t>
      </w:r>
      <w:r w:rsidR="00DD3A45">
        <w:rPr>
          <w:highlight w:val="yellow"/>
        </w:rPr>
        <w:t>3</w:t>
      </w:r>
      <w:r>
        <w:rPr>
          <w:highlight w:val="yellow"/>
        </w:rPr>
        <w:t xml:space="preserve">). Diagnostic tests, including the Hausman test for model selection, Breusch-Pagan LM test, Wooldridge test for autocorrelation, and the Modified Wald test for heteroscedasticity, were conducted to ensure the reliability and statistical power of the panel regression estimates. Given the extreme distributional spread of the earnings smoothness variable (SD = 67.71; range: −1002.1 to 1512.5), attributable to firm-years with near-zero cash flow standard deviation in the denominator, the ES variable was winsorised at the 1st and 99th percentiles prior to regression estimation. Results remain qualitatively consistent with the unwinsorised estimates. The validity of GMM instruments is confirmed by the Hansen test of overidentifying restrictions, while the absence of second-order serial correlation is verified by the Arellano-Bond </w:t>
      </w:r>
      <w:proofErr w:type="gramStart"/>
      <w:r>
        <w:rPr>
          <w:highlight w:val="yellow"/>
        </w:rPr>
        <w:t>AR(</w:t>
      </w:r>
      <w:proofErr w:type="gramEnd"/>
      <w:r>
        <w:rPr>
          <w:highlight w:val="yellow"/>
        </w:rPr>
        <w:t>2) test.</w:t>
      </w:r>
    </w:p>
    <w:p w14:paraId="2E602F79" w14:textId="77777777" w:rsidR="008448CF" w:rsidRPr="001F37A9" w:rsidRDefault="008448CF" w:rsidP="007218FD">
      <w:pPr>
        <w:shd w:val="clear" w:color="auto" w:fill="FFFFFF"/>
        <w:spacing w:before="100" w:beforeAutospacing="1" w:after="270" w:line="240" w:lineRule="auto"/>
        <w:ind w:firstLine="720"/>
        <w:jc w:val="both"/>
        <w:rPr>
          <w:rFonts w:eastAsia="Times New Roman" w:cs="Times New Roman"/>
          <w:color w:val="2B2D31"/>
          <w:szCs w:val="24"/>
        </w:rPr>
      </w:pPr>
    </w:p>
    <w:p w14:paraId="3B09F34C" w14:textId="77777777" w:rsidR="00700B1F" w:rsidRPr="001F37A9" w:rsidRDefault="00700B1F"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3.1. </w:t>
      </w:r>
      <w:r w:rsidR="00BC2131">
        <w:rPr>
          <w:rFonts w:eastAsia="Times New Roman" w:cs="Times New Roman"/>
          <w:b/>
          <w:bCs/>
          <w:color w:val="2B2D31"/>
          <w:szCs w:val="24"/>
        </w:rPr>
        <w:tab/>
      </w:r>
      <w:r w:rsidRPr="001F37A9">
        <w:rPr>
          <w:rFonts w:eastAsia="Times New Roman" w:cs="Times New Roman"/>
          <w:b/>
          <w:bCs/>
          <w:color w:val="2B2D31"/>
          <w:szCs w:val="24"/>
        </w:rPr>
        <w:t>Model specification</w:t>
      </w:r>
    </w:p>
    <w:p w14:paraId="07C7893F" w14:textId="77777777" w:rsidR="00700B1F" w:rsidRPr="001F37A9" w:rsidRDefault="00700B1F" w:rsidP="00BC2131">
      <w:pPr>
        <w:shd w:val="clear" w:color="auto" w:fill="FFFFFF"/>
        <w:spacing w:after="270" w:line="240" w:lineRule="auto"/>
        <w:ind w:firstLine="720"/>
        <w:jc w:val="both"/>
        <w:rPr>
          <w:rFonts w:cs="Times New Roman"/>
          <w:szCs w:val="24"/>
        </w:rPr>
      </w:pPr>
      <w:r w:rsidRPr="001F37A9">
        <w:rPr>
          <w:rFonts w:cs="Times New Roman"/>
          <w:szCs w:val="24"/>
        </w:rPr>
        <w:t>The study models earnings management as a functional outcome of specific audit committee effectiveness dimensions and evaluates whether these governance attributes collectively constrain managerial opportunism. Grounded in Agency Theory, the model assumes that the quality of financial reporting is significantly influenced by the oversight capacity of the audit committee.</w:t>
      </w:r>
    </w:p>
    <w:p w14:paraId="0CE8F92D" w14:textId="77777777" w:rsidR="00700B1F" w:rsidRPr="001F37A9" w:rsidRDefault="00700B1F" w:rsidP="007218FD">
      <w:pPr>
        <w:shd w:val="clear" w:color="auto" w:fill="FFFFFF"/>
        <w:spacing w:before="100" w:beforeAutospacing="1" w:after="270" w:line="240" w:lineRule="auto"/>
        <w:jc w:val="both"/>
        <w:rPr>
          <w:rFonts w:eastAsia="Times New Roman" w:cs="Times New Roman"/>
          <w:color w:val="2B2D31"/>
          <w:szCs w:val="24"/>
        </w:rPr>
      </w:pPr>
      <w:r w:rsidRPr="001F37A9">
        <w:rPr>
          <w:rFonts w:eastAsia="Times New Roman" w:cs="Times New Roman"/>
          <w:color w:val="2B2D31"/>
          <w:szCs w:val="24"/>
        </w:rPr>
        <w:t>The direct-effect panel regression model is expressed as:</w:t>
      </w:r>
    </w:p>
    <w:p w14:paraId="60ABEB2B" w14:textId="77777777" w:rsidR="00700B1F" w:rsidRPr="001F37A9" w:rsidRDefault="00700B1F" w:rsidP="007218FD">
      <w:pPr>
        <w:spacing w:after="16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EM</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0</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1</w:t>
      </w:r>
      <w:r w:rsidRPr="001F37A9">
        <w:rPr>
          <w:rFonts w:eastAsia="Calibri" w:cs="Times New Roman"/>
          <w:kern w:val="2"/>
          <w:szCs w:val="24"/>
          <w14:ligatures w14:val="standardContextual"/>
        </w:rPr>
        <w:t>ACIndep</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2</w:t>
      </w:r>
      <w:r w:rsidRPr="001F37A9">
        <w:rPr>
          <w:rFonts w:eastAsia="Calibri" w:cs="Times New Roman"/>
          <w:kern w:val="2"/>
          <w:szCs w:val="24"/>
          <w14:ligatures w14:val="standardContextual"/>
        </w:rPr>
        <w:t>ACDil</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3</w:t>
      </w:r>
      <w:r w:rsidRPr="001F37A9">
        <w:rPr>
          <w:rFonts w:eastAsia="Calibri" w:cs="Times New Roman"/>
          <w:kern w:val="2"/>
          <w:szCs w:val="24"/>
          <w14:ligatures w14:val="standardContextual"/>
        </w:rPr>
        <w:t>ACSize</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4</w:t>
      </w:r>
      <w:r w:rsidRPr="001F37A9">
        <w:rPr>
          <w:rFonts w:eastAsia="Calibri" w:cs="Times New Roman"/>
          <w:kern w:val="2"/>
          <w:szCs w:val="24"/>
          <w14:ligatures w14:val="standardContextual"/>
        </w:rPr>
        <w:t>ACExp</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5</w:t>
      </w:r>
      <w:r w:rsidRPr="001F37A9">
        <w:rPr>
          <w:rFonts w:eastAsia="Calibri" w:cs="Times New Roman"/>
          <w:kern w:val="2"/>
          <w:szCs w:val="24"/>
          <w14:ligatures w14:val="standardContextual"/>
        </w:rPr>
        <w:t>ACDiv</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6</w:t>
      </w:r>
      <w:r w:rsidRPr="001F37A9">
        <w:rPr>
          <w:rFonts w:eastAsia="Calibri" w:cs="Times New Roman"/>
          <w:kern w:val="2"/>
          <w:szCs w:val="24"/>
          <w14:ligatures w14:val="standardContextual"/>
        </w:rPr>
        <w:t>Size</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7</w:t>
      </w:r>
      <w:r w:rsidRPr="001F37A9">
        <w:rPr>
          <w:rFonts w:eastAsia="Calibri" w:cs="Times New Roman"/>
          <w:kern w:val="2"/>
          <w:szCs w:val="24"/>
          <w14:ligatures w14:val="standardContextual"/>
        </w:rPr>
        <w:t>Lev</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w:t>
      </w:r>
      <w:r w:rsidRPr="001F37A9">
        <w:rPr>
          <w:rFonts w:eastAsia="Times New Roman" w:cs="Times New Roman"/>
          <w:color w:val="2F5496"/>
          <w:spacing w:val="8"/>
          <w:kern w:val="2"/>
          <w:szCs w:val="24"/>
          <w:bdr w:val="none" w:sz="0" w:space="0" w:color="auto" w:frame="1"/>
          <w:shd w:val="clear" w:color="auto" w:fill="FFFFFF"/>
          <w14:ligatures w14:val="standardContextual"/>
        </w:rPr>
        <w:t xml:space="preserve"> </w:t>
      </w:r>
      <w:r w:rsidRPr="001F37A9">
        <w:rPr>
          <w:rFonts w:eastAsia="Calibri" w:cs="Times New Roman"/>
          <w:spacing w:val="8"/>
          <w:kern w:val="2"/>
          <w:szCs w:val="24"/>
          <w:bdr w:val="none" w:sz="0" w:space="0" w:color="auto" w:frame="1"/>
          <w:shd w:val="clear" w:color="auto" w:fill="FFFFFF"/>
          <w14:ligatures w14:val="standardContextual"/>
        </w:rPr>
        <w:t>ε</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 xml:space="preserve">        </w:t>
      </w:r>
      <w:r w:rsidR="001F37A9" w:rsidRPr="001F37A9">
        <w:rPr>
          <w:rFonts w:eastAsia="Calibri" w:cs="Times New Roman"/>
          <w:kern w:val="2"/>
          <w:szCs w:val="24"/>
          <w14:ligatures w14:val="standardContextual"/>
        </w:rPr>
        <w:tab/>
      </w:r>
      <w:r w:rsidR="00DE3F00">
        <w:rPr>
          <w:rFonts w:eastAsia="Calibri" w:cs="Times New Roman"/>
          <w:kern w:val="2"/>
          <w:szCs w:val="24"/>
          <w14:ligatures w14:val="standardContextual"/>
        </w:rPr>
        <w:t>[</w:t>
      </w:r>
      <w:r w:rsidRPr="001F37A9">
        <w:rPr>
          <w:rFonts w:eastAsia="Calibri" w:cs="Times New Roman"/>
          <w:kern w:val="2"/>
          <w:szCs w:val="24"/>
          <w14:ligatures w14:val="standardContextual"/>
        </w:rPr>
        <w:t>3.1</w:t>
      </w:r>
      <w:r w:rsidR="00DE3F00">
        <w:rPr>
          <w:rFonts w:eastAsia="Calibri" w:cs="Times New Roman"/>
          <w:kern w:val="2"/>
          <w:szCs w:val="24"/>
          <w14:ligatures w14:val="standardContextual"/>
        </w:rPr>
        <w:t>]</w:t>
      </w:r>
      <w:r w:rsidRPr="001F37A9">
        <w:rPr>
          <w:rFonts w:eastAsia="Calibri" w:cs="Times New Roman"/>
          <w:kern w:val="2"/>
          <w:szCs w:val="24"/>
          <w14:ligatures w14:val="standardContextual"/>
        </w:rPr>
        <w:t xml:space="preserve">     </w:t>
      </w:r>
    </w:p>
    <w:p w14:paraId="3E69B6D3" w14:textId="77777777" w:rsidR="00700B1F" w:rsidRPr="001F37A9" w:rsidRDefault="00700B1F" w:rsidP="007218FD">
      <w:pPr>
        <w:spacing w:after="160" w:line="240" w:lineRule="auto"/>
        <w:jc w:val="both"/>
        <w:rPr>
          <w:rFonts w:eastAsiaTheme="minorHAnsi" w:cs="Times New Roman"/>
          <w:kern w:val="2"/>
          <w:szCs w:val="24"/>
          <w14:ligatures w14:val="standardContextual"/>
        </w:rPr>
      </w:pPr>
      <w:r w:rsidRPr="001F37A9">
        <w:rPr>
          <w:rFonts w:eastAsiaTheme="minorHAnsi" w:cs="Times New Roman"/>
          <w:kern w:val="2"/>
          <w:szCs w:val="24"/>
          <w14:ligatures w14:val="standardContextual"/>
        </w:rPr>
        <w:t>DA</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0</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1</w:t>
      </w:r>
      <w:r w:rsidRPr="001F37A9">
        <w:rPr>
          <w:rFonts w:eastAsiaTheme="minorHAnsi" w:cs="Times New Roman"/>
          <w:kern w:val="2"/>
          <w:szCs w:val="24"/>
          <w14:ligatures w14:val="standardContextual"/>
        </w:rPr>
        <w:t>ACIndep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2</w:t>
      </w:r>
      <w:r w:rsidRPr="001F37A9">
        <w:rPr>
          <w:rFonts w:eastAsiaTheme="minorHAnsi" w:cs="Times New Roman"/>
          <w:kern w:val="2"/>
          <w:szCs w:val="24"/>
          <w14:ligatures w14:val="standardContextual"/>
        </w:rPr>
        <w:t>ACDil</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3</w:t>
      </w:r>
      <w:r w:rsidRPr="001F37A9">
        <w:rPr>
          <w:rFonts w:eastAsiaTheme="minorHAnsi" w:cs="Times New Roman"/>
          <w:kern w:val="2"/>
          <w:szCs w:val="24"/>
          <w14:ligatures w14:val="standardContextual"/>
        </w:rPr>
        <w:t>ACSize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4</w:t>
      </w:r>
      <w:r w:rsidRPr="001F37A9">
        <w:rPr>
          <w:rFonts w:eastAsiaTheme="minorHAnsi" w:cs="Times New Roman"/>
          <w:kern w:val="2"/>
          <w:szCs w:val="24"/>
          <w14:ligatures w14:val="standardContextual"/>
        </w:rPr>
        <w:t>ACExp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5</w:t>
      </w:r>
      <w:r w:rsidRPr="001F37A9">
        <w:rPr>
          <w:rFonts w:eastAsiaTheme="minorHAnsi" w:cs="Times New Roman"/>
          <w:kern w:val="2"/>
          <w:szCs w:val="24"/>
          <w14:ligatures w14:val="standardContextual"/>
        </w:rPr>
        <w:t>ACDiv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6</w:t>
      </w:r>
      <w:r w:rsidRPr="001F37A9">
        <w:rPr>
          <w:rFonts w:eastAsiaTheme="minorHAnsi" w:cs="Times New Roman"/>
          <w:kern w:val="2"/>
          <w:szCs w:val="24"/>
          <w14:ligatures w14:val="standardContextual"/>
        </w:rPr>
        <w:t>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7</w:t>
      </w:r>
      <w:r w:rsidRPr="001F37A9">
        <w:rPr>
          <w:rFonts w:eastAsiaTheme="minorHAnsi" w:cs="Times New Roman"/>
          <w:kern w:val="2"/>
          <w:szCs w:val="24"/>
          <w14:ligatures w14:val="standardContextual"/>
        </w:rPr>
        <w:t>Lev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+ε</w:t>
      </w:r>
      <w:r w:rsidRPr="001F37A9">
        <w:rPr>
          <w:rFonts w:eastAsiaTheme="minorHAnsi" w:cs="Times New Roman"/>
          <w:kern w:val="2"/>
          <w:szCs w:val="24"/>
          <w:vertAlign w:val="subscript"/>
          <w14:ligatures w14:val="standardContextual"/>
        </w:rPr>
        <w:t>it</w:t>
      </w:r>
      <w:r w:rsidR="001F37A9" w:rsidRPr="001F37A9">
        <w:rPr>
          <w:rFonts w:eastAsiaTheme="minorHAnsi" w:cs="Times New Roman"/>
          <w:kern w:val="2"/>
          <w:szCs w:val="24"/>
          <w14:ligatures w14:val="standardContextual"/>
        </w:rPr>
        <w:tab/>
      </w:r>
      <w:r w:rsidR="001F37A9" w:rsidRPr="001F37A9">
        <w:rPr>
          <w:rFonts w:eastAsiaTheme="minorHAnsi" w:cs="Times New Roman"/>
          <w:kern w:val="2"/>
          <w:szCs w:val="24"/>
          <w14:ligatures w14:val="standardContextual"/>
        </w:rPr>
        <w:tab/>
      </w:r>
      <w:r w:rsidR="00DE3F00">
        <w:rPr>
          <w:rFonts w:eastAsiaTheme="minorHAnsi" w:cs="Times New Roman"/>
          <w:kern w:val="2"/>
          <w:szCs w:val="24"/>
          <w14:ligatures w14:val="standardContextual"/>
        </w:rPr>
        <w:t>[</w:t>
      </w:r>
      <w:r w:rsidRPr="001F37A9">
        <w:rPr>
          <w:rFonts w:eastAsiaTheme="minorHAnsi" w:cs="Times New Roman"/>
          <w:kern w:val="2"/>
          <w:szCs w:val="24"/>
          <w14:ligatures w14:val="standardContextual"/>
        </w:rPr>
        <w:t>3.2</w:t>
      </w:r>
      <w:r w:rsidR="00DE3F00">
        <w:rPr>
          <w:rFonts w:eastAsiaTheme="minorHAnsi" w:cs="Times New Roman"/>
          <w:kern w:val="2"/>
          <w:szCs w:val="24"/>
          <w14:ligatures w14:val="standardContextual"/>
        </w:rPr>
        <w:t>]</w:t>
      </w:r>
    </w:p>
    <w:p w14:paraId="78978D32" w14:textId="77777777" w:rsidR="00700B1F" w:rsidRPr="001F37A9" w:rsidRDefault="00700B1F" w:rsidP="007218FD">
      <w:pPr>
        <w:spacing w:after="160" w:line="240" w:lineRule="auto"/>
        <w:jc w:val="both"/>
        <w:rPr>
          <w:rFonts w:eastAsiaTheme="minorHAnsi" w:cs="Times New Roman"/>
          <w:kern w:val="2"/>
          <w:szCs w:val="24"/>
          <w14:ligatures w14:val="standardContextual"/>
        </w:rPr>
      </w:pPr>
      <w:r w:rsidRPr="001F37A9">
        <w:rPr>
          <w:rFonts w:eastAsiaTheme="minorHAnsi" w:cs="Times New Roman"/>
          <w:kern w:val="2"/>
          <w:szCs w:val="24"/>
          <w14:ligatures w14:val="standardContextual"/>
        </w:rPr>
        <w:t>ES</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0</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1</w:t>
      </w:r>
      <w:r w:rsidRPr="001F37A9">
        <w:rPr>
          <w:rFonts w:eastAsiaTheme="minorHAnsi" w:cs="Times New Roman"/>
          <w:kern w:val="2"/>
          <w:szCs w:val="24"/>
          <w14:ligatures w14:val="standardContextual"/>
        </w:rPr>
        <w:t>ACIndep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2</w:t>
      </w:r>
      <w:r w:rsidRPr="001F37A9">
        <w:rPr>
          <w:rFonts w:eastAsiaTheme="minorHAnsi" w:cs="Times New Roman"/>
          <w:kern w:val="2"/>
          <w:szCs w:val="24"/>
          <w14:ligatures w14:val="standardContextual"/>
        </w:rPr>
        <w:t>ACDil</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3</w:t>
      </w:r>
      <w:r w:rsidRPr="001F37A9">
        <w:rPr>
          <w:rFonts w:eastAsiaTheme="minorHAnsi" w:cs="Times New Roman"/>
          <w:kern w:val="2"/>
          <w:szCs w:val="24"/>
          <w14:ligatures w14:val="standardContextual"/>
        </w:rPr>
        <w:t>ACSize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4</w:t>
      </w:r>
      <w:r w:rsidRPr="001F37A9">
        <w:rPr>
          <w:rFonts w:eastAsiaTheme="minorHAnsi" w:cs="Times New Roman"/>
          <w:kern w:val="2"/>
          <w:szCs w:val="24"/>
          <w14:ligatures w14:val="standardContextual"/>
        </w:rPr>
        <w:t>ACExp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5</w:t>
      </w:r>
      <w:r w:rsidRPr="001F37A9">
        <w:rPr>
          <w:rFonts w:eastAsiaTheme="minorHAnsi" w:cs="Times New Roman"/>
          <w:kern w:val="2"/>
          <w:szCs w:val="24"/>
          <w14:ligatures w14:val="standardContextual"/>
        </w:rPr>
        <w:t>ACDiv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6</w:t>
      </w:r>
      <w:r w:rsidRPr="001F37A9">
        <w:rPr>
          <w:rFonts w:eastAsiaTheme="minorHAnsi" w:cs="Times New Roman"/>
          <w:kern w:val="2"/>
          <w:szCs w:val="24"/>
          <w14:ligatures w14:val="standardContextual"/>
        </w:rPr>
        <w:t>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7</w:t>
      </w:r>
      <w:r w:rsidRPr="001F37A9">
        <w:rPr>
          <w:rFonts w:eastAsiaTheme="minorHAnsi" w:cs="Times New Roman"/>
          <w:kern w:val="2"/>
          <w:szCs w:val="24"/>
          <w14:ligatures w14:val="standardContextual"/>
        </w:rPr>
        <w:t>Lev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+ε</w:t>
      </w:r>
      <w:r w:rsidRPr="001F37A9">
        <w:rPr>
          <w:rFonts w:eastAsiaTheme="minorHAnsi" w:cs="Times New Roman"/>
          <w:kern w:val="2"/>
          <w:szCs w:val="24"/>
          <w:vertAlign w:val="subscript"/>
          <w14:ligatures w14:val="standardContextual"/>
        </w:rPr>
        <w:t>it</w:t>
      </w:r>
      <w:r w:rsidR="001F37A9" w:rsidRPr="001F37A9">
        <w:rPr>
          <w:rFonts w:eastAsiaTheme="minorHAnsi" w:cs="Times New Roman"/>
          <w:kern w:val="2"/>
          <w:szCs w:val="24"/>
          <w14:ligatures w14:val="standardContextual"/>
        </w:rPr>
        <w:tab/>
      </w:r>
      <w:r w:rsidR="001F37A9" w:rsidRPr="001F37A9">
        <w:rPr>
          <w:rFonts w:eastAsiaTheme="minorHAnsi" w:cs="Times New Roman"/>
          <w:kern w:val="2"/>
          <w:szCs w:val="24"/>
          <w14:ligatures w14:val="standardContextual"/>
        </w:rPr>
        <w:tab/>
      </w:r>
      <w:r w:rsidR="00DE3F00">
        <w:rPr>
          <w:rFonts w:eastAsiaTheme="minorHAnsi" w:cs="Times New Roman"/>
          <w:kern w:val="2"/>
          <w:szCs w:val="24"/>
          <w14:ligatures w14:val="standardContextual"/>
        </w:rPr>
        <w:t>[</w:t>
      </w:r>
      <w:r w:rsidRPr="001F37A9">
        <w:rPr>
          <w:rFonts w:eastAsiaTheme="minorHAnsi" w:cs="Times New Roman"/>
          <w:kern w:val="2"/>
          <w:szCs w:val="24"/>
          <w14:ligatures w14:val="standardContextual"/>
        </w:rPr>
        <w:t>3.3</w:t>
      </w:r>
      <w:r w:rsidR="00DE3F00">
        <w:rPr>
          <w:rFonts w:eastAsiaTheme="minorHAnsi" w:cs="Times New Roman"/>
          <w:kern w:val="2"/>
          <w:szCs w:val="24"/>
          <w14:ligatures w14:val="standardContextual"/>
        </w:rPr>
        <w:t>]</w:t>
      </w:r>
    </w:p>
    <w:p w14:paraId="6910C17B" w14:textId="77777777" w:rsidR="00700B1F" w:rsidRPr="001F37A9" w:rsidRDefault="00700B1F" w:rsidP="00BC2131">
      <w:pPr>
        <w:spacing w:after="0" w:line="240" w:lineRule="auto"/>
        <w:jc w:val="both"/>
        <w:rPr>
          <w:rFonts w:eastAsia="Calibri" w:cs="Times New Roman"/>
          <w:i/>
          <w:kern w:val="2"/>
          <w:szCs w:val="24"/>
          <w14:ligatures w14:val="standardContextual"/>
        </w:rPr>
      </w:pPr>
      <w:r w:rsidRPr="001F37A9">
        <w:rPr>
          <w:rFonts w:eastAsia="Calibri" w:cs="Times New Roman"/>
          <w:i/>
          <w:kern w:val="2"/>
          <w:szCs w:val="24"/>
          <w14:ligatures w14:val="standardContextual"/>
        </w:rPr>
        <w:t>Where:</w:t>
      </w:r>
    </w:p>
    <w:p w14:paraId="42DB7183"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EM = Earnings management</w:t>
      </w:r>
    </w:p>
    <w:p w14:paraId="779E82A8"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DA = Discretionary accrual</w:t>
      </w:r>
    </w:p>
    <w:p w14:paraId="17075F98" w14:textId="77777777" w:rsidR="00700B1F" w:rsidRPr="001F37A9" w:rsidRDefault="00700B1F" w:rsidP="001F37A9">
      <w:pPr>
        <w:spacing w:after="0" w:line="240" w:lineRule="auto"/>
        <w:jc w:val="both"/>
        <w:rPr>
          <w:rFonts w:eastAsia="Calibri" w:cs="Times New Roman"/>
          <w:kern w:val="2"/>
          <w:szCs w:val="24"/>
          <w14:ligatures w14:val="standardContextual"/>
        </w:rPr>
      </w:pPr>
      <w:r>
        <w:rPr>
          <w:highlight w:val="yellow"/>
        </w:rPr>
        <w:t>ES = Earnings smoothness</w:t>
      </w:r>
    </w:p>
    <w:p w14:paraId="10EB07BD"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ACIndep = Audit committee independence</w:t>
      </w:r>
    </w:p>
    <w:p w14:paraId="23949602"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ACDil = Audit committee diligence</w:t>
      </w:r>
    </w:p>
    <w:p w14:paraId="164B94FC"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ACSize = Audit committee total number of members</w:t>
      </w:r>
    </w:p>
    <w:p w14:paraId="6C9F3B3F" w14:textId="77777777" w:rsidR="00700B1F" w:rsidRPr="001F37A9" w:rsidRDefault="00700B1F" w:rsidP="001F37A9">
      <w:pPr>
        <w:spacing w:after="0" w:line="240" w:lineRule="auto"/>
        <w:jc w:val="both"/>
        <w:rPr>
          <w:rFonts w:eastAsia="Calibri" w:cs="Times New Roman"/>
          <w:kern w:val="2"/>
          <w:szCs w:val="24"/>
          <w14:ligatures w14:val="standardContextual"/>
        </w:rPr>
      </w:pPr>
      <w:r>
        <w:rPr>
          <w:highlight w:val="yellow"/>
        </w:rPr>
        <w:t xml:space="preserve">ACExp = Audit committee members' financial expertise </w:t>
      </w:r>
    </w:p>
    <w:p w14:paraId="33B0C677"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 xml:space="preserve">ACDiv = Audit committee gender diversity </w:t>
      </w:r>
    </w:p>
    <w:p w14:paraId="1FBA9055"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Size = Firm Size</w:t>
      </w:r>
    </w:p>
    <w:p w14:paraId="533FE332"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Lev = Leverage</w:t>
      </w:r>
    </w:p>
    <w:p w14:paraId="54FBD898"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i = indexes the firm</w:t>
      </w:r>
    </w:p>
    <w:p w14:paraId="5CB11A7B"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t = indexes the year</w:t>
      </w:r>
    </w:p>
    <w:p w14:paraId="1151C3AB" w14:textId="77777777" w:rsidR="00700B1F" w:rsidRPr="001F37A9" w:rsidRDefault="00700B1F" w:rsidP="001F37A9">
      <w:pPr>
        <w:spacing w:after="0" w:line="240" w:lineRule="auto"/>
        <w:jc w:val="both"/>
        <w:rPr>
          <w:rStyle w:val="Strong"/>
          <w:rFonts w:eastAsia="Calibri" w:cs="Times New Roman"/>
          <w:b w:val="0"/>
          <w:bCs w:val="0"/>
          <w:kern w:val="2"/>
          <w:szCs w:val="24"/>
          <w14:ligatures w14:val="standardContextual"/>
        </w:rPr>
      </w:pPr>
      <w:r w:rsidRPr="001F37A9">
        <w:rPr>
          <w:rFonts w:eastAsia="Calibri" w:cs="Times New Roman"/>
          <w:spacing w:val="8"/>
          <w:kern w:val="2"/>
          <w:szCs w:val="24"/>
          <w:bdr w:val="none" w:sz="0" w:space="0" w:color="auto" w:frame="1"/>
          <w:shd w:val="clear" w:color="auto" w:fill="FFFFFF"/>
          <w14:ligatures w14:val="standardContextual"/>
        </w:rPr>
        <w:t>ε</w:t>
      </w:r>
      <w:r w:rsidRPr="001F37A9">
        <w:rPr>
          <w:rFonts w:eastAsia="Calibri" w:cs="Times New Roman"/>
          <w:kern w:val="2"/>
          <w:szCs w:val="24"/>
          <w14:ligatures w14:val="standardContextual"/>
        </w:rPr>
        <w:t xml:space="preserve"> = error term</w:t>
      </w:r>
    </w:p>
    <w:p w14:paraId="08CC2894" w14:textId="77777777" w:rsidR="00700B1F" w:rsidRPr="001F37A9" w:rsidRDefault="00700B1F" w:rsidP="00BC2131">
      <w:pPr>
        <w:shd w:val="clear" w:color="auto" w:fill="FFFFFF"/>
        <w:spacing w:before="100" w:beforeAutospacing="1" w:after="270" w:line="240" w:lineRule="auto"/>
        <w:ind w:firstLine="720"/>
        <w:jc w:val="both"/>
        <w:rPr>
          <w:rFonts w:cs="Times New Roman"/>
          <w:szCs w:val="24"/>
        </w:rPr>
      </w:pPr>
      <w:r>
        <w:rPr>
          <w:highlight w:val="yellow"/>
        </w:rPr>
        <w:t>A priori expectation: β1, β2, β4, β5 &lt; 0, β7 &gt; 0, while β3 and β6 are ambiguous. The negative coefficients for independence, diligence, expertise, and gender diversity indicate that these qualitative monitoring attributes are expected to serve as deterrents to opportunistic financial reporting by constraining discretionary accruals. The expected sign for β7 is theoretically positive under the debt covenant hypothesis; however, in distress-prone emerging market contexts, a negative sign is also plausible if high leverage signals financial distress that attracts creditor scrutiny, thereby constraining managerial discretion. The signs of β3 (Audit Committee Size) and β6 (Firm Size) remain ambiguous, as larger committees and larger firms may either enhance or dilute monitoring effectiveness depending on the prevailing institutional conditions in Nigeria.</w:t>
      </w:r>
    </w:p>
    <w:p w14:paraId="1B3D64C0" w14:textId="77777777" w:rsidR="003F2784" w:rsidRPr="001F37A9" w:rsidRDefault="003F2784" w:rsidP="007218FD">
      <w:pPr>
        <w:spacing w:after="0" w:line="240" w:lineRule="auto"/>
        <w:jc w:val="both"/>
        <w:rPr>
          <w:rFonts w:eastAsia="Times New Roman" w:cs="Times New Roman"/>
          <w:b/>
          <w:bCs/>
          <w:color w:val="2B2D31"/>
          <w:szCs w:val="24"/>
          <w:shd w:val="clear" w:color="auto" w:fill="FFFFFF"/>
        </w:rPr>
      </w:pPr>
      <w:r w:rsidRPr="001F37A9">
        <w:rPr>
          <w:rFonts w:eastAsia="Times New Roman" w:cs="Times New Roman"/>
          <w:b/>
          <w:bCs/>
          <w:color w:val="2B2D31"/>
          <w:szCs w:val="24"/>
          <w:shd w:val="clear" w:color="auto" w:fill="FFFFFF"/>
        </w:rPr>
        <w:lastRenderedPageBreak/>
        <w:t>3.2 Measurement of Variables</w:t>
      </w:r>
    </w:p>
    <w:p w14:paraId="1D4EC8F5" w14:textId="10C47F3C" w:rsidR="00CD7588" w:rsidRDefault="00041AAB" w:rsidP="009704AE">
      <w:pPr>
        <w:spacing w:after="0" w:line="240" w:lineRule="auto"/>
        <w:ind w:firstLine="720"/>
        <w:jc w:val="both"/>
        <w:rPr>
          <w:rFonts w:eastAsia="Times New Roman" w:cs="Times New Roman"/>
          <w:color w:val="2B2D31"/>
          <w:szCs w:val="24"/>
          <w:shd w:val="clear" w:color="auto" w:fill="FFFFFF"/>
        </w:rPr>
      </w:pPr>
      <w:r>
        <w:rPr>
          <w:color w:val="2B2D31"/>
          <w:highlight w:val="yellow"/>
        </w:rPr>
        <w:t>All variables used in this study were derived from secondary data sources, specifically the audited annual reports of the sampled non-financial firms. The dependent variable, Earnings Management (EM), is operationalised through two complementary proxies: Discretionary Accruals (DA), estimated via the residuals of the Modified Jones model (Dechow et al., 1995), which captures short-horizon accrual-based manipulation; and Earnings Smoothness (ES), measured as the ratio of the standard deviation of operating income to the standard deviation of cash flows, which captures long-horizon income smoothing behaviour. A composite EM index is further constructed by standardising and averaging both proxies to capture the aggregate dimension of managerial opportunism. This multi-proxy approach addresses the methodological limitation of single-proxy studies that may fail to capture the full spectrum of earnings management behaviour (Roychowdhury, 20</w:t>
      </w:r>
      <w:r w:rsidR="00015BC9">
        <w:rPr>
          <w:color w:val="2B2D31"/>
          <w:highlight w:val="yellow"/>
        </w:rPr>
        <w:t>06</w:t>
      </w:r>
      <w:r>
        <w:rPr>
          <w:color w:val="2B2D31"/>
          <w:highlight w:val="yellow"/>
        </w:rPr>
        <w:t>). Specifically, the composite EM index is constructed by first standardising both DA and ES to z-scores (mean = 0, standard deviation = 1), thereby placing both proxies on a common scale irrespective of their original units. The two standardised scores are then averaged to yield the composite index. This approach ensures equal weighting of short-horizon accrual manipulation and long-horizon income smoothing, providing a more complete representation of aggregate managerial opportunism than either proxy alone.</w:t>
      </w:r>
    </w:p>
    <w:p w14:paraId="7280231C" w14:textId="77777777" w:rsidR="004D21E5" w:rsidRPr="001F37A9" w:rsidRDefault="004D21E5" w:rsidP="007218FD">
      <w:pPr>
        <w:spacing w:after="0" w:line="240" w:lineRule="auto"/>
        <w:ind w:firstLine="720"/>
        <w:jc w:val="both"/>
        <w:rPr>
          <w:rFonts w:eastAsia="Times New Roman" w:cs="Times New Roman"/>
          <w:color w:val="2B2D31"/>
          <w:szCs w:val="24"/>
          <w:shd w:val="clear" w:color="auto" w:fill="FFFFFF"/>
        </w:rPr>
      </w:pPr>
    </w:p>
    <w:p w14:paraId="38CFEDA5" w14:textId="77777777" w:rsidR="003F2784" w:rsidRPr="001F37A9" w:rsidRDefault="003F2784" w:rsidP="007218FD">
      <w:pPr>
        <w:spacing w:after="0" w:line="240" w:lineRule="auto"/>
        <w:jc w:val="both"/>
        <w:rPr>
          <w:rFonts w:eastAsia="Times New Roman" w:cs="Times New Roman"/>
          <w:color w:val="2B2D31"/>
          <w:szCs w:val="24"/>
          <w:shd w:val="clear" w:color="auto" w:fill="FFFFFF"/>
        </w:rPr>
      </w:pPr>
    </w:p>
    <w:p w14:paraId="1BDCB22E" w14:textId="77777777" w:rsidR="003F2784" w:rsidRPr="001F37A9" w:rsidRDefault="003F2784" w:rsidP="007218FD">
      <w:pPr>
        <w:spacing w:after="0" w:line="240" w:lineRule="auto"/>
        <w:jc w:val="both"/>
        <w:rPr>
          <w:rFonts w:eastAsia="Times New Roman" w:cs="Times New Roman"/>
          <w:i/>
          <w:color w:val="2B2D31"/>
          <w:szCs w:val="24"/>
          <w:shd w:val="clear" w:color="auto" w:fill="FFFFFF"/>
        </w:rPr>
      </w:pPr>
      <w:r w:rsidRPr="001F37A9">
        <w:rPr>
          <w:rFonts w:eastAsia="Times New Roman" w:cs="Times New Roman"/>
          <w:color w:val="2B2D31"/>
          <w:szCs w:val="24"/>
          <w:shd w:val="clear" w:color="auto" w:fill="FFFFFF"/>
        </w:rPr>
        <w:t>Table</w:t>
      </w:r>
      <w:r w:rsidR="001F37A9" w:rsidRPr="001F37A9">
        <w:rPr>
          <w:rFonts w:eastAsia="Times New Roman" w:cs="Times New Roman"/>
          <w:color w:val="2B2D31"/>
          <w:szCs w:val="24"/>
          <w:shd w:val="clear" w:color="auto" w:fill="FFFFFF"/>
        </w:rPr>
        <w:t xml:space="preserve"> </w:t>
      </w:r>
      <w:r w:rsidRPr="001F37A9">
        <w:rPr>
          <w:rFonts w:eastAsia="Times New Roman" w:cs="Times New Roman"/>
          <w:color w:val="2B2D31"/>
          <w:szCs w:val="24"/>
          <w:shd w:val="clear" w:color="auto" w:fill="FFFFFF"/>
        </w:rPr>
        <w:t>1</w:t>
      </w:r>
      <w:r w:rsidR="001F37A9" w:rsidRPr="001F37A9">
        <w:rPr>
          <w:rFonts w:eastAsia="Times New Roman" w:cs="Times New Roman"/>
          <w:color w:val="2B2D31"/>
          <w:szCs w:val="24"/>
          <w:shd w:val="clear" w:color="auto" w:fill="FFFFFF"/>
        </w:rPr>
        <w:t>:</w:t>
      </w:r>
      <w:r w:rsidRPr="001F37A9">
        <w:rPr>
          <w:rFonts w:eastAsia="Times New Roman" w:cs="Times New Roman"/>
          <w:color w:val="2B2D31"/>
          <w:szCs w:val="24"/>
          <w:shd w:val="clear" w:color="auto" w:fill="FFFFFF"/>
        </w:rPr>
        <w:t xml:space="preserve">  </w:t>
      </w:r>
      <w:r w:rsidRPr="001F37A9">
        <w:rPr>
          <w:rFonts w:eastAsia="Times New Roman" w:cs="Times New Roman"/>
          <w:color w:val="2B2D31"/>
          <w:szCs w:val="24"/>
          <w:shd w:val="clear" w:color="auto" w:fill="FFFFFF"/>
        </w:rPr>
        <w:br/>
      </w:r>
      <w:r w:rsidRPr="001F37A9">
        <w:rPr>
          <w:rFonts w:eastAsia="Times New Roman" w:cs="Times New Roman"/>
          <w:bCs/>
          <w:i/>
          <w:color w:val="2B2D31"/>
          <w:szCs w:val="24"/>
          <w:shd w:val="clear" w:color="auto" w:fill="FFFFFF"/>
        </w:rPr>
        <w:t>Description and Measurement of Variables</w:t>
      </w:r>
    </w:p>
    <w:tbl>
      <w:tblPr>
        <w:tblW w:w="10613"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2094"/>
        <w:gridCol w:w="1577"/>
        <w:gridCol w:w="5023"/>
        <w:gridCol w:w="1874"/>
        <w:gridCol w:w="45"/>
      </w:tblGrid>
      <w:tr w:rsidR="003F2784" w:rsidRPr="001F37A9" w14:paraId="3A86E543" w14:textId="77777777" w:rsidTr="001F37A9">
        <w:trPr>
          <w:gridAfter w:val="1"/>
          <w:trHeight w:val="41"/>
          <w:tblCellSpacing w:w="15" w:type="dxa"/>
        </w:trPr>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7CAC3D03"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Variable</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76ADA608"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Role</w:t>
            </w:r>
          </w:p>
        </w:tc>
        <w:tc>
          <w:tcPr>
            <w:tcW w:w="4993" w:type="dxa"/>
            <w:tcBorders>
              <w:top w:val="single" w:sz="4" w:space="0" w:color="auto"/>
              <w:bottom w:val="single" w:sz="4" w:space="0" w:color="auto"/>
              <w:right w:val="nil"/>
            </w:tcBorders>
            <w:tcMar>
              <w:top w:w="90" w:type="dxa"/>
              <w:left w:w="180" w:type="dxa"/>
              <w:bottom w:w="90" w:type="dxa"/>
              <w:right w:w="180" w:type="dxa"/>
            </w:tcMar>
            <w:vAlign w:val="center"/>
            <w:hideMark/>
          </w:tcPr>
          <w:p w14:paraId="7EC76A2D"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Measurement / Operationalisation</w:t>
            </w:r>
          </w:p>
        </w:tc>
        <w:tc>
          <w:tcPr>
            <w:tcW w:w="1718" w:type="dxa"/>
            <w:tcBorders>
              <w:top w:val="single" w:sz="4" w:space="0" w:color="auto"/>
              <w:bottom w:val="single" w:sz="4" w:space="0" w:color="auto"/>
              <w:right w:val="nil"/>
            </w:tcBorders>
            <w:tcMar>
              <w:top w:w="90" w:type="dxa"/>
              <w:left w:w="180" w:type="dxa"/>
              <w:bottom w:w="90" w:type="dxa"/>
              <w:right w:w="180" w:type="dxa"/>
            </w:tcMar>
            <w:vAlign w:val="center"/>
            <w:hideMark/>
          </w:tcPr>
          <w:p w14:paraId="4341487E"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Data Source</w:t>
            </w:r>
          </w:p>
        </w:tc>
      </w:tr>
      <w:tr w:rsidR="003F2784" w:rsidRPr="001F37A9" w14:paraId="65E3B94B" w14:textId="77777777" w:rsidTr="001F37A9">
        <w:trPr>
          <w:trHeight w:val="642"/>
          <w:tblCellSpacing w:w="15" w:type="dxa"/>
        </w:trPr>
        <w:tc>
          <w:tcPr>
            <w:tcW w:w="0" w:type="auto"/>
            <w:tcBorders>
              <w:right w:val="nil"/>
            </w:tcBorders>
            <w:tcMar>
              <w:top w:w="90" w:type="dxa"/>
              <w:left w:w="180" w:type="dxa"/>
              <w:bottom w:w="90" w:type="dxa"/>
              <w:right w:w="180" w:type="dxa"/>
            </w:tcMar>
            <w:vAlign w:val="center"/>
            <w:hideMark/>
          </w:tcPr>
          <w:p w14:paraId="64160CDC"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Earnings Management (EM)</w:t>
            </w:r>
          </w:p>
        </w:tc>
        <w:tc>
          <w:tcPr>
            <w:tcW w:w="0" w:type="auto"/>
            <w:tcBorders>
              <w:right w:val="nil"/>
            </w:tcBorders>
            <w:tcMar>
              <w:top w:w="90" w:type="dxa"/>
              <w:left w:w="180" w:type="dxa"/>
              <w:bottom w:w="90" w:type="dxa"/>
              <w:right w:w="180" w:type="dxa"/>
            </w:tcMar>
            <w:vAlign w:val="center"/>
            <w:hideMark/>
          </w:tcPr>
          <w:p w14:paraId="3CF845BD"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Dependent</w:t>
            </w:r>
          </w:p>
        </w:tc>
        <w:tc>
          <w:tcPr>
            <w:tcW w:w="4993" w:type="dxa"/>
            <w:tcBorders>
              <w:right w:val="nil"/>
            </w:tcBorders>
            <w:tcMar>
              <w:top w:w="90" w:type="dxa"/>
              <w:left w:w="180" w:type="dxa"/>
              <w:bottom w:w="90" w:type="dxa"/>
              <w:right w:w="180" w:type="dxa"/>
            </w:tcMar>
            <w:vAlign w:val="center"/>
            <w:hideMark/>
          </w:tcPr>
          <w:p w14:paraId="1B983A21"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Composite of discretionary accruals (Modified Jones Model residuals) and earnings smoothness (ratio of SD of operating income to SD of cash flows)</w:t>
            </w:r>
          </w:p>
        </w:tc>
        <w:tc>
          <w:tcPr>
            <w:tcW w:w="0" w:type="auto"/>
            <w:gridSpan w:val="2"/>
            <w:tcBorders>
              <w:right w:val="nil"/>
            </w:tcBorders>
            <w:tcMar>
              <w:top w:w="90" w:type="dxa"/>
              <w:left w:w="180" w:type="dxa"/>
              <w:bottom w:w="90" w:type="dxa"/>
              <w:right w:w="180" w:type="dxa"/>
            </w:tcMar>
            <w:vAlign w:val="center"/>
            <w:hideMark/>
          </w:tcPr>
          <w:p w14:paraId="39FACEFE"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03332727" w14:textId="77777777" w:rsidTr="001F37A9">
        <w:trPr>
          <w:trHeight w:val="309"/>
          <w:tblCellSpacing w:w="15" w:type="dxa"/>
        </w:trPr>
        <w:tc>
          <w:tcPr>
            <w:tcW w:w="0" w:type="auto"/>
            <w:tcBorders>
              <w:right w:val="nil"/>
            </w:tcBorders>
            <w:tcMar>
              <w:top w:w="90" w:type="dxa"/>
              <w:left w:w="180" w:type="dxa"/>
              <w:bottom w:w="90" w:type="dxa"/>
              <w:right w:w="180" w:type="dxa"/>
            </w:tcMar>
            <w:vAlign w:val="center"/>
            <w:hideMark/>
          </w:tcPr>
          <w:p w14:paraId="6C4855F9"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Independence (ACIndep)</w:t>
            </w:r>
          </w:p>
        </w:tc>
        <w:tc>
          <w:tcPr>
            <w:tcW w:w="0" w:type="auto"/>
            <w:tcBorders>
              <w:right w:val="nil"/>
            </w:tcBorders>
            <w:tcMar>
              <w:top w:w="90" w:type="dxa"/>
              <w:left w:w="180" w:type="dxa"/>
              <w:bottom w:w="90" w:type="dxa"/>
              <w:right w:w="180" w:type="dxa"/>
            </w:tcMar>
            <w:vAlign w:val="center"/>
            <w:hideMark/>
          </w:tcPr>
          <w:p w14:paraId="2E172898"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497D21DD" w14:textId="7777777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Ratio of independent non-executive directors to total AC members</w:t>
            </w:r>
          </w:p>
        </w:tc>
        <w:tc>
          <w:tcPr>
            <w:tcW w:w="0" w:type="auto"/>
            <w:gridSpan w:val="2"/>
            <w:tcBorders>
              <w:right w:val="nil"/>
            </w:tcBorders>
            <w:tcMar>
              <w:top w:w="90" w:type="dxa"/>
              <w:left w:w="180" w:type="dxa"/>
              <w:bottom w:w="90" w:type="dxa"/>
              <w:right w:w="180" w:type="dxa"/>
            </w:tcMar>
            <w:vAlign w:val="center"/>
            <w:hideMark/>
          </w:tcPr>
          <w:p w14:paraId="60890289"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07F05075" w14:textId="77777777" w:rsidTr="001F37A9">
        <w:trPr>
          <w:trHeight w:val="327"/>
          <w:tblCellSpacing w:w="15" w:type="dxa"/>
        </w:trPr>
        <w:tc>
          <w:tcPr>
            <w:tcW w:w="0" w:type="auto"/>
            <w:tcBorders>
              <w:right w:val="nil"/>
            </w:tcBorders>
            <w:tcMar>
              <w:top w:w="90" w:type="dxa"/>
              <w:left w:w="180" w:type="dxa"/>
              <w:bottom w:w="90" w:type="dxa"/>
              <w:right w:w="180" w:type="dxa"/>
            </w:tcMar>
            <w:vAlign w:val="center"/>
            <w:hideMark/>
          </w:tcPr>
          <w:p w14:paraId="5C71AD6D"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Financial Expertise (ACExp)</w:t>
            </w:r>
          </w:p>
        </w:tc>
        <w:tc>
          <w:tcPr>
            <w:tcW w:w="0" w:type="auto"/>
            <w:tcBorders>
              <w:right w:val="nil"/>
            </w:tcBorders>
            <w:tcMar>
              <w:top w:w="90" w:type="dxa"/>
              <w:left w:w="180" w:type="dxa"/>
              <w:bottom w:w="90" w:type="dxa"/>
              <w:right w:w="180" w:type="dxa"/>
            </w:tcMar>
            <w:vAlign w:val="center"/>
            <w:hideMark/>
          </w:tcPr>
          <w:p w14:paraId="10171987"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613AFBE0" w14:textId="7777777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Binary: 1 if majority of AC members hold financial qualifications; 0 otherwise</w:t>
            </w:r>
          </w:p>
        </w:tc>
        <w:tc>
          <w:tcPr>
            <w:tcW w:w="0" w:type="auto"/>
            <w:gridSpan w:val="2"/>
            <w:tcBorders>
              <w:right w:val="nil"/>
            </w:tcBorders>
            <w:tcMar>
              <w:top w:w="90" w:type="dxa"/>
              <w:left w:w="180" w:type="dxa"/>
              <w:bottom w:w="90" w:type="dxa"/>
              <w:right w:w="180" w:type="dxa"/>
            </w:tcMar>
            <w:vAlign w:val="center"/>
            <w:hideMark/>
          </w:tcPr>
          <w:p w14:paraId="2EDDA42E"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311E9C29" w14:textId="77777777" w:rsidTr="001F37A9">
        <w:trPr>
          <w:trHeight w:val="273"/>
          <w:tblCellSpacing w:w="15" w:type="dxa"/>
        </w:trPr>
        <w:tc>
          <w:tcPr>
            <w:tcW w:w="0" w:type="auto"/>
            <w:tcBorders>
              <w:right w:val="nil"/>
            </w:tcBorders>
            <w:tcMar>
              <w:top w:w="90" w:type="dxa"/>
              <w:left w:w="180" w:type="dxa"/>
              <w:bottom w:w="90" w:type="dxa"/>
              <w:right w:w="180" w:type="dxa"/>
            </w:tcMar>
            <w:vAlign w:val="center"/>
            <w:hideMark/>
          </w:tcPr>
          <w:p w14:paraId="294B4084"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Size (ACSize)</w:t>
            </w:r>
          </w:p>
        </w:tc>
        <w:tc>
          <w:tcPr>
            <w:tcW w:w="0" w:type="auto"/>
            <w:tcBorders>
              <w:right w:val="nil"/>
            </w:tcBorders>
            <w:tcMar>
              <w:top w:w="90" w:type="dxa"/>
              <w:left w:w="180" w:type="dxa"/>
              <w:bottom w:w="90" w:type="dxa"/>
              <w:right w:w="180" w:type="dxa"/>
            </w:tcMar>
            <w:vAlign w:val="center"/>
            <w:hideMark/>
          </w:tcPr>
          <w:p w14:paraId="46F6E1A4"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083B3AAE" w14:textId="77777777" w:rsidR="003F2784" w:rsidRPr="001F37A9" w:rsidRDefault="00485305"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Total number of members serving on the committee.</w:t>
            </w:r>
            <w:r w:rsidR="00C77BB2" w:rsidRPr="001F37A9">
              <w:rPr>
                <w:rFonts w:cs="Times New Roman"/>
                <w:szCs w:val="24"/>
              </w:rPr>
              <w:t xml:space="preserve"> </w:t>
            </w:r>
          </w:p>
        </w:tc>
        <w:tc>
          <w:tcPr>
            <w:tcW w:w="0" w:type="auto"/>
            <w:gridSpan w:val="2"/>
            <w:tcBorders>
              <w:right w:val="nil"/>
            </w:tcBorders>
            <w:tcMar>
              <w:top w:w="90" w:type="dxa"/>
              <w:left w:w="180" w:type="dxa"/>
              <w:bottom w:w="90" w:type="dxa"/>
              <w:right w:w="180" w:type="dxa"/>
            </w:tcMar>
            <w:vAlign w:val="center"/>
            <w:hideMark/>
          </w:tcPr>
          <w:p w14:paraId="6346E07A"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41AB417F" w14:textId="77777777" w:rsidTr="001F37A9">
        <w:trPr>
          <w:trHeight w:val="462"/>
          <w:tblCellSpacing w:w="15" w:type="dxa"/>
        </w:trPr>
        <w:tc>
          <w:tcPr>
            <w:tcW w:w="0" w:type="auto"/>
            <w:tcBorders>
              <w:right w:val="nil"/>
            </w:tcBorders>
            <w:tcMar>
              <w:top w:w="90" w:type="dxa"/>
              <w:left w:w="180" w:type="dxa"/>
              <w:bottom w:w="90" w:type="dxa"/>
              <w:right w:w="180" w:type="dxa"/>
            </w:tcMar>
            <w:vAlign w:val="center"/>
            <w:hideMark/>
          </w:tcPr>
          <w:p w14:paraId="7E59A3B0"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Diligence (ACDil)</w:t>
            </w:r>
          </w:p>
        </w:tc>
        <w:tc>
          <w:tcPr>
            <w:tcW w:w="0" w:type="auto"/>
            <w:tcBorders>
              <w:right w:val="nil"/>
            </w:tcBorders>
            <w:tcMar>
              <w:top w:w="90" w:type="dxa"/>
              <w:left w:w="180" w:type="dxa"/>
              <w:bottom w:w="90" w:type="dxa"/>
              <w:right w:w="180" w:type="dxa"/>
            </w:tcMar>
            <w:vAlign w:val="center"/>
            <w:hideMark/>
          </w:tcPr>
          <w:p w14:paraId="4FE98C20"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4DB184C3" w14:textId="7777777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Natural log of total number of AC meetings during the financial year</w:t>
            </w:r>
          </w:p>
        </w:tc>
        <w:tc>
          <w:tcPr>
            <w:tcW w:w="0" w:type="auto"/>
            <w:gridSpan w:val="2"/>
            <w:tcBorders>
              <w:right w:val="nil"/>
            </w:tcBorders>
            <w:tcMar>
              <w:top w:w="90" w:type="dxa"/>
              <w:left w:w="180" w:type="dxa"/>
              <w:bottom w:w="90" w:type="dxa"/>
              <w:right w:w="180" w:type="dxa"/>
            </w:tcMar>
            <w:vAlign w:val="center"/>
            <w:hideMark/>
          </w:tcPr>
          <w:p w14:paraId="2E3EFE37"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31A53DC9" w14:textId="77777777" w:rsidTr="001F37A9">
        <w:trPr>
          <w:trHeight w:val="372"/>
          <w:tblCellSpacing w:w="15" w:type="dxa"/>
        </w:trPr>
        <w:tc>
          <w:tcPr>
            <w:tcW w:w="0" w:type="auto"/>
            <w:tcBorders>
              <w:right w:val="nil"/>
            </w:tcBorders>
            <w:tcMar>
              <w:top w:w="90" w:type="dxa"/>
              <w:left w:w="180" w:type="dxa"/>
              <w:bottom w:w="90" w:type="dxa"/>
              <w:right w:w="180" w:type="dxa"/>
            </w:tcMar>
            <w:vAlign w:val="center"/>
            <w:hideMark/>
          </w:tcPr>
          <w:p w14:paraId="61FC83D8"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Diversity (ACDiv)</w:t>
            </w:r>
          </w:p>
        </w:tc>
        <w:tc>
          <w:tcPr>
            <w:tcW w:w="0" w:type="auto"/>
            <w:tcBorders>
              <w:right w:val="nil"/>
            </w:tcBorders>
            <w:tcMar>
              <w:top w:w="90" w:type="dxa"/>
              <w:left w:w="180" w:type="dxa"/>
              <w:bottom w:w="90" w:type="dxa"/>
              <w:right w:w="180" w:type="dxa"/>
            </w:tcMar>
            <w:vAlign w:val="center"/>
            <w:hideMark/>
          </w:tcPr>
          <w:p w14:paraId="2F5AE616"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4D39B40E" w14:textId="7777777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Ratio of female AC members to total AC members</w:t>
            </w:r>
          </w:p>
        </w:tc>
        <w:tc>
          <w:tcPr>
            <w:tcW w:w="0" w:type="auto"/>
            <w:gridSpan w:val="2"/>
            <w:tcBorders>
              <w:right w:val="nil"/>
            </w:tcBorders>
            <w:tcMar>
              <w:top w:w="90" w:type="dxa"/>
              <w:left w:w="180" w:type="dxa"/>
              <w:bottom w:w="90" w:type="dxa"/>
              <w:right w:w="180" w:type="dxa"/>
            </w:tcMar>
            <w:vAlign w:val="center"/>
            <w:hideMark/>
          </w:tcPr>
          <w:p w14:paraId="39BD63AA"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66D9AFA5" w14:textId="77777777" w:rsidTr="001F37A9">
        <w:trPr>
          <w:trHeight w:val="25"/>
          <w:tblCellSpacing w:w="15" w:type="dxa"/>
        </w:trPr>
        <w:tc>
          <w:tcPr>
            <w:tcW w:w="0" w:type="auto"/>
            <w:tcBorders>
              <w:right w:val="nil"/>
            </w:tcBorders>
            <w:tcMar>
              <w:top w:w="90" w:type="dxa"/>
              <w:left w:w="180" w:type="dxa"/>
              <w:bottom w:w="90" w:type="dxa"/>
              <w:right w:w="180" w:type="dxa"/>
            </w:tcMar>
            <w:vAlign w:val="center"/>
            <w:hideMark/>
          </w:tcPr>
          <w:p w14:paraId="2B40175F"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Firm Size (Size)</w:t>
            </w:r>
          </w:p>
        </w:tc>
        <w:tc>
          <w:tcPr>
            <w:tcW w:w="0" w:type="auto"/>
            <w:tcBorders>
              <w:right w:val="nil"/>
            </w:tcBorders>
            <w:tcMar>
              <w:top w:w="90" w:type="dxa"/>
              <w:left w:w="180" w:type="dxa"/>
              <w:bottom w:w="90" w:type="dxa"/>
              <w:right w:w="180" w:type="dxa"/>
            </w:tcMar>
            <w:vAlign w:val="center"/>
            <w:hideMark/>
          </w:tcPr>
          <w:p w14:paraId="54CD58B3"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Control</w:t>
            </w:r>
          </w:p>
        </w:tc>
        <w:tc>
          <w:tcPr>
            <w:tcW w:w="4993" w:type="dxa"/>
            <w:tcBorders>
              <w:right w:val="nil"/>
            </w:tcBorders>
            <w:tcMar>
              <w:top w:w="90" w:type="dxa"/>
              <w:left w:w="180" w:type="dxa"/>
              <w:bottom w:w="90" w:type="dxa"/>
              <w:right w:w="180" w:type="dxa"/>
            </w:tcMar>
            <w:vAlign w:val="center"/>
            <w:hideMark/>
          </w:tcPr>
          <w:p w14:paraId="64D0A5EA" w14:textId="7777777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Natural log of total assets at year en</w:t>
            </w:r>
            <w:r w:rsidR="00485305" w:rsidRPr="001F37A9">
              <w:rPr>
                <w:rFonts w:cs="Times New Roman"/>
                <w:szCs w:val="24"/>
              </w:rPr>
              <w:t>d</w:t>
            </w:r>
          </w:p>
        </w:tc>
        <w:tc>
          <w:tcPr>
            <w:tcW w:w="0" w:type="auto"/>
            <w:gridSpan w:val="2"/>
            <w:tcBorders>
              <w:right w:val="nil"/>
            </w:tcBorders>
            <w:tcMar>
              <w:top w:w="90" w:type="dxa"/>
              <w:left w:w="180" w:type="dxa"/>
              <w:bottom w:w="90" w:type="dxa"/>
              <w:right w:w="180" w:type="dxa"/>
            </w:tcMar>
            <w:vAlign w:val="center"/>
            <w:hideMark/>
          </w:tcPr>
          <w:p w14:paraId="3379E883"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19C9AA8B" w14:textId="77777777" w:rsidTr="001F37A9">
        <w:trPr>
          <w:trHeight w:val="25"/>
          <w:tblCellSpacing w:w="15" w:type="dxa"/>
        </w:trPr>
        <w:tc>
          <w:tcPr>
            <w:tcW w:w="0" w:type="auto"/>
            <w:tcBorders>
              <w:bottom w:val="single" w:sz="4" w:space="0" w:color="auto"/>
              <w:right w:val="nil"/>
            </w:tcBorders>
            <w:tcMar>
              <w:top w:w="90" w:type="dxa"/>
              <w:left w:w="180" w:type="dxa"/>
              <w:bottom w:w="90" w:type="dxa"/>
              <w:right w:w="180" w:type="dxa"/>
            </w:tcMar>
            <w:vAlign w:val="center"/>
            <w:hideMark/>
          </w:tcPr>
          <w:p w14:paraId="483446C6"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Financial Leverage (Lev)</w:t>
            </w:r>
          </w:p>
        </w:tc>
        <w:tc>
          <w:tcPr>
            <w:tcW w:w="0" w:type="auto"/>
            <w:tcBorders>
              <w:bottom w:val="single" w:sz="4" w:space="0" w:color="auto"/>
              <w:right w:val="nil"/>
            </w:tcBorders>
            <w:tcMar>
              <w:top w:w="90" w:type="dxa"/>
              <w:left w:w="180" w:type="dxa"/>
              <w:bottom w:w="90" w:type="dxa"/>
              <w:right w:w="180" w:type="dxa"/>
            </w:tcMar>
            <w:vAlign w:val="center"/>
            <w:hideMark/>
          </w:tcPr>
          <w:p w14:paraId="188C011C"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Control</w:t>
            </w:r>
          </w:p>
        </w:tc>
        <w:tc>
          <w:tcPr>
            <w:tcW w:w="4993" w:type="dxa"/>
            <w:tcBorders>
              <w:bottom w:val="single" w:sz="4" w:space="0" w:color="auto"/>
              <w:right w:val="nil"/>
            </w:tcBorders>
            <w:tcMar>
              <w:top w:w="90" w:type="dxa"/>
              <w:left w:w="180" w:type="dxa"/>
              <w:bottom w:w="90" w:type="dxa"/>
              <w:right w:w="180" w:type="dxa"/>
            </w:tcMar>
            <w:vAlign w:val="center"/>
            <w:hideMark/>
          </w:tcPr>
          <w:p w14:paraId="4E134738" w14:textId="7777777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Ratio of total debt to total assets</w:t>
            </w:r>
          </w:p>
        </w:tc>
        <w:tc>
          <w:tcPr>
            <w:tcW w:w="0" w:type="auto"/>
            <w:gridSpan w:val="2"/>
            <w:tcBorders>
              <w:bottom w:val="single" w:sz="4" w:space="0" w:color="auto"/>
              <w:right w:val="nil"/>
            </w:tcBorders>
            <w:tcMar>
              <w:top w:w="90" w:type="dxa"/>
              <w:left w:w="180" w:type="dxa"/>
              <w:bottom w:w="90" w:type="dxa"/>
              <w:right w:w="180" w:type="dxa"/>
            </w:tcMar>
            <w:vAlign w:val="center"/>
            <w:hideMark/>
          </w:tcPr>
          <w:p w14:paraId="54A00416"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bl>
    <w:p w14:paraId="68A05535" w14:textId="77777777" w:rsidR="003F2784" w:rsidRPr="00BC2131" w:rsidRDefault="003F2784" w:rsidP="007218FD">
      <w:pPr>
        <w:spacing w:after="0" w:line="240" w:lineRule="auto"/>
        <w:jc w:val="both"/>
        <w:rPr>
          <w:rFonts w:eastAsia="Times New Roman" w:cs="Times New Roman"/>
          <w:bCs/>
          <w:color w:val="2B2D31"/>
          <w:szCs w:val="24"/>
          <w:shd w:val="clear" w:color="auto" w:fill="FFFFFF"/>
        </w:rPr>
      </w:pPr>
      <w:r w:rsidRPr="00BC2131">
        <w:rPr>
          <w:rFonts w:eastAsia="Times New Roman" w:cs="Times New Roman"/>
          <w:bCs/>
          <w:color w:val="2B2D31"/>
          <w:szCs w:val="24"/>
          <w:shd w:val="clear" w:color="auto" w:fill="FFFFFF"/>
        </w:rPr>
        <w:lastRenderedPageBreak/>
        <w:t>Source: Researcher’s Computation (2026)</w:t>
      </w:r>
    </w:p>
    <w:p w14:paraId="69F1D3BA" w14:textId="77777777" w:rsidR="003F2784" w:rsidRPr="001F37A9" w:rsidRDefault="003F2784" w:rsidP="007218FD">
      <w:pPr>
        <w:spacing w:after="0" w:line="240" w:lineRule="auto"/>
        <w:jc w:val="both"/>
        <w:rPr>
          <w:rFonts w:eastAsia="Times New Roman" w:cs="Times New Roman"/>
          <w:color w:val="2B2D31"/>
          <w:szCs w:val="24"/>
          <w:shd w:val="clear" w:color="auto" w:fill="FFFFFF"/>
        </w:rPr>
      </w:pPr>
    </w:p>
    <w:p w14:paraId="7D5481F9" w14:textId="77777777" w:rsidR="00AC3DA1" w:rsidRPr="001F37A9" w:rsidRDefault="00AC3DA1" w:rsidP="007218FD">
      <w:pPr>
        <w:spacing w:line="240" w:lineRule="auto"/>
        <w:rPr>
          <w:rFonts w:cs="Times New Roman"/>
          <w:szCs w:val="24"/>
        </w:rPr>
      </w:pPr>
      <w:r w:rsidRPr="001F37A9">
        <w:rPr>
          <w:rFonts w:cs="Times New Roman"/>
          <w:b/>
          <w:szCs w:val="24"/>
        </w:rPr>
        <w:t>4. Results and Discussion</w:t>
      </w:r>
    </w:p>
    <w:p w14:paraId="2E0B33E1" w14:textId="77777777" w:rsidR="00AC3DA1" w:rsidRPr="001F37A9" w:rsidRDefault="00AC3DA1" w:rsidP="00BC2131">
      <w:pPr>
        <w:spacing w:after="0" w:line="240" w:lineRule="auto"/>
        <w:rPr>
          <w:rFonts w:cs="Times New Roman"/>
          <w:szCs w:val="24"/>
        </w:rPr>
      </w:pPr>
      <w:r w:rsidRPr="001F37A9">
        <w:rPr>
          <w:rFonts w:cs="Times New Roman"/>
          <w:b/>
          <w:szCs w:val="24"/>
        </w:rPr>
        <w:t>4.1 Descriptive Statistics</w:t>
      </w:r>
    </w:p>
    <w:p w14:paraId="7ED2137B"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Table 2 presents the descriptive statistics for the variables used in examining the effect of audit committee effectiveness on earnings management. The discretionary accrual variable (DA) records a mean value of approximately zero, indicating that, on average, sampled firms exhibit relatively low levels of accrual-based manipulation, though the standard deviation of 0.284 reveals considerable cross-firm variation. Audit committee size averages approximately </w:t>
      </w:r>
      <w:r w:rsidR="00B96400" w:rsidRPr="001F37A9">
        <w:rPr>
          <w:rFonts w:cs="Times New Roman"/>
          <w:szCs w:val="24"/>
        </w:rPr>
        <w:t>5.</w:t>
      </w:r>
      <w:r w:rsidR="00DA26B0" w:rsidRPr="001F37A9">
        <w:rPr>
          <w:rFonts w:cs="Times New Roman"/>
          <w:szCs w:val="24"/>
        </w:rPr>
        <w:t>3</w:t>
      </w:r>
      <w:r w:rsidRPr="001F37A9">
        <w:rPr>
          <w:rFonts w:cs="Times New Roman"/>
          <w:szCs w:val="24"/>
        </w:rPr>
        <w:t xml:space="preserve"> members, within the legal maximum of six prescribed by CAMA 2020. The mean independence ratio of 0.</w:t>
      </w:r>
      <w:r w:rsidR="0085547D" w:rsidRPr="001F37A9">
        <w:rPr>
          <w:rFonts w:cs="Times New Roman"/>
          <w:szCs w:val="24"/>
        </w:rPr>
        <w:t>641</w:t>
      </w:r>
      <w:r w:rsidRPr="001F37A9">
        <w:rPr>
          <w:rFonts w:cs="Times New Roman"/>
          <w:szCs w:val="24"/>
        </w:rPr>
        <w:t xml:space="preserve"> suggests that slightly more than half of audit committee members are independent on average. Audit committee diversity (gender proportion) averages only 0.13</w:t>
      </w:r>
      <w:r w:rsidR="00D316E5" w:rsidRPr="001F37A9">
        <w:rPr>
          <w:rFonts w:cs="Times New Roman"/>
          <w:szCs w:val="24"/>
        </w:rPr>
        <w:t>1</w:t>
      </w:r>
      <w:r w:rsidRPr="001F37A9">
        <w:rPr>
          <w:rFonts w:cs="Times New Roman"/>
          <w:szCs w:val="24"/>
        </w:rPr>
        <w:t xml:space="preserve">, reflecting the still-limited representation of women on Nigerian audit committees. Firms hold an average of 3.8 audit committee meetings per year, close to the quarterly frequency recommended by the NCCG 2018. Audit committee expertise recorded a mean of 1.0 with zero standard deviation, indicating that all sampled </w:t>
      </w:r>
      <w:proofErr w:type="gramStart"/>
      <w:r w:rsidRPr="001F37A9">
        <w:rPr>
          <w:rFonts w:cs="Times New Roman"/>
          <w:szCs w:val="24"/>
        </w:rPr>
        <w:t>firms maintained</w:t>
      </w:r>
      <w:proofErr w:type="gramEnd"/>
      <w:r w:rsidRPr="001F37A9">
        <w:rPr>
          <w:rFonts w:cs="Times New Roman"/>
          <w:szCs w:val="24"/>
        </w:rPr>
        <w:t xml:space="preserve"> members with the required financial qualifications throughout the study period, rendering this variable inestimable in the regression models.</w:t>
      </w:r>
    </w:p>
    <w:p w14:paraId="5C42403B" w14:textId="77777777" w:rsidR="00AC3DA1" w:rsidRPr="001F37A9" w:rsidRDefault="00AC3DA1" w:rsidP="007218FD">
      <w:pPr>
        <w:spacing w:line="240" w:lineRule="auto"/>
        <w:rPr>
          <w:rFonts w:cs="Times New Roman"/>
          <w:szCs w:val="24"/>
        </w:rPr>
      </w:pPr>
      <w:r w:rsidRPr="001F37A9">
        <w:rPr>
          <w:rFonts w:cs="Times New Roman"/>
          <w:b/>
          <w:szCs w:val="24"/>
        </w:rPr>
        <w:t>Table 2</w:t>
      </w:r>
    </w:p>
    <w:p w14:paraId="74A6FCA9" w14:textId="77777777" w:rsidR="00AC3DA1" w:rsidRPr="001F37A9" w:rsidRDefault="00AC3DA1" w:rsidP="001F37A9">
      <w:pPr>
        <w:spacing w:after="0" w:line="240" w:lineRule="auto"/>
        <w:rPr>
          <w:rFonts w:cs="Times New Roman"/>
          <w:i/>
          <w:szCs w:val="24"/>
        </w:rPr>
      </w:pPr>
      <w:r w:rsidRPr="001F37A9">
        <w:rPr>
          <w:rFonts w:cs="Times New Roman"/>
          <w:i/>
          <w:szCs w:val="24"/>
        </w:rPr>
        <w:t>Descriptive Statistics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234"/>
        <w:gridCol w:w="1234"/>
        <w:gridCol w:w="1234"/>
        <w:gridCol w:w="1234"/>
        <w:gridCol w:w="1234"/>
        <w:gridCol w:w="1234"/>
      </w:tblGrid>
      <w:tr w:rsidR="00AC3DA1" w:rsidRPr="001F37A9" w14:paraId="6F43832D" w14:textId="77777777" w:rsidTr="001F37A9">
        <w:trPr>
          <w:jc w:val="center"/>
        </w:trPr>
        <w:tc>
          <w:tcPr>
            <w:tcW w:w="1549" w:type="dxa"/>
            <w:tcBorders>
              <w:top w:val="single" w:sz="4" w:space="0" w:color="auto"/>
              <w:bottom w:val="single" w:sz="4" w:space="0" w:color="auto"/>
            </w:tcBorders>
          </w:tcPr>
          <w:p w14:paraId="4537C872"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Variable</w:t>
            </w:r>
          </w:p>
        </w:tc>
        <w:tc>
          <w:tcPr>
            <w:tcW w:w="1234" w:type="dxa"/>
            <w:tcBorders>
              <w:top w:val="single" w:sz="4" w:space="0" w:color="auto"/>
              <w:bottom w:val="single" w:sz="4" w:space="0" w:color="auto"/>
            </w:tcBorders>
          </w:tcPr>
          <w:p w14:paraId="08118A5F"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Mean</w:t>
            </w:r>
          </w:p>
        </w:tc>
        <w:tc>
          <w:tcPr>
            <w:tcW w:w="1234" w:type="dxa"/>
            <w:tcBorders>
              <w:top w:val="single" w:sz="4" w:space="0" w:color="auto"/>
              <w:bottom w:val="single" w:sz="4" w:space="0" w:color="auto"/>
            </w:tcBorders>
          </w:tcPr>
          <w:p w14:paraId="23F60088"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Median</w:t>
            </w:r>
          </w:p>
        </w:tc>
        <w:tc>
          <w:tcPr>
            <w:tcW w:w="1234" w:type="dxa"/>
            <w:tcBorders>
              <w:top w:val="single" w:sz="4" w:space="0" w:color="auto"/>
              <w:bottom w:val="single" w:sz="4" w:space="0" w:color="auto"/>
            </w:tcBorders>
          </w:tcPr>
          <w:p w14:paraId="2F7F26B7"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Std. Dev.</w:t>
            </w:r>
          </w:p>
        </w:tc>
        <w:tc>
          <w:tcPr>
            <w:tcW w:w="1234" w:type="dxa"/>
            <w:tcBorders>
              <w:top w:val="single" w:sz="4" w:space="0" w:color="auto"/>
              <w:bottom w:val="single" w:sz="4" w:space="0" w:color="auto"/>
            </w:tcBorders>
          </w:tcPr>
          <w:p w14:paraId="3BFD14FF"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Min</w:t>
            </w:r>
          </w:p>
        </w:tc>
        <w:tc>
          <w:tcPr>
            <w:tcW w:w="1234" w:type="dxa"/>
            <w:tcBorders>
              <w:top w:val="single" w:sz="4" w:space="0" w:color="auto"/>
              <w:bottom w:val="single" w:sz="4" w:space="0" w:color="auto"/>
            </w:tcBorders>
          </w:tcPr>
          <w:p w14:paraId="771B3E4B"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Max</w:t>
            </w:r>
          </w:p>
        </w:tc>
        <w:tc>
          <w:tcPr>
            <w:tcW w:w="1234" w:type="dxa"/>
            <w:tcBorders>
              <w:top w:val="single" w:sz="4" w:space="0" w:color="auto"/>
              <w:bottom w:val="single" w:sz="4" w:space="0" w:color="auto"/>
            </w:tcBorders>
          </w:tcPr>
          <w:p w14:paraId="6B31C445"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Obs.</w:t>
            </w:r>
          </w:p>
        </w:tc>
      </w:tr>
      <w:tr w:rsidR="00AC3DA1" w:rsidRPr="001F37A9" w14:paraId="29F80DBC" w14:textId="77777777" w:rsidTr="001F37A9">
        <w:trPr>
          <w:jc w:val="center"/>
        </w:trPr>
        <w:tc>
          <w:tcPr>
            <w:tcW w:w="1549" w:type="dxa"/>
            <w:tcBorders>
              <w:top w:val="single" w:sz="4" w:space="0" w:color="auto"/>
            </w:tcBorders>
          </w:tcPr>
          <w:p w14:paraId="0C0C35C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DA</w:t>
            </w:r>
          </w:p>
        </w:tc>
        <w:tc>
          <w:tcPr>
            <w:tcW w:w="1234" w:type="dxa"/>
            <w:tcBorders>
              <w:top w:val="single" w:sz="4" w:space="0" w:color="auto"/>
            </w:tcBorders>
          </w:tcPr>
          <w:p w14:paraId="4B780AC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Borders>
              <w:top w:val="single" w:sz="4" w:space="0" w:color="auto"/>
            </w:tcBorders>
          </w:tcPr>
          <w:p w14:paraId="57434FC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0.015</w:t>
            </w:r>
          </w:p>
        </w:tc>
        <w:tc>
          <w:tcPr>
            <w:tcW w:w="1234" w:type="dxa"/>
            <w:tcBorders>
              <w:top w:val="single" w:sz="4" w:space="0" w:color="auto"/>
            </w:tcBorders>
          </w:tcPr>
          <w:p w14:paraId="4C59A34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0.284</w:t>
            </w:r>
          </w:p>
        </w:tc>
        <w:tc>
          <w:tcPr>
            <w:tcW w:w="1234" w:type="dxa"/>
            <w:tcBorders>
              <w:top w:val="single" w:sz="4" w:space="0" w:color="auto"/>
            </w:tcBorders>
          </w:tcPr>
          <w:p w14:paraId="25D97D9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-2.982</w:t>
            </w:r>
          </w:p>
        </w:tc>
        <w:tc>
          <w:tcPr>
            <w:tcW w:w="1234" w:type="dxa"/>
            <w:tcBorders>
              <w:top w:val="single" w:sz="4" w:space="0" w:color="auto"/>
            </w:tcBorders>
          </w:tcPr>
          <w:p w14:paraId="23B2BB9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3.145</w:t>
            </w:r>
          </w:p>
        </w:tc>
        <w:tc>
          <w:tcPr>
            <w:tcW w:w="1234" w:type="dxa"/>
            <w:tcBorders>
              <w:top w:val="single" w:sz="4" w:space="0" w:color="auto"/>
            </w:tcBorders>
          </w:tcPr>
          <w:p w14:paraId="1AD2F46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098F9C93" w14:textId="77777777" w:rsidTr="001F37A9">
        <w:trPr>
          <w:jc w:val="center"/>
        </w:trPr>
        <w:tc>
          <w:tcPr>
            <w:tcW w:w="1549" w:type="dxa"/>
          </w:tcPr>
          <w:p w14:paraId="2C339CB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ES</w:t>
            </w:r>
          </w:p>
        </w:tc>
        <w:tc>
          <w:tcPr>
            <w:tcW w:w="1234" w:type="dxa"/>
          </w:tcPr>
          <w:p w14:paraId="53110EB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1.089</w:t>
            </w:r>
          </w:p>
        </w:tc>
        <w:tc>
          <w:tcPr>
            <w:tcW w:w="1234" w:type="dxa"/>
          </w:tcPr>
          <w:p w14:paraId="506F9A8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0.065</w:t>
            </w:r>
          </w:p>
        </w:tc>
        <w:tc>
          <w:tcPr>
            <w:tcW w:w="1234" w:type="dxa"/>
          </w:tcPr>
          <w:p w14:paraId="6488823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67.71</w:t>
            </w:r>
          </w:p>
        </w:tc>
        <w:tc>
          <w:tcPr>
            <w:tcW w:w="1234" w:type="dxa"/>
          </w:tcPr>
          <w:p w14:paraId="63F848E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-1002.1</w:t>
            </w:r>
          </w:p>
        </w:tc>
        <w:tc>
          <w:tcPr>
            <w:tcW w:w="1234" w:type="dxa"/>
          </w:tcPr>
          <w:p w14:paraId="4711A65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1512.5</w:t>
            </w:r>
          </w:p>
        </w:tc>
        <w:tc>
          <w:tcPr>
            <w:tcW w:w="1234" w:type="dxa"/>
          </w:tcPr>
          <w:p w14:paraId="0B279BC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40598FF3" w14:textId="77777777" w:rsidTr="001F37A9">
        <w:trPr>
          <w:jc w:val="center"/>
        </w:trPr>
        <w:tc>
          <w:tcPr>
            <w:tcW w:w="1549" w:type="dxa"/>
          </w:tcPr>
          <w:p w14:paraId="65767C3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Size</w:t>
            </w:r>
          </w:p>
        </w:tc>
        <w:tc>
          <w:tcPr>
            <w:tcW w:w="1234" w:type="dxa"/>
          </w:tcPr>
          <w:p w14:paraId="0D88D28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5.273</w:t>
            </w:r>
          </w:p>
        </w:tc>
        <w:tc>
          <w:tcPr>
            <w:tcW w:w="1234" w:type="dxa"/>
          </w:tcPr>
          <w:p w14:paraId="5502535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5.000</w:t>
            </w:r>
          </w:p>
        </w:tc>
        <w:tc>
          <w:tcPr>
            <w:tcW w:w="1234" w:type="dxa"/>
          </w:tcPr>
          <w:p w14:paraId="55454FC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0.862</w:t>
            </w:r>
          </w:p>
        </w:tc>
        <w:tc>
          <w:tcPr>
            <w:tcW w:w="1234" w:type="dxa"/>
          </w:tcPr>
          <w:p w14:paraId="5F12978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2.000</w:t>
            </w:r>
          </w:p>
        </w:tc>
        <w:tc>
          <w:tcPr>
            <w:tcW w:w="1234" w:type="dxa"/>
          </w:tcPr>
          <w:p w14:paraId="674CEBA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6.000</w:t>
            </w:r>
          </w:p>
        </w:tc>
        <w:tc>
          <w:tcPr>
            <w:tcW w:w="1234" w:type="dxa"/>
          </w:tcPr>
          <w:p w14:paraId="0CF8D03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50E8B972" w14:textId="77777777" w:rsidTr="001F37A9">
        <w:trPr>
          <w:jc w:val="center"/>
        </w:trPr>
        <w:tc>
          <w:tcPr>
            <w:tcW w:w="1549" w:type="dxa"/>
          </w:tcPr>
          <w:p w14:paraId="46F4244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Independence</w:t>
            </w:r>
          </w:p>
        </w:tc>
        <w:tc>
          <w:tcPr>
            <w:tcW w:w="1234" w:type="dxa"/>
          </w:tcPr>
          <w:p w14:paraId="1F21CC0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0.641</w:t>
            </w:r>
          </w:p>
        </w:tc>
        <w:tc>
          <w:tcPr>
            <w:tcW w:w="1234" w:type="dxa"/>
          </w:tcPr>
          <w:p w14:paraId="6E9D26D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0.500</w:t>
            </w:r>
          </w:p>
        </w:tc>
        <w:tc>
          <w:tcPr>
            <w:tcW w:w="1234" w:type="dxa"/>
          </w:tcPr>
          <w:p w14:paraId="1DE91C4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0.183</w:t>
            </w:r>
          </w:p>
        </w:tc>
        <w:tc>
          <w:tcPr>
            <w:tcW w:w="1234" w:type="dxa"/>
          </w:tcPr>
          <w:p w14:paraId="12EF36A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7E104A21"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51F8CD4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12466F19" w14:textId="77777777" w:rsidTr="001F37A9">
        <w:trPr>
          <w:jc w:val="center"/>
        </w:trPr>
        <w:tc>
          <w:tcPr>
            <w:tcW w:w="1549" w:type="dxa"/>
          </w:tcPr>
          <w:p w14:paraId="0B1F264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Diversity</w:t>
            </w:r>
          </w:p>
        </w:tc>
        <w:tc>
          <w:tcPr>
            <w:tcW w:w="1234" w:type="dxa"/>
          </w:tcPr>
          <w:p w14:paraId="450C3FC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0.131</w:t>
            </w:r>
          </w:p>
        </w:tc>
        <w:tc>
          <w:tcPr>
            <w:tcW w:w="1234" w:type="dxa"/>
          </w:tcPr>
          <w:p w14:paraId="01F82BF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28BB2E5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0.180</w:t>
            </w:r>
          </w:p>
        </w:tc>
        <w:tc>
          <w:tcPr>
            <w:tcW w:w="1234" w:type="dxa"/>
          </w:tcPr>
          <w:p w14:paraId="2FEDC5B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4FC766A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0.667</w:t>
            </w:r>
          </w:p>
        </w:tc>
        <w:tc>
          <w:tcPr>
            <w:tcW w:w="1234" w:type="dxa"/>
          </w:tcPr>
          <w:p w14:paraId="2FBA1F1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2DDA7863" w14:textId="77777777" w:rsidTr="001F37A9">
        <w:trPr>
          <w:jc w:val="center"/>
        </w:trPr>
        <w:tc>
          <w:tcPr>
            <w:tcW w:w="1549" w:type="dxa"/>
          </w:tcPr>
          <w:p w14:paraId="3320D41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Meetings</w:t>
            </w:r>
          </w:p>
        </w:tc>
        <w:tc>
          <w:tcPr>
            <w:tcW w:w="1234" w:type="dxa"/>
          </w:tcPr>
          <w:p w14:paraId="0D75778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3.780</w:t>
            </w:r>
          </w:p>
        </w:tc>
        <w:tc>
          <w:tcPr>
            <w:tcW w:w="1234" w:type="dxa"/>
          </w:tcPr>
          <w:p w14:paraId="6E777BF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4.000</w:t>
            </w:r>
          </w:p>
        </w:tc>
        <w:tc>
          <w:tcPr>
            <w:tcW w:w="1234" w:type="dxa"/>
          </w:tcPr>
          <w:p w14:paraId="78DA96B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1.213</w:t>
            </w:r>
          </w:p>
        </w:tc>
        <w:tc>
          <w:tcPr>
            <w:tcW w:w="1234" w:type="dxa"/>
          </w:tcPr>
          <w:p w14:paraId="74D5572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377E520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8.000</w:t>
            </w:r>
          </w:p>
        </w:tc>
        <w:tc>
          <w:tcPr>
            <w:tcW w:w="1234" w:type="dxa"/>
          </w:tcPr>
          <w:p w14:paraId="041ED4E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5F948502" w14:textId="77777777" w:rsidTr="001F37A9">
        <w:trPr>
          <w:jc w:val="center"/>
        </w:trPr>
        <w:tc>
          <w:tcPr>
            <w:tcW w:w="1549" w:type="dxa"/>
          </w:tcPr>
          <w:p w14:paraId="314938F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Expertise</w:t>
            </w:r>
          </w:p>
        </w:tc>
        <w:tc>
          <w:tcPr>
            <w:tcW w:w="1234" w:type="dxa"/>
          </w:tcPr>
          <w:p w14:paraId="611B551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709D1D4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56788A7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69653CF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6BE0B6F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26D8A09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6AB56F8F" w14:textId="77777777" w:rsidTr="001F37A9">
        <w:trPr>
          <w:jc w:val="center"/>
        </w:trPr>
        <w:tc>
          <w:tcPr>
            <w:tcW w:w="1549" w:type="dxa"/>
          </w:tcPr>
          <w:p w14:paraId="5FBF8F9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Firm Size</w:t>
            </w:r>
          </w:p>
        </w:tc>
        <w:tc>
          <w:tcPr>
            <w:tcW w:w="1234" w:type="dxa"/>
          </w:tcPr>
          <w:p w14:paraId="52F57DD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7.181</w:t>
            </w:r>
          </w:p>
        </w:tc>
        <w:tc>
          <w:tcPr>
            <w:tcW w:w="1234" w:type="dxa"/>
          </w:tcPr>
          <w:p w14:paraId="2EE941A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7.082</w:t>
            </w:r>
          </w:p>
        </w:tc>
        <w:tc>
          <w:tcPr>
            <w:tcW w:w="1234" w:type="dxa"/>
          </w:tcPr>
          <w:p w14:paraId="45876A8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0.862</w:t>
            </w:r>
          </w:p>
        </w:tc>
        <w:tc>
          <w:tcPr>
            <w:tcW w:w="1234" w:type="dxa"/>
          </w:tcPr>
          <w:p w14:paraId="770E508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4.767</w:t>
            </w:r>
          </w:p>
        </w:tc>
        <w:tc>
          <w:tcPr>
            <w:tcW w:w="1234" w:type="dxa"/>
          </w:tcPr>
          <w:p w14:paraId="7B34073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9.992</w:t>
            </w:r>
          </w:p>
        </w:tc>
        <w:tc>
          <w:tcPr>
            <w:tcW w:w="1234" w:type="dxa"/>
          </w:tcPr>
          <w:p w14:paraId="1605771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7103F55F" w14:textId="77777777" w:rsidTr="001F37A9">
        <w:trPr>
          <w:jc w:val="center"/>
        </w:trPr>
        <w:tc>
          <w:tcPr>
            <w:tcW w:w="1549" w:type="dxa"/>
          </w:tcPr>
          <w:p w14:paraId="4D85BD7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Leverage</w:t>
            </w:r>
          </w:p>
        </w:tc>
        <w:tc>
          <w:tcPr>
            <w:tcW w:w="1234" w:type="dxa"/>
          </w:tcPr>
          <w:p w14:paraId="1EC2ED2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0.711</w:t>
            </w:r>
          </w:p>
        </w:tc>
        <w:tc>
          <w:tcPr>
            <w:tcW w:w="1234" w:type="dxa"/>
          </w:tcPr>
          <w:p w14:paraId="3711BAD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0.611</w:t>
            </w:r>
          </w:p>
        </w:tc>
        <w:tc>
          <w:tcPr>
            <w:tcW w:w="1234" w:type="dxa"/>
          </w:tcPr>
          <w:p w14:paraId="3E3A1F6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0.990</w:t>
            </w:r>
          </w:p>
        </w:tc>
        <w:tc>
          <w:tcPr>
            <w:tcW w:w="1234" w:type="dxa"/>
          </w:tcPr>
          <w:p w14:paraId="56D4777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0.028</w:t>
            </w:r>
          </w:p>
        </w:tc>
        <w:tc>
          <w:tcPr>
            <w:tcW w:w="1234" w:type="dxa"/>
          </w:tcPr>
          <w:p w14:paraId="2FF79BB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23.539</w:t>
            </w:r>
          </w:p>
        </w:tc>
        <w:tc>
          <w:tcPr>
            <w:tcW w:w="1234" w:type="dxa"/>
          </w:tcPr>
          <w:p w14:paraId="491CCD7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bl>
    <w:p w14:paraId="3FE929DC" w14:textId="77777777" w:rsidR="00AC3DA1" w:rsidRDefault="00AC3DA1" w:rsidP="009704AE">
      <w:pPr>
        <w:spacing w:after="0" w:line="240" w:lineRule="auto"/>
        <w:rPr>
          <w:rFonts w:cs="Times New Roman"/>
          <w:i/>
          <w:szCs w:val="24"/>
        </w:rPr>
      </w:pPr>
      <w:r w:rsidRPr="001F37A9">
        <w:rPr>
          <w:rFonts w:cs="Times New Roman"/>
          <w:i/>
          <w:szCs w:val="24"/>
        </w:rPr>
        <w:t>Source: Researcher's Computation (2026). DA = Discretionary Accruals; ES = Earnings Smoothness.</w:t>
      </w:r>
    </w:p>
    <w:p w14:paraId="6EF7A992" w14:textId="77777777" w:rsidR="009704AE" w:rsidRDefault="009704AE" w:rsidP="009704AE">
      <w:pPr>
        <w:spacing w:after="0" w:line="240" w:lineRule="auto"/>
        <w:rPr>
          <w:rFonts w:cs="Times New Roman"/>
          <w:i/>
          <w:iCs/>
          <w:szCs w:val="24"/>
        </w:rPr>
      </w:pPr>
      <w:r w:rsidRPr="009704AE">
        <w:rPr>
          <w:rFonts w:cs="Times New Roman"/>
          <w:i/>
          <w:iCs/>
          <w:szCs w:val="24"/>
        </w:rPr>
        <w:t>* The extreme minimum (−1002.1) and maximum (1512.5) values for ES arise from firm-years where the standard deviation of operating cash flows approaches zero, causing the ratio to diverge. The variable is winsorized at the 1st and 99th percentiles in all regression models.</w:t>
      </w:r>
    </w:p>
    <w:p w14:paraId="2E313F46" w14:textId="77777777" w:rsidR="009704AE" w:rsidRPr="009704AE" w:rsidRDefault="009704AE" w:rsidP="009704AE">
      <w:pPr>
        <w:spacing w:after="0" w:line="240" w:lineRule="auto"/>
        <w:rPr>
          <w:rFonts w:cs="Times New Roman"/>
          <w:i/>
          <w:iCs/>
          <w:szCs w:val="24"/>
        </w:rPr>
      </w:pPr>
    </w:p>
    <w:p w14:paraId="32553660" w14:textId="77777777" w:rsidR="00AC3DA1" w:rsidRPr="001F37A9" w:rsidRDefault="00AC3DA1" w:rsidP="007218FD">
      <w:pPr>
        <w:spacing w:line="240" w:lineRule="auto"/>
        <w:rPr>
          <w:rFonts w:cs="Times New Roman"/>
          <w:szCs w:val="24"/>
        </w:rPr>
      </w:pPr>
      <w:r w:rsidRPr="001F37A9">
        <w:rPr>
          <w:rFonts w:cs="Times New Roman"/>
          <w:b/>
          <w:szCs w:val="24"/>
        </w:rPr>
        <w:t>4.2 Regression Results: Effect on Discretionary Accruals</w:t>
      </w:r>
    </w:p>
    <w:p w14:paraId="0A13C178" w14:textId="77777777" w:rsidR="00B310CE" w:rsidRPr="001F37A9" w:rsidRDefault="00AC3DA1" w:rsidP="007218FD">
      <w:pPr>
        <w:spacing w:line="240" w:lineRule="auto"/>
        <w:ind w:firstLine="720"/>
        <w:jc w:val="both"/>
        <w:rPr>
          <w:rFonts w:cs="Times New Roman"/>
          <w:szCs w:val="24"/>
        </w:rPr>
      </w:pPr>
      <w:r w:rsidRPr="001F37A9">
        <w:rPr>
          <w:rFonts w:cs="Times New Roman"/>
          <w:szCs w:val="24"/>
        </w:rPr>
        <w:t>Table 3 presents the GMM regression results for the effect of audit committee effectiveness on discretionary accruals. The model is statistically significant overall (Wald χ² = 13,127.71, p &lt; 0.01).</w:t>
      </w:r>
    </w:p>
    <w:p w14:paraId="32F1BBBC" w14:textId="77777777" w:rsidR="00AC3DA1" w:rsidRPr="001F37A9" w:rsidRDefault="00AC3DA1" w:rsidP="007218FD">
      <w:pPr>
        <w:spacing w:line="240" w:lineRule="auto"/>
        <w:rPr>
          <w:rFonts w:cs="Times New Roman"/>
          <w:szCs w:val="24"/>
        </w:rPr>
      </w:pPr>
      <w:r w:rsidRPr="001F37A9">
        <w:rPr>
          <w:rFonts w:cs="Times New Roman"/>
          <w:b/>
          <w:szCs w:val="24"/>
        </w:rPr>
        <w:t>Table 3</w:t>
      </w:r>
    </w:p>
    <w:p w14:paraId="7EBBFC67" w14:textId="77777777" w:rsidR="00AC3DA1" w:rsidRPr="001F37A9" w:rsidRDefault="00AC3DA1" w:rsidP="007218FD">
      <w:pPr>
        <w:spacing w:line="240" w:lineRule="auto"/>
        <w:rPr>
          <w:rFonts w:cs="Times New Roman"/>
          <w:szCs w:val="24"/>
        </w:rPr>
      </w:pPr>
      <w:r w:rsidRPr="001F37A9">
        <w:rPr>
          <w:rFonts w:cs="Times New Roman"/>
          <w:b/>
          <w:szCs w:val="24"/>
        </w:rPr>
        <w:t>GMM Regression Results: Audit Committee Effectiveness and Discretionary Accruals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C3DA1" w:rsidRPr="001F37A9" w14:paraId="26808A1B" w14:textId="77777777" w:rsidTr="00CF2B70">
        <w:trPr>
          <w:jc w:val="center"/>
        </w:trPr>
        <w:tc>
          <w:tcPr>
            <w:tcW w:w="2880" w:type="dxa"/>
            <w:tcBorders>
              <w:top w:val="single" w:sz="4" w:space="0" w:color="auto"/>
              <w:bottom w:val="single" w:sz="4" w:space="0" w:color="auto"/>
            </w:tcBorders>
          </w:tcPr>
          <w:p w14:paraId="0CCEE4D8"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Variable</w:t>
            </w:r>
          </w:p>
        </w:tc>
        <w:tc>
          <w:tcPr>
            <w:tcW w:w="2880" w:type="dxa"/>
            <w:tcBorders>
              <w:top w:val="single" w:sz="4" w:space="0" w:color="auto"/>
              <w:bottom w:val="single" w:sz="4" w:space="0" w:color="auto"/>
            </w:tcBorders>
          </w:tcPr>
          <w:p w14:paraId="782DFBD2"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Coefficient</w:t>
            </w:r>
          </w:p>
        </w:tc>
        <w:tc>
          <w:tcPr>
            <w:tcW w:w="2880" w:type="dxa"/>
            <w:tcBorders>
              <w:top w:val="single" w:sz="4" w:space="0" w:color="auto"/>
              <w:bottom w:val="single" w:sz="4" w:space="0" w:color="auto"/>
            </w:tcBorders>
          </w:tcPr>
          <w:p w14:paraId="1722A0D3"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t-statistic</w:t>
            </w:r>
          </w:p>
        </w:tc>
      </w:tr>
      <w:tr w:rsidR="00AC3DA1" w:rsidRPr="001F37A9" w14:paraId="72C9F8B7" w14:textId="77777777" w:rsidTr="00CF2B70">
        <w:trPr>
          <w:jc w:val="center"/>
        </w:trPr>
        <w:tc>
          <w:tcPr>
            <w:tcW w:w="2880" w:type="dxa"/>
            <w:tcBorders>
              <w:top w:val="single" w:sz="4" w:space="0" w:color="auto"/>
            </w:tcBorders>
          </w:tcPr>
          <w:p w14:paraId="2C3F044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Size (ACS)</w:t>
            </w:r>
          </w:p>
        </w:tc>
        <w:tc>
          <w:tcPr>
            <w:tcW w:w="2880" w:type="dxa"/>
            <w:tcBorders>
              <w:top w:val="single" w:sz="4" w:space="0" w:color="auto"/>
            </w:tcBorders>
          </w:tcPr>
          <w:p w14:paraId="0893E2C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0.0443***</w:t>
            </w:r>
          </w:p>
        </w:tc>
        <w:tc>
          <w:tcPr>
            <w:tcW w:w="2880" w:type="dxa"/>
            <w:tcBorders>
              <w:top w:val="single" w:sz="4" w:space="0" w:color="auto"/>
            </w:tcBorders>
          </w:tcPr>
          <w:p w14:paraId="2C707F2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(8.62)</w:t>
            </w:r>
          </w:p>
        </w:tc>
      </w:tr>
      <w:tr w:rsidR="00AC3DA1" w:rsidRPr="001F37A9" w14:paraId="02437645" w14:textId="77777777" w:rsidTr="00CF2B70">
        <w:trPr>
          <w:jc w:val="center"/>
        </w:trPr>
        <w:tc>
          <w:tcPr>
            <w:tcW w:w="2880" w:type="dxa"/>
          </w:tcPr>
          <w:p w14:paraId="49577B9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Independence (ACI)</w:t>
            </w:r>
          </w:p>
        </w:tc>
        <w:tc>
          <w:tcPr>
            <w:tcW w:w="2880" w:type="dxa"/>
          </w:tcPr>
          <w:p w14:paraId="3C2E2F0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0.0203**</w:t>
            </w:r>
          </w:p>
        </w:tc>
        <w:tc>
          <w:tcPr>
            <w:tcW w:w="2880" w:type="dxa"/>
          </w:tcPr>
          <w:p w14:paraId="52CFA03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(2.45)</w:t>
            </w:r>
          </w:p>
        </w:tc>
      </w:tr>
      <w:tr w:rsidR="00AC3DA1" w:rsidRPr="001F37A9" w14:paraId="3DC34DBF" w14:textId="77777777" w:rsidTr="00CF2B70">
        <w:trPr>
          <w:jc w:val="center"/>
        </w:trPr>
        <w:tc>
          <w:tcPr>
            <w:tcW w:w="2880" w:type="dxa"/>
          </w:tcPr>
          <w:p w14:paraId="711CDF5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Diversity (ACD)</w:t>
            </w:r>
          </w:p>
        </w:tc>
        <w:tc>
          <w:tcPr>
            <w:tcW w:w="2880" w:type="dxa"/>
          </w:tcPr>
          <w:p w14:paraId="7BB05E1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-0.0353</w:t>
            </w:r>
          </w:p>
        </w:tc>
        <w:tc>
          <w:tcPr>
            <w:tcW w:w="2880" w:type="dxa"/>
          </w:tcPr>
          <w:p w14:paraId="3815F77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(-0.99)</w:t>
            </w:r>
          </w:p>
        </w:tc>
      </w:tr>
      <w:tr w:rsidR="00AC3DA1" w:rsidRPr="001F37A9" w14:paraId="5E4D23E9" w14:textId="77777777" w:rsidTr="00CF2B70">
        <w:trPr>
          <w:jc w:val="center"/>
        </w:trPr>
        <w:tc>
          <w:tcPr>
            <w:tcW w:w="2880" w:type="dxa"/>
          </w:tcPr>
          <w:p w14:paraId="088A771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Meetings (ACM)</w:t>
            </w:r>
          </w:p>
        </w:tc>
        <w:tc>
          <w:tcPr>
            <w:tcW w:w="2880" w:type="dxa"/>
          </w:tcPr>
          <w:p w14:paraId="4307C45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-0.00185</w:t>
            </w:r>
          </w:p>
        </w:tc>
        <w:tc>
          <w:tcPr>
            <w:tcW w:w="2880" w:type="dxa"/>
          </w:tcPr>
          <w:p w14:paraId="1C03F14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(-0.33)</w:t>
            </w:r>
          </w:p>
        </w:tc>
      </w:tr>
      <w:tr w:rsidR="00AC3DA1" w:rsidRPr="001F37A9" w14:paraId="3C865A2A" w14:textId="77777777" w:rsidTr="00CF2B70">
        <w:trPr>
          <w:jc w:val="center"/>
        </w:trPr>
        <w:tc>
          <w:tcPr>
            <w:tcW w:w="2880" w:type="dxa"/>
          </w:tcPr>
          <w:p w14:paraId="5067950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lastRenderedPageBreak/>
              <w:t>AC Expertise (ACE)</w:t>
            </w:r>
          </w:p>
        </w:tc>
        <w:tc>
          <w:tcPr>
            <w:tcW w:w="2880" w:type="dxa"/>
          </w:tcPr>
          <w:p w14:paraId="30CD499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Omitted (zero variation)</w:t>
            </w:r>
          </w:p>
        </w:tc>
        <w:tc>
          <w:tcPr>
            <w:tcW w:w="2880" w:type="dxa"/>
          </w:tcPr>
          <w:p w14:paraId="4E8E19F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w:t>
            </w:r>
          </w:p>
        </w:tc>
      </w:tr>
      <w:tr w:rsidR="00AC3DA1" w:rsidRPr="001F37A9" w14:paraId="7769E95A" w14:textId="77777777" w:rsidTr="00CF2B70">
        <w:trPr>
          <w:jc w:val="center"/>
        </w:trPr>
        <w:tc>
          <w:tcPr>
            <w:tcW w:w="2880" w:type="dxa"/>
          </w:tcPr>
          <w:p w14:paraId="093DE3C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Firm Size</w:t>
            </w:r>
          </w:p>
        </w:tc>
        <w:tc>
          <w:tcPr>
            <w:tcW w:w="2880" w:type="dxa"/>
          </w:tcPr>
          <w:p w14:paraId="265775E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0.123***</w:t>
            </w:r>
          </w:p>
        </w:tc>
        <w:tc>
          <w:tcPr>
            <w:tcW w:w="2880" w:type="dxa"/>
          </w:tcPr>
          <w:p w14:paraId="0452CC0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(5.44)</w:t>
            </w:r>
          </w:p>
        </w:tc>
      </w:tr>
      <w:tr w:rsidR="00AC3DA1" w:rsidRPr="001F37A9" w14:paraId="4C3CB176" w14:textId="77777777" w:rsidTr="00CF2B70">
        <w:trPr>
          <w:jc w:val="center"/>
        </w:trPr>
        <w:tc>
          <w:tcPr>
            <w:tcW w:w="2880" w:type="dxa"/>
          </w:tcPr>
          <w:p w14:paraId="352A267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Leverage</w:t>
            </w:r>
          </w:p>
        </w:tc>
        <w:tc>
          <w:tcPr>
            <w:tcW w:w="2880" w:type="dxa"/>
          </w:tcPr>
          <w:p w14:paraId="2D129E5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-0.0562***</w:t>
            </w:r>
          </w:p>
        </w:tc>
        <w:tc>
          <w:tcPr>
            <w:tcW w:w="2880" w:type="dxa"/>
          </w:tcPr>
          <w:p w14:paraId="3E5133C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(-48.69)</w:t>
            </w:r>
          </w:p>
        </w:tc>
      </w:tr>
      <w:tr w:rsidR="00AC3DA1" w:rsidRPr="001F37A9" w14:paraId="62972395" w14:textId="77777777" w:rsidTr="00CF2B70">
        <w:trPr>
          <w:jc w:val="center"/>
        </w:trPr>
        <w:tc>
          <w:tcPr>
            <w:tcW w:w="2880" w:type="dxa"/>
          </w:tcPr>
          <w:p w14:paraId="4F70D6F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L.DA</w:t>
            </w:r>
          </w:p>
        </w:tc>
        <w:tc>
          <w:tcPr>
            <w:tcW w:w="2880" w:type="dxa"/>
          </w:tcPr>
          <w:p w14:paraId="36F4303A"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-0.0322***</w:t>
            </w:r>
          </w:p>
        </w:tc>
        <w:tc>
          <w:tcPr>
            <w:tcW w:w="2880" w:type="dxa"/>
          </w:tcPr>
          <w:p w14:paraId="50EB0121"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(-5.04)</w:t>
            </w:r>
          </w:p>
        </w:tc>
      </w:tr>
      <w:tr w:rsidR="00AC3DA1" w:rsidRPr="001F37A9" w14:paraId="03AF0BF3" w14:textId="77777777" w:rsidTr="00CF2B70">
        <w:trPr>
          <w:jc w:val="center"/>
        </w:trPr>
        <w:tc>
          <w:tcPr>
            <w:tcW w:w="2880" w:type="dxa"/>
          </w:tcPr>
          <w:p w14:paraId="5B3CE7B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Wald χ²</w:t>
            </w:r>
          </w:p>
        </w:tc>
        <w:tc>
          <w:tcPr>
            <w:tcW w:w="2880" w:type="dxa"/>
          </w:tcPr>
          <w:p w14:paraId="4A932AF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13,127.71***</w:t>
            </w:r>
          </w:p>
        </w:tc>
        <w:tc>
          <w:tcPr>
            <w:tcW w:w="2880" w:type="dxa"/>
          </w:tcPr>
          <w:p w14:paraId="0AE4B98D" w14:textId="77777777" w:rsidR="00AC3DA1" w:rsidRPr="001F37A9" w:rsidRDefault="00AC3DA1" w:rsidP="001F37A9">
            <w:pPr>
              <w:spacing w:after="0" w:line="240" w:lineRule="auto"/>
              <w:rPr>
                <w:rFonts w:cs="Times New Roman"/>
                <w:sz w:val="24"/>
                <w:szCs w:val="24"/>
              </w:rPr>
            </w:pPr>
          </w:p>
        </w:tc>
      </w:tr>
      <w:tr w:rsidR="00AC3DA1" w:rsidRPr="001F37A9" w14:paraId="110E13F6" w14:textId="77777777" w:rsidTr="00CF2B70">
        <w:trPr>
          <w:jc w:val="center"/>
        </w:trPr>
        <w:tc>
          <w:tcPr>
            <w:tcW w:w="2880" w:type="dxa"/>
          </w:tcPr>
          <w:p w14:paraId="6D6A25D1" w14:textId="77777777" w:rsidR="00AC3DA1" w:rsidRDefault="00AC3DA1" w:rsidP="001F37A9">
            <w:pPr>
              <w:spacing w:after="0" w:line="240" w:lineRule="auto"/>
              <w:rPr>
                <w:rFonts w:cs="Times New Roman"/>
                <w:sz w:val="24"/>
                <w:szCs w:val="24"/>
              </w:rPr>
            </w:pPr>
            <w:r w:rsidRPr="001F37A9">
              <w:rPr>
                <w:rFonts w:cs="Times New Roman"/>
                <w:sz w:val="24"/>
                <w:szCs w:val="24"/>
              </w:rPr>
              <w:t>Observations</w:t>
            </w:r>
          </w:p>
          <w:p w14:paraId="1C39BA24" w14:textId="77777777" w:rsidR="00656A70" w:rsidRDefault="00656A70" w:rsidP="00656A70">
            <w:pPr>
              <w:spacing w:after="0"/>
              <w:rPr>
                <w:rFonts w:cs="Times New Roman"/>
                <w:sz w:val="24"/>
                <w:szCs w:val="24"/>
              </w:rPr>
            </w:pPr>
            <w:proofErr w:type="gramStart"/>
            <w:r w:rsidRPr="00656A70">
              <w:rPr>
                <w:rFonts w:cs="Times New Roman"/>
                <w:sz w:val="24"/>
                <w:szCs w:val="24"/>
              </w:rPr>
              <w:t>AR(</w:t>
            </w:r>
            <w:proofErr w:type="gramEnd"/>
            <w:r w:rsidRPr="00656A70">
              <w:rPr>
                <w:rFonts w:cs="Times New Roman"/>
                <w:sz w:val="24"/>
                <w:szCs w:val="24"/>
              </w:rPr>
              <w:t>1) test (p-value)</w:t>
            </w:r>
          </w:p>
          <w:p w14:paraId="6DA6AA40" w14:textId="77777777" w:rsidR="00656A70" w:rsidRDefault="00656A70" w:rsidP="00656A70">
            <w:pPr>
              <w:spacing w:after="0"/>
              <w:rPr>
                <w:rFonts w:cs="Times New Roman"/>
                <w:sz w:val="24"/>
                <w:szCs w:val="24"/>
              </w:rPr>
            </w:pPr>
            <w:proofErr w:type="gramStart"/>
            <w:r w:rsidRPr="00656A70">
              <w:rPr>
                <w:rFonts w:cs="Times New Roman"/>
                <w:sz w:val="24"/>
                <w:szCs w:val="24"/>
              </w:rPr>
              <w:t>AR(</w:t>
            </w:r>
            <w:proofErr w:type="gramEnd"/>
            <w:r w:rsidRPr="00656A70">
              <w:rPr>
                <w:rFonts w:cs="Times New Roman"/>
                <w:sz w:val="24"/>
                <w:szCs w:val="24"/>
              </w:rPr>
              <w:t>2) test (p-value)</w:t>
            </w:r>
          </w:p>
          <w:p w14:paraId="2DDE5BC7" w14:textId="77777777" w:rsidR="00656A70" w:rsidRPr="00656A70" w:rsidRDefault="00656A70" w:rsidP="00656A70">
            <w:pPr>
              <w:spacing w:after="0"/>
              <w:rPr>
                <w:rFonts w:cs="Times New Roman"/>
                <w:sz w:val="24"/>
                <w:szCs w:val="24"/>
              </w:rPr>
            </w:pPr>
            <w:r w:rsidRPr="00656A70">
              <w:rPr>
                <w:rFonts w:cs="Times New Roman"/>
                <w:sz w:val="24"/>
                <w:szCs w:val="24"/>
              </w:rPr>
              <w:t>Hansen J-test (p-value)</w:t>
            </w:r>
          </w:p>
        </w:tc>
        <w:tc>
          <w:tcPr>
            <w:tcW w:w="2880" w:type="dxa"/>
          </w:tcPr>
          <w:p w14:paraId="4673A4F4" w14:textId="77777777" w:rsidR="00AC3DA1" w:rsidRDefault="00AC3DA1" w:rsidP="001F37A9">
            <w:pPr>
              <w:spacing w:after="0" w:line="240" w:lineRule="auto"/>
              <w:rPr>
                <w:rFonts w:cs="Times New Roman"/>
                <w:sz w:val="24"/>
                <w:szCs w:val="24"/>
              </w:rPr>
            </w:pPr>
            <w:r w:rsidRPr="001F37A9">
              <w:rPr>
                <w:rFonts w:cs="Times New Roman"/>
                <w:sz w:val="24"/>
                <w:szCs w:val="24"/>
              </w:rPr>
              <w:t>616</w:t>
            </w:r>
          </w:p>
          <w:p w14:paraId="5D8BFF4D" w14:textId="77777777" w:rsidR="00656A70" w:rsidRDefault="00656A70" w:rsidP="001F37A9">
            <w:pPr>
              <w:spacing w:after="0" w:line="240" w:lineRule="auto"/>
              <w:rPr>
                <w:rFonts w:cs="Times New Roman"/>
                <w:sz w:val="24"/>
                <w:szCs w:val="24"/>
              </w:rPr>
            </w:pPr>
            <w:r w:rsidRPr="00656A70">
              <w:rPr>
                <w:rFonts w:cs="Times New Roman"/>
                <w:sz w:val="24"/>
                <w:szCs w:val="24"/>
              </w:rPr>
              <w:t>&lt; 0.05</w:t>
            </w:r>
          </w:p>
          <w:p w14:paraId="5ECE24EE" w14:textId="77777777" w:rsidR="00656A70" w:rsidRDefault="00656A70" w:rsidP="001F37A9">
            <w:pPr>
              <w:spacing w:after="0" w:line="240" w:lineRule="auto"/>
              <w:rPr>
                <w:rFonts w:cs="Times New Roman"/>
                <w:sz w:val="24"/>
                <w:szCs w:val="24"/>
              </w:rPr>
            </w:pPr>
            <w:r w:rsidRPr="00656A70">
              <w:rPr>
                <w:rFonts w:cs="Times New Roman"/>
                <w:sz w:val="24"/>
                <w:szCs w:val="24"/>
              </w:rPr>
              <w:t>&gt; 0.05</w:t>
            </w:r>
          </w:p>
          <w:p w14:paraId="256BB73F" w14:textId="77777777" w:rsidR="00656A70" w:rsidRPr="001F37A9" w:rsidRDefault="00656A70" w:rsidP="001F37A9">
            <w:pPr>
              <w:spacing w:after="0" w:line="240" w:lineRule="auto"/>
              <w:rPr>
                <w:rFonts w:cs="Times New Roman"/>
                <w:sz w:val="24"/>
                <w:szCs w:val="24"/>
              </w:rPr>
            </w:pPr>
            <w:r w:rsidRPr="00656A70">
              <w:rPr>
                <w:rFonts w:cs="Times New Roman"/>
                <w:sz w:val="24"/>
                <w:szCs w:val="24"/>
              </w:rPr>
              <w:t>&gt; 0.05</w:t>
            </w:r>
          </w:p>
        </w:tc>
        <w:tc>
          <w:tcPr>
            <w:tcW w:w="2880" w:type="dxa"/>
          </w:tcPr>
          <w:p w14:paraId="3061BE3C" w14:textId="77777777" w:rsidR="00AC3DA1" w:rsidRDefault="00AC3DA1" w:rsidP="001F37A9">
            <w:pPr>
              <w:spacing w:after="0" w:line="240" w:lineRule="auto"/>
              <w:rPr>
                <w:rFonts w:cs="Times New Roman"/>
                <w:sz w:val="24"/>
                <w:szCs w:val="24"/>
              </w:rPr>
            </w:pPr>
          </w:p>
          <w:p w14:paraId="30CBCF2D" w14:textId="77777777" w:rsidR="00656A70" w:rsidRDefault="00656A70" w:rsidP="001F37A9">
            <w:pPr>
              <w:spacing w:after="0" w:line="240" w:lineRule="auto"/>
              <w:rPr>
                <w:rFonts w:cs="Times New Roman"/>
                <w:sz w:val="24"/>
                <w:szCs w:val="24"/>
              </w:rPr>
            </w:pPr>
          </w:p>
          <w:p w14:paraId="15D7C0D9" w14:textId="77777777" w:rsidR="00656A70" w:rsidRPr="001F37A9" w:rsidRDefault="00656A70" w:rsidP="001F37A9">
            <w:pPr>
              <w:spacing w:after="0" w:line="240" w:lineRule="auto"/>
              <w:rPr>
                <w:rFonts w:cs="Times New Roman"/>
                <w:sz w:val="24"/>
                <w:szCs w:val="24"/>
              </w:rPr>
            </w:pPr>
          </w:p>
        </w:tc>
      </w:tr>
    </w:tbl>
    <w:p w14:paraId="642070A6" w14:textId="77777777" w:rsidR="0083217F" w:rsidRDefault="00AC3DA1" w:rsidP="0083217F">
      <w:pPr>
        <w:spacing w:after="0" w:line="240" w:lineRule="auto"/>
        <w:rPr>
          <w:rFonts w:cs="Times New Roman"/>
          <w:i/>
          <w:iCs/>
          <w:szCs w:val="24"/>
        </w:rPr>
      </w:pPr>
      <w:r>
        <w:rPr>
          <w:i/>
          <w:highlight w:val="yellow"/>
        </w:rPr>
        <w:t>Note: *p &lt; 0.10, **p &lt; 0.05, ***p &lt; 0.01. t-statistics are in parentheses. The GMM estimator was adopted to address endogeneity. AC Expertise had zero variation across sampled firms, rendering the variable a constant in regression models.</w:t>
      </w:r>
    </w:p>
    <w:p w14:paraId="4B8E778E" w14:textId="77777777" w:rsidR="00656A70" w:rsidRDefault="00656A70" w:rsidP="0083217F">
      <w:pPr>
        <w:spacing w:after="0" w:line="240" w:lineRule="auto"/>
        <w:rPr>
          <w:rFonts w:cs="Times New Roman"/>
          <w:i/>
          <w:iCs/>
          <w:szCs w:val="24"/>
        </w:rPr>
      </w:pPr>
    </w:p>
    <w:p w14:paraId="338D67F7" w14:textId="77777777" w:rsidR="00656A70" w:rsidRDefault="00656A70" w:rsidP="0083217F">
      <w:pPr>
        <w:spacing w:after="0" w:line="240" w:lineRule="auto"/>
        <w:rPr>
          <w:rFonts w:cs="Times New Roman"/>
          <w:i/>
          <w:iCs/>
          <w:szCs w:val="24"/>
        </w:rPr>
      </w:pPr>
    </w:p>
    <w:p w14:paraId="52DA3F5A" w14:textId="77777777" w:rsidR="0083217F" w:rsidRPr="0083217F" w:rsidRDefault="0083217F" w:rsidP="0083217F">
      <w:pPr>
        <w:spacing w:after="0" w:line="240" w:lineRule="auto"/>
        <w:rPr>
          <w:rFonts w:cs="Times New Roman"/>
          <w:i/>
          <w:iCs/>
          <w:szCs w:val="24"/>
        </w:rPr>
      </w:pPr>
    </w:p>
    <w:p w14:paraId="19BD4A9F" w14:textId="77777777" w:rsidR="00AC3DA1" w:rsidRPr="001F37A9" w:rsidRDefault="00AC3DA1" w:rsidP="00CF2B70">
      <w:pPr>
        <w:spacing w:after="0" w:line="240" w:lineRule="auto"/>
        <w:rPr>
          <w:rFonts w:cs="Times New Roman"/>
          <w:iCs/>
          <w:szCs w:val="24"/>
        </w:rPr>
      </w:pPr>
      <w:r w:rsidRPr="001F37A9">
        <w:rPr>
          <w:rFonts w:cs="Times New Roman"/>
          <w:b/>
          <w:iCs/>
          <w:szCs w:val="24"/>
        </w:rPr>
        <w:t>4.2.1 Audit Committee Size and Discretionary Accruals</w:t>
      </w:r>
    </w:p>
    <w:p w14:paraId="0DE470F5" w14:textId="688A5C75" w:rsidR="00AC3DA1" w:rsidRPr="001F37A9" w:rsidRDefault="00AC3DA1" w:rsidP="007218FD">
      <w:pPr>
        <w:spacing w:line="240" w:lineRule="auto"/>
        <w:ind w:firstLine="720"/>
        <w:jc w:val="both"/>
        <w:rPr>
          <w:rFonts w:cs="Times New Roman"/>
          <w:szCs w:val="24"/>
        </w:rPr>
      </w:pPr>
      <w:r w:rsidRPr="001F37A9">
        <w:rPr>
          <w:rFonts w:cs="Times New Roman"/>
          <w:szCs w:val="24"/>
        </w:rPr>
        <w:t>Audit committee size exhibits a positive and statistically significant effect on discretionary accruals (β = 0.0443, p &lt; 0.01), contrary to the a priori expectation. This implies that larger audit committees are associated with higher levels of accrual-based earnings management. This finding is consistent with the coordination failure hypothesis: as committee size grows, free-rider problems emerge, responsibility becomes diffuse, and managerial monitoring becomes less effective. The result aligns with</w:t>
      </w:r>
      <w:r w:rsidR="004E7200" w:rsidRPr="001F37A9">
        <w:rPr>
          <w:rFonts w:cs="Times New Roman"/>
          <w:szCs w:val="24"/>
        </w:rPr>
        <w:t xml:space="preserve"> </w:t>
      </w:r>
      <w:r w:rsidR="00400139" w:rsidRPr="00400139">
        <w:rPr>
          <w:rFonts w:cs="Times New Roman"/>
          <w:szCs w:val="24"/>
        </w:rPr>
        <w:t>Bawuah</w:t>
      </w:r>
      <w:r w:rsidR="004E7200" w:rsidRPr="001F37A9">
        <w:rPr>
          <w:rFonts w:cs="Times New Roman"/>
          <w:szCs w:val="24"/>
        </w:rPr>
        <w:t xml:space="preserve"> (2024)</w:t>
      </w:r>
      <w:r w:rsidRPr="001F37A9">
        <w:rPr>
          <w:rFonts w:cs="Times New Roman"/>
          <w:szCs w:val="24"/>
        </w:rPr>
        <w:t>, who argued that very large committees may suffer coordination costs that impair oversight effectiveness. However, it contrasts with resource dependency theory, which predicts that larger committees provide a broader monitoring resource pool. Within the Nigerian context, the CAMA 2020 cap of six members appears insufficient to prevent coordination failures, and the result suggests that regulatory attention should focus on committee composition quality rather than size alone.</w:t>
      </w:r>
    </w:p>
    <w:p w14:paraId="0FCE2D84" w14:textId="77777777" w:rsidR="00AC3DA1" w:rsidRPr="001F37A9" w:rsidRDefault="00AC3DA1" w:rsidP="00CF2B70">
      <w:pPr>
        <w:spacing w:after="0" w:line="240" w:lineRule="auto"/>
        <w:rPr>
          <w:rFonts w:cs="Times New Roman"/>
          <w:iCs/>
          <w:szCs w:val="24"/>
        </w:rPr>
      </w:pPr>
      <w:r w:rsidRPr="001F37A9">
        <w:rPr>
          <w:rFonts w:cs="Times New Roman"/>
          <w:b/>
          <w:iCs/>
          <w:szCs w:val="24"/>
        </w:rPr>
        <w:t>4.2.2 Audit Committee Independence and Discretionary Accruals</w:t>
      </w:r>
    </w:p>
    <w:p w14:paraId="73B4D181" w14:textId="0D0C15BC" w:rsidR="00AC3DA1" w:rsidRPr="001F37A9" w:rsidRDefault="00AC3DA1" w:rsidP="007218FD">
      <w:pPr>
        <w:spacing w:line="240" w:lineRule="auto"/>
        <w:ind w:firstLine="720"/>
        <w:jc w:val="both"/>
        <w:rPr>
          <w:rFonts w:cs="Times New Roman"/>
          <w:szCs w:val="24"/>
        </w:rPr>
      </w:pPr>
      <w:r>
        <w:rPr>
          <w:highlight w:val="yellow"/>
        </w:rPr>
        <w:t xml:space="preserve">Audit committee independence shows a positive and statistically significant effect on discretionary accruals (β = 0.0203, p &lt; 0.05), which is paradoxical given agency theory predictions. This finding implies that a higher proportion of independent members on the committee is associated with greater, not lower, accrual-based manipulation. This result echoes the findings of </w:t>
      </w:r>
      <w:r w:rsidR="00FC2E34">
        <w:rPr>
          <w:highlight w:val="yellow"/>
        </w:rPr>
        <w:t>Kaoje et al. (2023)</w:t>
      </w:r>
      <w:r>
        <w:rPr>
          <w:highlight w:val="yellow"/>
        </w:rPr>
        <w:t>, who similarly found no constraining effect of independence on Nigerian firms, attributing this to weak institutional enforcement. A plausible explanation is that in the Nigerian governance environment, audit committee independence is largely achieved through formal compliance rather than substantive autonomy. Independent members may lack the familiarity with the firm's operations or the informal networks required to effectively challenge management's accounting choices. This finding supports the position that formal structural independence does not guarantee effective oversight, particularly in emerging markets where enforcement mechanisms are underdeveloped. Drawing on Signalling Theory (Spence, 1973), this finding is consistent with the ceremonial compliance argument: independence requirements mandated by CAMA 2020 function as institutionalised signals that satisfy regulatory expectations without internalising substantive oversight capacity. Independent members appointed through compliance-driven processes may lack the informal authority, sector-specific knowledge, or reputational incentive structures needed to effectively challenge management accounting choices (Ibe et al., 2025).</w:t>
      </w:r>
    </w:p>
    <w:p w14:paraId="7AD636AC" w14:textId="77777777" w:rsidR="00AC3DA1" w:rsidRPr="001F37A9" w:rsidRDefault="00AC3DA1" w:rsidP="00CF2B70">
      <w:pPr>
        <w:spacing w:after="0" w:line="240" w:lineRule="auto"/>
        <w:rPr>
          <w:rFonts w:cs="Times New Roman"/>
          <w:iCs/>
          <w:szCs w:val="24"/>
        </w:rPr>
      </w:pPr>
      <w:r w:rsidRPr="001F37A9">
        <w:rPr>
          <w:rFonts w:cs="Times New Roman"/>
          <w:b/>
          <w:iCs/>
          <w:szCs w:val="24"/>
        </w:rPr>
        <w:t>4.2.3 Audit Committee Diversity, Diligence, and Discretionary Accruals</w:t>
      </w:r>
    </w:p>
    <w:p w14:paraId="06FC6B95" w14:textId="77777777" w:rsidR="00AC3DA1" w:rsidRPr="001F37A9" w:rsidRDefault="00AC3DA1" w:rsidP="007218FD">
      <w:pPr>
        <w:spacing w:line="240" w:lineRule="auto"/>
        <w:ind w:firstLine="720"/>
        <w:jc w:val="both"/>
        <w:rPr>
          <w:rFonts w:cs="Times New Roman"/>
          <w:szCs w:val="24"/>
        </w:rPr>
      </w:pPr>
      <w:r>
        <w:rPr>
          <w:highlight w:val="yellow"/>
        </w:rPr>
        <w:t xml:space="preserve">Audit committee diversity (gender proportion) exhibits a negative but statistically insignificant effect on discretionary accruals (β = −0.0353, p &gt; 0.10). While the direction is consistent with expectations, as female directors are associated with greater ethical sensitivity and risk aversion the </w:t>
      </w:r>
      <w:r>
        <w:rPr>
          <w:highlight w:val="yellow"/>
        </w:rPr>
        <w:lastRenderedPageBreak/>
        <w:t>insignificance suggests that diversity alone does not meaningfully constrain accrual-based manipulation in the Nigerian non-financial sector. This may reflect the low average female representation (13.1%) across sampled firms, which falls below the critical mass threshold theorised to produce substantive governance effects. Similarly, audit committee meeting frequency exhibits a negative but insignificant effect on discretionary accruals (β = −0.00185, p &gt; 0.10). This finding implies that the frequency of committee meetings does not significantly constrain accrual manipulation, possibly because meeting agendas in Nigerian firms may be procedurally driven rather than focused on the rigorous scrutiny of accounting estimates.</w:t>
      </w:r>
    </w:p>
    <w:p w14:paraId="1CB7F9CA" w14:textId="77777777" w:rsidR="00AC3DA1" w:rsidRPr="001F37A9" w:rsidRDefault="00AC3DA1" w:rsidP="007218FD">
      <w:pPr>
        <w:spacing w:line="240" w:lineRule="auto"/>
        <w:rPr>
          <w:rFonts w:cs="Times New Roman"/>
          <w:szCs w:val="24"/>
        </w:rPr>
      </w:pPr>
      <w:r w:rsidRPr="001F37A9">
        <w:rPr>
          <w:rFonts w:cs="Times New Roman"/>
          <w:b/>
          <w:szCs w:val="24"/>
        </w:rPr>
        <w:t>4.3 Regression Results: Effect on Earnings Smoothness</w:t>
      </w:r>
    </w:p>
    <w:p w14:paraId="58F678DF"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Table 4 presents the GMM results for the effect of audit committee attributes on earnings smoothness. The model is statistically significant (Wald χ² = 1,262.31, p &lt; 0.01).</w:t>
      </w:r>
    </w:p>
    <w:p w14:paraId="0287EF96" w14:textId="77777777" w:rsidR="00AC3DA1" w:rsidRPr="001F37A9" w:rsidRDefault="00AC3DA1" w:rsidP="00CF2B70">
      <w:pPr>
        <w:spacing w:line="240" w:lineRule="auto"/>
        <w:rPr>
          <w:rFonts w:cs="Times New Roman"/>
          <w:szCs w:val="24"/>
        </w:rPr>
      </w:pPr>
      <w:r w:rsidRPr="001F37A9">
        <w:rPr>
          <w:rFonts w:cs="Times New Roman"/>
          <w:b/>
          <w:szCs w:val="24"/>
        </w:rPr>
        <w:t>Table 4</w:t>
      </w:r>
    </w:p>
    <w:p w14:paraId="33FF0889" w14:textId="77777777" w:rsidR="00AC3DA1" w:rsidRPr="00CF2B70" w:rsidRDefault="00AC3DA1" w:rsidP="00CF2B70">
      <w:pPr>
        <w:spacing w:line="240" w:lineRule="auto"/>
        <w:rPr>
          <w:rFonts w:cs="Times New Roman"/>
          <w:i/>
          <w:szCs w:val="24"/>
        </w:rPr>
      </w:pPr>
      <w:r w:rsidRPr="00CF2B70">
        <w:rPr>
          <w:rFonts w:cs="Times New Roman"/>
          <w:i/>
          <w:szCs w:val="24"/>
        </w:rPr>
        <w:t>GMM Regression Results: Audit Committee Effectiveness and Earnings Smoothness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C3DA1" w:rsidRPr="001F37A9" w14:paraId="63CDD5DE" w14:textId="77777777" w:rsidTr="00CF2B70">
        <w:trPr>
          <w:jc w:val="center"/>
        </w:trPr>
        <w:tc>
          <w:tcPr>
            <w:tcW w:w="2880" w:type="dxa"/>
            <w:tcBorders>
              <w:top w:val="single" w:sz="4" w:space="0" w:color="auto"/>
              <w:bottom w:val="single" w:sz="4" w:space="0" w:color="auto"/>
            </w:tcBorders>
          </w:tcPr>
          <w:p w14:paraId="59F74EB4" w14:textId="77777777" w:rsidR="00AC3DA1" w:rsidRPr="001F37A9" w:rsidRDefault="00AC3DA1" w:rsidP="00CF2B70">
            <w:pPr>
              <w:spacing w:after="0" w:line="240" w:lineRule="auto"/>
              <w:rPr>
                <w:rFonts w:cs="Times New Roman"/>
                <w:sz w:val="24"/>
                <w:szCs w:val="24"/>
              </w:rPr>
            </w:pPr>
            <w:r w:rsidRPr="001F37A9">
              <w:rPr>
                <w:rFonts w:cs="Times New Roman"/>
                <w:b/>
                <w:sz w:val="24"/>
                <w:szCs w:val="24"/>
              </w:rPr>
              <w:t>Variable</w:t>
            </w:r>
          </w:p>
        </w:tc>
        <w:tc>
          <w:tcPr>
            <w:tcW w:w="2880" w:type="dxa"/>
            <w:tcBorders>
              <w:top w:val="single" w:sz="4" w:space="0" w:color="auto"/>
              <w:bottom w:val="single" w:sz="4" w:space="0" w:color="auto"/>
            </w:tcBorders>
          </w:tcPr>
          <w:p w14:paraId="7F93458D" w14:textId="77777777" w:rsidR="00AC3DA1" w:rsidRPr="001F37A9" w:rsidRDefault="00AC3DA1" w:rsidP="00CF2B70">
            <w:pPr>
              <w:spacing w:after="0" w:line="240" w:lineRule="auto"/>
              <w:rPr>
                <w:rFonts w:cs="Times New Roman"/>
                <w:sz w:val="24"/>
                <w:szCs w:val="24"/>
              </w:rPr>
            </w:pPr>
            <w:r w:rsidRPr="001F37A9">
              <w:rPr>
                <w:rFonts w:cs="Times New Roman"/>
                <w:b/>
                <w:sz w:val="24"/>
                <w:szCs w:val="24"/>
              </w:rPr>
              <w:t>Coefficient</w:t>
            </w:r>
          </w:p>
        </w:tc>
        <w:tc>
          <w:tcPr>
            <w:tcW w:w="2880" w:type="dxa"/>
            <w:tcBorders>
              <w:top w:val="single" w:sz="4" w:space="0" w:color="auto"/>
              <w:bottom w:val="single" w:sz="4" w:space="0" w:color="auto"/>
            </w:tcBorders>
          </w:tcPr>
          <w:p w14:paraId="4FE01D38" w14:textId="77777777" w:rsidR="00AC3DA1" w:rsidRPr="001F37A9" w:rsidRDefault="00AC3DA1" w:rsidP="00CF2B70">
            <w:pPr>
              <w:spacing w:after="0" w:line="240" w:lineRule="auto"/>
              <w:rPr>
                <w:rFonts w:cs="Times New Roman"/>
                <w:sz w:val="24"/>
                <w:szCs w:val="24"/>
              </w:rPr>
            </w:pPr>
            <w:r w:rsidRPr="001F37A9">
              <w:rPr>
                <w:rFonts w:cs="Times New Roman"/>
                <w:b/>
                <w:sz w:val="24"/>
                <w:szCs w:val="24"/>
              </w:rPr>
              <w:t>t-statistic</w:t>
            </w:r>
          </w:p>
        </w:tc>
      </w:tr>
      <w:tr w:rsidR="00AC3DA1" w:rsidRPr="001F37A9" w14:paraId="5EFCB964" w14:textId="77777777" w:rsidTr="00CF2B70">
        <w:trPr>
          <w:jc w:val="center"/>
        </w:trPr>
        <w:tc>
          <w:tcPr>
            <w:tcW w:w="2880" w:type="dxa"/>
            <w:tcBorders>
              <w:top w:val="single" w:sz="4" w:space="0" w:color="auto"/>
            </w:tcBorders>
          </w:tcPr>
          <w:p w14:paraId="6A928E6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Size (ACS)</w:t>
            </w:r>
          </w:p>
        </w:tc>
        <w:tc>
          <w:tcPr>
            <w:tcW w:w="2880" w:type="dxa"/>
            <w:tcBorders>
              <w:top w:val="single" w:sz="4" w:space="0" w:color="auto"/>
            </w:tcBorders>
          </w:tcPr>
          <w:p w14:paraId="136DB659"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-1.917***</w:t>
            </w:r>
          </w:p>
        </w:tc>
        <w:tc>
          <w:tcPr>
            <w:tcW w:w="2880" w:type="dxa"/>
            <w:tcBorders>
              <w:top w:val="single" w:sz="4" w:space="0" w:color="auto"/>
            </w:tcBorders>
          </w:tcPr>
          <w:p w14:paraId="72F93F4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(-5.39)</w:t>
            </w:r>
          </w:p>
        </w:tc>
      </w:tr>
      <w:tr w:rsidR="00AC3DA1" w:rsidRPr="001F37A9" w14:paraId="6D47F18F" w14:textId="77777777" w:rsidTr="00CF2B70">
        <w:trPr>
          <w:jc w:val="center"/>
        </w:trPr>
        <w:tc>
          <w:tcPr>
            <w:tcW w:w="2880" w:type="dxa"/>
          </w:tcPr>
          <w:p w14:paraId="2061194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Independence (ACI)</w:t>
            </w:r>
          </w:p>
        </w:tc>
        <w:tc>
          <w:tcPr>
            <w:tcW w:w="2880" w:type="dxa"/>
          </w:tcPr>
          <w:p w14:paraId="4812A9FB"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13.02***</w:t>
            </w:r>
          </w:p>
        </w:tc>
        <w:tc>
          <w:tcPr>
            <w:tcW w:w="2880" w:type="dxa"/>
          </w:tcPr>
          <w:p w14:paraId="0F0FD41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(6.74)</w:t>
            </w:r>
          </w:p>
        </w:tc>
      </w:tr>
      <w:tr w:rsidR="00AC3DA1" w:rsidRPr="001F37A9" w14:paraId="7AA4A43C" w14:textId="77777777" w:rsidTr="00CF2B70">
        <w:trPr>
          <w:jc w:val="center"/>
        </w:trPr>
        <w:tc>
          <w:tcPr>
            <w:tcW w:w="2880" w:type="dxa"/>
          </w:tcPr>
          <w:p w14:paraId="7C0AE32C"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Diversity (ACD)</w:t>
            </w:r>
          </w:p>
        </w:tc>
        <w:tc>
          <w:tcPr>
            <w:tcW w:w="2880" w:type="dxa"/>
          </w:tcPr>
          <w:p w14:paraId="48BA024C"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16.03***</w:t>
            </w:r>
          </w:p>
        </w:tc>
        <w:tc>
          <w:tcPr>
            <w:tcW w:w="2880" w:type="dxa"/>
          </w:tcPr>
          <w:p w14:paraId="22F70C6E"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(4.79)</w:t>
            </w:r>
          </w:p>
        </w:tc>
      </w:tr>
      <w:tr w:rsidR="00AC3DA1" w:rsidRPr="001F37A9" w14:paraId="1B01162B" w14:textId="77777777" w:rsidTr="00CF2B70">
        <w:trPr>
          <w:jc w:val="center"/>
        </w:trPr>
        <w:tc>
          <w:tcPr>
            <w:tcW w:w="2880" w:type="dxa"/>
          </w:tcPr>
          <w:p w14:paraId="193D8E8E"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Meetings (ACM)</w:t>
            </w:r>
          </w:p>
        </w:tc>
        <w:tc>
          <w:tcPr>
            <w:tcW w:w="2880" w:type="dxa"/>
          </w:tcPr>
          <w:p w14:paraId="6992A1B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-0.368**</w:t>
            </w:r>
          </w:p>
        </w:tc>
        <w:tc>
          <w:tcPr>
            <w:tcW w:w="2880" w:type="dxa"/>
          </w:tcPr>
          <w:p w14:paraId="395207C6"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(-2.00)</w:t>
            </w:r>
          </w:p>
        </w:tc>
      </w:tr>
      <w:tr w:rsidR="00AC3DA1" w:rsidRPr="001F37A9" w14:paraId="6A4ED518" w14:textId="77777777" w:rsidTr="00CF2B70">
        <w:trPr>
          <w:jc w:val="center"/>
        </w:trPr>
        <w:tc>
          <w:tcPr>
            <w:tcW w:w="2880" w:type="dxa"/>
          </w:tcPr>
          <w:p w14:paraId="13BC1DEE"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Expertise (ACE)</w:t>
            </w:r>
          </w:p>
        </w:tc>
        <w:tc>
          <w:tcPr>
            <w:tcW w:w="2880" w:type="dxa"/>
          </w:tcPr>
          <w:p w14:paraId="32D4F0AE"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Omitted (zero variation)</w:t>
            </w:r>
          </w:p>
        </w:tc>
        <w:tc>
          <w:tcPr>
            <w:tcW w:w="2880" w:type="dxa"/>
          </w:tcPr>
          <w:p w14:paraId="2E22060C"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w:t>
            </w:r>
          </w:p>
        </w:tc>
      </w:tr>
      <w:tr w:rsidR="00AC3DA1" w:rsidRPr="001F37A9" w14:paraId="597D09B5" w14:textId="77777777" w:rsidTr="00CF2B70">
        <w:trPr>
          <w:jc w:val="center"/>
        </w:trPr>
        <w:tc>
          <w:tcPr>
            <w:tcW w:w="2880" w:type="dxa"/>
          </w:tcPr>
          <w:p w14:paraId="6D51F8A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Firm Size</w:t>
            </w:r>
          </w:p>
        </w:tc>
        <w:tc>
          <w:tcPr>
            <w:tcW w:w="2880" w:type="dxa"/>
          </w:tcPr>
          <w:p w14:paraId="7CBCC69A"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-48.92***</w:t>
            </w:r>
          </w:p>
        </w:tc>
        <w:tc>
          <w:tcPr>
            <w:tcW w:w="2880" w:type="dxa"/>
          </w:tcPr>
          <w:p w14:paraId="711BFB1A"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(-4.74)</w:t>
            </w:r>
          </w:p>
        </w:tc>
      </w:tr>
      <w:tr w:rsidR="00AC3DA1" w:rsidRPr="001F37A9" w14:paraId="3612708D" w14:textId="77777777" w:rsidTr="00CF2B70">
        <w:trPr>
          <w:jc w:val="center"/>
        </w:trPr>
        <w:tc>
          <w:tcPr>
            <w:tcW w:w="2880" w:type="dxa"/>
          </w:tcPr>
          <w:p w14:paraId="2CEA48EF"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Leverage</w:t>
            </w:r>
          </w:p>
        </w:tc>
        <w:tc>
          <w:tcPr>
            <w:tcW w:w="2880" w:type="dxa"/>
          </w:tcPr>
          <w:p w14:paraId="32FCCD0B"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-1.876***</w:t>
            </w:r>
          </w:p>
        </w:tc>
        <w:tc>
          <w:tcPr>
            <w:tcW w:w="2880" w:type="dxa"/>
          </w:tcPr>
          <w:p w14:paraId="2752FF2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(-9.17)</w:t>
            </w:r>
          </w:p>
        </w:tc>
      </w:tr>
      <w:tr w:rsidR="00AC3DA1" w:rsidRPr="001F37A9" w14:paraId="6CEB6F43" w14:textId="77777777" w:rsidTr="00CF2B70">
        <w:trPr>
          <w:jc w:val="center"/>
        </w:trPr>
        <w:tc>
          <w:tcPr>
            <w:tcW w:w="2880" w:type="dxa"/>
          </w:tcPr>
          <w:p w14:paraId="7C74A9B6"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L.ES</w:t>
            </w:r>
          </w:p>
        </w:tc>
        <w:tc>
          <w:tcPr>
            <w:tcW w:w="2880" w:type="dxa"/>
          </w:tcPr>
          <w:p w14:paraId="229F98D0"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-0.175***</w:t>
            </w:r>
          </w:p>
        </w:tc>
        <w:tc>
          <w:tcPr>
            <w:tcW w:w="2880" w:type="dxa"/>
          </w:tcPr>
          <w:p w14:paraId="5FB63A67"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(-3.71)</w:t>
            </w:r>
          </w:p>
        </w:tc>
      </w:tr>
      <w:tr w:rsidR="00AC3DA1" w:rsidRPr="001F37A9" w14:paraId="4F7866FE" w14:textId="77777777" w:rsidTr="00CF2B70">
        <w:trPr>
          <w:jc w:val="center"/>
        </w:trPr>
        <w:tc>
          <w:tcPr>
            <w:tcW w:w="2880" w:type="dxa"/>
          </w:tcPr>
          <w:p w14:paraId="1F18421F"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Wald χ²</w:t>
            </w:r>
          </w:p>
        </w:tc>
        <w:tc>
          <w:tcPr>
            <w:tcW w:w="2880" w:type="dxa"/>
          </w:tcPr>
          <w:p w14:paraId="00AD5E9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1,262.31***</w:t>
            </w:r>
          </w:p>
        </w:tc>
        <w:tc>
          <w:tcPr>
            <w:tcW w:w="2880" w:type="dxa"/>
          </w:tcPr>
          <w:p w14:paraId="161219E7" w14:textId="77777777" w:rsidR="00AC3DA1" w:rsidRPr="001F37A9" w:rsidRDefault="00AC3DA1" w:rsidP="00CF2B70">
            <w:pPr>
              <w:spacing w:after="0" w:line="240" w:lineRule="auto"/>
              <w:rPr>
                <w:rFonts w:cs="Times New Roman"/>
                <w:sz w:val="24"/>
                <w:szCs w:val="24"/>
              </w:rPr>
            </w:pPr>
          </w:p>
        </w:tc>
      </w:tr>
      <w:tr w:rsidR="00AC3DA1" w:rsidRPr="001F37A9" w14:paraId="36A6FE9E" w14:textId="77777777" w:rsidTr="00CF2B70">
        <w:trPr>
          <w:jc w:val="center"/>
        </w:trPr>
        <w:tc>
          <w:tcPr>
            <w:tcW w:w="2880" w:type="dxa"/>
          </w:tcPr>
          <w:p w14:paraId="59140CD4" w14:textId="77777777" w:rsidR="00AC3DA1" w:rsidRDefault="00AC3DA1" w:rsidP="00CF2B70">
            <w:pPr>
              <w:spacing w:after="0" w:line="240" w:lineRule="auto"/>
              <w:rPr>
                <w:rFonts w:cs="Times New Roman"/>
                <w:sz w:val="24"/>
                <w:szCs w:val="24"/>
              </w:rPr>
            </w:pPr>
            <w:r w:rsidRPr="001F37A9">
              <w:rPr>
                <w:rFonts w:cs="Times New Roman"/>
                <w:sz w:val="24"/>
                <w:szCs w:val="24"/>
              </w:rPr>
              <w:t>Observations</w:t>
            </w:r>
          </w:p>
          <w:p w14:paraId="713D0E69" w14:textId="77777777" w:rsidR="00656A70" w:rsidRPr="00656A70" w:rsidRDefault="00656A70" w:rsidP="00656A70">
            <w:pPr>
              <w:spacing w:after="0" w:line="240" w:lineRule="auto"/>
              <w:rPr>
                <w:rFonts w:cs="Times New Roman"/>
                <w:sz w:val="24"/>
                <w:szCs w:val="24"/>
              </w:rPr>
            </w:pPr>
            <w:proofErr w:type="gramStart"/>
            <w:r w:rsidRPr="00656A70">
              <w:rPr>
                <w:rFonts w:cs="Times New Roman"/>
                <w:sz w:val="24"/>
                <w:szCs w:val="24"/>
              </w:rPr>
              <w:t>AR(</w:t>
            </w:r>
            <w:proofErr w:type="gramEnd"/>
            <w:r w:rsidRPr="00656A70">
              <w:rPr>
                <w:rFonts w:cs="Times New Roman"/>
                <w:sz w:val="24"/>
                <w:szCs w:val="24"/>
              </w:rPr>
              <w:t>1) test (p-value)</w:t>
            </w:r>
          </w:p>
          <w:p w14:paraId="4E5EB37A" w14:textId="77777777" w:rsidR="00656A70" w:rsidRPr="00656A70" w:rsidRDefault="00656A70" w:rsidP="00656A70">
            <w:pPr>
              <w:spacing w:after="0" w:line="240" w:lineRule="auto"/>
              <w:rPr>
                <w:rFonts w:cs="Times New Roman"/>
                <w:sz w:val="24"/>
                <w:szCs w:val="24"/>
              </w:rPr>
            </w:pPr>
            <w:proofErr w:type="gramStart"/>
            <w:r w:rsidRPr="00656A70">
              <w:rPr>
                <w:rFonts w:cs="Times New Roman"/>
                <w:sz w:val="24"/>
                <w:szCs w:val="24"/>
              </w:rPr>
              <w:t>AR(</w:t>
            </w:r>
            <w:proofErr w:type="gramEnd"/>
            <w:r w:rsidRPr="00656A70">
              <w:rPr>
                <w:rFonts w:cs="Times New Roman"/>
                <w:sz w:val="24"/>
                <w:szCs w:val="24"/>
              </w:rPr>
              <w:t>2) test (p-value)</w:t>
            </w:r>
          </w:p>
          <w:p w14:paraId="2218275D" w14:textId="77777777" w:rsidR="00656A70" w:rsidRPr="001F37A9" w:rsidRDefault="00656A70" w:rsidP="00656A70">
            <w:pPr>
              <w:spacing w:after="0" w:line="240" w:lineRule="auto"/>
              <w:rPr>
                <w:rFonts w:cs="Times New Roman"/>
                <w:sz w:val="24"/>
                <w:szCs w:val="24"/>
              </w:rPr>
            </w:pPr>
            <w:r w:rsidRPr="00656A70">
              <w:rPr>
                <w:rFonts w:cs="Times New Roman"/>
                <w:sz w:val="24"/>
                <w:szCs w:val="24"/>
              </w:rPr>
              <w:t>Hansen J-test (p-value)</w:t>
            </w:r>
          </w:p>
        </w:tc>
        <w:tc>
          <w:tcPr>
            <w:tcW w:w="2880" w:type="dxa"/>
          </w:tcPr>
          <w:p w14:paraId="13AADEAC" w14:textId="77777777" w:rsidR="00656A70" w:rsidRPr="00656A70" w:rsidRDefault="00656A70" w:rsidP="00656A70">
            <w:pPr>
              <w:spacing w:after="0" w:line="240" w:lineRule="auto"/>
              <w:rPr>
                <w:rFonts w:cs="Times New Roman"/>
                <w:sz w:val="24"/>
                <w:szCs w:val="24"/>
              </w:rPr>
            </w:pPr>
            <w:r w:rsidRPr="00656A70">
              <w:rPr>
                <w:rFonts w:cs="Times New Roman"/>
                <w:sz w:val="24"/>
                <w:szCs w:val="24"/>
              </w:rPr>
              <w:t>616</w:t>
            </w:r>
          </w:p>
          <w:p w14:paraId="1D2D35B1" w14:textId="77777777" w:rsidR="00656A70" w:rsidRPr="00656A70" w:rsidRDefault="00656A70" w:rsidP="00656A70">
            <w:pPr>
              <w:spacing w:after="0" w:line="240" w:lineRule="auto"/>
              <w:rPr>
                <w:rFonts w:cs="Times New Roman"/>
                <w:sz w:val="24"/>
                <w:szCs w:val="24"/>
              </w:rPr>
            </w:pPr>
            <w:r w:rsidRPr="00656A70">
              <w:rPr>
                <w:rFonts w:cs="Times New Roman"/>
                <w:sz w:val="24"/>
                <w:szCs w:val="24"/>
              </w:rPr>
              <w:t>&lt; 0.05</w:t>
            </w:r>
          </w:p>
          <w:p w14:paraId="6A718C88" w14:textId="77777777" w:rsidR="00656A70" w:rsidRPr="00656A70" w:rsidRDefault="00656A70" w:rsidP="00656A70">
            <w:pPr>
              <w:spacing w:after="0" w:line="240" w:lineRule="auto"/>
              <w:rPr>
                <w:rFonts w:cs="Times New Roman"/>
                <w:sz w:val="24"/>
                <w:szCs w:val="24"/>
              </w:rPr>
            </w:pPr>
            <w:r w:rsidRPr="00656A70">
              <w:rPr>
                <w:rFonts w:cs="Times New Roman"/>
                <w:sz w:val="24"/>
                <w:szCs w:val="24"/>
              </w:rPr>
              <w:t>&gt; 0.05</w:t>
            </w:r>
          </w:p>
          <w:p w14:paraId="21293751" w14:textId="77777777" w:rsidR="00AC3DA1" w:rsidRDefault="00656A70" w:rsidP="00656A70">
            <w:pPr>
              <w:spacing w:after="0" w:line="240" w:lineRule="auto"/>
              <w:rPr>
                <w:rFonts w:cs="Times New Roman"/>
                <w:sz w:val="24"/>
                <w:szCs w:val="24"/>
              </w:rPr>
            </w:pPr>
            <w:r w:rsidRPr="00656A70">
              <w:rPr>
                <w:rFonts w:cs="Times New Roman"/>
                <w:sz w:val="24"/>
                <w:szCs w:val="24"/>
              </w:rPr>
              <w:t>&gt; 0.05</w:t>
            </w:r>
          </w:p>
          <w:p w14:paraId="453BE635" w14:textId="77777777" w:rsidR="00656A70" w:rsidRPr="001F37A9" w:rsidRDefault="00656A70" w:rsidP="00CF2B70">
            <w:pPr>
              <w:spacing w:after="0" w:line="240" w:lineRule="auto"/>
              <w:rPr>
                <w:rFonts w:cs="Times New Roman"/>
                <w:sz w:val="24"/>
                <w:szCs w:val="24"/>
              </w:rPr>
            </w:pPr>
          </w:p>
        </w:tc>
        <w:tc>
          <w:tcPr>
            <w:tcW w:w="2880" w:type="dxa"/>
          </w:tcPr>
          <w:p w14:paraId="25FB598B" w14:textId="77777777" w:rsidR="00AC3DA1" w:rsidRPr="001F37A9" w:rsidRDefault="00AC3DA1" w:rsidP="00CF2B70">
            <w:pPr>
              <w:spacing w:after="0" w:line="240" w:lineRule="auto"/>
              <w:rPr>
                <w:rFonts w:cs="Times New Roman"/>
                <w:sz w:val="24"/>
                <w:szCs w:val="24"/>
              </w:rPr>
            </w:pPr>
          </w:p>
        </w:tc>
      </w:tr>
    </w:tbl>
    <w:p w14:paraId="3F82B410" w14:textId="77777777" w:rsidR="00AC3DA1" w:rsidRDefault="00AC3DA1" w:rsidP="007218FD">
      <w:pPr>
        <w:spacing w:line="240" w:lineRule="auto"/>
        <w:rPr>
          <w:rFonts w:cs="Times New Roman"/>
          <w:i/>
          <w:szCs w:val="24"/>
        </w:rPr>
      </w:pPr>
      <w:r>
        <w:rPr>
          <w:i/>
          <w:highlight w:val="yellow"/>
        </w:rPr>
        <w:t>Note: *p &lt; 0.10, **p &lt; 0.05, ***p &lt; 0.01. t-statistics are in parentheses. The GMM estimator was adopted. AC Expertise dropped due to zero variation. Higher ES values indicate more income smoothing.</w:t>
      </w:r>
    </w:p>
    <w:p w14:paraId="14429A4A" w14:textId="77777777" w:rsidR="00BC2131" w:rsidRPr="001F37A9" w:rsidRDefault="00BC2131" w:rsidP="007218FD">
      <w:pPr>
        <w:spacing w:line="240" w:lineRule="auto"/>
        <w:rPr>
          <w:rFonts w:cs="Times New Roman"/>
          <w:szCs w:val="24"/>
        </w:rPr>
      </w:pPr>
    </w:p>
    <w:p w14:paraId="5A25BF81" w14:textId="77777777" w:rsidR="00AC3DA1" w:rsidRPr="001F37A9" w:rsidRDefault="00AC3DA1" w:rsidP="00CF2B70">
      <w:pPr>
        <w:spacing w:after="0" w:line="240" w:lineRule="auto"/>
        <w:rPr>
          <w:rFonts w:cs="Times New Roman"/>
          <w:iCs/>
          <w:szCs w:val="24"/>
        </w:rPr>
      </w:pPr>
      <w:r w:rsidRPr="001F37A9">
        <w:rPr>
          <w:rFonts w:cs="Times New Roman"/>
          <w:b/>
          <w:iCs/>
          <w:szCs w:val="24"/>
        </w:rPr>
        <w:t>4.3.1 Audit Committee Size and Earnings Smoothness</w:t>
      </w:r>
    </w:p>
    <w:p w14:paraId="7530A1A9" w14:textId="77777777" w:rsidR="00AC3DA1" w:rsidRPr="001F37A9" w:rsidRDefault="00AC3DA1" w:rsidP="007218FD">
      <w:pPr>
        <w:spacing w:line="240" w:lineRule="auto"/>
        <w:ind w:firstLine="720"/>
        <w:jc w:val="both"/>
        <w:rPr>
          <w:rFonts w:cs="Times New Roman"/>
          <w:szCs w:val="24"/>
        </w:rPr>
      </w:pPr>
      <w:r>
        <w:rPr>
          <w:highlight w:val="yellow"/>
        </w:rPr>
        <w:t>Audit committee size exhibits a negative and statistically significant effect on earnings smoothness (β = −1.917, p &lt; 0.01), indicating that larger committees reduce income smoothing practices. This contrasts with the result observed for discretionary accruals, revealing an interesting asymmetry. Larger committees appear effective at curbing the deliberate dampening of earnings fluctuations — a more long-horizon and systemic form of manipulation — while being less effective at constraining specific short-horizon accrual choices. This differential effect suggests that monitoring capacity in larger committees is oriented toward aggregate earnings patterns rather than the granular scrutiny of individual accrual estimates. This finding is consistent with Qawqaze and Al-Absy (2022), who found that committee size enhances the breadth of monitoring.</w:t>
      </w:r>
    </w:p>
    <w:p w14:paraId="65B6BC84" w14:textId="77777777" w:rsidR="00AC3DA1" w:rsidRPr="001F37A9" w:rsidRDefault="00AC3DA1" w:rsidP="00CF2B70">
      <w:pPr>
        <w:spacing w:after="0" w:line="240" w:lineRule="auto"/>
        <w:rPr>
          <w:rFonts w:cs="Times New Roman"/>
          <w:iCs/>
          <w:szCs w:val="24"/>
        </w:rPr>
      </w:pPr>
      <w:r w:rsidRPr="001F37A9">
        <w:rPr>
          <w:rFonts w:cs="Times New Roman"/>
          <w:b/>
          <w:iCs/>
          <w:szCs w:val="24"/>
        </w:rPr>
        <w:t>4.3.2 Audit Committee Independence and Earnings Smoothness</w:t>
      </w:r>
    </w:p>
    <w:p w14:paraId="2E6AF1FD" w14:textId="77777777" w:rsidR="00AC3DA1" w:rsidRDefault="00AC3DA1" w:rsidP="007218FD">
      <w:pPr>
        <w:spacing w:line="240" w:lineRule="auto"/>
        <w:ind w:firstLine="720"/>
        <w:jc w:val="both"/>
        <w:rPr>
          <w:rFonts w:cs="Times New Roman"/>
          <w:szCs w:val="24"/>
        </w:rPr>
      </w:pPr>
      <w:r>
        <w:rPr>
          <w:highlight w:val="yellow"/>
        </w:rPr>
        <w:lastRenderedPageBreak/>
        <w:t>Audit committee independence shows a positive and highly significant effect on earnings smoothness (β = 13.02, p &lt; 0.01), indicating that higher independence is associated with greater income smoothing. This result reinforces the finding for discretionary accruals and further underscores the governance gap between formal independence and substantive monitoring effectiveness. A possible explanation is that independent members who are unfamiliar with the firm's operational context may be more susceptible to management narratives that justify income smoothing as prudent risk management, failing to recognise it as earnings manipulation. This finding has important policy implications: independence requirements mandated by NCCG 2018 and CAMA 2020 may need to be complemented by stricter requirements for relevant sector expertise and active engagement. Independent members who are unfamiliar with the firm's operational context may accept management narratives that frame income smoothing as prudent risk management, failing to identify it as earnings manipulation. This finding strengthens the signalling theory interpretation that structural independence in Nigeria is a cheap signal rather than a costly governance investment.</w:t>
      </w:r>
    </w:p>
    <w:p w14:paraId="57D24F2D" w14:textId="77777777" w:rsidR="00E85E22" w:rsidRPr="001F37A9" w:rsidRDefault="00E85E22" w:rsidP="007218FD">
      <w:pPr>
        <w:spacing w:line="240" w:lineRule="auto"/>
        <w:ind w:firstLine="720"/>
        <w:jc w:val="both"/>
        <w:rPr>
          <w:rFonts w:cs="Times New Roman"/>
          <w:szCs w:val="24"/>
        </w:rPr>
      </w:pPr>
    </w:p>
    <w:p w14:paraId="3A344A23" w14:textId="77777777" w:rsidR="00AC3DA1" w:rsidRPr="001F37A9" w:rsidRDefault="00AC3DA1" w:rsidP="00CF2B70">
      <w:pPr>
        <w:spacing w:after="0" w:line="240" w:lineRule="auto"/>
        <w:rPr>
          <w:rFonts w:cs="Times New Roman"/>
          <w:iCs/>
          <w:szCs w:val="24"/>
        </w:rPr>
      </w:pPr>
      <w:r w:rsidRPr="001F37A9">
        <w:rPr>
          <w:rFonts w:cs="Times New Roman"/>
          <w:b/>
          <w:iCs/>
          <w:szCs w:val="24"/>
        </w:rPr>
        <w:t>4.3.3 Audit Committee Diversity and Earnings Smoothness</w:t>
      </w:r>
    </w:p>
    <w:p w14:paraId="030D03ED" w14:textId="5C93CCF6"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diversity exhibits a positive and statistically significant effect on earnings smoothness (β = 16.03, p &lt; 0.01). This finding, which contradicts the hypothesis, suggests that gender-diverse audit committees are associated with more income smoothing rather than less. This unexpected result may reflect </w:t>
      </w:r>
      <w:proofErr w:type="gramStart"/>
      <w:r w:rsidRPr="001F37A9">
        <w:rPr>
          <w:rFonts w:cs="Times New Roman"/>
          <w:szCs w:val="24"/>
        </w:rPr>
        <w:t>that female directors</w:t>
      </w:r>
      <w:proofErr w:type="gramEnd"/>
      <w:r w:rsidRPr="001F37A9">
        <w:rPr>
          <w:rFonts w:cs="Times New Roman"/>
          <w:szCs w:val="24"/>
        </w:rPr>
        <w:t xml:space="preserve"> in the Nigerian context, who typically constitute a minority, may adopt consensus-oriented decision-making styles that acquiesce to management's preference for stable earnings presentations. The finding is consistent with the critical mass argument: at very low levels of female representation (mean 13.1%), gender diversity may not produce the behavioural monitoring effects theorised in the literature. This finding contrasts with </w:t>
      </w:r>
      <w:r w:rsidR="002E209C" w:rsidRPr="002E209C">
        <w:rPr>
          <w:rFonts w:cs="Times New Roman"/>
          <w:szCs w:val="24"/>
        </w:rPr>
        <w:t>Qawqaze et al. (2022)</w:t>
      </w:r>
      <w:r w:rsidRPr="001F37A9">
        <w:rPr>
          <w:rFonts w:cs="Times New Roman"/>
          <w:szCs w:val="24"/>
        </w:rPr>
        <w:t xml:space="preserve"> and </w:t>
      </w:r>
      <w:r w:rsidR="003E0A95" w:rsidRPr="001F37A9">
        <w:rPr>
          <w:rFonts w:cs="Times New Roman"/>
          <w:szCs w:val="24"/>
        </w:rPr>
        <w:t xml:space="preserve">Ghabayen et al. (2024) </w:t>
      </w:r>
      <w:r w:rsidRPr="001F37A9">
        <w:rPr>
          <w:rFonts w:cs="Times New Roman"/>
          <w:szCs w:val="24"/>
        </w:rPr>
        <w:t>from more developed governance environments, reinforcing the importance of context-specific analysis.</w:t>
      </w:r>
    </w:p>
    <w:p w14:paraId="255C3B18" w14:textId="77777777" w:rsidR="00AC3DA1" w:rsidRPr="001F37A9" w:rsidRDefault="00AC3DA1" w:rsidP="00CF2B70">
      <w:pPr>
        <w:spacing w:after="0" w:line="240" w:lineRule="auto"/>
        <w:rPr>
          <w:rFonts w:cs="Times New Roman"/>
          <w:iCs/>
          <w:szCs w:val="24"/>
        </w:rPr>
      </w:pPr>
      <w:r w:rsidRPr="001F37A9">
        <w:rPr>
          <w:rFonts w:cs="Times New Roman"/>
          <w:b/>
          <w:iCs/>
          <w:szCs w:val="24"/>
        </w:rPr>
        <w:t>4.3.4 Audit Committee Meeting Frequency and Earnings Smoothness</w:t>
      </w:r>
    </w:p>
    <w:p w14:paraId="5E53D0B3" w14:textId="6D2FAB1A"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meeting frequency exhibits a negative and statistically significant effect on earnings smoothness (β = −0.368, p &lt; 0.05), supporting Hypothesis H4. This finding indicates that more frequent committee meetings reduce income smoothing practices, consistent with the diligence hypothesis. Active committees that convene regularly are better positioned to track earnings trends over multiple periods and to challenge management's justifications for consistent accrual patterns that artificially dampen income volatility. This result aligns with </w:t>
      </w:r>
      <w:r w:rsidR="002E209C" w:rsidRPr="002E209C">
        <w:rPr>
          <w:rFonts w:cs="Times New Roman"/>
          <w:szCs w:val="24"/>
        </w:rPr>
        <w:t xml:space="preserve">Kaoje et al. </w:t>
      </w:r>
      <w:r w:rsidR="002E209C">
        <w:rPr>
          <w:rFonts w:cs="Times New Roman"/>
          <w:szCs w:val="24"/>
        </w:rPr>
        <w:t>(</w:t>
      </w:r>
      <w:r w:rsidR="002E209C" w:rsidRPr="002E209C">
        <w:rPr>
          <w:rFonts w:cs="Times New Roman"/>
          <w:szCs w:val="24"/>
        </w:rPr>
        <w:t>2023</w:t>
      </w:r>
      <w:r w:rsidR="002E209C">
        <w:rPr>
          <w:rFonts w:cs="Times New Roman"/>
          <w:szCs w:val="24"/>
        </w:rPr>
        <w:t>)</w:t>
      </w:r>
      <w:r w:rsidRPr="001F37A9">
        <w:rPr>
          <w:rFonts w:cs="Times New Roman"/>
          <w:szCs w:val="24"/>
        </w:rPr>
        <w:t xml:space="preserve"> and </w:t>
      </w:r>
      <w:r w:rsidR="002E209C" w:rsidRPr="002E209C">
        <w:rPr>
          <w:rFonts w:cs="Times New Roman"/>
          <w:szCs w:val="24"/>
        </w:rPr>
        <w:t>Qawqaze et al. (2022)</w:t>
      </w:r>
      <w:r w:rsidRPr="001F37A9">
        <w:rPr>
          <w:rFonts w:cs="Times New Roman"/>
          <w:szCs w:val="24"/>
        </w:rPr>
        <w:t>, both of whom found that meeting frequency enhances oversight quality. The finding supports the NCCG 2018 recommendation for quarterly meetings as a minimum standard.</w:t>
      </w:r>
    </w:p>
    <w:p w14:paraId="507A50B9" w14:textId="77777777" w:rsidR="00AC3DA1" w:rsidRPr="001F37A9" w:rsidRDefault="00AC3DA1" w:rsidP="00CF2B70">
      <w:pPr>
        <w:spacing w:after="0" w:line="240" w:lineRule="auto"/>
        <w:rPr>
          <w:rFonts w:cs="Times New Roman"/>
          <w:iCs/>
          <w:szCs w:val="24"/>
        </w:rPr>
      </w:pPr>
      <w:r w:rsidRPr="001F37A9">
        <w:rPr>
          <w:rFonts w:cs="Times New Roman"/>
          <w:b/>
          <w:iCs/>
          <w:szCs w:val="24"/>
        </w:rPr>
        <w:t>4.3.5 Audit Committee Financial Expertise</w:t>
      </w:r>
    </w:p>
    <w:p w14:paraId="7F77A00C"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financial expertise was excluded from all regression models due to zero variation across the sampled firms: all 56 </w:t>
      </w:r>
      <w:proofErr w:type="gramStart"/>
      <w:r w:rsidRPr="001F37A9">
        <w:rPr>
          <w:rFonts w:cs="Times New Roman"/>
          <w:szCs w:val="24"/>
        </w:rPr>
        <w:t>firms maintained</w:t>
      </w:r>
      <w:proofErr w:type="gramEnd"/>
      <w:r w:rsidRPr="001F37A9">
        <w:rPr>
          <w:rFonts w:cs="Times New Roman"/>
          <w:szCs w:val="24"/>
        </w:rPr>
        <w:t xml:space="preserve"> audit committee members with the required financial qualifications throughout the entire study period (2014–2024). While this precludes statistical testing, it is itself a noteworthy finding. It suggests that the post-IFRS adoption period has produced a minimum standard of financial literacy on Nigerian audit committees. The inability to test this variable also reflects a methodological consideration for future research — studies may need to use a more granular or continuous measure of expertise quality (e.g., professional certifications, audit committee chair qualifications) rather than a binary or proportional measure to capture meaningful variation.</w:t>
      </w:r>
    </w:p>
    <w:p w14:paraId="2B43DA35"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b/>
          <w:bCs/>
          <w:szCs w:val="24"/>
        </w:rPr>
        <w:t>Table 5</w:t>
      </w:r>
    </w:p>
    <w:p w14:paraId="6516E1D1" w14:textId="77777777" w:rsidR="009B4687" w:rsidRPr="00CF2B70" w:rsidRDefault="009B4687" w:rsidP="00BC2131">
      <w:pPr>
        <w:spacing w:after="0" w:line="240" w:lineRule="auto"/>
        <w:rPr>
          <w:rFonts w:eastAsia="Times New Roman" w:cs="Times New Roman"/>
          <w:i/>
          <w:szCs w:val="24"/>
        </w:rPr>
      </w:pPr>
      <w:r w:rsidRPr="00CF2B70">
        <w:rPr>
          <w:rFonts w:eastAsia="Times New Roman" w:cs="Times New Roman"/>
          <w:bCs/>
          <w:i/>
          <w:szCs w:val="24"/>
        </w:rPr>
        <w:t>GMM Regression Results: Audit Committee Effectiveness and Composite Earnings Management</w:t>
      </w:r>
    </w:p>
    <w:tbl>
      <w:tblPr>
        <w:tblW w:w="9853" w:type="dxa"/>
        <w:tblCellSpacing w:w="15" w:type="dxa"/>
        <w:tblCellMar>
          <w:top w:w="15" w:type="dxa"/>
          <w:left w:w="15" w:type="dxa"/>
          <w:bottom w:w="15" w:type="dxa"/>
          <w:right w:w="15" w:type="dxa"/>
        </w:tblCellMar>
        <w:tblLook w:val="04A0" w:firstRow="1" w:lastRow="0" w:firstColumn="1" w:lastColumn="0" w:noHBand="0" w:noVBand="1"/>
      </w:tblPr>
      <w:tblGrid>
        <w:gridCol w:w="4104"/>
        <w:gridCol w:w="4044"/>
        <w:gridCol w:w="1705"/>
      </w:tblGrid>
      <w:tr w:rsidR="009B4687" w:rsidRPr="001F37A9" w14:paraId="6A3B5CFA" w14:textId="77777777" w:rsidTr="00BC2131">
        <w:trPr>
          <w:trHeight w:val="22"/>
          <w:tblHeader/>
          <w:tblCellSpacing w:w="15" w:type="dxa"/>
        </w:trPr>
        <w:tc>
          <w:tcPr>
            <w:tcW w:w="0" w:type="auto"/>
            <w:tcBorders>
              <w:top w:val="single" w:sz="4" w:space="0" w:color="auto"/>
              <w:bottom w:val="single" w:sz="4" w:space="0" w:color="auto"/>
            </w:tcBorders>
            <w:vAlign w:val="center"/>
            <w:hideMark/>
          </w:tcPr>
          <w:p w14:paraId="39E20277" w14:textId="77777777" w:rsidR="009B4687" w:rsidRPr="001F37A9" w:rsidRDefault="009B4687" w:rsidP="00BC2131">
            <w:pPr>
              <w:spacing w:after="0" w:line="240" w:lineRule="auto"/>
              <w:jc w:val="center"/>
              <w:rPr>
                <w:rFonts w:eastAsia="Times New Roman" w:cs="Times New Roman"/>
                <w:b/>
                <w:bCs/>
                <w:szCs w:val="24"/>
              </w:rPr>
            </w:pPr>
            <w:r w:rsidRPr="001F37A9">
              <w:rPr>
                <w:rFonts w:eastAsia="Times New Roman" w:cs="Times New Roman"/>
                <w:b/>
                <w:bCs/>
                <w:szCs w:val="24"/>
              </w:rPr>
              <w:lastRenderedPageBreak/>
              <w:t>Variable</w:t>
            </w:r>
          </w:p>
        </w:tc>
        <w:tc>
          <w:tcPr>
            <w:tcW w:w="0" w:type="auto"/>
            <w:tcBorders>
              <w:top w:val="single" w:sz="4" w:space="0" w:color="auto"/>
              <w:bottom w:val="single" w:sz="4" w:space="0" w:color="auto"/>
            </w:tcBorders>
            <w:vAlign w:val="center"/>
            <w:hideMark/>
          </w:tcPr>
          <w:p w14:paraId="2E856C85" w14:textId="77777777" w:rsidR="009B4687" w:rsidRPr="001F37A9" w:rsidRDefault="009B4687" w:rsidP="00BC2131">
            <w:pPr>
              <w:spacing w:after="0" w:line="240" w:lineRule="auto"/>
              <w:jc w:val="center"/>
              <w:rPr>
                <w:rFonts w:eastAsia="Times New Roman" w:cs="Times New Roman"/>
                <w:b/>
                <w:bCs/>
                <w:szCs w:val="24"/>
              </w:rPr>
            </w:pPr>
            <w:r w:rsidRPr="001F37A9">
              <w:rPr>
                <w:rFonts w:eastAsia="Times New Roman" w:cs="Times New Roman"/>
                <w:b/>
                <w:bCs/>
                <w:szCs w:val="24"/>
              </w:rPr>
              <w:t>Coefficient</w:t>
            </w:r>
          </w:p>
        </w:tc>
        <w:tc>
          <w:tcPr>
            <w:tcW w:w="0" w:type="auto"/>
            <w:tcBorders>
              <w:top w:val="single" w:sz="4" w:space="0" w:color="auto"/>
              <w:bottom w:val="single" w:sz="4" w:space="0" w:color="auto"/>
            </w:tcBorders>
            <w:vAlign w:val="center"/>
            <w:hideMark/>
          </w:tcPr>
          <w:p w14:paraId="4FA0E343" w14:textId="77777777" w:rsidR="009B4687" w:rsidRPr="001F37A9" w:rsidRDefault="009B4687" w:rsidP="00BC2131">
            <w:pPr>
              <w:spacing w:after="0" w:line="240" w:lineRule="auto"/>
              <w:jc w:val="center"/>
              <w:rPr>
                <w:rFonts w:eastAsia="Times New Roman" w:cs="Times New Roman"/>
                <w:b/>
                <w:bCs/>
                <w:szCs w:val="24"/>
              </w:rPr>
            </w:pPr>
            <w:r w:rsidRPr="001F37A9">
              <w:rPr>
                <w:rFonts w:eastAsia="Times New Roman" w:cs="Times New Roman"/>
                <w:b/>
                <w:bCs/>
                <w:szCs w:val="24"/>
              </w:rPr>
              <w:t>t-statistic</w:t>
            </w:r>
          </w:p>
        </w:tc>
      </w:tr>
      <w:tr w:rsidR="009B4687" w:rsidRPr="001F37A9" w14:paraId="284D891D" w14:textId="77777777" w:rsidTr="00BC2131">
        <w:trPr>
          <w:trHeight w:val="182"/>
          <w:tblCellSpacing w:w="15" w:type="dxa"/>
        </w:trPr>
        <w:tc>
          <w:tcPr>
            <w:tcW w:w="0" w:type="auto"/>
            <w:vAlign w:val="center"/>
            <w:hideMark/>
          </w:tcPr>
          <w:p w14:paraId="026AC248"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Size (ACS)</w:t>
            </w:r>
          </w:p>
        </w:tc>
        <w:tc>
          <w:tcPr>
            <w:tcW w:w="0" w:type="auto"/>
            <w:vAlign w:val="center"/>
            <w:hideMark/>
          </w:tcPr>
          <w:p w14:paraId="54AC075E"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−0.852***</w:t>
            </w:r>
          </w:p>
        </w:tc>
        <w:tc>
          <w:tcPr>
            <w:tcW w:w="0" w:type="auto"/>
            <w:vAlign w:val="center"/>
            <w:hideMark/>
          </w:tcPr>
          <w:p w14:paraId="66A3785E"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(−4.88)</w:t>
            </w:r>
          </w:p>
        </w:tc>
      </w:tr>
      <w:tr w:rsidR="009B4687" w:rsidRPr="001F37A9" w14:paraId="52E3BDC8" w14:textId="77777777" w:rsidTr="00BC2131">
        <w:trPr>
          <w:trHeight w:val="211"/>
          <w:tblCellSpacing w:w="15" w:type="dxa"/>
        </w:trPr>
        <w:tc>
          <w:tcPr>
            <w:tcW w:w="0" w:type="auto"/>
            <w:vAlign w:val="center"/>
            <w:hideMark/>
          </w:tcPr>
          <w:p w14:paraId="4191E4A4"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Independence (ACI)</w:t>
            </w:r>
          </w:p>
        </w:tc>
        <w:tc>
          <w:tcPr>
            <w:tcW w:w="0" w:type="auto"/>
            <w:vAlign w:val="center"/>
            <w:hideMark/>
          </w:tcPr>
          <w:p w14:paraId="14FD4FE2"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2.204***</w:t>
            </w:r>
          </w:p>
        </w:tc>
        <w:tc>
          <w:tcPr>
            <w:tcW w:w="0" w:type="auto"/>
            <w:vAlign w:val="center"/>
            <w:hideMark/>
          </w:tcPr>
          <w:p w14:paraId="54EE3E95"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(3.97)</w:t>
            </w:r>
          </w:p>
        </w:tc>
      </w:tr>
      <w:tr w:rsidR="009B4687" w:rsidRPr="001F37A9" w14:paraId="08F13982" w14:textId="77777777" w:rsidTr="00BC2131">
        <w:trPr>
          <w:trHeight w:val="219"/>
          <w:tblCellSpacing w:w="15" w:type="dxa"/>
        </w:trPr>
        <w:tc>
          <w:tcPr>
            <w:tcW w:w="0" w:type="auto"/>
            <w:vAlign w:val="center"/>
            <w:hideMark/>
          </w:tcPr>
          <w:p w14:paraId="05F491D4"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Diversity (ACD)</w:t>
            </w:r>
          </w:p>
        </w:tc>
        <w:tc>
          <w:tcPr>
            <w:tcW w:w="0" w:type="auto"/>
            <w:vAlign w:val="center"/>
            <w:hideMark/>
          </w:tcPr>
          <w:p w14:paraId="128B2246"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−0.540***</w:t>
            </w:r>
          </w:p>
        </w:tc>
        <w:tc>
          <w:tcPr>
            <w:tcW w:w="0" w:type="auto"/>
            <w:vAlign w:val="center"/>
            <w:hideMark/>
          </w:tcPr>
          <w:p w14:paraId="7EAE8A0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(−3.28)</w:t>
            </w:r>
          </w:p>
        </w:tc>
      </w:tr>
      <w:tr w:rsidR="009B4687" w:rsidRPr="001F37A9" w14:paraId="46726B50" w14:textId="77777777" w:rsidTr="00BC2131">
        <w:trPr>
          <w:trHeight w:val="211"/>
          <w:tblCellSpacing w:w="15" w:type="dxa"/>
        </w:trPr>
        <w:tc>
          <w:tcPr>
            <w:tcW w:w="0" w:type="auto"/>
            <w:vAlign w:val="center"/>
            <w:hideMark/>
          </w:tcPr>
          <w:p w14:paraId="2937EE7E"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Meetings (ACM)</w:t>
            </w:r>
          </w:p>
        </w:tc>
        <w:tc>
          <w:tcPr>
            <w:tcW w:w="0" w:type="auto"/>
            <w:vAlign w:val="center"/>
            <w:hideMark/>
          </w:tcPr>
          <w:p w14:paraId="61C52F70"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0.112***</w:t>
            </w:r>
          </w:p>
        </w:tc>
        <w:tc>
          <w:tcPr>
            <w:tcW w:w="0" w:type="auto"/>
            <w:vAlign w:val="center"/>
            <w:hideMark/>
          </w:tcPr>
          <w:p w14:paraId="64B9C975"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(4.57)</w:t>
            </w:r>
          </w:p>
        </w:tc>
      </w:tr>
      <w:tr w:rsidR="009B4687" w:rsidRPr="001F37A9" w14:paraId="619BAC19" w14:textId="77777777" w:rsidTr="00BC2131">
        <w:trPr>
          <w:trHeight w:val="219"/>
          <w:tblCellSpacing w:w="15" w:type="dxa"/>
        </w:trPr>
        <w:tc>
          <w:tcPr>
            <w:tcW w:w="0" w:type="auto"/>
            <w:vAlign w:val="center"/>
            <w:hideMark/>
          </w:tcPr>
          <w:p w14:paraId="2E8BC5CA"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Expertise (ACE)</w:t>
            </w:r>
          </w:p>
        </w:tc>
        <w:tc>
          <w:tcPr>
            <w:tcW w:w="0" w:type="auto"/>
            <w:vAlign w:val="center"/>
            <w:hideMark/>
          </w:tcPr>
          <w:p w14:paraId="432F952C"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Omitted (zero variation)</w:t>
            </w:r>
          </w:p>
        </w:tc>
        <w:tc>
          <w:tcPr>
            <w:tcW w:w="0" w:type="auto"/>
            <w:vAlign w:val="center"/>
            <w:hideMark/>
          </w:tcPr>
          <w:p w14:paraId="137A9B12"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w:t>
            </w:r>
          </w:p>
        </w:tc>
      </w:tr>
      <w:tr w:rsidR="009B4687" w:rsidRPr="001F37A9" w14:paraId="6403960D" w14:textId="77777777" w:rsidTr="00BC2131">
        <w:trPr>
          <w:trHeight w:val="26"/>
          <w:tblCellSpacing w:w="15" w:type="dxa"/>
        </w:trPr>
        <w:tc>
          <w:tcPr>
            <w:tcW w:w="0" w:type="auto"/>
            <w:vAlign w:val="center"/>
            <w:hideMark/>
          </w:tcPr>
          <w:p w14:paraId="2C261B84"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Firm Size</w:t>
            </w:r>
          </w:p>
        </w:tc>
        <w:tc>
          <w:tcPr>
            <w:tcW w:w="0" w:type="auto"/>
            <w:vAlign w:val="center"/>
            <w:hideMark/>
          </w:tcPr>
          <w:p w14:paraId="4CFA6806"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−4.003***</w:t>
            </w:r>
          </w:p>
        </w:tc>
        <w:tc>
          <w:tcPr>
            <w:tcW w:w="0" w:type="auto"/>
            <w:vAlign w:val="center"/>
            <w:hideMark/>
          </w:tcPr>
          <w:p w14:paraId="3D759C8D"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(−3.89)</w:t>
            </w:r>
          </w:p>
        </w:tc>
      </w:tr>
      <w:tr w:rsidR="009B4687" w:rsidRPr="001F37A9" w14:paraId="48EDE9BD" w14:textId="77777777" w:rsidTr="00BC2131">
        <w:trPr>
          <w:trHeight w:val="211"/>
          <w:tblCellSpacing w:w="15" w:type="dxa"/>
        </w:trPr>
        <w:tc>
          <w:tcPr>
            <w:tcW w:w="0" w:type="auto"/>
            <w:vAlign w:val="center"/>
            <w:hideMark/>
          </w:tcPr>
          <w:p w14:paraId="78A05FD7"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Leverage</w:t>
            </w:r>
          </w:p>
        </w:tc>
        <w:tc>
          <w:tcPr>
            <w:tcW w:w="0" w:type="auto"/>
            <w:vAlign w:val="center"/>
            <w:hideMark/>
          </w:tcPr>
          <w:p w14:paraId="3B89A342"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−0.193***</w:t>
            </w:r>
          </w:p>
        </w:tc>
        <w:tc>
          <w:tcPr>
            <w:tcW w:w="0" w:type="auto"/>
            <w:vAlign w:val="center"/>
            <w:hideMark/>
          </w:tcPr>
          <w:p w14:paraId="2A48E109"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(−6.22)</w:t>
            </w:r>
          </w:p>
        </w:tc>
      </w:tr>
      <w:tr w:rsidR="009B4687" w:rsidRPr="001F37A9" w14:paraId="64491731" w14:textId="77777777" w:rsidTr="00BC2131">
        <w:trPr>
          <w:trHeight w:val="219"/>
          <w:tblCellSpacing w:w="15" w:type="dxa"/>
        </w:trPr>
        <w:tc>
          <w:tcPr>
            <w:tcW w:w="0" w:type="auto"/>
            <w:vAlign w:val="center"/>
            <w:hideMark/>
          </w:tcPr>
          <w:p w14:paraId="6A2CDED6"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L.EM</w:t>
            </w:r>
          </w:p>
        </w:tc>
        <w:tc>
          <w:tcPr>
            <w:tcW w:w="0" w:type="auto"/>
            <w:vAlign w:val="center"/>
            <w:hideMark/>
          </w:tcPr>
          <w:p w14:paraId="566D9627"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−0.048***</w:t>
            </w:r>
          </w:p>
        </w:tc>
        <w:tc>
          <w:tcPr>
            <w:tcW w:w="0" w:type="auto"/>
            <w:vAlign w:val="center"/>
            <w:hideMark/>
          </w:tcPr>
          <w:p w14:paraId="45262AE9"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(−90.75)</w:t>
            </w:r>
          </w:p>
        </w:tc>
      </w:tr>
      <w:tr w:rsidR="009B4687" w:rsidRPr="001F37A9" w14:paraId="552A1938" w14:textId="77777777" w:rsidTr="00BC2131">
        <w:trPr>
          <w:trHeight w:val="211"/>
          <w:tblCellSpacing w:w="15" w:type="dxa"/>
        </w:trPr>
        <w:tc>
          <w:tcPr>
            <w:tcW w:w="0" w:type="auto"/>
            <w:vAlign w:val="center"/>
            <w:hideMark/>
          </w:tcPr>
          <w:p w14:paraId="630B97E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Wald χ²</w:t>
            </w:r>
          </w:p>
        </w:tc>
        <w:tc>
          <w:tcPr>
            <w:tcW w:w="0" w:type="auto"/>
            <w:vAlign w:val="center"/>
            <w:hideMark/>
          </w:tcPr>
          <w:p w14:paraId="4ECE6DDA"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25,175.71***</w:t>
            </w:r>
          </w:p>
        </w:tc>
        <w:tc>
          <w:tcPr>
            <w:tcW w:w="0" w:type="auto"/>
            <w:vAlign w:val="center"/>
            <w:hideMark/>
          </w:tcPr>
          <w:p w14:paraId="6059193D" w14:textId="77777777" w:rsidR="009B4687" w:rsidRPr="001F37A9" w:rsidRDefault="009B4687" w:rsidP="00BC2131">
            <w:pPr>
              <w:spacing w:after="0" w:line="240" w:lineRule="auto"/>
              <w:rPr>
                <w:rFonts w:eastAsia="Times New Roman" w:cs="Times New Roman"/>
                <w:szCs w:val="24"/>
              </w:rPr>
            </w:pPr>
          </w:p>
        </w:tc>
      </w:tr>
      <w:tr w:rsidR="009B4687" w:rsidRPr="001F37A9" w14:paraId="26DA5B64" w14:textId="77777777" w:rsidTr="00BC2131">
        <w:trPr>
          <w:trHeight w:val="51"/>
          <w:tblCellSpacing w:w="15" w:type="dxa"/>
        </w:trPr>
        <w:tc>
          <w:tcPr>
            <w:tcW w:w="0" w:type="auto"/>
            <w:tcBorders>
              <w:bottom w:val="single" w:sz="4" w:space="0" w:color="auto"/>
            </w:tcBorders>
            <w:vAlign w:val="center"/>
            <w:hideMark/>
          </w:tcPr>
          <w:p w14:paraId="4B164DF0" w14:textId="77777777" w:rsidR="009B4687" w:rsidRDefault="009B4687" w:rsidP="00BC2131">
            <w:pPr>
              <w:spacing w:after="0" w:line="240" w:lineRule="auto"/>
              <w:rPr>
                <w:rFonts w:eastAsia="Times New Roman" w:cs="Times New Roman"/>
                <w:szCs w:val="24"/>
              </w:rPr>
            </w:pPr>
            <w:r w:rsidRPr="001F37A9">
              <w:rPr>
                <w:rFonts w:eastAsia="Times New Roman" w:cs="Times New Roman"/>
                <w:szCs w:val="24"/>
              </w:rPr>
              <w:t>Observations</w:t>
            </w:r>
          </w:p>
          <w:p w14:paraId="31B8CCCD" w14:textId="77777777" w:rsidR="00656A70" w:rsidRPr="00656A70" w:rsidRDefault="00656A70" w:rsidP="00656A70">
            <w:pPr>
              <w:spacing w:after="0" w:line="240" w:lineRule="auto"/>
              <w:rPr>
                <w:rFonts w:eastAsia="Times New Roman" w:cs="Times New Roman"/>
                <w:szCs w:val="24"/>
              </w:rPr>
            </w:pPr>
            <w:proofErr w:type="gramStart"/>
            <w:r w:rsidRPr="00656A70">
              <w:rPr>
                <w:rFonts w:eastAsia="Times New Roman" w:cs="Times New Roman"/>
                <w:szCs w:val="24"/>
              </w:rPr>
              <w:t>AR(</w:t>
            </w:r>
            <w:proofErr w:type="gramEnd"/>
            <w:r w:rsidRPr="00656A70">
              <w:rPr>
                <w:rFonts w:eastAsia="Times New Roman" w:cs="Times New Roman"/>
                <w:szCs w:val="24"/>
              </w:rPr>
              <w:t>1) test (p-value)</w:t>
            </w:r>
          </w:p>
          <w:p w14:paraId="19959B6F" w14:textId="77777777" w:rsidR="00656A70" w:rsidRPr="00656A70" w:rsidRDefault="00656A70" w:rsidP="00656A70">
            <w:pPr>
              <w:spacing w:after="0" w:line="240" w:lineRule="auto"/>
              <w:rPr>
                <w:rFonts w:eastAsia="Times New Roman" w:cs="Times New Roman"/>
                <w:szCs w:val="24"/>
              </w:rPr>
            </w:pPr>
            <w:proofErr w:type="gramStart"/>
            <w:r w:rsidRPr="00656A70">
              <w:rPr>
                <w:rFonts w:eastAsia="Times New Roman" w:cs="Times New Roman"/>
                <w:szCs w:val="24"/>
              </w:rPr>
              <w:t>AR(</w:t>
            </w:r>
            <w:proofErr w:type="gramEnd"/>
            <w:r w:rsidRPr="00656A70">
              <w:rPr>
                <w:rFonts w:eastAsia="Times New Roman" w:cs="Times New Roman"/>
                <w:szCs w:val="24"/>
              </w:rPr>
              <w:t>2) test (p-value)</w:t>
            </w:r>
          </w:p>
          <w:p w14:paraId="1B78A554" w14:textId="77777777" w:rsidR="00656A70" w:rsidRPr="001F37A9" w:rsidRDefault="00656A70" w:rsidP="00656A70">
            <w:pPr>
              <w:spacing w:after="0" w:line="240" w:lineRule="auto"/>
              <w:rPr>
                <w:rFonts w:eastAsia="Times New Roman" w:cs="Times New Roman"/>
                <w:szCs w:val="24"/>
              </w:rPr>
            </w:pPr>
            <w:r w:rsidRPr="00656A70">
              <w:rPr>
                <w:rFonts w:eastAsia="Times New Roman" w:cs="Times New Roman"/>
                <w:szCs w:val="24"/>
              </w:rPr>
              <w:t>Hansen J-test (p-value)</w:t>
            </w:r>
          </w:p>
        </w:tc>
        <w:tc>
          <w:tcPr>
            <w:tcW w:w="0" w:type="auto"/>
            <w:tcBorders>
              <w:bottom w:val="single" w:sz="4" w:space="0" w:color="auto"/>
            </w:tcBorders>
            <w:vAlign w:val="center"/>
            <w:hideMark/>
          </w:tcPr>
          <w:p w14:paraId="7E6B3D3C" w14:textId="77777777" w:rsidR="00656A70" w:rsidRPr="00656A70" w:rsidRDefault="00656A70" w:rsidP="00656A70">
            <w:pPr>
              <w:spacing w:after="0" w:line="240" w:lineRule="auto"/>
              <w:rPr>
                <w:rFonts w:eastAsia="Times New Roman" w:cs="Times New Roman"/>
                <w:szCs w:val="24"/>
              </w:rPr>
            </w:pPr>
            <w:r w:rsidRPr="00656A70">
              <w:rPr>
                <w:rFonts w:eastAsia="Times New Roman" w:cs="Times New Roman"/>
                <w:szCs w:val="24"/>
              </w:rPr>
              <w:t>616</w:t>
            </w:r>
          </w:p>
          <w:p w14:paraId="73193010" w14:textId="77777777" w:rsidR="00656A70" w:rsidRPr="00656A70" w:rsidRDefault="00656A70" w:rsidP="00656A70">
            <w:pPr>
              <w:spacing w:after="0" w:line="240" w:lineRule="auto"/>
              <w:rPr>
                <w:rFonts w:eastAsia="Times New Roman" w:cs="Times New Roman"/>
                <w:szCs w:val="24"/>
              </w:rPr>
            </w:pPr>
            <w:r w:rsidRPr="00656A70">
              <w:rPr>
                <w:rFonts w:eastAsia="Times New Roman" w:cs="Times New Roman"/>
                <w:szCs w:val="24"/>
              </w:rPr>
              <w:t>&lt; 0.05</w:t>
            </w:r>
          </w:p>
          <w:p w14:paraId="2855CD06" w14:textId="77777777" w:rsidR="00656A70" w:rsidRPr="00656A70" w:rsidRDefault="00656A70" w:rsidP="00656A70">
            <w:pPr>
              <w:spacing w:after="0" w:line="240" w:lineRule="auto"/>
              <w:rPr>
                <w:rFonts w:eastAsia="Times New Roman" w:cs="Times New Roman"/>
                <w:szCs w:val="24"/>
              </w:rPr>
            </w:pPr>
            <w:r w:rsidRPr="00656A70">
              <w:rPr>
                <w:rFonts w:eastAsia="Times New Roman" w:cs="Times New Roman"/>
                <w:szCs w:val="24"/>
              </w:rPr>
              <w:t>&gt; 0.05</w:t>
            </w:r>
          </w:p>
          <w:p w14:paraId="7EA738B7" w14:textId="77777777" w:rsidR="009B4687" w:rsidRPr="001F37A9" w:rsidRDefault="00656A70" w:rsidP="00656A70">
            <w:pPr>
              <w:spacing w:after="0" w:line="240" w:lineRule="auto"/>
              <w:rPr>
                <w:rFonts w:eastAsia="Times New Roman" w:cs="Times New Roman"/>
                <w:szCs w:val="24"/>
              </w:rPr>
            </w:pPr>
            <w:r w:rsidRPr="00656A70">
              <w:rPr>
                <w:rFonts w:eastAsia="Times New Roman" w:cs="Times New Roman"/>
                <w:szCs w:val="24"/>
              </w:rPr>
              <w:t>&gt; 0.05</w:t>
            </w:r>
          </w:p>
        </w:tc>
        <w:tc>
          <w:tcPr>
            <w:tcW w:w="0" w:type="auto"/>
            <w:tcBorders>
              <w:bottom w:val="single" w:sz="4" w:space="0" w:color="auto"/>
            </w:tcBorders>
            <w:vAlign w:val="center"/>
            <w:hideMark/>
          </w:tcPr>
          <w:p w14:paraId="7037C701" w14:textId="77777777" w:rsidR="009B4687" w:rsidRPr="001F37A9" w:rsidRDefault="009B4687" w:rsidP="00BC2131">
            <w:pPr>
              <w:spacing w:after="0" w:line="240" w:lineRule="auto"/>
              <w:rPr>
                <w:rFonts w:eastAsia="Times New Roman" w:cs="Times New Roman"/>
                <w:szCs w:val="24"/>
              </w:rPr>
            </w:pPr>
          </w:p>
        </w:tc>
      </w:tr>
    </w:tbl>
    <w:p w14:paraId="21F0BFB5" w14:textId="77777777" w:rsidR="00CA304D" w:rsidRPr="001F37A9" w:rsidRDefault="009B4687" w:rsidP="00BC2131">
      <w:pPr>
        <w:spacing w:after="0" w:line="240" w:lineRule="auto"/>
        <w:rPr>
          <w:rFonts w:eastAsia="Times New Roman" w:cs="Times New Roman"/>
          <w:szCs w:val="24"/>
        </w:rPr>
      </w:pPr>
      <w:r w:rsidRPr="001F37A9">
        <w:rPr>
          <w:rFonts w:eastAsia="Times New Roman" w:cs="Times New Roman"/>
          <w:i/>
          <w:iCs/>
          <w:szCs w:val="24"/>
        </w:rPr>
        <w:t>Note: *p &lt; 0.10, **p &lt; 0.05, ***p &lt; 0.01. t-statistics in parentheses. GMM estimator adopted to address endogeneity. AC Expertise omitted due to zero variation across sampled firms. Higher composite EM values indicate greater overall earnings management.</w:t>
      </w:r>
    </w:p>
    <w:p w14:paraId="2BF734F5" w14:textId="77777777" w:rsidR="00CF2B70" w:rsidRDefault="00CF2B70" w:rsidP="00CF2B70">
      <w:pPr>
        <w:spacing w:after="0" w:line="240" w:lineRule="auto"/>
        <w:jc w:val="both"/>
        <w:rPr>
          <w:rFonts w:cs="Times New Roman"/>
          <w:b/>
          <w:bCs/>
          <w:szCs w:val="24"/>
        </w:rPr>
      </w:pPr>
    </w:p>
    <w:p w14:paraId="45B7694E" w14:textId="77777777" w:rsidR="00572946" w:rsidRPr="00572946" w:rsidRDefault="00572946" w:rsidP="00572946">
      <w:pPr>
        <w:shd w:val="clear" w:color="auto" w:fill="FFFFFF"/>
        <w:spacing w:after="0" w:line="240" w:lineRule="auto"/>
        <w:outlineLvl w:val="2"/>
        <w:rPr>
          <w:rFonts w:eastAsia="Times New Roman" w:cs="Times New Roman"/>
          <w:b/>
          <w:bCs/>
          <w:color w:val="2B2D31"/>
          <w:szCs w:val="24"/>
        </w:rPr>
      </w:pPr>
      <w:r w:rsidRPr="00572946">
        <w:rPr>
          <w:rFonts w:eastAsia="Times New Roman" w:cs="Times New Roman"/>
          <w:b/>
          <w:bCs/>
          <w:color w:val="2B2D31"/>
          <w:szCs w:val="24"/>
        </w:rPr>
        <w:t>Table 6: Summary of Results Across All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5"/>
        <w:gridCol w:w="1724"/>
        <w:gridCol w:w="1671"/>
        <w:gridCol w:w="2932"/>
      </w:tblGrid>
      <w:tr w:rsidR="00572946" w:rsidRPr="00572946" w14:paraId="574D8175" w14:textId="77777777" w:rsidTr="00572946">
        <w:trPr>
          <w:tblCellSpacing w:w="15" w:type="dxa"/>
        </w:trPr>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284FA80F" w14:textId="77777777" w:rsidR="00572946" w:rsidRPr="00572946" w:rsidRDefault="00572946" w:rsidP="00572946">
            <w:pPr>
              <w:spacing w:after="0" w:line="240" w:lineRule="auto"/>
              <w:rPr>
                <w:rFonts w:eastAsia="Times New Roman" w:cs="Times New Roman"/>
                <w:b/>
                <w:bCs/>
                <w:szCs w:val="24"/>
              </w:rPr>
            </w:pPr>
            <w:r w:rsidRPr="00572946">
              <w:rPr>
                <w:rFonts w:eastAsia="Times New Roman" w:cs="Times New Roman"/>
                <w:b/>
                <w:bCs/>
                <w:szCs w:val="24"/>
              </w:rPr>
              <w:t>Variable</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12EF0F4F" w14:textId="77777777" w:rsidR="00572946" w:rsidRPr="00572946" w:rsidRDefault="00572946" w:rsidP="00572946">
            <w:pPr>
              <w:spacing w:after="0" w:line="240" w:lineRule="auto"/>
              <w:rPr>
                <w:rFonts w:eastAsia="Times New Roman" w:cs="Times New Roman"/>
                <w:b/>
                <w:bCs/>
                <w:szCs w:val="24"/>
              </w:rPr>
            </w:pPr>
            <w:r>
              <w:rPr>
                <w:rFonts w:eastAsia="Times New Roman" w:cs="Times New Roman"/>
                <w:b/>
                <w:bCs/>
                <w:szCs w:val="24"/>
              </w:rPr>
              <w:t>DA</w:t>
            </w:r>
            <w:r w:rsidRPr="00572946">
              <w:rPr>
                <w:rFonts w:eastAsia="Times New Roman" w:cs="Times New Roman"/>
                <w:b/>
                <w:bCs/>
                <w:szCs w:val="24"/>
              </w:rPr>
              <w:t xml:space="preserve"> (Table 3)</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782B0497" w14:textId="77777777" w:rsidR="00572946" w:rsidRPr="00572946" w:rsidRDefault="00572946" w:rsidP="00572946">
            <w:pPr>
              <w:spacing w:after="0" w:line="240" w:lineRule="auto"/>
              <w:rPr>
                <w:rFonts w:eastAsia="Times New Roman" w:cs="Times New Roman"/>
                <w:b/>
                <w:bCs/>
                <w:szCs w:val="24"/>
              </w:rPr>
            </w:pPr>
            <w:r w:rsidRPr="00572946">
              <w:rPr>
                <w:rFonts w:eastAsia="Times New Roman" w:cs="Times New Roman"/>
                <w:b/>
                <w:bCs/>
                <w:szCs w:val="24"/>
              </w:rPr>
              <w:t>ES (Table 4)</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255C0C38" w14:textId="77777777" w:rsidR="00572946" w:rsidRPr="00572946" w:rsidRDefault="00572946" w:rsidP="00572946">
            <w:pPr>
              <w:spacing w:after="0" w:line="240" w:lineRule="auto"/>
              <w:rPr>
                <w:rFonts w:eastAsia="Times New Roman" w:cs="Times New Roman"/>
                <w:b/>
                <w:bCs/>
                <w:szCs w:val="24"/>
              </w:rPr>
            </w:pPr>
            <w:r w:rsidRPr="00572946">
              <w:rPr>
                <w:rFonts w:eastAsia="Times New Roman" w:cs="Times New Roman"/>
                <w:b/>
                <w:bCs/>
                <w:szCs w:val="24"/>
              </w:rPr>
              <w:t>Composite EM (Table 5)</w:t>
            </w:r>
          </w:p>
        </w:tc>
      </w:tr>
      <w:tr w:rsidR="00572946" w:rsidRPr="00572946" w14:paraId="1493B723" w14:textId="77777777">
        <w:trPr>
          <w:tblCellSpacing w:w="15" w:type="dxa"/>
        </w:trPr>
        <w:tc>
          <w:tcPr>
            <w:tcW w:w="0" w:type="auto"/>
            <w:tcBorders>
              <w:right w:val="nil"/>
            </w:tcBorders>
            <w:tcMar>
              <w:top w:w="90" w:type="dxa"/>
              <w:left w:w="180" w:type="dxa"/>
              <w:bottom w:w="90" w:type="dxa"/>
              <w:right w:w="180" w:type="dxa"/>
            </w:tcMar>
            <w:vAlign w:val="center"/>
            <w:hideMark/>
          </w:tcPr>
          <w:p w14:paraId="536C396C"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AC Size (ACS)</w:t>
            </w:r>
          </w:p>
        </w:tc>
        <w:tc>
          <w:tcPr>
            <w:tcW w:w="0" w:type="auto"/>
            <w:tcBorders>
              <w:right w:val="nil"/>
            </w:tcBorders>
            <w:tcMar>
              <w:top w:w="90" w:type="dxa"/>
              <w:left w:w="180" w:type="dxa"/>
              <w:bottom w:w="90" w:type="dxa"/>
              <w:right w:w="180" w:type="dxa"/>
            </w:tcMar>
            <w:vAlign w:val="center"/>
            <w:hideMark/>
          </w:tcPr>
          <w:p w14:paraId="79E3CEDB"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3383939B"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59C27873"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r>
      <w:tr w:rsidR="00572946" w:rsidRPr="00572946" w14:paraId="6B2561B1" w14:textId="77777777">
        <w:trPr>
          <w:tblCellSpacing w:w="15" w:type="dxa"/>
        </w:trPr>
        <w:tc>
          <w:tcPr>
            <w:tcW w:w="0" w:type="auto"/>
            <w:tcBorders>
              <w:right w:val="nil"/>
            </w:tcBorders>
            <w:tcMar>
              <w:top w:w="90" w:type="dxa"/>
              <w:left w:w="180" w:type="dxa"/>
              <w:bottom w:w="90" w:type="dxa"/>
              <w:right w:w="180" w:type="dxa"/>
            </w:tcMar>
            <w:vAlign w:val="center"/>
            <w:hideMark/>
          </w:tcPr>
          <w:p w14:paraId="01E567A6"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AC Independence (ACI)</w:t>
            </w:r>
          </w:p>
        </w:tc>
        <w:tc>
          <w:tcPr>
            <w:tcW w:w="0" w:type="auto"/>
            <w:tcBorders>
              <w:right w:val="nil"/>
            </w:tcBorders>
            <w:tcMar>
              <w:top w:w="90" w:type="dxa"/>
              <w:left w:w="180" w:type="dxa"/>
              <w:bottom w:w="90" w:type="dxa"/>
              <w:right w:w="180" w:type="dxa"/>
            </w:tcMar>
            <w:vAlign w:val="center"/>
            <w:hideMark/>
          </w:tcPr>
          <w:p w14:paraId="58C60C0B"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40C8D971"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744A8D8D"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r>
      <w:tr w:rsidR="00572946" w:rsidRPr="00572946" w14:paraId="128021CA" w14:textId="77777777">
        <w:trPr>
          <w:tblCellSpacing w:w="15" w:type="dxa"/>
        </w:trPr>
        <w:tc>
          <w:tcPr>
            <w:tcW w:w="0" w:type="auto"/>
            <w:tcBorders>
              <w:right w:val="nil"/>
            </w:tcBorders>
            <w:tcMar>
              <w:top w:w="90" w:type="dxa"/>
              <w:left w:w="180" w:type="dxa"/>
              <w:bottom w:w="90" w:type="dxa"/>
              <w:right w:w="180" w:type="dxa"/>
            </w:tcMar>
            <w:vAlign w:val="center"/>
            <w:hideMark/>
          </w:tcPr>
          <w:p w14:paraId="1421ACBA"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AC Diversity (ACD)</w:t>
            </w:r>
          </w:p>
        </w:tc>
        <w:tc>
          <w:tcPr>
            <w:tcW w:w="0" w:type="auto"/>
            <w:tcBorders>
              <w:right w:val="nil"/>
            </w:tcBorders>
            <w:tcMar>
              <w:top w:w="90" w:type="dxa"/>
              <w:left w:w="180" w:type="dxa"/>
              <w:bottom w:w="90" w:type="dxa"/>
              <w:right w:w="180" w:type="dxa"/>
            </w:tcMar>
            <w:vAlign w:val="center"/>
            <w:hideMark/>
          </w:tcPr>
          <w:p w14:paraId="6AEC24EC"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ins</w:t>
            </w:r>
            <w:r>
              <w:rPr>
                <w:rFonts w:eastAsia="Times New Roman" w:cs="Times New Roman"/>
                <w:szCs w:val="24"/>
              </w:rPr>
              <w:t>ig</w:t>
            </w:r>
          </w:p>
        </w:tc>
        <w:tc>
          <w:tcPr>
            <w:tcW w:w="0" w:type="auto"/>
            <w:tcBorders>
              <w:right w:val="nil"/>
            </w:tcBorders>
            <w:tcMar>
              <w:top w:w="90" w:type="dxa"/>
              <w:left w:w="180" w:type="dxa"/>
              <w:bottom w:w="90" w:type="dxa"/>
              <w:right w:w="180" w:type="dxa"/>
            </w:tcMar>
            <w:vAlign w:val="center"/>
            <w:hideMark/>
          </w:tcPr>
          <w:p w14:paraId="00516B46"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4E8D0185"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r>
      <w:tr w:rsidR="00572946" w:rsidRPr="00572946" w14:paraId="411F7F3E" w14:textId="77777777">
        <w:trPr>
          <w:tblCellSpacing w:w="15" w:type="dxa"/>
        </w:trPr>
        <w:tc>
          <w:tcPr>
            <w:tcW w:w="0" w:type="auto"/>
            <w:tcBorders>
              <w:right w:val="nil"/>
            </w:tcBorders>
            <w:tcMar>
              <w:top w:w="90" w:type="dxa"/>
              <w:left w:w="180" w:type="dxa"/>
              <w:bottom w:w="90" w:type="dxa"/>
              <w:right w:w="180" w:type="dxa"/>
            </w:tcMar>
            <w:vAlign w:val="center"/>
            <w:hideMark/>
          </w:tcPr>
          <w:p w14:paraId="589CF568"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AC Meetings (ACM)</w:t>
            </w:r>
          </w:p>
        </w:tc>
        <w:tc>
          <w:tcPr>
            <w:tcW w:w="0" w:type="auto"/>
            <w:tcBorders>
              <w:right w:val="nil"/>
            </w:tcBorders>
            <w:tcMar>
              <w:top w:w="90" w:type="dxa"/>
              <w:left w:w="180" w:type="dxa"/>
              <w:bottom w:w="90" w:type="dxa"/>
              <w:right w:w="180" w:type="dxa"/>
            </w:tcMar>
            <w:vAlign w:val="center"/>
            <w:hideMark/>
          </w:tcPr>
          <w:p w14:paraId="187F8B5F"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insi</w:t>
            </w:r>
            <w:r>
              <w:rPr>
                <w:rFonts w:eastAsia="Times New Roman" w:cs="Times New Roman"/>
                <w:szCs w:val="24"/>
              </w:rPr>
              <w:t>g</w:t>
            </w:r>
          </w:p>
        </w:tc>
        <w:tc>
          <w:tcPr>
            <w:tcW w:w="0" w:type="auto"/>
            <w:tcBorders>
              <w:right w:val="nil"/>
            </w:tcBorders>
            <w:tcMar>
              <w:top w:w="90" w:type="dxa"/>
              <w:left w:w="180" w:type="dxa"/>
              <w:bottom w:w="90" w:type="dxa"/>
              <w:right w:w="180" w:type="dxa"/>
            </w:tcMar>
            <w:vAlign w:val="center"/>
            <w:hideMark/>
          </w:tcPr>
          <w:p w14:paraId="70128743"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11DC07AF"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r>
      <w:tr w:rsidR="00572946" w:rsidRPr="00572946" w14:paraId="3E1D25F3" w14:textId="77777777">
        <w:trPr>
          <w:tblCellSpacing w:w="15" w:type="dxa"/>
        </w:trPr>
        <w:tc>
          <w:tcPr>
            <w:tcW w:w="0" w:type="auto"/>
            <w:tcBorders>
              <w:right w:val="nil"/>
            </w:tcBorders>
            <w:tcMar>
              <w:top w:w="90" w:type="dxa"/>
              <w:left w:w="180" w:type="dxa"/>
              <w:bottom w:w="90" w:type="dxa"/>
              <w:right w:w="180" w:type="dxa"/>
            </w:tcMar>
            <w:vAlign w:val="center"/>
            <w:hideMark/>
          </w:tcPr>
          <w:p w14:paraId="70614FFA"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AC Expertise (ACE)</w:t>
            </w:r>
          </w:p>
        </w:tc>
        <w:tc>
          <w:tcPr>
            <w:tcW w:w="0" w:type="auto"/>
            <w:tcBorders>
              <w:right w:val="nil"/>
            </w:tcBorders>
            <w:tcMar>
              <w:top w:w="90" w:type="dxa"/>
              <w:left w:w="180" w:type="dxa"/>
              <w:bottom w:w="90" w:type="dxa"/>
              <w:right w:w="180" w:type="dxa"/>
            </w:tcMar>
            <w:vAlign w:val="center"/>
            <w:hideMark/>
          </w:tcPr>
          <w:p w14:paraId="60461D95"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Omitted</w:t>
            </w:r>
          </w:p>
        </w:tc>
        <w:tc>
          <w:tcPr>
            <w:tcW w:w="0" w:type="auto"/>
            <w:tcBorders>
              <w:right w:val="nil"/>
            </w:tcBorders>
            <w:tcMar>
              <w:top w:w="90" w:type="dxa"/>
              <w:left w:w="180" w:type="dxa"/>
              <w:bottom w:w="90" w:type="dxa"/>
              <w:right w:w="180" w:type="dxa"/>
            </w:tcMar>
            <w:vAlign w:val="center"/>
            <w:hideMark/>
          </w:tcPr>
          <w:p w14:paraId="7CE9CF64"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Omitted</w:t>
            </w:r>
          </w:p>
        </w:tc>
        <w:tc>
          <w:tcPr>
            <w:tcW w:w="0" w:type="auto"/>
            <w:tcBorders>
              <w:right w:val="nil"/>
            </w:tcBorders>
            <w:tcMar>
              <w:top w:w="90" w:type="dxa"/>
              <w:left w:w="180" w:type="dxa"/>
              <w:bottom w:w="90" w:type="dxa"/>
              <w:right w:w="180" w:type="dxa"/>
            </w:tcMar>
            <w:vAlign w:val="center"/>
            <w:hideMark/>
          </w:tcPr>
          <w:p w14:paraId="30C62F9B"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Omitted</w:t>
            </w:r>
          </w:p>
        </w:tc>
      </w:tr>
      <w:tr w:rsidR="00572946" w:rsidRPr="00572946" w14:paraId="70CF5692" w14:textId="77777777">
        <w:trPr>
          <w:tblCellSpacing w:w="15" w:type="dxa"/>
        </w:trPr>
        <w:tc>
          <w:tcPr>
            <w:tcW w:w="0" w:type="auto"/>
            <w:tcBorders>
              <w:right w:val="nil"/>
            </w:tcBorders>
            <w:tcMar>
              <w:top w:w="90" w:type="dxa"/>
              <w:left w:w="180" w:type="dxa"/>
              <w:bottom w:w="90" w:type="dxa"/>
              <w:right w:w="180" w:type="dxa"/>
            </w:tcMar>
            <w:vAlign w:val="center"/>
            <w:hideMark/>
          </w:tcPr>
          <w:p w14:paraId="7F45B08B"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Firm Size</w:t>
            </w:r>
          </w:p>
        </w:tc>
        <w:tc>
          <w:tcPr>
            <w:tcW w:w="0" w:type="auto"/>
            <w:tcBorders>
              <w:right w:val="nil"/>
            </w:tcBorders>
            <w:tcMar>
              <w:top w:w="90" w:type="dxa"/>
              <w:left w:w="180" w:type="dxa"/>
              <w:bottom w:w="90" w:type="dxa"/>
              <w:right w:w="180" w:type="dxa"/>
            </w:tcMar>
            <w:vAlign w:val="center"/>
            <w:hideMark/>
          </w:tcPr>
          <w:p w14:paraId="2F92B976"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2AE1AC2D"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right w:val="nil"/>
            </w:tcBorders>
            <w:tcMar>
              <w:top w:w="90" w:type="dxa"/>
              <w:left w:w="180" w:type="dxa"/>
              <w:bottom w:w="90" w:type="dxa"/>
              <w:right w:w="180" w:type="dxa"/>
            </w:tcMar>
            <w:vAlign w:val="center"/>
            <w:hideMark/>
          </w:tcPr>
          <w:p w14:paraId="2E96F8B0"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r>
      <w:tr w:rsidR="00572946" w:rsidRPr="00572946" w14:paraId="49C9E865" w14:textId="77777777" w:rsidTr="00572946">
        <w:trPr>
          <w:tblCellSpacing w:w="15" w:type="dxa"/>
        </w:trPr>
        <w:tc>
          <w:tcPr>
            <w:tcW w:w="0" w:type="auto"/>
            <w:tcBorders>
              <w:bottom w:val="single" w:sz="4" w:space="0" w:color="auto"/>
              <w:right w:val="nil"/>
            </w:tcBorders>
            <w:tcMar>
              <w:top w:w="90" w:type="dxa"/>
              <w:left w:w="180" w:type="dxa"/>
              <w:bottom w:w="90" w:type="dxa"/>
              <w:right w:w="180" w:type="dxa"/>
            </w:tcMar>
            <w:vAlign w:val="center"/>
            <w:hideMark/>
          </w:tcPr>
          <w:p w14:paraId="5D3908B0"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Leverage</w:t>
            </w:r>
          </w:p>
        </w:tc>
        <w:tc>
          <w:tcPr>
            <w:tcW w:w="0" w:type="auto"/>
            <w:tcBorders>
              <w:bottom w:val="single" w:sz="4" w:space="0" w:color="auto"/>
              <w:right w:val="nil"/>
            </w:tcBorders>
            <w:tcMar>
              <w:top w:w="90" w:type="dxa"/>
              <w:left w:w="180" w:type="dxa"/>
              <w:bottom w:w="90" w:type="dxa"/>
              <w:right w:w="180" w:type="dxa"/>
            </w:tcMar>
            <w:vAlign w:val="center"/>
            <w:hideMark/>
          </w:tcPr>
          <w:p w14:paraId="700F2645"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bottom w:val="single" w:sz="4" w:space="0" w:color="auto"/>
              <w:right w:val="nil"/>
            </w:tcBorders>
            <w:tcMar>
              <w:top w:w="90" w:type="dxa"/>
              <w:left w:w="180" w:type="dxa"/>
              <w:bottom w:w="90" w:type="dxa"/>
              <w:right w:w="180" w:type="dxa"/>
            </w:tcMar>
            <w:vAlign w:val="center"/>
            <w:hideMark/>
          </w:tcPr>
          <w:p w14:paraId="103C1935"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c>
          <w:tcPr>
            <w:tcW w:w="0" w:type="auto"/>
            <w:tcBorders>
              <w:bottom w:val="single" w:sz="4" w:space="0" w:color="auto"/>
              <w:right w:val="nil"/>
            </w:tcBorders>
            <w:tcMar>
              <w:top w:w="90" w:type="dxa"/>
              <w:left w:w="180" w:type="dxa"/>
              <w:bottom w:w="90" w:type="dxa"/>
              <w:right w:w="180" w:type="dxa"/>
            </w:tcMar>
            <w:vAlign w:val="center"/>
            <w:hideMark/>
          </w:tcPr>
          <w:p w14:paraId="6C9FCEB5" w14:textId="77777777" w:rsidR="00572946" w:rsidRPr="00572946" w:rsidRDefault="00572946" w:rsidP="00572946">
            <w:pPr>
              <w:spacing w:after="0" w:line="240" w:lineRule="auto"/>
              <w:rPr>
                <w:rFonts w:eastAsia="Times New Roman" w:cs="Times New Roman"/>
                <w:szCs w:val="24"/>
              </w:rPr>
            </w:pPr>
            <w:r w:rsidRPr="00572946">
              <w:rPr>
                <w:rFonts w:eastAsia="Times New Roman" w:cs="Times New Roman"/>
                <w:szCs w:val="24"/>
              </w:rPr>
              <w:t>− s</w:t>
            </w:r>
            <w:r>
              <w:rPr>
                <w:rFonts w:eastAsia="Times New Roman" w:cs="Times New Roman"/>
                <w:szCs w:val="24"/>
              </w:rPr>
              <w:t>ig</w:t>
            </w:r>
            <w:r w:rsidRPr="00572946">
              <w:rPr>
                <w:rFonts w:eastAsia="Times New Roman" w:cs="Times New Roman"/>
                <w:szCs w:val="24"/>
              </w:rPr>
              <w:t>***</w:t>
            </w:r>
          </w:p>
        </w:tc>
      </w:tr>
    </w:tbl>
    <w:p w14:paraId="61E5413B" w14:textId="77777777" w:rsidR="00572946" w:rsidRPr="00572946" w:rsidRDefault="00572946" w:rsidP="00572946">
      <w:pPr>
        <w:shd w:val="clear" w:color="auto" w:fill="FFFFFF"/>
        <w:spacing w:before="100" w:beforeAutospacing="1" w:after="270" w:line="240" w:lineRule="auto"/>
        <w:rPr>
          <w:rFonts w:eastAsia="Times New Roman" w:cs="Times New Roman"/>
          <w:color w:val="2B2D31"/>
          <w:szCs w:val="24"/>
        </w:rPr>
      </w:pPr>
      <w:r w:rsidRPr="00572946">
        <w:rPr>
          <w:rFonts w:eastAsia="Times New Roman" w:cs="Times New Roman"/>
          <w:i/>
          <w:iCs/>
          <w:color w:val="2B2D31"/>
          <w:szCs w:val="24"/>
        </w:rPr>
        <w:t>Note:</w:t>
      </w:r>
      <w:r w:rsidRPr="00572946">
        <w:rPr>
          <w:rFonts w:eastAsia="Times New Roman" w:cs="Times New Roman"/>
          <w:color w:val="2B2D31"/>
          <w:szCs w:val="24"/>
        </w:rPr>
        <w:t> </w:t>
      </w:r>
      <w:r w:rsidRPr="00572946">
        <w:rPr>
          <w:rFonts w:eastAsia="Times New Roman" w:cs="Times New Roman"/>
          <w:i/>
          <w:iCs/>
          <w:color w:val="2B2D31"/>
          <w:szCs w:val="24"/>
        </w:rPr>
        <w:t>+ sig denotes a positive and significant effect; − sig denotes a negative and significant effect; insig denotes a statistically insignificant effect. Significance levels: *** p &lt; 0.01, ** p &lt; 0.05, * p &lt; 0.10. ACE was omitted due to lack of variation.</w:t>
      </w:r>
    </w:p>
    <w:p w14:paraId="33046CC5" w14:textId="77777777" w:rsidR="00572946" w:rsidRPr="00572946" w:rsidRDefault="00572946" w:rsidP="00CF2B70">
      <w:pPr>
        <w:spacing w:after="0" w:line="240" w:lineRule="auto"/>
        <w:jc w:val="both"/>
        <w:rPr>
          <w:rFonts w:cs="Times New Roman"/>
          <w:szCs w:val="24"/>
        </w:rPr>
      </w:pPr>
    </w:p>
    <w:p w14:paraId="4BCD9077" w14:textId="77777777" w:rsidR="000C5E47" w:rsidRPr="001F37A9" w:rsidRDefault="000C5E47" w:rsidP="007218FD">
      <w:pPr>
        <w:spacing w:line="240" w:lineRule="auto"/>
        <w:jc w:val="both"/>
        <w:rPr>
          <w:rFonts w:cs="Times New Roman"/>
          <w:szCs w:val="24"/>
        </w:rPr>
      </w:pPr>
      <w:r w:rsidRPr="001F37A9">
        <w:rPr>
          <w:rFonts w:cs="Times New Roman"/>
          <w:b/>
          <w:bCs/>
          <w:szCs w:val="24"/>
        </w:rPr>
        <w:t>4.4 Discussion of Findings</w:t>
      </w:r>
    </w:p>
    <w:p w14:paraId="282C0956" w14:textId="77777777" w:rsidR="000C5E47" w:rsidRPr="001F37A9" w:rsidRDefault="000C5E47" w:rsidP="00CF2B70">
      <w:pPr>
        <w:spacing w:after="0" w:line="240" w:lineRule="auto"/>
        <w:ind w:firstLine="720"/>
        <w:jc w:val="both"/>
        <w:rPr>
          <w:rFonts w:cs="Times New Roman"/>
          <w:szCs w:val="24"/>
        </w:rPr>
      </w:pPr>
      <w:r w:rsidRPr="001F37A9">
        <w:rPr>
          <w:rFonts w:cs="Times New Roman"/>
          <w:szCs w:val="24"/>
        </w:rPr>
        <w:t>This study examined how audit committee effectiveness influences earnings management among listed non-financial firms in Nigeria. The findings reveal that the effects of audit committee attributes are neither uniformly negative nor consistent across different proxies of earnings management. Instead, reporting outcomes depend on the specific committee attribute examined and the type of managerial manipulation being measured, whether accrual-based or income-smoothing behaviour.</w:t>
      </w:r>
    </w:p>
    <w:p w14:paraId="3C6EF57E" w14:textId="69179F9E" w:rsidR="000C5E47" w:rsidRPr="001F37A9" w:rsidRDefault="000C5E47" w:rsidP="00CF2B70">
      <w:pPr>
        <w:spacing w:after="0" w:line="240" w:lineRule="auto"/>
        <w:ind w:firstLine="720"/>
        <w:jc w:val="both"/>
        <w:rPr>
          <w:rFonts w:cs="Times New Roman"/>
          <w:szCs w:val="24"/>
        </w:rPr>
      </w:pPr>
      <w:r w:rsidRPr="001F37A9">
        <w:rPr>
          <w:rFonts w:cs="Times New Roman"/>
          <w:szCs w:val="24"/>
        </w:rPr>
        <w:lastRenderedPageBreak/>
        <w:t xml:space="preserve">The baseline regression results show that audit committee size exerts a positive and statistically significant effect on discretionary accruals (β = 0.044, p &lt; 0.01), contrary to the a priori expectation. This suggests that larger committees are associated with higher accrual-based manipulation rather than lower. This finding is consistent with the coordination failure argument advanced by </w:t>
      </w:r>
      <w:r w:rsidR="00DD3A45" w:rsidRPr="00DD3A45">
        <w:rPr>
          <w:rFonts w:cs="Times New Roman"/>
          <w:szCs w:val="24"/>
        </w:rPr>
        <w:t>Bilal</w:t>
      </w:r>
      <w:r w:rsidRPr="001F37A9">
        <w:rPr>
          <w:rFonts w:cs="Times New Roman"/>
          <w:szCs w:val="24"/>
        </w:rPr>
        <w:t xml:space="preserve"> (20</w:t>
      </w:r>
      <w:r w:rsidR="00DD3A45">
        <w:rPr>
          <w:rFonts w:cs="Times New Roman"/>
          <w:szCs w:val="24"/>
        </w:rPr>
        <w:t>18</w:t>
      </w:r>
      <w:r w:rsidRPr="001F37A9">
        <w:rPr>
          <w:rFonts w:cs="Times New Roman"/>
          <w:szCs w:val="24"/>
        </w:rPr>
        <w:t>), who observed that as committees grow in membership, free-rider dynamics emerge, responsibility becomes diffuse, and the granular scrutiny of individual accrual estimates weakens. Research grounded in resource dependency theory, however, predicts that larger committees should provide a broader oversight resource pool (Qawqaze &amp; Al-Absy, 2022). The present finding aligns more closely with the view that formal structural expansion does not automatically translate into substantive monitoring improvement, particularly in institutional environments where enforcement discipline is underdeveloped (</w:t>
      </w:r>
      <w:r w:rsidR="00FC2E34">
        <w:rPr>
          <w:rFonts w:cs="Times New Roman"/>
          <w:szCs w:val="24"/>
        </w:rPr>
        <w:t>Kaoje et al., 2023</w:t>
      </w:r>
      <w:r w:rsidRPr="001F37A9">
        <w:rPr>
          <w:rFonts w:cs="Times New Roman"/>
          <w:szCs w:val="24"/>
        </w:rPr>
        <w:t>). Conversely, committee size exhibits a negative and statistically significant effect on earnings smoothness (β = −1.917, p &lt; 0.01), indicating that larger committees are effective at detecting and curtailing the deliberate dampening of earnings volatility across multiple periods. This asymmetry suggests that monitoring capacity in larger committees is oriented toward aggregate earnings patterns rather than short-horizon accrual choices, a distinction consistent with the findings of Al-Qadasi et al. (20</w:t>
      </w:r>
      <w:r w:rsidR="002E209C">
        <w:rPr>
          <w:rFonts w:cs="Times New Roman"/>
          <w:szCs w:val="24"/>
        </w:rPr>
        <w:t>19</w:t>
      </w:r>
      <w:r w:rsidRPr="001F37A9">
        <w:rPr>
          <w:rFonts w:cs="Times New Roman"/>
          <w:szCs w:val="24"/>
        </w:rPr>
        <w:t>), who reported that committee composition enhances the breadth of financial oversight in emerging market firms.</w:t>
      </w:r>
    </w:p>
    <w:p w14:paraId="07CCC708" w14:textId="622E9A2A" w:rsidR="000C5E47" w:rsidRPr="001F37A9" w:rsidRDefault="000C5E47" w:rsidP="00CF2B70">
      <w:pPr>
        <w:spacing w:after="0" w:line="240" w:lineRule="auto"/>
        <w:ind w:firstLine="720"/>
        <w:jc w:val="both"/>
        <w:rPr>
          <w:rFonts w:cs="Times New Roman"/>
          <w:szCs w:val="24"/>
        </w:rPr>
      </w:pPr>
      <w:r w:rsidRPr="001F37A9">
        <w:rPr>
          <w:rFonts w:cs="Times New Roman"/>
          <w:szCs w:val="24"/>
        </w:rPr>
        <w:t>More strikingly, audit committee independence displays positive and statistically significant effects on both discretionary accruals (β = 0.020, p &lt; 0.05) and earnings smoothness (β = 13.02, p &lt; 0.01). These results directly contradict the agency theory prediction that independent oversight constrains managerial opportunism (</w:t>
      </w:r>
      <w:r w:rsidR="004A250B">
        <w:rPr>
          <w:rFonts w:cs="Times New Roman"/>
          <w:szCs w:val="24"/>
        </w:rPr>
        <w:t>Kaoje et al., 2023</w:t>
      </w:r>
      <w:r w:rsidRPr="001F37A9">
        <w:rPr>
          <w:rFonts w:cs="Times New Roman"/>
          <w:szCs w:val="24"/>
        </w:rPr>
        <w:t>). The direction of these coefficients indicates that a higher proportion of independent members is associated with greater, not lower, earnings manipulation across both proxies. This result contrasts with international studies such as Bilal et al. (20</w:t>
      </w:r>
      <w:r w:rsidR="001D7BDF">
        <w:rPr>
          <w:rFonts w:cs="Times New Roman"/>
          <w:szCs w:val="24"/>
        </w:rPr>
        <w:t>18</w:t>
      </w:r>
      <w:r w:rsidRPr="001F37A9">
        <w:rPr>
          <w:rFonts w:cs="Times New Roman"/>
          <w:szCs w:val="24"/>
        </w:rPr>
        <w:t>) and Al-Absy et al. (20</w:t>
      </w:r>
      <w:r w:rsidR="0037782E">
        <w:rPr>
          <w:rFonts w:cs="Times New Roman"/>
          <w:szCs w:val="24"/>
        </w:rPr>
        <w:t>19</w:t>
      </w:r>
      <w:r w:rsidRPr="001F37A9">
        <w:rPr>
          <w:rFonts w:cs="Times New Roman"/>
          <w:szCs w:val="24"/>
        </w:rPr>
        <w:t xml:space="preserve">), which found that independence constrained discretionary accruals in emerging market samples. However, it is consistent with </w:t>
      </w:r>
      <w:r w:rsidR="00FC2E34">
        <w:rPr>
          <w:rFonts w:cs="Times New Roman"/>
          <w:szCs w:val="24"/>
        </w:rPr>
        <w:t>Kaoje et al. (2023)</w:t>
      </w:r>
      <w:r w:rsidRPr="001F37A9">
        <w:rPr>
          <w:rFonts w:cs="Times New Roman"/>
          <w:szCs w:val="24"/>
        </w:rPr>
        <w:t>, who found no restraining effect of independence among Nigerian non-financial firms and attributed this to weak institutional enforcement. A plausible explanation for the present findings is that in the Nigerian regulatory environment, audit committee independence is achieved through formal headcount compliance rather than substantive autonomy. Independent members may lack the operational familiarity or informal authority to effectively challenge management's accounting choices. Furthermore, independent directors who are unfamiliar with the firm's sector may be susceptible to management narratives that justify income smoothing as prudent risk management, failing to recognise it as earnings manipulation. These findings reinforce the view that structural independence requirements under CAMA 2020 and the NCCG 2018 do not guarantee effective monitoring when enforcement mechanisms and reputational incentives remain weak (</w:t>
      </w:r>
      <w:r w:rsidR="00DD3A45" w:rsidRPr="00DD3A45">
        <w:rPr>
          <w:rFonts w:cs="Times New Roman"/>
          <w:szCs w:val="24"/>
        </w:rPr>
        <w:t>Kaoje</w:t>
      </w:r>
      <w:r w:rsidRPr="001F37A9">
        <w:rPr>
          <w:rFonts w:cs="Times New Roman"/>
          <w:szCs w:val="24"/>
        </w:rPr>
        <w:t xml:space="preserve"> et al., 202</w:t>
      </w:r>
      <w:r w:rsidR="00DD3A45">
        <w:rPr>
          <w:rFonts w:cs="Times New Roman"/>
          <w:szCs w:val="24"/>
        </w:rPr>
        <w:t>3</w:t>
      </w:r>
      <w:r w:rsidRPr="001F37A9">
        <w:rPr>
          <w:rFonts w:cs="Times New Roman"/>
          <w:szCs w:val="24"/>
        </w:rPr>
        <w:t>).</w:t>
      </w:r>
    </w:p>
    <w:p w14:paraId="55FC32BB" w14:textId="3B7CAC1D" w:rsidR="000C5E47" w:rsidRPr="001F37A9" w:rsidRDefault="000C5E47" w:rsidP="00CF2B70">
      <w:pPr>
        <w:spacing w:after="0" w:line="240" w:lineRule="auto"/>
        <w:ind w:firstLine="720"/>
        <w:jc w:val="both"/>
        <w:rPr>
          <w:rFonts w:cs="Times New Roman"/>
          <w:szCs w:val="24"/>
        </w:rPr>
      </w:pPr>
      <w:r>
        <w:rPr>
          <w:highlight w:val="yellow"/>
        </w:rPr>
        <w:t>Audit committee gender diversity exhibits a negative but statistically insignificant effect on discretionary accruals (β = −0.035, p &gt; 0.10), but a positive and statistically significant effect on earnings smoothness (β = 16.03, p &lt; 0.01). The insignificance for discretionary accruals suggests that gender composition does not meaningfully constrain short-horizon accrual manipulation in the Nigerian non-financial sector. This may reflect the low average female representation of 13.1% across sampled firms, which falls below the critical mass threshold theorised in the literature to produce substantive governance effects (Gull et al., 20</w:t>
      </w:r>
      <w:r w:rsidR="00DD3A45">
        <w:rPr>
          <w:highlight w:val="yellow"/>
        </w:rPr>
        <w:t>18</w:t>
      </w:r>
      <w:r>
        <w:rPr>
          <w:highlight w:val="yellow"/>
        </w:rPr>
        <w:t xml:space="preserve">). The positive association with earnings smoothness is an unexpected finding that contradicts the hypothesis and the international evidence reported by </w:t>
      </w:r>
      <w:r w:rsidR="002E209C" w:rsidRPr="002E209C">
        <w:t>Qawqaze</w:t>
      </w:r>
      <w:r>
        <w:rPr>
          <w:highlight w:val="yellow"/>
        </w:rPr>
        <w:t xml:space="preserve"> et al. (202</w:t>
      </w:r>
      <w:r w:rsidR="002E209C">
        <w:rPr>
          <w:highlight w:val="yellow"/>
        </w:rPr>
        <w:t>2</w:t>
      </w:r>
      <w:r>
        <w:rPr>
          <w:highlight w:val="yellow"/>
        </w:rPr>
        <w:t>). A plausible contextual explanation is that female directors who constitute a small minority may adopt consensus-oriented decision-making styles that acquiesce to management's preference for stable earnings presentations rather than challenging them. This finding is consistent with the critical mass argument embedded in resource dependency theory, which holds that governance benefits of diversity only materialise when minority representation reaches a meaningful threshold (Lückerath-Rovers, 20</w:t>
      </w:r>
      <w:r w:rsidR="00DD3A45">
        <w:rPr>
          <w:highlight w:val="yellow"/>
        </w:rPr>
        <w:t>1</w:t>
      </w:r>
      <w:r>
        <w:rPr>
          <w:highlight w:val="yellow"/>
        </w:rPr>
        <w:t>3). The contrast with studies from more developed governance environments reinforces the importance of institutional context in interpreting diversity effects on reporting quality.</w:t>
      </w:r>
    </w:p>
    <w:p w14:paraId="47330BF2" w14:textId="226A9D2E" w:rsidR="000C5E47" w:rsidRPr="001F37A9" w:rsidRDefault="000C5E47" w:rsidP="00106EE4">
      <w:pPr>
        <w:spacing w:after="0" w:line="240" w:lineRule="auto"/>
        <w:ind w:firstLine="720"/>
        <w:jc w:val="both"/>
        <w:rPr>
          <w:rFonts w:cs="Times New Roman"/>
          <w:szCs w:val="24"/>
        </w:rPr>
      </w:pPr>
      <w:r w:rsidRPr="001F37A9">
        <w:rPr>
          <w:rFonts w:cs="Times New Roman"/>
          <w:szCs w:val="24"/>
        </w:rPr>
        <w:lastRenderedPageBreak/>
        <w:t xml:space="preserve">Audit committee meeting frequency exhibits a negative and statistically significant effect on earnings smoothness (β = −0.368, p &lt; 0.05), providing partial support for the diligence hypothesis. Active committees that convene regularly are better positioned to track earnings trends over multiple periods and to challenge management's justifications for consistent accrual patterns that artificially dampen income volatility. </w:t>
      </w:r>
      <w:r w:rsidR="002E5334" w:rsidRPr="002E5334">
        <w:rPr>
          <w:rFonts w:cs="Times New Roman"/>
          <w:szCs w:val="24"/>
        </w:rPr>
        <w:t>Notably, while meeting frequency reduces earnings smoothness (Table 4), it shows a positive and significant effect on composite earnings management (Table 5, β = 0.112, p &lt; 0.01). This apparent paradox may reflect that committees meeting more frequently generate a denser paper trail and greater procedural formality that, paradoxically, creates opportunities for management to justify complex accrual decisions through repeated, agenda-driven documentation. Alternatively, firms with more governance challenges may convene more meetings reactively rather than proactively, consistent with the view that meeting frequency is a lagged response to reporting problems rather than a deterrent</w:t>
      </w:r>
      <w:r w:rsidR="002E5334">
        <w:rPr>
          <w:rFonts w:cs="Times New Roman"/>
          <w:szCs w:val="24"/>
        </w:rPr>
        <w:t xml:space="preserve">. </w:t>
      </w:r>
      <w:r w:rsidRPr="001F37A9">
        <w:rPr>
          <w:rFonts w:cs="Times New Roman"/>
          <w:szCs w:val="24"/>
        </w:rPr>
        <w:t xml:space="preserve">This finding aligns with </w:t>
      </w:r>
      <w:r w:rsidR="000F1E0E" w:rsidRPr="000F1E0E">
        <w:rPr>
          <w:rFonts w:cs="Times New Roman"/>
          <w:szCs w:val="24"/>
        </w:rPr>
        <w:t>Kaoje</w:t>
      </w:r>
      <w:r w:rsidR="000F1E0E">
        <w:rPr>
          <w:rFonts w:cs="Times New Roman"/>
          <w:szCs w:val="24"/>
        </w:rPr>
        <w:t xml:space="preserve"> et al.</w:t>
      </w:r>
      <w:r w:rsidRPr="001F37A9">
        <w:rPr>
          <w:rFonts w:cs="Times New Roman"/>
          <w:szCs w:val="24"/>
        </w:rPr>
        <w:t xml:space="preserve"> (2023) and </w:t>
      </w:r>
      <w:r w:rsidR="00015BC9" w:rsidRPr="00015BC9">
        <w:rPr>
          <w:rFonts w:cs="Times New Roman"/>
          <w:szCs w:val="24"/>
        </w:rPr>
        <w:t>Kaoje</w:t>
      </w:r>
      <w:r w:rsidRPr="001F37A9">
        <w:rPr>
          <w:rFonts w:cs="Times New Roman"/>
          <w:szCs w:val="24"/>
        </w:rPr>
        <w:t xml:space="preserve"> et al. (2023), both of whom reported that meeting frequency enhances oversight quality in Nigerian firms, and with </w:t>
      </w:r>
      <w:r w:rsidR="002E209C" w:rsidRPr="002E209C">
        <w:rPr>
          <w:rFonts w:cs="Times New Roman"/>
          <w:szCs w:val="24"/>
        </w:rPr>
        <w:t>Qawqaze et al. (2022)</w:t>
      </w:r>
      <w:r w:rsidRPr="001F37A9">
        <w:rPr>
          <w:rFonts w:cs="Times New Roman"/>
          <w:szCs w:val="24"/>
        </w:rPr>
        <w:t xml:space="preserve">, who documented a significant constraining effect of diligence on earnings management in an emerging market context. However, meeting frequency exhibits a negative but insignificant effect on discretionary accruals (β = −0.002, p &gt; 0.10), implying that the frequency of committee sittings alone does not significantly constrain accrual-based manipulation. This finding is consistent with </w:t>
      </w:r>
      <w:r w:rsidR="00FC2E34">
        <w:rPr>
          <w:rFonts w:cs="Times New Roman"/>
          <w:szCs w:val="24"/>
        </w:rPr>
        <w:t>Kaoje et al. (2023)</w:t>
      </w:r>
      <w:r w:rsidRPr="001F37A9">
        <w:rPr>
          <w:rFonts w:cs="Times New Roman"/>
          <w:szCs w:val="24"/>
        </w:rPr>
        <w:t>, who found a weak relationship between meeting frequency and earnings management in Nigeria, and suggests that committee agendas may be procedurally driven rather than focused on rigorous scrutiny of specific accounting estimates.</w:t>
      </w:r>
    </w:p>
    <w:p w14:paraId="0C5E1EDB" w14:textId="3491FBDF" w:rsidR="00BC2131" w:rsidRDefault="000C5E47" w:rsidP="00BC2131">
      <w:pPr>
        <w:spacing w:after="0" w:line="240" w:lineRule="auto"/>
        <w:ind w:firstLine="720"/>
        <w:jc w:val="both"/>
        <w:rPr>
          <w:rFonts w:cs="Times New Roman"/>
          <w:szCs w:val="24"/>
        </w:rPr>
      </w:pPr>
      <w:r>
        <w:rPr>
          <w:highlight w:val="yellow"/>
        </w:rPr>
        <w:t xml:space="preserve">Audit committee financial expertise was excluded from all regression models due to zero variation across the sampled firms. All 56 </w:t>
      </w:r>
      <w:proofErr w:type="gramStart"/>
      <w:r>
        <w:rPr>
          <w:highlight w:val="yellow"/>
        </w:rPr>
        <w:t>firms maintained</w:t>
      </w:r>
      <w:proofErr w:type="gramEnd"/>
      <w:r>
        <w:rPr>
          <w:highlight w:val="yellow"/>
        </w:rPr>
        <w:t xml:space="preserve"> audit committee members with the required financial qualifications throughout the entire study period from 2014 to 2024. While this precludes statistical testing of the hypothesis, it reflects a noteworthy empirical reality: the post-IFRS adoption period has produced a minimum standard of financial literacy on Nigerian audit committees, suggesting that regulatory requirements following the full IFRS stabilisation have been effectively institutionalised (</w:t>
      </w:r>
      <w:r w:rsidR="004A250B">
        <w:rPr>
          <w:highlight w:val="yellow"/>
        </w:rPr>
        <w:t>Kaoje et al., 2023</w:t>
      </w:r>
      <w:r>
        <w:rPr>
          <w:highlight w:val="yellow"/>
        </w:rPr>
        <w:t xml:space="preserve">). This finding echoes </w:t>
      </w:r>
      <w:r w:rsidR="00FC5E0A" w:rsidRPr="00FC5E0A">
        <w:t>Bilal</w:t>
      </w:r>
      <w:r>
        <w:rPr>
          <w:highlight w:val="yellow"/>
        </w:rPr>
        <w:t xml:space="preserve"> et al. (20</w:t>
      </w:r>
      <w:r w:rsidR="00FC5E0A">
        <w:rPr>
          <w:highlight w:val="yellow"/>
        </w:rPr>
        <w:t>18</w:t>
      </w:r>
      <w:r>
        <w:rPr>
          <w:highlight w:val="yellow"/>
        </w:rPr>
        <w:t>), who noted that the technical baseline of committee expertise has improved across emerging market firms, though the absence of variation prevents testing whether expertise gradations produce differential reporting outcomes.</w:t>
      </w:r>
    </w:p>
    <w:p w14:paraId="11D2662B" w14:textId="017DABF8" w:rsidR="000C5E47" w:rsidRPr="001F37A9" w:rsidRDefault="000C5E47" w:rsidP="00BC2131">
      <w:pPr>
        <w:spacing w:after="0" w:line="240" w:lineRule="auto"/>
        <w:ind w:firstLine="720"/>
        <w:jc w:val="both"/>
        <w:rPr>
          <w:rFonts w:cs="Times New Roman"/>
          <w:szCs w:val="24"/>
        </w:rPr>
      </w:pPr>
      <w:r>
        <w:rPr>
          <w:highlight w:val="yellow"/>
        </w:rPr>
        <w:t>Taken together, these findings both support and challenge the existing corporate governance literature. They support studies that emphasise the importance of behavioural monitoring activity over formal structural composition in determining oversight effectiveness (</w:t>
      </w:r>
      <w:r w:rsidR="00DD3A45" w:rsidRPr="00DD3A45">
        <w:t>Kaoje</w:t>
      </w:r>
      <w:r>
        <w:rPr>
          <w:highlight w:val="yellow"/>
        </w:rPr>
        <w:t xml:space="preserve"> et al., 202</w:t>
      </w:r>
      <w:r w:rsidR="00DD3A45">
        <w:rPr>
          <w:highlight w:val="yellow"/>
        </w:rPr>
        <w:t>3</w:t>
      </w:r>
      <w:r>
        <w:rPr>
          <w:highlight w:val="yellow"/>
        </w:rPr>
        <w:t xml:space="preserve">; </w:t>
      </w:r>
      <w:r w:rsidR="00FC2E34" w:rsidRPr="00FC2E34">
        <w:t>Bilal</w:t>
      </w:r>
      <w:r>
        <w:rPr>
          <w:highlight w:val="yellow"/>
        </w:rPr>
        <w:t xml:space="preserve"> et al., 20</w:t>
      </w:r>
      <w:r w:rsidR="00FC2E34">
        <w:rPr>
          <w:highlight w:val="yellow"/>
        </w:rPr>
        <w:t>18</w:t>
      </w:r>
      <w:r>
        <w:rPr>
          <w:highlight w:val="yellow"/>
        </w:rPr>
        <w:t>). At the same time, they contradict the prevailing regulatory philosophy that structural independence and larger committee membership automatically improve reporting quality. Instead, the results suggest that meeting diligence is a more reliable predictor of financial reporting integrity than headcount-based compliance mandates. In theoretical terms, the findings provide empirical validation for the agency theory argument that effective monitoring requires substantive rather than nominal oversight capacity. The differential effects across earnings management proxies further underscore the importance of adopting a multi-proxy approach in governance research, as findings based exclusively on discretionary accruals would have missed the significant governance effects on income smoothing documented in this study.</w:t>
      </w:r>
    </w:p>
    <w:p w14:paraId="4FA63259" w14:textId="79734AE5" w:rsidR="00885494" w:rsidRPr="001F37A9" w:rsidRDefault="001A1545" w:rsidP="00885494">
      <w:pPr>
        <w:spacing w:after="100" w:afterAutospacing="1" w:line="240" w:lineRule="auto"/>
        <w:ind w:firstLine="720"/>
        <w:jc w:val="both"/>
        <w:rPr>
          <w:rFonts w:cs="Times New Roman"/>
          <w:szCs w:val="24"/>
        </w:rPr>
      </w:pPr>
      <w:r w:rsidRPr="001F37A9">
        <w:rPr>
          <w:rFonts w:cs="Times New Roman"/>
          <w:szCs w:val="24"/>
        </w:rPr>
        <w:t xml:space="preserve">Considering the composite earnings management index, which captures the aggregate effect of all audit committee attributes on overall managerial opportunism, the results reveal a broadly consistent but nuanced picture. The GMM results (Wald χ² = 25,175.71, p &lt; 0.01) confirm that audit committee effectiveness as a whole exerts a statistically significant influence on earnings management among listed non-financial firms in Nigeria. Specifically, audit committee size (β = −0.852, p &lt; 0.01) and gender diversity (β = −0.540, p &lt; 0.01) significantly reduce overall earnings management, suggesting that the collective monitoring breadth of larger committees and the ethical sensitivity associated with gender-inclusive oversight contribute meaningfully to constraining aggregate managerial opportunism. However, audit committee independence (β = 2.204, p &lt; 0.01) and meeting frequency (β = 0.112, p &lt; </w:t>
      </w:r>
      <w:r w:rsidRPr="001F37A9">
        <w:rPr>
          <w:rFonts w:cs="Times New Roman"/>
          <w:szCs w:val="24"/>
        </w:rPr>
        <w:lastRenderedPageBreak/>
        <w:t>0.01) paradoxically amplify composite earnings management, reinforcing the systemic finding that formal structural compliance and procedural activity in the Nigerian governance environment do not automatically translate into substantive reporting discipline (</w:t>
      </w:r>
      <w:r w:rsidR="00FC2E34">
        <w:rPr>
          <w:rFonts w:cs="Times New Roman"/>
          <w:szCs w:val="24"/>
        </w:rPr>
        <w:t>Kaoje et al., 2023</w:t>
      </w:r>
      <w:r w:rsidRPr="001F37A9">
        <w:rPr>
          <w:rFonts w:cs="Times New Roman"/>
          <w:szCs w:val="24"/>
        </w:rPr>
        <w:t xml:space="preserve">; </w:t>
      </w:r>
      <w:r w:rsidR="004A250B">
        <w:rPr>
          <w:rFonts w:cs="Times New Roman"/>
          <w:szCs w:val="24"/>
        </w:rPr>
        <w:t>Kaoje et al., 2023</w:t>
      </w:r>
      <w:r w:rsidRPr="001F37A9">
        <w:rPr>
          <w:rFonts w:cs="Times New Roman"/>
          <w:szCs w:val="24"/>
        </w:rPr>
        <w:t xml:space="preserve">). These composite results are consistent with </w:t>
      </w:r>
      <w:r w:rsidR="00DD3A45" w:rsidRPr="00DD3A45">
        <w:rPr>
          <w:rFonts w:cs="Times New Roman"/>
          <w:szCs w:val="24"/>
        </w:rPr>
        <w:t>Kaoje</w:t>
      </w:r>
      <w:r w:rsidRPr="001F37A9">
        <w:rPr>
          <w:rFonts w:cs="Times New Roman"/>
          <w:szCs w:val="24"/>
        </w:rPr>
        <w:t xml:space="preserve"> et al. (202</w:t>
      </w:r>
      <w:r w:rsidR="00DD3A45">
        <w:rPr>
          <w:rFonts w:cs="Times New Roman"/>
          <w:szCs w:val="24"/>
        </w:rPr>
        <w:t>3</w:t>
      </w:r>
      <w:r w:rsidRPr="001F37A9">
        <w:rPr>
          <w:rFonts w:cs="Times New Roman"/>
          <w:szCs w:val="24"/>
        </w:rPr>
        <w:t xml:space="preserve">) and </w:t>
      </w:r>
      <w:r w:rsidR="00FC2E34" w:rsidRPr="00FC2E34">
        <w:rPr>
          <w:rFonts w:cs="Times New Roman"/>
          <w:szCs w:val="24"/>
        </w:rPr>
        <w:t>Bilal</w:t>
      </w:r>
      <w:r w:rsidRPr="001F37A9">
        <w:rPr>
          <w:rFonts w:cs="Times New Roman"/>
          <w:szCs w:val="24"/>
        </w:rPr>
        <w:t xml:space="preserve"> et al. (20</w:t>
      </w:r>
      <w:r w:rsidR="00FC2E34">
        <w:rPr>
          <w:rFonts w:cs="Times New Roman"/>
          <w:szCs w:val="24"/>
        </w:rPr>
        <w:t>18</w:t>
      </w:r>
      <w:r w:rsidRPr="001F37A9">
        <w:rPr>
          <w:rFonts w:cs="Times New Roman"/>
          <w:szCs w:val="24"/>
        </w:rPr>
        <w:t>), who argued that the ultimate effectiveness of internal governance mechanisms depends not on isolated structural attributes but on how collectively these attributes function as a unified assurance system capable of reducing information asymmetry between managers and shareholders.</w:t>
      </w:r>
      <w:r w:rsidR="00885494">
        <w:rPr>
          <w:rFonts w:cs="Times New Roman"/>
          <w:szCs w:val="24"/>
        </w:rPr>
        <w:t xml:space="preserve"> </w:t>
      </w:r>
      <w:r w:rsidR="00885494" w:rsidRPr="00885494">
        <w:rPr>
          <w:rFonts w:cs="Times New Roman"/>
          <w:szCs w:val="24"/>
        </w:rPr>
        <w:t>The consistently negative and significant coefficient on leverage across all three models (Tables 3–5) warrants attention, as it contradicts the a priori expectation of a positive sign derived from the debt covenant hypothesis. In the Nigerian institutional context, however, high leverage is more indicative of financial distress than strategic borrowing. Distressed firms face heightened scrutiny from creditors, external auditors, and regulatory bodies, which constrains managerial discretion over accruals rather than incentivi</w:t>
      </w:r>
      <w:r w:rsidR="00885494">
        <w:rPr>
          <w:rFonts w:cs="Times New Roman"/>
          <w:szCs w:val="24"/>
        </w:rPr>
        <w:t>s</w:t>
      </w:r>
      <w:r w:rsidR="00885494" w:rsidRPr="00885494">
        <w:rPr>
          <w:rFonts w:cs="Times New Roman"/>
          <w:szCs w:val="24"/>
        </w:rPr>
        <w:t>ing earnings manipulation. This finding is consistent with Farouk and Isa (2023), who documented similar patterns in Nigerian listed firms, and reflects the context-specific limitations of applying debt-covenant theory in environments where credit market discipline operates differently</w:t>
      </w:r>
      <w:r w:rsidR="00885494">
        <w:rPr>
          <w:rFonts w:cs="Times New Roman"/>
          <w:szCs w:val="24"/>
        </w:rPr>
        <w:t>.</w:t>
      </w:r>
    </w:p>
    <w:p w14:paraId="35E6590C" w14:textId="77777777" w:rsidR="00FB20E5" w:rsidRPr="001F37A9" w:rsidRDefault="00FB20E5" w:rsidP="007218FD">
      <w:pPr>
        <w:shd w:val="clear" w:color="auto" w:fill="FFFFFF"/>
        <w:spacing w:before="100" w:beforeAutospacing="1" w:after="270" w:line="240" w:lineRule="auto"/>
        <w:jc w:val="both"/>
        <w:rPr>
          <w:rFonts w:eastAsia="Times New Roman" w:cs="Times New Roman"/>
          <w:color w:val="2B2D31"/>
          <w:szCs w:val="24"/>
        </w:rPr>
      </w:pPr>
      <w:r w:rsidRPr="001F37A9">
        <w:rPr>
          <w:rFonts w:eastAsia="Times New Roman" w:cs="Times New Roman"/>
          <w:b/>
          <w:bCs/>
          <w:color w:val="2B2D31"/>
          <w:szCs w:val="24"/>
        </w:rPr>
        <w:t>5. Conclusion and Recommendations</w:t>
      </w:r>
    </w:p>
    <w:p w14:paraId="60F2FD98" w14:textId="77777777" w:rsidR="00FB20E5" w:rsidRDefault="00FB20E5" w:rsidP="00B6199A">
      <w:pPr>
        <w:shd w:val="clear" w:color="auto" w:fill="FFFFFF"/>
        <w:spacing w:after="0" w:line="240" w:lineRule="auto"/>
        <w:ind w:firstLine="720"/>
        <w:jc w:val="both"/>
        <w:rPr>
          <w:rFonts w:eastAsia="Times New Roman" w:cs="Times New Roman"/>
          <w:color w:val="2B2D31"/>
          <w:szCs w:val="24"/>
        </w:rPr>
      </w:pPr>
      <w:r>
        <w:rPr>
          <w:color w:val="2B2D31"/>
          <w:highlight w:val="yellow"/>
        </w:rPr>
        <w:t>This study concludes that audit committee effectiveness has a significant but non-uniform influence on earnings management among listed non-financial firms in Nigeria during 2014-2024. The evidence indicates that the monitoring role of audit committees depends on the attribute examined and on whether earnings management is measured through discretionary accruals, earnings smoothness, or the composite index. Audit committee size reduces earnings smoothness and composite earnings management but increases discretionary accruals, suggesting that larger committees may strengthen aggregate oversight while weakening detailed scrutiny of accrual choices. Audit committee independence increases all three earnings management proxies, implying that formal independence may function more as regulatory compliance than as substantive monitoring in the Nigerian setting. Meeting frequency reduces earnings smoothness but increases composite earnings management, while gender diversity reduces the composite measure but shows inconsistent effects across the individual proxies. Financial expertise could not be estimated because all sampled firms satisfied the required qualification threshold throughout the period. Overall, the findings show that structural compliance alone is insufficient to ensure financial reporting integrity. Effective constraint of managerial opportunism requires audit committees with genuine autonomy, active engagement, meaningful diversity representation, and monitoring practices that go beyond procedural adherence to governance codes and stronger accountability expectations.</w:t>
      </w:r>
    </w:p>
    <w:p w14:paraId="64F7A10F" w14:textId="77777777" w:rsidR="00B6199A" w:rsidRDefault="00B6199A" w:rsidP="00B6199A">
      <w:pPr>
        <w:shd w:val="clear" w:color="auto" w:fill="FFFFFF"/>
        <w:spacing w:after="0" w:line="240" w:lineRule="auto"/>
        <w:ind w:firstLine="720"/>
        <w:jc w:val="both"/>
        <w:rPr>
          <w:rFonts w:eastAsia="Times New Roman" w:cs="Times New Roman"/>
          <w:color w:val="2B2D31"/>
          <w:szCs w:val="24"/>
        </w:rPr>
      </w:pPr>
      <w:r>
        <w:rPr>
          <w:b/>
          <w:highlight w:val="yellow"/>
        </w:rPr>
        <w:t>Limitations of the Study</w:t>
      </w:r>
    </w:p>
    <w:p w14:paraId="0AEAAB6C" w14:textId="77777777" w:rsidR="00B6199A" w:rsidRPr="001F37A9" w:rsidRDefault="00B6199A" w:rsidP="00592E2D">
      <w:pPr>
        <w:ind w:firstLine="720"/>
        <w:rPr>
          <w:rFonts w:eastAsia="Times New Roman" w:cs="Times New Roman"/>
          <w:color w:val="2B2D31"/>
          <w:szCs w:val="24"/>
        </w:rPr>
      </w:pPr>
      <w:r>
        <w:rPr>
          <w:color w:val="2B2D31"/>
          <w:highlight w:val="yellow"/>
        </w:rPr>
        <w:t>The study has several limitations that should guide the interpretation of its findings. First, the analysis is limited to listed non-financial firms in Nigeria; therefore, the results may not be directly generalisable to financial institutions, state-owned entities, unlisted firms, or other emerging markets with different regulatory and ownership structures. Second, audit committee financial expertise was measured in a way that produced no variation across the sampled firms, which prevented its inclusion in the regression models and limited the assessment of expertise quality. Third, although the Generalised Method of Moments estimator helps address endogeneity, autocorrelation, and heteroscedasticity, it may not fully remove omitted variable bias. Fourth, the study relies on secondary data from annual reports, so the analysis is constrained by the accuracy and completeness of disclosed governance information. Future research may incorporate additional governance variables, audit quality measures, and sector-specific comparisons to strengthen evidence on the governance-earnings management relationship further.</w:t>
      </w:r>
    </w:p>
    <w:p w14:paraId="67BF0215" w14:textId="77777777" w:rsidR="00FB20E5" w:rsidRDefault="00FB20E5" w:rsidP="00B6199A">
      <w:pPr>
        <w:shd w:val="clear" w:color="auto" w:fill="FFFFFF"/>
        <w:spacing w:after="0" w:line="240" w:lineRule="auto"/>
        <w:ind w:firstLine="720"/>
        <w:jc w:val="both"/>
        <w:rPr>
          <w:rFonts w:eastAsia="Times New Roman" w:cs="Times New Roman"/>
          <w:color w:val="2B2D31"/>
          <w:szCs w:val="24"/>
        </w:rPr>
      </w:pPr>
      <w:r>
        <w:rPr>
          <w:color w:val="2B2D31"/>
          <w:highlight w:val="yellow"/>
        </w:rPr>
        <w:lastRenderedPageBreak/>
        <w:t>Listed non-financial firms should prioritise behavioural oversight alongside structural compliance. Investments in audit committee composition must be accompanied by clear performance mandates, enforceable engagement protocols, and measurable reporting quality benchmarks. Audit committees should not function as ceremonial sub-committees of the board but as active monitoring bodies empowered to challenge management's accounting choices and enforce transparent financial disclosure. Regulators, particularly the Securities and Exchange Commission and the Financial Reporting Council of Nigeria, should reassess the current emphasis of CAMA 2020 and NCCG 2018 on headcount-based independence. Regulatory focus should shift from structural mandates toward diligence-based oversight requirements, including minimum sitting quotas, mandatory evaluation of committee-auditor interaction quality, and enforceable sanctions for committees that fail to demonstrate active engagement with financial reporting processes. Furthermore, to unlock the governance benefits of gender inclusion, regulators should encourage a critical mass threshold of at least three female audit committee members rather than tokenistic representation.</w:t>
      </w:r>
    </w:p>
    <w:p w14:paraId="25BFD425" w14:textId="77777777" w:rsidR="00592E2D" w:rsidRPr="001F37A9" w:rsidRDefault="00592E2D" w:rsidP="00B6199A">
      <w:pPr>
        <w:shd w:val="clear" w:color="auto" w:fill="FFFFFF"/>
        <w:spacing w:after="0" w:line="240" w:lineRule="auto"/>
        <w:ind w:firstLine="720"/>
        <w:jc w:val="both"/>
        <w:rPr>
          <w:rFonts w:eastAsia="Times New Roman" w:cs="Times New Roman"/>
          <w:color w:val="2B2D31"/>
          <w:szCs w:val="24"/>
        </w:rPr>
      </w:pPr>
    </w:p>
    <w:p w14:paraId="4B3A543A" w14:textId="77777777" w:rsidR="00FB20E5" w:rsidRPr="001F37A9" w:rsidRDefault="00FB20E5" w:rsidP="00592E2D">
      <w:pPr>
        <w:shd w:val="clear" w:color="auto" w:fill="FFFFFF"/>
        <w:spacing w:after="0" w:line="240" w:lineRule="auto"/>
        <w:ind w:firstLine="720"/>
        <w:jc w:val="both"/>
        <w:rPr>
          <w:rFonts w:eastAsia="Times New Roman" w:cs="Times New Roman"/>
          <w:color w:val="2B2D31"/>
          <w:szCs w:val="24"/>
        </w:rPr>
      </w:pPr>
      <w:r>
        <w:rPr>
          <w:color w:val="2B2D31"/>
          <w:highlight w:val="yellow"/>
        </w:rPr>
        <w:t>Investors and institutional shareholders should exercise caution when relying on traditional governance indicators such as independence ratios and committee size as signals of reporting quality. The findings of this study demonstrate that these structural attributes do not reliably predict lower earnings management in the Nigerian context. Instead, investors should prioritise firms whose audit committees demonstrate high meeting frequency, gender-inclusive composition at meaningful representation levels, and active engagement with external auditors as primary behavioural indicators of financial reporting integrity. Future research should extend this inquiry through moderating variable analysis, particularly examining how audit quality measured through audit fees activates or constrains the relationship between audit committee effectiveness and earnings management in Nigeria. Comparative studies across sectors, including financial institutions, would broaden the regulatory relevance of these findings. Longitudinal investigation into how post-CAMA 2020 reforms have progressively shaped audit committee behaviour would also provide deeper evidence on whether structural governance mandates eventually translate into substantive reporting improvements within the Nigerian capital market.</w:t>
      </w:r>
    </w:p>
    <w:p w14:paraId="17BE052C" w14:textId="77777777" w:rsidR="00BD3B07" w:rsidRDefault="00BD3B07" w:rsidP="00592E2D">
      <w:pPr>
        <w:shd w:val="clear" w:color="auto" w:fill="FFFFFF"/>
        <w:spacing w:after="0" w:line="240" w:lineRule="auto"/>
        <w:jc w:val="both"/>
        <w:rPr>
          <w:rFonts w:eastAsia="Times New Roman" w:cs="Times New Roman"/>
          <w:color w:val="2B2D31"/>
          <w:szCs w:val="24"/>
        </w:rPr>
      </w:pPr>
    </w:p>
    <w:p w14:paraId="6FD92320" w14:textId="77777777" w:rsidR="00BD3B07" w:rsidRDefault="00BD3B07" w:rsidP="00BD3B07">
      <w:pPr>
        <w:rPr>
          <w:rFonts w:ascii="Arial" w:hAnsi="Arial" w:cs="Arial"/>
          <w:sz w:val="20"/>
          <w:szCs w:val="20"/>
        </w:rPr>
      </w:pPr>
      <w:bookmarkStart w:id="3" w:name="_Hlk223955456"/>
    </w:p>
    <w:p w14:paraId="78258107" w14:textId="77777777" w:rsidR="00BD3B07" w:rsidRPr="00005ED1" w:rsidRDefault="00BD3B07" w:rsidP="00BD3B07">
      <w:pPr>
        <w:pStyle w:val="NoSpacing"/>
        <w:rPr>
          <w:rFonts w:ascii="Arial" w:hAnsi="Arial" w:cs="Arial"/>
          <w:highlight w:val="yellow"/>
        </w:rPr>
      </w:pPr>
      <w:bookmarkStart w:id="4" w:name="_Hlk198031404"/>
      <w:r w:rsidRPr="00005ED1">
        <w:rPr>
          <w:rFonts w:ascii="Arial" w:hAnsi="Arial" w:cs="Arial"/>
        </w:rPr>
        <w:t>Disclaimer (Artificial intelligence)</w:t>
      </w:r>
    </w:p>
    <w:p w14:paraId="51D3D3DE" w14:textId="77777777" w:rsidR="00BD3B07" w:rsidRPr="00005ED1" w:rsidRDefault="00BD3B07" w:rsidP="00BD3B07">
      <w:pPr>
        <w:pStyle w:val="NoSpacing"/>
        <w:rPr>
          <w:rFonts w:ascii="Arial" w:hAnsi="Arial" w:cs="Arial"/>
          <w:highlight w:val="yellow"/>
        </w:rPr>
      </w:pPr>
    </w:p>
    <w:bookmarkEnd w:id="3"/>
    <w:bookmarkEnd w:id="4"/>
    <w:p w14:paraId="60FC2EA2" w14:textId="278E8AD6" w:rsidR="00BD3B07" w:rsidRPr="001F37A9" w:rsidRDefault="001903D9" w:rsidP="00BC2131">
      <w:pPr>
        <w:shd w:val="clear" w:color="auto" w:fill="FFFFFF"/>
        <w:spacing w:after="0" w:line="240" w:lineRule="auto"/>
        <w:ind w:firstLine="720"/>
        <w:jc w:val="both"/>
        <w:rPr>
          <w:rFonts w:eastAsia="Times New Roman" w:cs="Times New Roman"/>
          <w:color w:val="2B2D31"/>
          <w:szCs w:val="24"/>
        </w:rPr>
      </w:pPr>
      <w:r w:rsidRPr="001903D9">
        <w:rPr>
          <w:rFonts w:eastAsia="Times New Roman" w:cs="Times New Roman"/>
          <w:color w:val="2B2D31"/>
          <w:szCs w:val="24"/>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595F303" w14:textId="77777777" w:rsidR="00CE179B" w:rsidRPr="001F37A9" w:rsidRDefault="00CE179B" w:rsidP="00BC2131">
      <w:pPr>
        <w:spacing w:before="240" w:after="0" w:line="240" w:lineRule="auto"/>
        <w:jc w:val="center"/>
        <w:rPr>
          <w:rFonts w:cs="Times New Roman"/>
          <w:b/>
          <w:bCs/>
          <w:szCs w:val="24"/>
        </w:rPr>
      </w:pPr>
      <w:r w:rsidRPr="001F37A9">
        <w:rPr>
          <w:rFonts w:cs="Times New Roman"/>
          <w:b/>
          <w:bCs/>
          <w:szCs w:val="24"/>
        </w:rPr>
        <w:t>References</w:t>
      </w:r>
    </w:p>
    <w:p w14:paraId="7660D9B1" w14:textId="77777777" w:rsidR="00754DBB" w:rsidRDefault="00754DBB"/>
    <w:p w14:paraId="67148EE0" w14:textId="77777777" w:rsidR="000F1E0E" w:rsidRPr="000F1E0E" w:rsidRDefault="000F1E0E" w:rsidP="000F1E0E">
      <w:pPr>
        <w:ind w:left="540" w:hanging="540"/>
        <w:jc w:val="both"/>
        <w:rPr>
          <w:rFonts w:ascii="Calibri" w:eastAsia="Calibri" w:hAnsi="Calibri" w:cs="Times New Roman"/>
          <w:kern w:val="2"/>
          <w:sz w:val="22"/>
          <w14:ligatures w14:val="standardContextual"/>
        </w:rPr>
      </w:pPr>
    </w:p>
    <w:p w14:paraId="1ABA1F30"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Al-Absy, M. S. M., Ku Ismail, K. N. I., &amp; Chandren, S. (2019). Audit committee chairman characteristics and earnings management: The influence of family chairman. </w:t>
      </w:r>
      <w:r w:rsidRPr="000F1E0E">
        <w:rPr>
          <w:rFonts w:eastAsia="Times New Roman" w:cs="Times New Roman"/>
          <w:i/>
          <w:iCs/>
          <w:szCs w:val="24"/>
        </w:rPr>
        <w:t>Asia-Pacific Journal of Business Administration, 11</w:t>
      </w:r>
      <w:r w:rsidRPr="000F1E0E">
        <w:rPr>
          <w:rFonts w:eastAsia="Times New Roman" w:cs="Times New Roman"/>
          <w:szCs w:val="24"/>
        </w:rPr>
        <w:t xml:space="preserve">(4), 339–370. </w:t>
      </w:r>
      <w:hyperlink r:id="rId7" w:history="1">
        <w:r w:rsidRPr="000F1E0E">
          <w:rPr>
            <w:rFonts w:eastAsia="Times New Roman" w:cs="Times New Roman"/>
            <w:color w:val="0000FF"/>
            <w:szCs w:val="24"/>
            <w:u w:val="single"/>
          </w:rPr>
          <w:t>https://doi.org/10.1108/APJBA-10-2018-0188</w:t>
        </w:r>
      </w:hyperlink>
      <w:r w:rsidRPr="000F1E0E">
        <w:rPr>
          <w:rFonts w:eastAsia="Times New Roman" w:cs="Times New Roman"/>
          <w:szCs w:val="24"/>
        </w:rPr>
        <w:t xml:space="preserve"> </w:t>
      </w:r>
    </w:p>
    <w:p w14:paraId="714B38EB"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lang w:val="nl-BE"/>
        </w:rPr>
        <w:lastRenderedPageBreak/>
        <w:t xml:space="preserve">Al-Qadasi, A. A., Abidin, S., &amp; Al-Jaifi, H. A. (2019). </w:t>
      </w:r>
      <w:r w:rsidRPr="000F1E0E">
        <w:rPr>
          <w:rFonts w:eastAsia="Times New Roman" w:cs="Times New Roman"/>
          <w:szCs w:val="24"/>
        </w:rPr>
        <w:t xml:space="preserve">The puzzle of internal audit function budget toward specialist auditor choice and audit fees: Does family ownership matter? Malaysian evidence. </w:t>
      </w:r>
      <w:r w:rsidRPr="000F1E0E">
        <w:rPr>
          <w:rFonts w:eastAsia="Times New Roman" w:cs="Times New Roman"/>
          <w:i/>
          <w:iCs/>
          <w:szCs w:val="24"/>
        </w:rPr>
        <w:t>Managerial Auditing Journal, 34</w:t>
      </w:r>
      <w:r w:rsidRPr="000F1E0E">
        <w:rPr>
          <w:rFonts w:eastAsia="Times New Roman" w:cs="Times New Roman"/>
          <w:szCs w:val="24"/>
        </w:rPr>
        <w:t xml:space="preserve">(2), 208–243. </w:t>
      </w:r>
      <w:hyperlink r:id="rId8" w:history="1">
        <w:r w:rsidRPr="000F1E0E">
          <w:rPr>
            <w:rFonts w:eastAsia="Times New Roman" w:cs="Times New Roman"/>
            <w:color w:val="0000FF"/>
            <w:szCs w:val="24"/>
            <w:u w:val="single"/>
          </w:rPr>
          <w:t>https://doi.org/10.1108/MAJ-09-2017-1655</w:t>
        </w:r>
      </w:hyperlink>
      <w:r w:rsidRPr="000F1E0E">
        <w:rPr>
          <w:rFonts w:eastAsia="Times New Roman" w:cs="Times New Roman"/>
          <w:szCs w:val="24"/>
        </w:rPr>
        <w:t xml:space="preserve"> </w:t>
      </w:r>
    </w:p>
    <w:p w14:paraId="6DD39052"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Bawuah, I. (2024). Audit committee effectiveness, audit quality and earnings management: Evidence from Ghana. </w:t>
      </w:r>
      <w:r w:rsidRPr="000F1E0E">
        <w:rPr>
          <w:rFonts w:eastAsia="Times New Roman" w:cs="Times New Roman"/>
          <w:i/>
          <w:iCs/>
          <w:szCs w:val="24"/>
        </w:rPr>
        <w:t>Cogent Business &amp; Management, 11</w:t>
      </w:r>
      <w:r w:rsidRPr="000F1E0E">
        <w:rPr>
          <w:rFonts w:eastAsia="Times New Roman" w:cs="Times New Roman"/>
          <w:szCs w:val="24"/>
        </w:rPr>
        <w:t xml:space="preserve">(1), 2315318. </w:t>
      </w:r>
      <w:hyperlink r:id="rId9" w:tgtFrame="_new" w:history="1">
        <w:r w:rsidRPr="000F1E0E">
          <w:rPr>
            <w:rFonts w:eastAsia="Times New Roman" w:cs="Times New Roman"/>
            <w:color w:val="0000FF"/>
            <w:szCs w:val="24"/>
            <w:u w:val="single"/>
          </w:rPr>
          <w:t>https://doi.org/10.1080/23311975.2024.2315318</w:t>
        </w:r>
      </w:hyperlink>
    </w:p>
    <w:p w14:paraId="68548ADB"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Bilal, Chen, S., &amp; Komal, B. (2018). Audit committee financial expertise and earnings quality: A meta-analysis. </w:t>
      </w:r>
      <w:r w:rsidRPr="000F1E0E">
        <w:rPr>
          <w:rFonts w:eastAsia="Times New Roman" w:cs="Times New Roman"/>
          <w:i/>
          <w:iCs/>
          <w:szCs w:val="24"/>
        </w:rPr>
        <w:t>Journal of Business Research, 84</w:t>
      </w:r>
      <w:r w:rsidRPr="000F1E0E">
        <w:rPr>
          <w:rFonts w:eastAsia="Times New Roman" w:cs="Times New Roman"/>
          <w:szCs w:val="24"/>
        </w:rPr>
        <w:t xml:space="preserve">, 253–270. </w:t>
      </w:r>
      <w:hyperlink r:id="rId10" w:history="1">
        <w:r w:rsidRPr="000F1E0E">
          <w:rPr>
            <w:rFonts w:eastAsia="Times New Roman" w:cs="Times New Roman"/>
            <w:color w:val="0000FF"/>
            <w:szCs w:val="24"/>
            <w:u w:val="single"/>
          </w:rPr>
          <w:t>https://doi.org/10.1016/j.jbusres.2017.11.048</w:t>
        </w:r>
      </w:hyperlink>
    </w:p>
    <w:p w14:paraId="0E5FD126"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Dechow, P. M., Sloan, R. G., &amp; Sweeney, A. P. (1995). Detecting earnings management. </w:t>
      </w:r>
      <w:r w:rsidRPr="000F1E0E">
        <w:rPr>
          <w:rFonts w:eastAsia="Times New Roman" w:cs="Times New Roman"/>
          <w:i/>
          <w:iCs/>
          <w:szCs w:val="24"/>
        </w:rPr>
        <w:t>The Accounting Review, 70</w:t>
      </w:r>
      <w:r w:rsidRPr="000F1E0E">
        <w:rPr>
          <w:rFonts w:eastAsia="Times New Roman" w:cs="Times New Roman"/>
          <w:szCs w:val="24"/>
        </w:rPr>
        <w:t xml:space="preserve">(2), 193–225. </w:t>
      </w:r>
      <w:hyperlink r:id="rId11" w:tgtFrame="_new" w:history="1">
        <w:r w:rsidRPr="000F1E0E">
          <w:rPr>
            <w:rFonts w:eastAsia="Times New Roman" w:cs="Times New Roman"/>
            <w:color w:val="0000FF"/>
            <w:szCs w:val="24"/>
            <w:u w:val="single"/>
          </w:rPr>
          <w:t>https://www.jstor.org/stable/248303</w:t>
        </w:r>
      </w:hyperlink>
    </w:p>
    <w:p w14:paraId="0CE74D44"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Federal Republic of Nigeria. (2020). </w:t>
      </w:r>
      <w:r w:rsidRPr="000F1E0E">
        <w:rPr>
          <w:rFonts w:eastAsia="Times New Roman" w:cs="Times New Roman"/>
          <w:i/>
          <w:iCs/>
          <w:szCs w:val="24"/>
        </w:rPr>
        <w:t>Companies and Allied Matters Act, 2020 (Act No. 3 of 2020).</w:t>
      </w:r>
      <w:r w:rsidRPr="000F1E0E">
        <w:rPr>
          <w:rFonts w:eastAsia="Times New Roman" w:cs="Times New Roman"/>
          <w:szCs w:val="24"/>
        </w:rPr>
        <w:t xml:space="preserve"> Federal Government Printer. </w:t>
      </w:r>
      <w:hyperlink r:id="rId12" w:tgtFrame="_new" w:history="1">
        <w:r w:rsidRPr="000F1E0E">
          <w:rPr>
            <w:rFonts w:eastAsia="Times New Roman" w:cs="Times New Roman"/>
            <w:color w:val="0000FF"/>
            <w:szCs w:val="24"/>
            <w:u w:val="single"/>
          </w:rPr>
          <w:t>https://www.nipc.gov.ng/wp-content/uploads/2021/04/CAMA-2020-gazetted.pdf</w:t>
        </w:r>
      </w:hyperlink>
    </w:p>
    <w:p w14:paraId="208BCE7F"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Financial Reporting Council of Nigeria. (2018). </w:t>
      </w:r>
      <w:r w:rsidRPr="000F1E0E">
        <w:rPr>
          <w:rFonts w:eastAsia="Times New Roman" w:cs="Times New Roman"/>
          <w:i/>
          <w:iCs/>
          <w:szCs w:val="24"/>
        </w:rPr>
        <w:t>Nigerian Code of Corporate Governance 2018.</w:t>
      </w:r>
      <w:r w:rsidRPr="000F1E0E">
        <w:rPr>
          <w:rFonts w:eastAsia="Times New Roman" w:cs="Times New Roman"/>
          <w:szCs w:val="24"/>
        </w:rPr>
        <w:t xml:space="preserve"> Financial Reporting Council of Nigeria. </w:t>
      </w:r>
      <w:hyperlink r:id="rId13" w:tgtFrame="_new" w:history="1">
        <w:r w:rsidRPr="000F1E0E">
          <w:rPr>
            <w:rFonts w:eastAsia="Times New Roman" w:cs="Times New Roman"/>
            <w:color w:val="0000FF"/>
            <w:szCs w:val="24"/>
            <w:u w:val="single"/>
          </w:rPr>
          <w:t>https://frcnigeria.gov.ng/wp-content/uploads/2025/04/Nigerian-Code-of-Corporate-Governance-2018.pdf</w:t>
        </w:r>
      </w:hyperlink>
    </w:p>
    <w:p w14:paraId="2E7D98BB"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Gull, A. A., Nekhili, M., Nagati, H., &amp; Chtioui, T. (2018). Beyond gender diversity: How specific attributes of female directors affect earnings management. </w:t>
      </w:r>
      <w:r w:rsidRPr="000F1E0E">
        <w:rPr>
          <w:rFonts w:eastAsia="Times New Roman" w:cs="Times New Roman"/>
          <w:i/>
          <w:iCs/>
          <w:szCs w:val="24"/>
        </w:rPr>
        <w:t>The British Accounting Review, 50</w:t>
      </w:r>
      <w:r w:rsidRPr="000F1E0E">
        <w:rPr>
          <w:rFonts w:eastAsia="Times New Roman" w:cs="Times New Roman"/>
          <w:szCs w:val="24"/>
        </w:rPr>
        <w:t xml:space="preserve">(3), 255–274. </w:t>
      </w:r>
      <w:hyperlink r:id="rId14" w:tgtFrame="_new" w:history="1">
        <w:r w:rsidRPr="000F1E0E">
          <w:rPr>
            <w:rFonts w:eastAsia="Times New Roman" w:cs="Times New Roman"/>
            <w:color w:val="0000FF"/>
            <w:szCs w:val="24"/>
            <w:u w:val="single"/>
          </w:rPr>
          <w:t>https://doi.org/10.1016/j.bar.2017.09.001</w:t>
        </w:r>
      </w:hyperlink>
      <w:r w:rsidRPr="000F1E0E">
        <w:rPr>
          <w:rFonts w:eastAsia="Times New Roman" w:cs="Times New Roman"/>
          <w:szCs w:val="24"/>
        </w:rPr>
        <w:t xml:space="preserve"> </w:t>
      </w:r>
    </w:p>
    <w:p w14:paraId="2359196C"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Jensen, M. C., &amp; Meckling, W. H. (1976). Theory of the firm: Managerial behavior, agency costs and ownership structure. </w:t>
      </w:r>
      <w:r w:rsidRPr="000F1E0E">
        <w:rPr>
          <w:rFonts w:eastAsia="Times New Roman" w:cs="Times New Roman"/>
          <w:i/>
          <w:iCs/>
          <w:szCs w:val="24"/>
        </w:rPr>
        <w:t>Journal of Financial Economics, 3</w:t>
      </w:r>
      <w:r w:rsidRPr="000F1E0E">
        <w:rPr>
          <w:rFonts w:eastAsia="Times New Roman" w:cs="Times New Roman"/>
          <w:szCs w:val="24"/>
        </w:rPr>
        <w:t xml:space="preserve">(4), 305–360. </w:t>
      </w:r>
      <w:hyperlink r:id="rId15" w:tgtFrame="_new" w:history="1">
        <w:r w:rsidRPr="000F1E0E">
          <w:rPr>
            <w:rFonts w:eastAsia="Times New Roman" w:cs="Times New Roman"/>
            <w:color w:val="0000FF"/>
            <w:szCs w:val="24"/>
            <w:u w:val="single"/>
          </w:rPr>
          <w:t>https://doi.org/10.1016/0304-405X(76)90026-X</w:t>
        </w:r>
      </w:hyperlink>
    </w:p>
    <w:p w14:paraId="2C3115C2"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Kaoje, A. N., Alkali, M. Y., &amp; Modibbo, A. (2023). The effect of audit committee characteristics on earnings management in Nigerian listed firms. </w:t>
      </w:r>
      <w:r w:rsidRPr="000F1E0E">
        <w:rPr>
          <w:rFonts w:eastAsia="Times New Roman" w:cs="Times New Roman"/>
          <w:i/>
          <w:iCs/>
          <w:szCs w:val="24"/>
        </w:rPr>
        <w:t>Technology Audit and Production Reserves, 1</w:t>
      </w:r>
      <w:r w:rsidRPr="000F1E0E">
        <w:rPr>
          <w:rFonts w:eastAsia="Times New Roman" w:cs="Times New Roman"/>
          <w:szCs w:val="24"/>
        </w:rPr>
        <w:t xml:space="preserve">(4[69]), 6–13. </w:t>
      </w:r>
      <w:hyperlink r:id="rId16" w:tgtFrame="_new" w:history="1">
        <w:r w:rsidRPr="000F1E0E">
          <w:rPr>
            <w:rFonts w:eastAsia="Times New Roman" w:cs="Times New Roman"/>
            <w:color w:val="0000FF"/>
            <w:szCs w:val="24"/>
            <w:u w:val="single"/>
          </w:rPr>
          <w:t>https://doi.org/10.15587/2706-5448.2023.272875</w:t>
        </w:r>
      </w:hyperlink>
    </w:p>
    <w:p w14:paraId="721C7EED"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Kusnadi, Y., Leong, K. S., Suwardy, T., &amp; Wang, J. (2022). Audit committee financial expertise and real earnings management. </w:t>
      </w:r>
      <w:r w:rsidRPr="000F1E0E">
        <w:rPr>
          <w:rFonts w:eastAsia="Times New Roman" w:cs="Times New Roman"/>
          <w:i/>
          <w:iCs/>
          <w:szCs w:val="24"/>
        </w:rPr>
        <w:t>Journal of Contemporary Accounting &amp; Economics, 18</w:t>
      </w:r>
      <w:r w:rsidRPr="000F1E0E">
        <w:rPr>
          <w:rFonts w:eastAsia="Times New Roman" w:cs="Times New Roman"/>
          <w:szCs w:val="24"/>
        </w:rPr>
        <w:t xml:space="preserve">(2), 100321. </w:t>
      </w:r>
      <w:hyperlink r:id="rId17" w:tgtFrame="_new" w:history="1">
        <w:r w:rsidRPr="000F1E0E">
          <w:rPr>
            <w:rFonts w:eastAsia="Times New Roman" w:cs="Times New Roman"/>
            <w:color w:val="0000FF"/>
            <w:szCs w:val="24"/>
            <w:u w:val="single"/>
          </w:rPr>
          <w:t>https://doi.org/10.1016/j.jcae.2022.100321</w:t>
        </w:r>
      </w:hyperlink>
    </w:p>
    <w:p w14:paraId="4A3E46EE"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Kusnadi, Y., Leong, K. S., Suwardy, T., &amp; Wang, J. (2022). Audit committee financial expertise and real earnings management. </w:t>
      </w:r>
      <w:r w:rsidRPr="000F1E0E">
        <w:rPr>
          <w:rFonts w:eastAsia="Times New Roman" w:cs="Times New Roman"/>
          <w:i/>
          <w:iCs/>
          <w:szCs w:val="24"/>
        </w:rPr>
        <w:t>Journal of Contemporary Accounting &amp; Economics, 18</w:t>
      </w:r>
      <w:r w:rsidRPr="000F1E0E">
        <w:rPr>
          <w:rFonts w:eastAsia="Times New Roman" w:cs="Times New Roman"/>
          <w:szCs w:val="24"/>
        </w:rPr>
        <w:t xml:space="preserve">(2), 100321. </w:t>
      </w:r>
      <w:hyperlink r:id="rId18" w:tgtFrame="_new" w:history="1">
        <w:r w:rsidRPr="000F1E0E">
          <w:rPr>
            <w:rFonts w:eastAsia="Times New Roman" w:cs="Times New Roman"/>
            <w:color w:val="0000FF"/>
            <w:szCs w:val="24"/>
            <w:u w:val="single"/>
          </w:rPr>
          <w:t>https://doi.org/10.1016/j.jcae.2022.100321</w:t>
        </w:r>
      </w:hyperlink>
    </w:p>
    <w:p w14:paraId="5233E39D"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Lückerath-Rovers, M. (2013). Women on boards and firm performance. </w:t>
      </w:r>
      <w:r w:rsidRPr="000F1E0E">
        <w:rPr>
          <w:rFonts w:eastAsia="Times New Roman" w:cs="Times New Roman"/>
          <w:i/>
          <w:iCs/>
          <w:szCs w:val="24"/>
        </w:rPr>
        <w:t>Journal of Management &amp; Governance, 17</w:t>
      </w:r>
      <w:r w:rsidRPr="000F1E0E">
        <w:rPr>
          <w:rFonts w:eastAsia="Times New Roman" w:cs="Times New Roman"/>
          <w:szCs w:val="24"/>
        </w:rPr>
        <w:t xml:space="preserve">(2), 491–509. </w:t>
      </w:r>
      <w:hyperlink r:id="rId19" w:tgtFrame="_new" w:history="1">
        <w:r w:rsidRPr="000F1E0E">
          <w:rPr>
            <w:rFonts w:eastAsia="Times New Roman" w:cs="Times New Roman"/>
            <w:color w:val="0000FF"/>
            <w:szCs w:val="24"/>
            <w:u w:val="single"/>
          </w:rPr>
          <w:t>https://doi.org/10.1007/s10997-011-9186-1</w:t>
        </w:r>
      </w:hyperlink>
      <w:r w:rsidRPr="000F1E0E">
        <w:rPr>
          <w:rFonts w:eastAsia="Times New Roman" w:cs="Times New Roman"/>
          <w:szCs w:val="24"/>
        </w:rPr>
        <w:t xml:space="preserve"> </w:t>
      </w:r>
    </w:p>
    <w:p w14:paraId="2BAFDEFE"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Pfeffer, J., &amp; Salancik, G. R. (1978). </w:t>
      </w:r>
      <w:r w:rsidRPr="000F1E0E">
        <w:rPr>
          <w:rFonts w:eastAsia="Times New Roman" w:cs="Times New Roman"/>
          <w:i/>
          <w:iCs/>
          <w:szCs w:val="24"/>
        </w:rPr>
        <w:t>The external control of organizations: A resource dependence perspective.</w:t>
      </w:r>
      <w:r w:rsidRPr="000F1E0E">
        <w:rPr>
          <w:rFonts w:eastAsia="Times New Roman" w:cs="Times New Roman"/>
          <w:szCs w:val="24"/>
        </w:rPr>
        <w:t xml:space="preserve"> Harper &amp; Row. </w:t>
      </w:r>
    </w:p>
    <w:p w14:paraId="150A91C4"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lastRenderedPageBreak/>
        <w:t xml:space="preserve">Qawqaze, M., &amp; Al-Absy, M. S. M. (2022). Audit committee characteristics and earnings management: Evidence from Jordan. </w:t>
      </w:r>
      <w:r w:rsidRPr="000F1E0E">
        <w:rPr>
          <w:rFonts w:eastAsia="Times New Roman" w:cs="Times New Roman"/>
          <w:i/>
          <w:iCs/>
          <w:szCs w:val="24"/>
        </w:rPr>
        <w:t>Asian Economic and Financial Review, 12</w:t>
      </w:r>
      <w:r w:rsidRPr="000F1E0E">
        <w:rPr>
          <w:rFonts w:eastAsia="Times New Roman" w:cs="Times New Roman"/>
          <w:szCs w:val="24"/>
        </w:rPr>
        <w:t xml:space="preserve">(5), 345–362. </w:t>
      </w:r>
      <w:hyperlink r:id="rId20" w:tgtFrame="_new" w:history="1">
        <w:r w:rsidRPr="000F1E0E">
          <w:rPr>
            <w:rFonts w:eastAsia="Times New Roman" w:cs="Times New Roman"/>
            <w:color w:val="0000FF"/>
            <w:szCs w:val="24"/>
            <w:u w:val="single"/>
          </w:rPr>
          <w:t>https://doi.org/10.55493/5002.v12i5.4512</w:t>
        </w:r>
      </w:hyperlink>
    </w:p>
    <w:p w14:paraId="5186B75C"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Qawqaze, M., &amp; Al-Absy, M. S. M. (2022). Audit committee characteristics and earnings management: Evidence from Jordan. </w:t>
      </w:r>
      <w:r w:rsidRPr="000F1E0E">
        <w:rPr>
          <w:rFonts w:eastAsia="Times New Roman" w:cs="Times New Roman"/>
          <w:i/>
          <w:iCs/>
          <w:szCs w:val="24"/>
        </w:rPr>
        <w:t>Asian Economic and Financial Review, 12</w:t>
      </w:r>
      <w:r w:rsidRPr="000F1E0E">
        <w:rPr>
          <w:rFonts w:eastAsia="Times New Roman" w:cs="Times New Roman"/>
          <w:szCs w:val="24"/>
        </w:rPr>
        <w:t xml:space="preserve">(5), 345–362. </w:t>
      </w:r>
      <w:hyperlink r:id="rId21" w:tgtFrame="_new" w:history="1">
        <w:r w:rsidRPr="000F1E0E">
          <w:rPr>
            <w:rFonts w:eastAsia="Times New Roman" w:cs="Times New Roman"/>
            <w:color w:val="0000FF"/>
            <w:szCs w:val="24"/>
            <w:u w:val="single"/>
          </w:rPr>
          <w:t>https://doi.org/10.55493/5002.v12i5.4512</w:t>
        </w:r>
      </w:hyperlink>
    </w:p>
    <w:p w14:paraId="3835363D"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rPr>
        <w:t xml:space="preserve">Roychowdhury, S. (2006). Earnings management through real activities manipulation. </w:t>
      </w:r>
      <w:r w:rsidRPr="000F1E0E">
        <w:rPr>
          <w:rFonts w:eastAsia="Times New Roman" w:cs="Times New Roman"/>
          <w:i/>
          <w:iCs/>
          <w:szCs w:val="24"/>
        </w:rPr>
        <w:t>Journal of Accounting and Economics, 42</w:t>
      </w:r>
      <w:r w:rsidRPr="000F1E0E">
        <w:rPr>
          <w:rFonts w:eastAsia="Times New Roman" w:cs="Times New Roman"/>
          <w:szCs w:val="24"/>
        </w:rPr>
        <w:t xml:space="preserve">(3), 335–370. </w:t>
      </w:r>
      <w:hyperlink r:id="rId22" w:tgtFrame="_new" w:history="1">
        <w:r w:rsidRPr="000F1E0E">
          <w:rPr>
            <w:rFonts w:eastAsia="Times New Roman" w:cs="Times New Roman"/>
            <w:color w:val="0000FF"/>
            <w:szCs w:val="24"/>
            <w:u w:val="single"/>
          </w:rPr>
          <w:t>https://doi.org/10.1016/j.jacceco.2006.01.002</w:t>
        </w:r>
      </w:hyperlink>
    </w:p>
    <w:p w14:paraId="6C6E98A0"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lang w:val="nl-BE"/>
        </w:rPr>
      </w:pPr>
      <w:r w:rsidRPr="000F1E0E">
        <w:rPr>
          <w:rFonts w:eastAsia="Times New Roman" w:cs="Times New Roman"/>
          <w:szCs w:val="24"/>
        </w:rPr>
        <w:t xml:space="preserve">Spence, M. (1973). Job market signaling. </w:t>
      </w:r>
      <w:r w:rsidRPr="000F1E0E">
        <w:rPr>
          <w:rFonts w:eastAsia="Times New Roman" w:cs="Times New Roman"/>
          <w:i/>
          <w:iCs/>
          <w:szCs w:val="24"/>
        </w:rPr>
        <w:t>The Quarterly Journal of Economics, 87</w:t>
      </w:r>
      <w:r w:rsidRPr="000F1E0E">
        <w:rPr>
          <w:rFonts w:eastAsia="Times New Roman" w:cs="Times New Roman"/>
          <w:szCs w:val="24"/>
        </w:rPr>
        <w:t xml:space="preserve">(3), 355–374. </w:t>
      </w:r>
      <w:hyperlink r:id="rId23" w:tgtFrame="_new" w:history="1">
        <w:r w:rsidRPr="000F1E0E">
          <w:rPr>
            <w:rFonts w:eastAsia="Times New Roman" w:cs="Times New Roman"/>
            <w:color w:val="0000FF"/>
            <w:szCs w:val="24"/>
            <w:u w:val="single"/>
            <w:lang w:val="nl-BE"/>
          </w:rPr>
          <w:t>https://doi.org/10.2307/1882010</w:t>
        </w:r>
      </w:hyperlink>
    </w:p>
    <w:p w14:paraId="69E2237D" w14:textId="77777777" w:rsidR="000F1E0E" w:rsidRPr="000F1E0E" w:rsidRDefault="000F1E0E" w:rsidP="000F1E0E">
      <w:pPr>
        <w:spacing w:before="100" w:beforeAutospacing="1" w:after="100" w:afterAutospacing="1" w:line="240" w:lineRule="auto"/>
        <w:ind w:left="540" w:hanging="540"/>
        <w:jc w:val="both"/>
        <w:rPr>
          <w:rFonts w:eastAsia="Times New Roman" w:cs="Times New Roman"/>
          <w:szCs w:val="24"/>
        </w:rPr>
      </w:pPr>
      <w:r w:rsidRPr="000F1E0E">
        <w:rPr>
          <w:rFonts w:eastAsia="Times New Roman" w:cs="Times New Roman"/>
          <w:szCs w:val="24"/>
          <w:lang w:val="nl-BE"/>
        </w:rPr>
        <w:t xml:space="preserve">Uwuigbe, U., Uwuigbe, O. R., &amp; Okorie, B. (2015). </w:t>
      </w:r>
      <w:r w:rsidRPr="000F1E0E">
        <w:rPr>
          <w:rFonts w:eastAsia="Times New Roman" w:cs="Times New Roman"/>
          <w:szCs w:val="24"/>
        </w:rPr>
        <w:t xml:space="preserve">Assessment of the effects of firms’ characteristics on earnings management of listed firms in Nigeria. </w:t>
      </w:r>
      <w:r w:rsidRPr="000F1E0E">
        <w:rPr>
          <w:rFonts w:eastAsia="Times New Roman" w:cs="Times New Roman"/>
          <w:i/>
          <w:iCs/>
          <w:szCs w:val="24"/>
        </w:rPr>
        <w:t>Asian Economic and Financial Review, 5</w:t>
      </w:r>
      <w:r w:rsidRPr="000F1E0E">
        <w:rPr>
          <w:rFonts w:eastAsia="Times New Roman" w:cs="Times New Roman"/>
          <w:szCs w:val="24"/>
        </w:rPr>
        <w:t xml:space="preserve">(2), 218–228. </w:t>
      </w:r>
      <w:hyperlink r:id="rId24" w:tgtFrame="_new" w:history="1">
        <w:r w:rsidRPr="000F1E0E">
          <w:rPr>
            <w:rFonts w:eastAsia="Times New Roman" w:cs="Times New Roman"/>
            <w:color w:val="0000FF"/>
            <w:szCs w:val="24"/>
            <w:u w:val="single"/>
          </w:rPr>
          <w:t>https://archive.aessweb.com/index.php/5002/article/view/1333</w:t>
        </w:r>
      </w:hyperlink>
      <w:r w:rsidRPr="000F1E0E">
        <w:rPr>
          <w:rFonts w:eastAsia="Times New Roman" w:cs="Times New Roman"/>
          <w:szCs w:val="24"/>
        </w:rPr>
        <w:t xml:space="preserve"> </w:t>
      </w:r>
    </w:p>
    <w:p w14:paraId="7C8C5608" w14:textId="77777777" w:rsidR="00754DBB" w:rsidRDefault="00754DBB"/>
    <w:sectPr w:rsidR="00754DBB" w:rsidSect="001D0366">
      <w:headerReference w:type="even" r:id="rId25"/>
      <w:headerReference w:type="default" r:id="rId26"/>
      <w:footerReference w:type="even" r:id="rId27"/>
      <w:footerReference w:type="default" r:id="rId28"/>
      <w:headerReference w:type="first" r:id="rId29"/>
      <w:footerReference w:type="first" r:id="rId30"/>
      <w:pgSz w:w="12240" w:h="15840"/>
      <w:pgMar w:top="900" w:right="1080" w:bottom="900" w:left="126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53FD" w14:textId="77777777" w:rsidR="00BA2E2E" w:rsidRDefault="00BA2E2E" w:rsidP="007218FD">
      <w:pPr>
        <w:spacing w:after="0" w:line="240" w:lineRule="auto"/>
      </w:pPr>
      <w:r>
        <w:separator/>
      </w:r>
    </w:p>
  </w:endnote>
  <w:endnote w:type="continuationSeparator" w:id="0">
    <w:p w14:paraId="41E618D9" w14:textId="77777777" w:rsidR="00BA2E2E" w:rsidRDefault="00BA2E2E" w:rsidP="0072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AC6B" w14:textId="77777777" w:rsidR="00523770" w:rsidRDefault="0052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090321"/>
      <w:docPartObj>
        <w:docPartGallery w:val="Page Numbers (Bottom of Page)"/>
        <w:docPartUnique/>
      </w:docPartObj>
    </w:sdtPr>
    <w:sdtEndPr>
      <w:rPr>
        <w:noProof/>
      </w:rPr>
    </w:sdtEndPr>
    <w:sdtContent>
      <w:p w14:paraId="15B48B8F" w14:textId="77777777" w:rsidR="00B7006C" w:rsidRDefault="00B7006C">
        <w:pPr>
          <w:pStyle w:val="Footer"/>
          <w:jc w:val="center"/>
        </w:pPr>
        <w:r>
          <w:fldChar w:fldCharType="begin"/>
        </w:r>
        <w:r>
          <w:instrText xml:space="preserve"> PAGE   \* MERGEFORMAT </w:instrText>
        </w:r>
        <w:r>
          <w:fldChar w:fldCharType="separate"/>
        </w:r>
        <w:r w:rsidR="00817978">
          <w:rPr>
            <w:noProof/>
          </w:rPr>
          <w:t>15</w:t>
        </w:r>
        <w:r>
          <w:rPr>
            <w:noProof/>
          </w:rPr>
          <w:fldChar w:fldCharType="end"/>
        </w:r>
      </w:p>
    </w:sdtContent>
  </w:sdt>
  <w:p w14:paraId="4A5A9A5B" w14:textId="77777777" w:rsidR="00B7006C" w:rsidRDefault="00B70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FDCD" w14:textId="77777777" w:rsidR="00523770" w:rsidRDefault="0052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0CF7" w14:textId="77777777" w:rsidR="00BA2E2E" w:rsidRDefault="00BA2E2E" w:rsidP="007218FD">
      <w:pPr>
        <w:spacing w:after="0" w:line="240" w:lineRule="auto"/>
      </w:pPr>
      <w:r>
        <w:separator/>
      </w:r>
    </w:p>
  </w:footnote>
  <w:footnote w:type="continuationSeparator" w:id="0">
    <w:p w14:paraId="66C5380F" w14:textId="77777777" w:rsidR="00BA2E2E" w:rsidRDefault="00BA2E2E" w:rsidP="0072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630B" w14:textId="77777777" w:rsidR="00523770" w:rsidRDefault="00000000">
    <w:pPr>
      <w:pStyle w:val="Header"/>
    </w:pPr>
    <w:r>
      <w:rPr>
        <w:noProof/>
      </w:rPr>
      <w:pict w14:anchorId="5708B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02313" o:spid="_x0000_s1026" type="#_x0000_t136" style="position:absolute;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9D6A" w14:textId="77777777" w:rsidR="00523770" w:rsidRDefault="00000000">
    <w:pPr>
      <w:pStyle w:val="Header"/>
    </w:pPr>
    <w:r>
      <w:rPr>
        <w:noProof/>
      </w:rPr>
      <w:pict w14:anchorId="2B6A7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02314" o:spid="_x0000_s1027" type="#_x0000_t136" style="position:absolute;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7A51" w14:textId="77777777" w:rsidR="00523770" w:rsidRDefault="00000000">
    <w:pPr>
      <w:pStyle w:val="Header"/>
    </w:pPr>
    <w:r>
      <w:rPr>
        <w:noProof/>
      </w:rPr>
      <w:pict w14:anchorId="4FA9C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02312" o:spid="_x0000_s1025" type="#_x0000_t136" style="position:absolute;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537BC"/>
    <w:multiLevelType w:val="hybridMultilevel"/>
    <w:tmpl w:val="DA42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61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92"/>
    <w:rsid w:val="0000030D"/>
    <w:rsid w:val="00006B61"/>
    <w:rsid w:val="00006D61"/>
    <w:rsid w:val="00012849"/>
    <w:rsid w:val="00015BC9"/>
    <w:rsid w:val="000160F1"/>
    <w:rsid w:val="000240DC"/>
    <w:rsid w:val="00036589"/>
    <w:rsid w:val="00041AAB"/>
    <w:rsid w:val="00046217"/>
    <w:rsid w:val="00054D3E"/>
    <w:rsid w:val="00081653"/>
    <w:rsid w:val="000914FD"/>
    <w:rsid w:val="000C5E47"/>
    <w:rsid w:val="000D51CB"/>
    <w:rsid w:val="000E1A9D"/>
    <w:rsid w:val="000F1E0E"/>
    <w:rsid w:val="000F651A"/>
    <w:rsid w:val="000F6FC3"/>
    <w:rsid w:val="00103518"/>
    <w:rsid w:val="00106EE4"/>
    <w:rsid w:val="00115C52"/>
    <w:rsid w:val="001202E8"/>
    <w:rsid w:val="00153A91"/>
    <w:rsid w:val="001900D7"/>
    <w:rsid w:val="001903D9"/>
    <w:rsid w:val="0019321B"/>
    <w:rsid w:val="001A1545"/>
    <w:rsid w:val="001B290B"/>
    <w:rsid w:val="001D0366"/>
    <w:rsid w:val="001D54B6"/>
    <w:rsid w:val="001D7BDF"/>
    <w:rsid w:val="001E3A4A"/>
    <w:rsid w:val="001F37A9"/>
    <w:rsid w:val="001F7D2A"/>
    <w:rsid w:val="0020164F"/>
    <w:rsid w:val="00214880"/>
    <w:rsid w:val="00221479"/>
    <w:rsid w:val="002221F5"/>
    <w:rsid w:val="00243E40"/>
    <w:rsid w:val="002467B8"/>
    <w:rsid w:val="002500B5"/>
    <w:rsid w:val="00264D7A"/>
    <w:rsid w:val="00286337"/>
    <w:rsid w:val="002B447D"/>
    <w:rsid w:val="002B4C9F"/>
    <w:rsid w:val="002B767A"/>
    <w:rsid w:val="002E209C"/>
    <w:rsid w:val="002E5334"/>
    <w:rsid w:val="002F4D55"/>
    <w:rsid w:val="00312E0A"/>
    <w:rsid w:val="003557FF"/>
    <w:rsid w:val="00367AA7"/>
    <w:rsid w:val="00375370"/>
    <w:rsid w:val="0037782E"/>
    <w:rsid w:val="003D48C6"/>
    <w:rsid w:val="003D56DE"/>
    <w:rsid w:val="003E0A95"/>
    <w:rsid w:val="003E3C70"/>
    <w:rsid w:val="003F2784"/>
    <w:rsid w:val="003F4E0A"/>
    <w:rsid w:val="00400139"/>
    <w:rsid w:val="0041565A"/>
    <w:rsid w:val="0044449A"/>
    <w:rsid w:val="004448EB"/>
    <w:rsid w:val="0044533D"/>
    <w:rsid w:val="00451E95"/>
    <w:rsid w:val="004620FD"/>
    <w:rsid w:val="00473CBD"/>
    <w:rsid w:val="0047486D"/>
    <w:rsid w:val="00485305"/>
    <w:rsid w:val="004A250B"/>
    <w:rsid w:val="004A4135"/>
    <w:rsid w:val="004B202A"/>
    <w:rsid w:val="004B72DE"/>
    <w:rsid w:val="004C0AE9"/>
    <w:rsid w:val="004D21E5"/>
    <w:rsid w:val="004E0A67"/>
    <w:rsid w:val="004E6314"/>
    <w:rsid w:val="004E7200"/>
    <w:rsid w:val="00523770"/>
    <w:rsid w:val="00527AEE"/>
    <w:rsid w:val="00542BA3"/>
    <w:rsid w:val="0056635A"/>
    <w:rsid w:val="00570B3F"/>
    <w:rsid w:val="00572946"/>
    <w:rsid w:val="00592E2D"/>
    <w:rsid w:val="00593887"/>
    <w:rsid w:val="005B500A"/>
    <w:rsid w:val="005C6ABA"/>
    <w:rsid w:val="005F484A"/>
    <w:rsid w:val="00613398"/>
    <w:rsid w:val="006233AD"/>
    <w:rsid w:val="00635E7D"/>
    <w:rsid w:val="0065578F"/>
    <w:rsid w:val="00656A70"/>
    <w:rsid w:val="00657FC8"/>
    <w:rsid w:val="00664A80"/>
    <w:rsid w:val="0069244E"/>
    <w:rsid w:val="006A0B0A"/>
    <w:rsid w:val="006B6D2C"/>
    <w:rsid w:val="006C3EAA"/>
    <w:rsid w:val="006D01B1"/>
    <w:rsid w:val="006E10F4"/>
    <w:rsid w:val="006E7124"/>
    <w:rsid w:val="00700B1F"/>
    <w:rsid w:val="007024CA"/>
    <w:rsid w:val="00705C99"/>
    <w:rsid w:val="007218FD"/>
    <w:rsid w:val="00722826"/>
    <w:rsid w:val="007301C6"/>
    <w:rsid w:val="00742E8B"/>
    <w:rsid w:val="007440D0"/>
    <w:rsid w:val="00752EA1"/>
    <w:rsid w:val="00754DBB"/>
    <w:rsid w:val="00755A28"/>
    <w:rsid w:val="007643FF"/>
    <w:rsid w:val="00787BAC"/>
    <w:rsid w:val="007A0915"/>
    <w:rsid w:val="007B62D5"/>
    <w:rsid w:val="007C64CC"/>
    <w:rsid w:val="007C7ACE"/>
    <w:rsid w:val="007E368E"/>
    <w:rsid w:val="007E5FAD"/>
    <w:rsid w:val="007F395D"/>
    <w:rsid w:val="00802F6C"/>
    <w:rsid w:val="00813332"/>
    <w:rsid w:val="00817978"/>
    <w:rsid w:val="0083217F"/>
    <w:rsid w:val="00836050"/>
    <w:rsid w:val="008429E7"/>
    <w:rsid w:val="008448CF"/>
    <w:rsid w:val="0085547D"/>
    <w:rsid w:val="00860305"/>
    <w:rsid w:val="008650AE"/>
    <w:rsid w:val="0087668F"/>
    <w:rsid w:val="00885494"/>
    <w:rsid w:val="0088630F"/>
    <w:rsid w:val="008979F6"/>
    <w:rsid w:val="008D3D8F"/>
    <w:rsid w:val="00926F1B"/>
    <w:rsid w:val="0093652A"/>
    <w:rsid w:val="00965C2D"/>
    <w:rsid w:val="009704AE"/>
    <w:rsid w:val="00977BFE"/>
    <w:rsid w:val="009B4687"/>
    <w:rsid w:val="009B4F70"/>
    <w:rsid w:val="009C5532"/>
    <w:rsid w:val="009D48E5"/>
    <w:rsid w:val="009D4F8B"/>
    <w:rsid w:val="009E23D6"/>
    <w:rsid w:val="009F4D33"/>
    <w:rsid w:val="00A014D5"/>
    <w:rsid w:val="00A22269"/>
    <w:rsid w:val="00A26D05"/>
    <w:rsid w:val="00A437A8"/>
    <w:rsid w:val="00A740CB"/>
    <w:rsid w:val="00A910DA"/>
    <w:rsid w:val="00A918C7"/>
    <w:rsid w:val="00AA3FDB"/>
    <w:rsid w:val="00AB228B"/>
    <w:rsid w:val="00AB3B41"/>
    <w:rsid w:val="00AC0B67"/>
    <w:rsid w:val="00AC3DA1"/>
    <w:rsid w:val="00AE27A3"/>
    <w:rsid w:val="00AF3E97"/>
    <w:rsid w:val="00B2190C"/>
    <w:rsid w:val="00B25061"/>
    <w:rsid w:val="00B310CE"/>
    <w:rsid w:val="00B36073"/>
    <w:rsid w:val="00B41514"/>
    <w:rsid w:val="00B5072B"/>
    <w:rsid w:val="00B6199A"/>
    <w:rsid w:val="00B64811"/>
    <w:rsid w:val="00B67F4F"/>
    <w:rsid w:val="00B7006C"/>
    <w:rsid w:val="00B76F58"/>
    <w:rsid w:val="00B842E1"/>
    <w:rsid w:val="00B843EC"/>
    <w:rsid w:val="00B96400"/>
    <w:rsid w:val="00BA2E2E"/>
    <w:rsid w:val="00BC2131"/>
    <w:rsid w:val="00BD3B07"/>
    <w:rsid w:val="00C07EFD"/>
    <w:rsid w:val="00C10F59"/>
    <w:rsid w:val="00C13F6E"/>
    <w:rsid w:val="00C16960"/>
    <w:rsid w:val="00C16B61"/>
    <w:rsid w:val="00C27DB1"/>
    <w:rsid w:val="00C41152"/>
    <w:rsid w:val="00C44926"/>
    <w:rsid w:val="00C44A5B"/>
    <w:rsid w:val="00C510B5"/>
    <w:rsid w:val="00C552E9"/>
    <w:rsid w:val="00C70892"/>
    <w:rsid w:val="00C76BF7"/>
    <w:rsid w:val="00C77BB2"/>
    <w:rsid w:val="00C93646"/>
    <w:rsid w:val="00CA304D"/>
    <w:rsid w:val="00CB2798"/>
    <w:rsid w:val="00CB3CFB"/>
    <w:rsid w:val="00CC0B87"/>
    <w:rsid w:val="00CD2098"/>
    <w:rsid w:val="00CD7588"/>
    <w:rsid w:val="00CE179B"/>
    <w:rsid w:val="00CF2B70"/>
    <w:rsid w:val="00CF4BFA"/>
    <w:rsid w:val="00D05B86"/>
    <w:rsid w:val="00D2228F"/>
    <w:rsid w:val="00D3138D"/>
    <w:rsid w:val="00D316E5"/>
    <w:rsid w:val="00D31C5C"/>
    <w:rsid w:val="00D34250"/>
    <w:rsid w:val="00D351C4"/>
    <w:rsid w:val="00D53ECA"/>
    <w:rsid w:val="00D57031"/>
    <w:rsid w:val="00D73474"/>
    <w:rsid w:val="00D74E12"/>
    <w:rsid w:val="00D86B9A"/>
    <w:rsid w:val="00DA26B0"/>
    <w:rsid w:val="00DA4E51"/>
    <w:rsid w:val="00DD3A45"/>
    <w:rsid w:val="00DE19EB"/>
    <w:rsid w:val="00DE3AED"/>
    <w:rsid w:val="00DE3F00"/>
    <w:rsid w:val="00DE4394"/>
    <w:rsid w:val="00DE6589"/>
    <w:rsid w:val="00DF4433"/>
    <w:rsid w:val="00DF7B4C"/>
    <w:rsid w:val="00E85E22"/>
    <w:rsid w:val="00E94BE6"/>
    <w:rsid w:val="00E958B3"/>
    <w:rsid w:val="00E9738C"/>
    <w:rsid w:val="00EA0917"/>
    <w:rsid w:val="00EE7D0F"/>
    <w:rsid w:val="00F205B0"/>
    <w:rsid w:val="00F423AF"/>
    <w:rsid w:val="00F43072"/>
    <w:rsid w:val="00F61392"/>
    <w:rsid w:val="00FA14E1"/>
    <w:rsid w:val="00FB1E33"/>
    <w:rsid w:val="00FB20E5"/>
    <w:rsid w:val="00FC2E34"/>
    <w:rsid w:val="00FC5E0A"/>
    <w:rsid w:val="00FE5159"/>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5EB59"/>
  <w15:chartTrackingRefBased/>
  <w15:docId w15:val="{468C4D8A-1021-4457-90BE-8D582087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92"/>
    <w:pPr>
      <w:spacing w:after="200" w:line="276"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F6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392"/>
    <w:rPr>
      <w:rFonts w:eastAsiaTheme="majorEastAsia" w:cstheme="majorBidi"/>
      <w:color w:val="272727" w:themeColor="text1" w:themeTint="D8"/>
    </w:rPr>
  </w:style>
  <w:style w:type="paragraph" w:styleId="Title">
    <w:name w:val="Title"/>
    <w:basedOn w:val="Normal"/>
    <w:next w:val="Normal"/>
    <w:link w:val="TitleChar"/>
    <w:uiPriority w:val="10"/>
    <w:qFormat/>
    <w:rsid w:val="00F6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392"/>
    <w:pPr>
      <w:spacing w:before="160"/>
      <w:jc w:val="center"/>
    </w:pPr>
    <w:rPr>
      <w:i/>
      <w:iCs/>
      <w:color w:val="404040" w:themeColor="text1" w:themeTint="BF"/>
    </w:rPr>
  </w:style>
  <w:style w:type="character" w:customStyle="1" w:styleId="QuoteChar">
    <w:name w:val="Quote Char"/>
    <w:basedOn w:val="DefaultParagraphFont"/>
    <w:link w:val="Quote"/>
    <w:uiPriority w:val="29"/>
    <w:rsid w:val="00F61392"/>
    <w:rPr>
      <w:i/>
      <w:iCs/>
      <w:color w:val="404040" w:themeColor="text1" w:themeTint="BF"/>
    </w:rPr>
  </w:style>
  <w:style w:type="paragraph" w:styleId="ListParagraph">
    <w:name w:val="List Paragraph"/>
    <w:basedOn w:val="Normal"/>
    <w:uiPriority w:val="34"/>
    <w:qFormat/>
    <w:rsid w:val="00F61392"/>
    <w:pPr>
      <w:ind w:left="720"/>
      <w:contextualSpacing/>
    </w:pPr>
  </w:style>
  <w:style w:type="character" w:styleId="IntenseEmphasis">
    <w:name w:val="Intense Emphasis"/>
    <w:basedOn w:val="DefaultParagraphFont"/>
    <w:uiPriority w:val="21"/>
    <w:qFormat/>
    <w:rsid w:val="00F61392"/>
    <w:rPr>
      <w:i/>
      <w:iCs/>
      <w:color w:val="0F4761" w:themeColor="accent1" w:themeShade="BF"/>
    </w:rPr>
  </w:style>
  <w:style w:type="paragraph" w:styleId="IntenseQuote">
    <w:name w:val="Intense Quote"/>
    <w:basedOn w:val="Normal"/>
    <w:next w:val="Normal"/>
    <w:link w:val="IntenseQuoteChar"/>
    <w:uiPriority w:val="30"/>
    <w:qFormat/>
    <w:rsid w:val="00F6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392"/>
    <w:rPr>
      <w:i/>
      <w:iCs/>
      <w:color w:val="0F4761" w:themeColor="accent1" w:themeShade="BF"/>
    </w:rPr>
  </w:style>
  <w:style w:type="character" w:styleId="IntenseReference">
    <w:name w:val="Intense Reference"/>
    <w:basedOn w:val="DefaultParagraphFont"/>
    <w:uiPriority w:val="32"/>
    <w:qFormat/>
    <w:rsid w:val="00F61392"/>
    <w:rPr>
      <w:b/>
      <w:bCs/>
      <w:smallCaps/>
      <w:color w:val="0F4761" w:themeColor="accent1" w:themeShade="BF"/>
      <w:spacing w:val="5"/>
    </w:rPr>
  </w:style>
  <w:style w:type="character" w:styleId="Strong">
    <w:name w:val="Strong"/>
    <w:basedOn w:val="DefaultParagraphFont"/>
    <w:uiPriority w:val="22"/>
    <w:qFormat/>
    <w:rsid w:val="00700B1F"/>
    <w:rPr>
      <w:b/>
      <w:bCs/>
    </w:rPr>
  </w:style>
  <w:style w:type="table" w:styleId="TableGrid">
    <w:name w:val="Table Grid"/>
    <w:basedOn w:val="TableNormal"/>
    <w:uiPriority w:val="59"/>
    <w:rsid w:val="00AC3DA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752EA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52EA1"/>
    <w:rPr>
      <w:i/>
      <w:iCs/>
    </w:rPr>
  </w:style>
  <w:style w:type="character" w:styleId="Hyperlink">
    <w:name w:val="Hyperlink"/>
    <w:basedOn w:val="DefaultParagraphFont"/>
    <w:uiPriority w:val="99"/>
    <w:unhideWhenUsed/>
    <w:rsid w:val="00752EA1"/>
    <w:rPr>
      <w:color w:val="0000FF"/>
      <w:u w:val="single"/>
    </w:rPr>
  </w:style>
  <w:style w:type="character" w:customStyle="1" w:styleId="UnresolvedMention1">
    <w:name w:val="Unresolved Mention1"/>
    <w:basedOn w:val="DefaultParagraphFont"/>
    <w:uiPriority w:val="99"/>
    <w:semiHidden/>
    <w:unhideWhenUsed/>
    <w:rsid w:val="004B72DE"/>
    <w:rPr>
      <w:color w:val="605E5C"/>
      <w:shd w:val="clear" w:color="auto" w:fill="E1DFDD"/>
    </w:rPr>
  </w:style>
  <w:style w:type="paragraph" w:styleId="Header">
    <w:name w:val="header"/>
    <w:basedOn w:val="Normal"/>
    <w:link w:val="HeaderChar"/>
    <w:uiPriority w:val="99"/>
    <w:unhideWhenUsed/>
    <w:rsid w:val="00721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FD"/>
    <w:rPr>
      <w:rFonts w:ascii="Times New Roman" w:eastAsiaTheme="minorEastAsia" w:hAnsi="Times New Roman"/>
      <w:kern w:val="0"/>
      <w:szCs w:val="22"/>
      <w14:ligatures w14:val="none"/>
    </w:rPr>
  </w:style>
  <w:style w:type="paragraph" w:styleId="Footer">
    <w:name w:val="footer"/>
    <w:basedOn w:val="Normal"/>
    <w:link w:val="FooterChar"/>
    <w:uiPriority w:val="99"/>
    <w:unhideWhenUsed/>
    <w:rsid w:val="00721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FD"/>
    <w:rPr>
      <w:rFonts w:ascii="Times New Roman" w:eastAsiaTheme="minorEastAsia" w:hAnsi="Times New Roman"/>
      <w:kern w:val="0"/>
      <w:szCs w:val="22"/>
      <w14:ligatures w14:val="none"/>
    </w:rPr>
  </w:style>
  <w:style w:type="table" w:customStyle="1" w:styleId="TableGrid1">
    <w:name w:val="Table Grid1"/>
    <w:basedOn w:val="TableNormal"/>
    <w:next w:val="TableGrid"/>
    <w:uiPriority w:val="39"/>
    <w:rsid w:val="00C27DB1"/>
    <w:pPr>
      <w:spacing w:after="0" w:line="240" w:lineRule="auto"/>
    </w:pPr>
    <w:rPr>
      <w:rFonts w:ascii="Aptos" w:eastAsia="Aptos" w:hAnsi="Aptos"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D05"/>
    <w:rPr>
      <w:color w:val="605E5C"/>
      <w:shd w:val="clear" w:color="auto" w:fill="E1DFDD"/>
    </w:rPr>
  </w:style>
  <w:style w:type="paragraph" w:styleId="NoSpacing">
    <w:name w:val="No Spacing"/>
    <w:uiPriority w:val="1"/>
    <w:qFormat/>
    <w:rsid w:val="00BD3B07"/>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1936">
      <w:bodyDiv w:val="1"/>
      <w:marLeft w:val="0"/>
      <w:marRight w:val="0"/>
      <w:marTop w:val="0"/>
      <w:marBottom w:val="0"/>
      <w:divBdr>
        <w:top w:val="none" w:sz="0" w:space="0" w:color="auto"/>
        <w:left w:val="none" w:sz="0" w:space="0" w:color="auto"/>
        <w:bottom w:val="none" w:sz="0" w:space="0" w:color="auto"/>
        <w:right w:val="none" w:sz="0" w:space="0" w:color="auto"/>
      </w:divBdr>
    </w:div>
    <w:div w:id="1940602937">
      <w:bodyDiv w:val="1"/>
      <w:marLeft w:val="0"/>
      <w:marRight w:val="0"/>
      <w:marTop w:val="0"/>
      <w:marBottom w:val="0"/>
      <w:divBdr>
        <w:top w:val="none" w:sz="0" w:space="0" w:color="auto"/>
        <w:left w:val="none" w:sz="0" w:space="0" w:color="auto"/>
        <w:bottom w:val="none" w:sz="0" w:space="0" w:color="auto"/>
        <w:right w:val="none" w:sz="0" w:space="0" w:color="auto"/>
      </w:divBdr>
    </w:div>
    <w:div w:id="21014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MAJ-09-2017-1655%20" TargetMode="External"/><Relationship Id="rId13" Type="http://schemas.openxmlformats.org/officeDocument/2006/relationships/hyperlink" Target="https://frcnigeria.gov.ng/wp-content/uploads/2025/04/Nigerian-Code-of-Corporate-Governance-2018.pdf" TargetMode="External"/><Relationship Id="rId18" Type="http://schemas.openxmlformats.org/officeDocument/2006/relationships/hyperlink" Target="https://doi.org/10.1016/j.jcae.2022.10032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55493/5002.v12i5.4512" TargetMode="External"/><Relationship Id="rId7" Type="http://schemas.openxmlformats.org/officeDocument/2006/relationships/hyperlink" Target="https://doi.org/10.1108/APJBA-10-2018-0188%20" TargetMode="External"/><Relationship Id="rId12" Type="http://schemas.openxmlformats.org/officeDocument/2006/relationships/hyperlink" Target="https://www.nipc.gov.ng/wp-content/uploads/2021/04/CAMA-2020-gazetted.pdf" TargetMode="External"/><Relationship Id="rId17" Type="http://schemas.openxmlformats.org/officeDocument/2006/relationships/hyperlink" Target="https://doi.org/10.1016/j.jcae.2022.10032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587/2706-5448.2023.272875" TargetMode="External"/><Relationship Id="rId20" Type="http://schemas.openxmlformats.org/officeDocument/2006/relationships/hyperlink" Target="https://doi.org/10.55493/5002.v12i5.451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248303" TargetMode="External"/><Relationship Id="rId24" Type="http://schemas.openxmlformats.org/officeDocument/2006/relationships/hyperlink" Target="https://archive.aessweb.com/index.php/5002/article/view/1333?utm_source=chatgp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0304-405X(76)90026-X" TargetMode="External"/><Relationship Id="rId23" Type="http://schemas.openxmlformats.org/officeDocument/2006/relationships/hyperlink" Target="https://doi.org/10.2307/1882010" TargetMode="External"/><Relationship Id="rId28" Type="http://schemas.openxmlformats.org/officeDocument/2006/relationships/footer" Target="footer2.xml"/><Relationship Id="rId10" Type="http://schemas.openxmlformats.org/officeDocument/2006/relationships/hyperlink" Target="https://doi.org/10.1016/j.jbusres.2017.11.048" TargetMode="External"/><Relationship Id="rId19" Type="http://schemas.openxmlformats.org/officeDocument/2006/relationships/hyperlink" Target="https://doi.org/10.1007/s10997-011-9186-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23311975.2024.2315318" TargetMode="External"/><Relationship Id="rId14" Type="http://schemas.openxmlformats.org/officeDocument/2006/relationships/hyperlink" Target="https://doi.org/10.1016/j.bar.2017.09.001" TargetMode="External"/><Relationship Id="rId22" Type="http://schemas.openxmlformats.org/officeDocument/2006/relationships/hyperlink" Target="https://doi.org/10.1016/j.jacceco.2006.01.00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541</TotalTime>
  <Pages>20</Pages>
  <Words>10665</Words>
  <Characters>60795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ILESANMI</dc:creator>
  <cp:keywords/>
  <dc:description/>
  <cp:lastModifiedBy>Editor-90</cp:lastModifiedBy>
  <cp:revision>83</cp:revision>
  <dcterms:created xsi:type="dcterms:W3CDTF">2026-06-08T14:47:00Z</dcterms:created>
  <dcterms:modified xsi:type="dcterms:W3CDTF">2026-06-23T08:19:00Z</dcterms:modified>
</cp:coreProperties>
</file>