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D64A3" w14:textId="7E9FF0F5" w:rsidR="00491374" w:rsidRDefault="002322A6" w:rsidP="00491374">
      <w:pPr>
        <w:jc w:val="center"/>
        <w:rPr>
          <w:rFonts w:ascii="Times New Roman" w:hAnsi="Times New Roman" w:cs="Times New Roman"/>
          <w:b/>
          <w:bCs/>
          <w:sz w:val="28"/>
          <w:szCs w:val="28"/>
        </w:rPr>
      </w:pPr>
      <w:r w:rsidRPr="00660F58">
        <w:rPr>
          <w:rFonts w:ascii="Times New Roman" w:hAnsi="Times New Roman" w:cs="Times New Roman"/>
          <w:b/>
          <w:bCs/>
          <w:sz w:val="28"/>
          <w:szCs w:val="28"/>
        </w:rPr>
        <w:t xml:space="preserve">THE EFFECT OF </w:t>
      </w:r>
      <w:r>
        <w:rPr>
          <w:rFonts w:ascii="Times New Roman" w:hAnsi="Times New Roman" w:cs="Times New Roman"/>
          <w:b/>
          <w:bCs/>
          <w:sz w:val="28"/>
          <w:szCs w:val="28"/>
        </w:rPr>
        <w:t>T</w:t>
      </w:r>
      <w:r w:rsidRPr="00660F58">
        <w:rPr>
          <w:rFonts w:ascii="Times New Roman" w:hAnsi="Times New Roman" w:cs="Times New Roman"/>
          <w:b/>
          <w:bCs/>
          <w:sz w:val="28"/>
          <w:szCs w:val="28"/>
        </w:rPr>
        <w:t xml:space="preserve">RAINING </w:t>
      </w:r>
      <w:r>
        <w:rPr>
          <w:rFonts w:ascii="Times New Roman" w:hAnsi="Times New Roman" w:cs="Times New Roman"/>
          <w:b/>
          <w:bCs/>
          <w:sz w:val="28"/>
          <w:szCs w:val="28"/>
        </w:rPr>
        <w:t>I</w:t>
      </w:r>
      <w:r w:rsidRPr="00660F58">
        <w:rPr>
          <w:rFonts w:ascii="Times New Roman" w:hAnsi="Times New Roman" w:cs="Times New Roman"/>
          <w:b/>
          <w:bCs/>
          <w:sz w:val="28"/>
          <w:szCs w:val="28"/>
        </w:rPr>
        <w:t xml:space="preserve">NVESTMENT ON </w:t>
      </w:r>
      <w:r w:rsidR="00471B52">
        <w:rPr>
          <w:rFonts w:ascii="Times New Roman" w:hAnsi="Times New Roman" w:cs="Times New Roman"/>
          <w:b/>
          <w:bCs/>
          <w:sz w:val="28"/>
          <w:szCs w:val="28"/>
        </w:rPr>
        <w:t>FIRM VALUE</w:t>
      </w:r>
      <w:r w:rsidRPr="00660F58">
        <w:rPr>
          <w:rFonts w:ascii="Times New Roman" w:hAnsi="Times New Roman" w:cs="Times New Roman"/>
          <w:b/>
          <w:bCs/>
          <w:sz w:val="28"/>
          <w:szCs w:val="28"/>
        </w:rPr>
        <w:t xml:space="preserve"> OF LISTED OIL AND GAS FIRMS IN NIGERIA: THE MODERATING ROLE OF </w:t>
      </w:r>
      <w:r w:rsidR="00471B52">
        <w:rPr>
          <w:rFonts w:ascii="Times New Roman" w:hAnsi="Times New Roman" w:cs="Times New Roman"/>
          <w:b/>
          <w:bCs/>
          <w:sz w:val="28"/>
          <w:szCs w:val="28"/>
        </w:rPr>
        <w:t>BOARD INDEPENDENCE</w:t>
      </w:r>
    </w:p>
    <w:p w14:paraId="60224BCE" w14:textId="77777777" w:rsidR="00D2041B" w:rsidRDefault="00D2041B" w:rsidP="007D08FC">
      <w:pPr>
        <w:rPr>
          <w:rFonts w:ascii="Times New Roman" w:hAnsi="Times New Roman" w:cs="Times New Roman"/>
          <w:b/>
          <w:bCs/>
        </w:rPr>
      </w:pPr>
    </w:p>
    <w:p w14:paraId="04F23827" w14:textId="528DE421" w:rsidR="007D08FC" w:rsidRPr="006F1283" w:rsidRDefault="007D08FC" w:rsidP="00CF272B">
      <w:pPr>
        <w:ind w:left="3600" w:firstLine="720"/>
        <w:rPr>
          <w:rFonts w:ascii="Times New Roman" w:hAnsi="Times New Roman" w:cs="Times New Roman"/>
          <w:b/>
          <w:bCs/>
          <w:highlight w:val="yellow"/>
        </w:rPr>
      </w:pPr>
      <w:r w:rsidRPr="006F1283">
        <w:rPr>
          <w:rFonts w:ascii="Times New Roman" w:hAnsi="Times New Roman" w:cs="Times New Roman"/>
          <w:b/>
          <w:bCs/>
          <w:highlight w:val="yellow"/>
        </w:rPr>
        <w:t>Abstract</w:t>
      </w:r>
    </w:p>
    <w:p w14:paraId="594616B9" w14:textId="77777777" w:rsidR="00B80FE6" w:rsidRPr="006F1283" w:rsidRDefault="00B80FE6" w:rsidP="00BA5888">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6F1283">
        <w:rPr>
          <w:rFonts w:ascii="Times New Roman" w:eastAsia="Times New Roman" w:hAnsi="Times New Roman" w:cs="Times New Roman"/>
          <w:b/>
          <w:bCs/>
          <w:kern w:val="0"/>
          <w:highlight w:val="yellow"/>
          <w14:ligatures w14:val="none"/>
        </w:rPr>
        <w:t>Background:</w:t>
      </w:r>
      <w:r w:rsidRPr="006F1283">
        <w:rPr>
          <w:rFonts w:ascii="Times New Roman" w:eastAsia="Times New Roman" w:hAnsi="Times New Roman" w:cs="Times New Roman"/>
          <w:kern w:val="0"/>
          <w:highlight w:val="yellow"/>
          <w14:ligatures w14:val="none"/>
        </w:rPr>
        <w:t xml:space="preserve"> In knowledge-intensive and highly regulated industries such as oil and gas, investments in employee training and effective corporate governance are increasingly regarded as strategic mechanisms for enhancing organisational performance and shareholder value. However, empirical evidence regarding the value implications of training investments in emerging economies remains inconclusive.</w:t>
      </w:r>
    </w:p>
    <w:p w14:paraId="70E29BAF" w14:textId="77777777" w:rsidR="00B80FE6" w:rsidRPr="006F1283" w:rsidRDefault="00B80FE6" w:rsidP="00BA5888">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6F1283">
        <w:rPr>
          <w:rFonts w:ascii="Times New Roman" w:eastAsia="Times New Roman" w:hAnsi="Times New Roman" w:cs="Times New Roman"/>
          <w:b/>
          <w:bCs/>
          <w:kern w:val="0"/>
          <w:highlight w:val="yellow"/>
          <w14:ligatures w14:val="none"/>
        </w:rPr>
        <w:t>Aim:</w:t>
      </w:r>
      <w:r w:rsidRPr="006F1283">
        <w:rPr>
          <w:rFonts w:ascii="Times New Roman" w:eastAsia="Times New Roman" w:hAnsi="Times New Roman" w:cs="Times New Roman"/>
          <w:kern w:val="0"/>
          <w:highlight w:val="yellow"/>
          <w14:ligatures w14:val="none"/>
        </w:rPr>
        <w:t xml:space="preserve"> This study examined the effect of training investment on firm value among listed oil and gas firms in Nigeria and assessed the moderating role of board independence in this relationship.</w:t>
      </w:r>
    </w:p>
    <w:p w14:paraId="407B78AB" w14:textId="77777777" w:rsidR="00B80FE6" w:rsidRPr="006F1283" w:rsidRDefault="00B80FE6" w:rsidP="00BA5888">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6F1283">
        <w:rPr>
          <w:rFonts w:ascii="Times New Roman" w:eastAsia="Times New Roman" w:hAnsi="Times New Roman" w:cs="Times New Roman"/>
          <w:b/>
          <w:bCs/>
          <w:kern w:val="0"/>
          <w:highlight w:val="yellow"/>
          <w14:ligatures w14:val="none"/>
        </w:rPr>
        <w:t>Methods:</w:t>
      </w:r>
      <w:r w:rsidRPr="006F1283">
        <w:rPr>
          <w:rFonts w:ascii="Times New Roman" w:eastAsia="Times New Roman" w:hAnsi="Times New Roman" w:cs="Times New Roman"/>
          <w:kern w:val="0"/>
          <w:highlight w:val="yellow"/>
          <w14:ligatures w14:val="none"/>
        </w:rPr>
        <w:t xml:space="preserve"> An ex post facto research design was employed using panel data from twelve listed oil and gas firms over the period 2015–2024. Data were obtained from audited annual reports and corporate disclosures. Firm value was measured using Tobin’s Q, while training investment was proxied by training expenditure, training intensity, participation rate, and human capital investment ratio. Firm size and firm age were included as control variables. Data were analysed using random-effects generalised least squares regression with robust standard errors.</w:t>
      </w:r>
    </w:p>
    <w:p w14:paraId="5BD107C5" w14:textId="77777777" w:rsidR="00B80FE6" w:rsidRPr="006F1283" w:rsidRDefault="00B80FE6" w:rsidP="00BA5888">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6F1283">
        <w:rPr>
          <w:rFonts w:ascii="Times New Roman" w:eastAsia="Times New Roman" w:hAnsi="Times New Roman" w:cs="Times New Roman"/>
          <w:b/>
          <w:bCs/>
          <w:kern w:val="0"/>
          <w:highlight w:val="yellow"/>
          <w14:ligatures w14:val="none"/>
        </w:rPr>
        <w:t>Results:</w:t>
      </w:r>
      <w:r w:rsidRPr="006F1283">
        <w:rPr>
          <w:rFonts w:ascii="Times New Roman" w:eastAsia="Times New Roman" w:hAnsi="Times New Roman" w:cs="Times New Roman"/>
          <w:kern w:val="0"/>
          <w:highlight w:val="yellow"/>
          <w14:ligatures w14:val="none"/>
        </w:rPr>
        <w:t xml:space="preserve"> The findings revealed that training investment exerted heterogeneous effects on firm value. Training intensity had a positive and statistically significant effect on firm value, whereas training expenditure and participation rate demonstrated significant negative effects. Human capital investment ratio showed no significant relationship with firm value. Furthermore, board independence significantly moderated these relationships by reducing the adverse effects of training expenditure and strengthening the value relevance of participation rate, although it attenuated the positive effect of training intensity.</w:t>
      </w:r>
    </w:p>
    <w:p w14:paraId="7D23EDA0" w14:textId="77777777" w:rsidR="00B80FE6" w:rsidRPr="006F1283" w:rsidRDefault="00B80FE6" w:rsidP="00BA5888">
      <w:pPr>
        <w:spacing w:before="100" w:beforeAutospacing="1" w:after="100" w:afterAutospacing="1" w:line="240" w:lineRule="auto"/>
        <w:jc w:val="both"/>
        <w:rPr>
          <w:rFonts w:ascii="Times New Roman" w:eastAsia="Times New Roman" w:hAnsi="Times New Roman" w:cs="Times New Roman"/>
          <w:kern w:val="0"/>
          <w:highlight w:val="yellow"/>
          <w14:ligatures w14:val="none"/>
        </w:rPr>
      </w:pPr>
      <w:r w:rsidRPr="006F1283">
        <w:rPr>
          <w:rFonts w:ascii="Times New Roman" w:eastAsia="Times New Roman" w:hAnsi="Times New Roman" w:cs="Times New Roman"/>
          <w:b/>
          <w:bCs/>
          <w:kern w:val="0"/>
          <w:highlight w:val="yellow"/>
          <w14:ligatures w14:val="none"/>
        </w:rPr>
        <w:t>Conclusion:</w:t>
      </w:r>
      <w:r w:rsidRPr="006F1283">
        <w:rPr>
          <w:rFonts w:ascii="Times New Roman" w:eastAsia="Times New Roman" w:hAnsi="Times New Roman" w:cs="Times New Roman"/>
          <w:kern w:val="0"/>
          <w:highlight w:val="yellow"/>
          <w14:ligatures w14:val="none"/>
        </w:rPr>
        <w:t xml:space="preserve"> The study concludes that the contribution of training investment to firm value depends more on the quality, structure, and governance oversight of training initiatives than on the magnitude of expenditure. Strengthening board independence and implementing outcome-oriented training strategies can enhance firm value and improve investor confidence.</w:t>
      </w:r>
    </w:p>
    <w:p w14:paraId="666003E4" w14:textId="77777777" w:rsidR="00B80FE6" w:rsidRPr="00B80FE6" w:rsidRDefault="00B80FE6" w:rsidP="00BA5888">
      <w:pPr>
        <w:spacing w:before="100" w:beforeAutospacing="1" w:after="100" w:afterAutospacing="1" w:line="240" w:lineRule="auto"/>
        <w:jc w:val="both"/>
        <w:rPr>
          <w:rFonts w:ascii="Times New Roman" w:eastAsia="Times New Roman" w:hAnsi="Times New Roman" w:cs="Times New Roman"/>
          <w:kern w:val="0"/>
          <w14:ligatures w14:val="none"/>
        </w:rPr>
      </w:pPr>
      <w:r w:rsidRPr="006F1283">
        <w:rPr>
          <w:rFonts w:ascii="Times New Roman" w:eastAsia="Times New Roman" w:hAnsi="Times New Roman" w:cs="Times New Roman"/>
          <w:b/>
          <w:bCs/>
          <w:kern w:val="0"/>
          <w:highlight w:val="yellow"/>
          <w14:ligatures w14:val="none"/>
        </w:rPr>
        <w:t>Keywords:</w:t>
      </w:r>
      <w:r w:rsidRPr="006F1283">
        <w:rPr>
          <w:rFonts w:ascii="Times New Roman" w:eastAsia="Times New Roman" w:hAnsi="Times New Roman" w:cs="Times New Roman"/>
          <w:kern w:val="0"/>
          <w:highlight w:val="yellow"/>
          <w14:ligatures w14:val="none"/>
        </w:rPr>
        <w:t xml:space="preserve"> Training investment; firm value; board independence; corporate governance; human capital development.</w:t>
      </w:r>
    </w:p>
    <w:p w14:paraId="0897E772" w14:textId="77777777" w:rsidR="0029610A" w:rsidRPr="0024694C" w:rsidRDefault="0029610A" w:rsidP="007D08FC">
      <w:pPr>
        <w:rPr>
          <w:rFonts w:ascii="Times New Roman" w:hAnsi="Times New Roman" w:cs="Times New Roman"/>
        </w:rPr>
      </w:pPr>
    </w:p>
    <w:p w14:paraId="4FDFC705" w14:textId="2EB6E386" w:rsidR="00D86E88" w:rsidRPr="00A52D66" w:rsidRDefault="00D86E88" w:rsidP="00A52D66">
      <w:pPr>
        <w:pStyle w:val="ListParagraph"/>
        <w:numPr>
          <w:ilvl w:val="0"/>
          <w:numId w:val="11"/>
        </w:numPr>
        <w:spacing w:line="360" w:lineRule="auto"/>
        <w:jc w:val="both"/>
        <w:rPr>
          <w:rFonts w:ascii="Times New Roman" w:hAnsi="Times New Roman" w:cs="Times New Roman"/>
          <w:b/>
          <w:bCs/>
        </w:rPr>
      </w:pPr>
      <w:r w:rsidRPr="00A52D66">
        <w:rPr>
          <w:rFonts w:ascii="Times New Roman" w:hAnsi="Times New Roman" w:cs="Times New Roman"/>
          <w:b/>
          <w:bCs/>
        </w:rPr>
        <w:t>Introduction</w:t>
      </w:r>
    </w:p>
    <w:p w14:paraId="09AE9905" w14:textId="41ED9FBF"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 xml:space="preserve">Firm value remained a key indicator of corporate performance and market perception because it reflected investors’ assessment of profitability, growth prospects, and governance quality, thereby </w:t>
      </w:r>
      <w:r w:rsidRPr="00A52D66">
        <w:rPr>
          <w:rFonts w:ascii="Times New Roman" w:hAnsi="Times New Roman" w:cs="Times New Roman"/>
        </w:rPr>
        <w:lastRenderedPageBreak/>
        <w:t>shaping investment decisions and capital allocation efficiency in emerging markets like Nigeria (Ibrahim, 2025). Empirical evidence further showed that ownership structure, liquidity, and firm growth enhanced firm value and strengthened its role in evaluating managerial effectiveness and long-term wealth maximi</w:t>
      </w:r>
      <w:r w:rsidR="002B6A34">
        <w:rPr>
          <w:rFonts w:ascii="Times New Roman" w:hAnsi="Times New Roman" w:cs="Times New Roman"/>
        </w:rPr>
        <w:t>s</w:t>
      </w:r>
      <w:r w:rsidRPr="00A52D66">
        <w:rPr>
          <w:rFonts w:ascii="Times New Roman" w:hAnsi="Times New Roman" w:cs="Times New Roman"/>
        </w:rPr>
        <w:t>ation (David et al., 2025). However, in developed economies, firm value faced increasing constraints from intangible asset mispricing, short termism, and rising ESG expectations, which complicated valuation models and weakened long term performance assessment (Lev &amp; Gu, 2022), while Flammer (2023) demonstrated that a focus on short term outcomes eroded sustainable value creation, and macroeconomic instability further intensified valuation pressures (Baker et al., 2022).</w:t>
      </w:r>
    </w:p>
    <w:p w14:paraId="0A311D47" w14:textId="2757CBB3"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Similarly, firm value in developing economies, particularly in Africa, was shaped by weak institutional frameworks, information asymmetry, and inconsistent sustainability disclosures, which reduced investor confidence and limited efficient market valuation (Yusuf, 2025). In addition, poor ESG reporting weakened the ability of firms to translate non-financial performance into market value (Yahaya &amp; Yusuf, 2026). More specifically, in Nigeria, suboptimal capital structure decisions and governance inefficiencies further constrained firm value, as excessive long-term debt and weak monitoring mechanisms eroded market valuation and sustained instability across firms (Moses, 2023).</w:t>
      </w:r>
    </w:p>
    <w:p w14:paraId="193CD2B6" w14:textId="20C76838"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 xml:space="preserve">Furthermore, measuring firm value remained problematic, as commonly used proxies such as Tobin’s Q and </w:t>
      </w:r>
      <w:r w:rsidRPr="00AB70A6">
        <w:rPr>
          <w:rFonts w:ascii="Times New Roman" w:hAnsi="Times New Roman" w:cs="Times New Roman"/>
          <w:highlight w:val="yellow"/>
        </w:rPr>
        <w:t>market</w:t>
      </w:r>
      <w:r w:rsidR="002B6A34" w:rsidRPr="00AB70A6">
        <w:rPr>
          <w:rFonts w:ascii="Times New Roman" w:hAnsi="Times New Roman" w:cs="Times New Roman"/>
          <w:highlight w:val="yellow"/>
        </w:rPr>
        <w:t>-to-</w:t>
      </w:r>
      <w:r w:rsidRPr="00AB70A6">
        <w:rPr>
          <w:rFonts w:ascii="Times New Roman" w:hAnsi="Times New Roman" w:cs="Times New Roman"/>
          <w:highlight w:val="yellow"/>
        </w:rPr>
        <w:t>book r</w:t>
      </w:r>
      <w:r w:rsidRPr="00A52D66">
        <w:rPr>
          <w:rFonts w:ascii="Times New Roman" w:hAnsi="Times New Roman" w:cs="Times New Roman"/>
        </w:rPr>
        <w:t xml:space="preserve">atio were often distorted by illiquidity, thin capital markets, and weak disclosure systems in African contexts (Adebayo et al., 2023). Yahaya (2024) also observed that inconsistencies in accounting standards and data quality produced unreliable valuation outcomes, while differences in methodological approaches generated conflicting results. In addition, persistent information asymmetry and governance deficiencies continued to bias </w:t>
      </w:r>
      <w:r w:rsidR="00862B85" w:rsidRPr="00A52D66">
        <w:rPr>
          <w:rFonts w:ascii="Times New Roman" w:hAnsi="Times New Roman" w:cs="Times New Roman"/>
        </w:rPr>
        <w:t>market-based</w:t>
      </w:r>
      <w:r w:rsidRPr="00A52D66">
        <w:rPr>
          <w:rFonts w:ascii="Times New Roman" w:hAnsi="Times New Roman" w:cs="Times New Roman"/>
        </w:rPr>
        <w:t xml:space="preserve"> measures, thereby limiting the precision and comparability of firm value metrics (Okafor &amp; Ezeani, 2022).</w:t>
      </w:r>
    </w:p>
    <w:p w14:paraId="4D6C4025" w14:textId="1A4D0BAB" w:rsid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 xml:space="preserve">Consequently, efforts to enhance firm value increasingly involved coordinated actions from international institutions, governments, and researchers through strengthened corporate governance frameworks, ESG disclosure mandates, and regulatory reforms aimed at improving transparency and reducing information asymmetry (Bukari et al., 2024). For example, </w:t>
      </w:r>
      <w:r w:rsidRPr="00AB70A6">
        <w:rPr>
          <w:rFonts w:ascii="Times New Roman" w:hAnsi="Times New Roman" w:cs="Times New Roman"/>
          <w:highlight w:val="yellow"/>
        </w:rPr>
        <w:t xml:space="preserve">policymakers </w:t>
      </w:r>
      <w:r w:rsidR="002B6A34" w:rsidRPr="00AB70A6">
        <w:rPr>
          <w:rFonts w:ascii="Times New Roman" w:hAnsi="Times New Roman" w:cs="Times New Roman"/>
          <w:highlight w:val="yellow"/>
        </w:rPr>
        <w:t>emphasi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stricter e</w:t>
      </w:r>
      <w:r w:rsidRPr="00A52D66">
        <w:rPr>
          <w:rFonts w:ascii="Times New Roman" w:hAnsi="Times New Roman" w:cs="Times New Roman"/>
        </w:rPr>
        <w:t xml:space="preserve">nforcement of disclosure rules and independent assurance of sustainability reports to boost </w:t>
      </w:r>
      <w:r w:rsidRPr="00A52D66">
        <w:rPr>
          <w:rFonts w:ascii="Times New Roman" w:hAnsi="Times New Roman" w:cs="Times New Roman"/>
        </w:rPr>
        <w:lastRenderedPageBreak/>
        <w:t xml:space="preserve">investor confidence (SCIRP, 2025), while governance reforms promoting board independence improved oversight and valuation outcomes (Al Naim et al., 2026). In this context, integrating ESG considerations into corporate strategy emerged as a critical pathway for sustaining </w:t>
      </w:r>
      <w:r w:rsidR="002B6A34" w:rsidRPr="00AB70A6">
        <w:rPr>
          <w:rFonts w:ascii="Times New Roman" w:hAnsi="Times New Roman" w:cs="Times New Roman"/>
          <w:highlight w:val="yellow"/>
        </w:rPr>
        <w:t>long</w:t>
      </w:r>
      <w:r w:rsidR="002B6A34" w:rsidRPr="00AB70A6">
        <w:rPr>
          <w:rFonts w:ascii="Times New Roman" w:hAnsi="Times New Roman" w:cs="Times New Roman"/>
          <w:highlight w:val="yellow"/>
        </w:rPr>
        <w:t>-</w:t>
      </w:r>
      <w:r w:rsidRPr="00AB70A6">
        <w:rPr>
          <w:rFonts w:ascii="Times New Roman" w:hAnsi="Times New Roman" w:cs="Times New Roman"/>
          <w:highlight w:val="yellow"/>
        </w:rPr>
        <w:t>term value c</w:t>
      </w:r>
      <w:r w:rsidRPr="00A52D66">
        <w:rPr>
          <w:rFonts w:ascii="Times New Roman" w:hAnsi="Times New Roman" w:cs="Times New Roman"/>
        </w:rPr>
        <w:t>reation (Bukari et al., 2024).</w:t>
      </w:r>
    </w:p>
    <w:p w14:paraId="4CE5B5D7" w14:textId="18C555BF" w:rsid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 xml:space="preserve">Within this broader framework, training investment played a strategic role in human capital development by enhancing employees’ competencies, innovation capacity, and productivity, which strengthened firms’ competitive advantage and long-term value creation (Agyemang &amp; Ofori, 2023; Salisu &amp; Mohammed, 2024). </w:t>
      </w:r>
      <w:r w:rsidR="005E134B" w:rsidRPr="005E134B">
        <w:rPr>
          <w:rFonts w:ascii="Times New Roman" w:hAnsi="Times New Roman" w:cs="Times New Roman"/>
          <w:highlight w:val="yellow"/>
        </w:rPr>
        <w:t xml:space="preserve">In today’s business world, training is the main strategy to </w:t>
      </w:r>
      <w:r w:rsidR="002B6A34">
        <w:rPr>
          <w:rFonts w:ascii="Times New Roman" w:hAnsi="Times New Roman" w:cs="Times New Roman"/>
          <w:highlight w:val="yellow"/>
        </w:rPr>
        <w:t>achieve</w:t>
      </w:r>
      <w:r w:rsidR="002B6A34" w:rsidRPr="005E134B">
        <w:rPr>
          <w:rFonts w:ascii="Times New Roman" w:hAnsi="Times New Roman" w:cs="Times New Roman"/>
          <w:highlight w:val="yellow"/>
        </w:rPr>
        <w:t xml:space="preserve"> </w:t>
      </w:r>
      <w:r w:rsidR="005E134B" w:rsidRPr="005E134B">
        <w:rPr>
          <w:rFonts w:ascii="Times New Roman" w:hAnsi="Times New Roman" w:cs="Times New Roman"/>
          <w:highlight w:val="yellow"/>
        </w:rPr>
        <w:t>the institutional objectives. It helps to improve employee and employer performance (</w:t>
      </w:r>
      <w:r w:rsidR="00C63BC6" w:rsidRPr="00C63BC6">
        <w:rPr>
          <w:rFonts w:ascii="Times New Roman" w:hAnsi="Times New Roman" w:cs="Times New Roman"/>
        </w:rPr>
        <w:t>Yimam, 2022</w:t>
      </w:r>
      <w:r w:rsidR="005E134B" w:rsidRPr="005E134B">
        <w:rPr>
          <w:rFonts w:ascii="Times New Roman" w:hAnsi="Times New Roman" w:cs="Times New Roman"/>
          <w:highlight w:val="yellow"/>
        </w:rPr>
        <w:t>).</w:t>
      </w:r>
      <w:r w:rsidR="005E134B" w:rsidRPr="005E134B">
        <w:rPr>
          <w:rFonts w:ascii="Times New Roman" w:hAnsi="Times New Roman" w:cs="Times New Roman"/>
        </w:rPr>
        <w:t xml:space="preserve"> </w:t>
      </w:r>
      <w:r w:rsidRPr="00A52D66">
        <w:rPr>
          <w:rFonts w:ascii="Times New Roman" w:hAnsi="Times New Roman" w:cs="Times New Roman"/>
        </w:rPr>
        <w:t>Empirical evidence indicated that sustained investment in training improved operational efficiency and market valuation, as Yusuf (2025) demonstrated its positive effect on firm performance. Moreover, training supported knowledge transfer and adaptability, which were essential for resilience in dynamic environments (Mensah et al., 2022; Okoye &amp; Eze, 2023), thereby positioning training investment as a key driver of firm value (Yahaya &amp; Bello, 2026)</w:t>
      </w:r>
      <w:r w:rsidR="00C01B0D">
        <w:rPr>
          <w:rFonts w:ascii="Times New Roman" w:hAnsi="Times New Roman" w:cs="Times New Roman"/>
        </w:rPr>
        <w:t>.</w:t>
      </w:r>
    </w:p>
    <w:p w14:paraId="742FFCD4" w14:textId="657743D2" w:rsidR="00CB1F8E" w:rsidRPr="00A52D66" w:rsidRDefault="00CB1F8E" w:rsidP="00A52D66">
      <w:pPr>
        <w:spacing w:line="360" w:lineRule="auto"/>
        <w:jc w:val="both"/>
        <w:rPr>
          <w:rFonts w:ascii="Times New Roman" w:hAnsi="Times New Roman" w:cs="Times New Roman"/>
        </w:rPr>
      </w:pPr>
      <w:r w:rsidRPr="00CB1F8E">
        <w:rPr>
          <w:rFonts w:ascii="Times New Roman" w:hAnsi="Times New Roman" w:cs="Times New Roman"/>
          <w:highlight w:val="yellow"/>
        </w:rPr>
        <w:t>Employee training refers to the structured programs designed to enhance employees’ knowledge, skills, and competencies. Within the oil and gas sector, training covers a wide array of areas, including technical skills, safety protocols, compliance with environmental regulations, and leadership development (</w:t>
      </w:r>
      <w:r w:rsidR="00CD6BC1" w:rsidRPr="00CD6BC1">
        <w:rPr>
          <w:rFonts w:ascii="Times New Roman" w:hAnsi="Times New Roman" w:cs="Times New Roman"/>
        </w:rPr>
        <w:t>Shekwolo &amp; Peters, 2025</w:t>
      </w:r>
      <w:r w:rsidRPr="00CB1F8E">
        <w:rPr>
          <w:rFonts w:ascii="Times New Roman" w:hAnsi="Times New Roman" w:cs="Times New Roman"/>
          <w:highlight w:val="yellow"/>
        </w:rPr>
        <w:t xml:space="preserve">). Given the hazardous and highly regulated nature of the industry, companies must ensure their workforce is adequately trained to </w:t>
      </w:r>
      <w:r w:rsidR="002B6A34" w:rsidRPr="00CB1F8E">
        <w:rPr>
          <w:rFonts w:ascii="Times New Roman" w:hAnsi="Times New Roman" w:cs="Times New Roman"/>
          <w:highlight w:val="yellow"/>
        </w:rPr>
        <w:t>minimi</w:t>
      </w:r>
      <w:r w:rsidR="002B6A34">
        <w:rPr>
          <w:rFonts w:ascii="Times New Roman" w:hAnsi="Times New Roman" w:cs="Times New Roman"/>
          <w:highlight w:val="yellow"/>
        </w:rPr>
        <w:t>s</w:t>
      </w:r>
      <w:r w:rsidR="002B6A34" w:rsidRPr="00CB1F8E">
        <w:rPr>
          <w:rFonts w:ascii="Times New Roman" w:hAnsi="Times New Roman" w:cs="Times New Roman"/>
          <w:highlight w:val="yellow"/>
        </w:rPr>
        <w:t xml:space="preserve">e </w:t>
      </w:r>
      <w:r w:rsidRPr="00CB1F8E">
        <w:rPr>
          <w:rFonts w:ascii="Times New Roman" w:hAnsi="Times New Roman" w:cs="Times New Roman"/>
          <w:highlight w:val="yellow"/>
        </w:rPr>
        <w:t>risks, avoid costly accidents, and comply with international standards (</w:t>
      </w:r>
      <w:r w:rsidR="00316230" w:rsidRPr="00316230">
        <w:rPr>
          <w:rFonts w:ascii="Times New Roman" w:hAnsi="Times New Roman" w:cs="Times New Roman"/>
        </w:rPr>
        <w:t>Shekwolo &amp; Peters, 2025</w:t>
      </w:r>
      <w:r w:rsidR="00C64D67">
        <w:rPr>
          <w:rFonts w:ascii="Times New Roman" w:hAnsi="Times New Roman" w:cs="Times New Roman"/>
        </w:rPr>
        <w:t xml:space="preserve">; </w:t>
      </w:r>
      <w:r w:rsidR="00C64D67" w:rsidRPr="00C64D67">
        <w:rPr>
          <w:rFonts w:ascii="Times New Roman" w:hAnsi="Times New Roman" w:cs="Times New Roman"/>
        </w:rPr>
        <w:t>Onoh</w:t>
      </w:r>
      <w:r w:rsidR="00C64D67">
        <w:rPr>
          <w:rFonts w:ascii="Times New Roman" w:hAnsi="Times New Roman" w:cs="Times New Roman"/>
        </w:rPr>
        <w:t xml:space="preserve"> et al., 2022</w:t>
      </w:r>
      <w:r w:rsidRPr="00CB1F8E">
        <w:rPr>
          <w:rFonts w:ascii="Times New Roman" w:hAnsi="Times New Roman" w:cs="Times New Roman"/>
          <w:highlight w:val="yellow"/>
        </w:rPr>
        <w:t xml:space="preserve">). </w:t>
      </w:r>
    </w:p>
    <w:p w14:paraId="237DD040" w14:textId="2B71BB6A"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 xml:space="preserve">However, inadequate training investment continued to undermine firm value, as firms with limited human capital development experienced reduced productivity, weak innovation capacity, and lower market valuation (Ezeani et al., 2023; Lawal &amp; Nwanji, 2024). In support of this, Okafor (2025) demonstrated that insufficient training budgets constrained employee efficiency and </w:t>
      </w:r>
      <w:r w:rsidR="002B6A34" w:rsidRPr="00AB70A6">
        <w:rPr>
          <w:rFonts w:ascii="Times New Roman" w:hAnsi="Times New Roman" w:cs="Times New Roman"/>
          <w:highlight w:val="yellow"/>
        </w:rPr>
        <w:t>organi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ational </w:t>
      </w:r>
      <w:r w:rsidRPr="00AB70A6">
        <w:rPr>
          <w:rFonts w:ascii="Times New Roman" w:hAnsi="Times New Roman" w:cs="Times New Roman"/>
          <w:highlight w:val="yellow"/>
        </w:rPr>
        <w:t>competitiveness. Furthermore</w:t>
      </w:r>
      <w:r w:rsidRPr="00A52D66">
        <w:rPr>
          <w:rFonts w:ascii="Times New Roman" w:hAnsi="Times New Roman" w:cs="Times New Roman"/>
        </w:rPr>
        <w:t>, underinvestment led to operational inefficiencies and weaker financial performance, which ultimately reduced firm value sustainability (Mensah &amp; Agyapong, 2022; Bello et al., 2026).</w:t>
      </w:r>
    </w:p>
    <w:p w14:paraId="2CAAE43E" w14:textId="452F891B"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 xml:space="preserve">Importantly, board independence enhanced the effectiveness of training investment by improving oversight, reducing agency conflicts, and aligning human capital expenditures with value </w:t>
      </w:r>
      <w:r w:rsidR="002B6A34" w:rsidRPr="00AB70A6">
        <w:rPr>
          <w:rFonts w:ascii="Times New Roman" w:hAnsi="Times New Roman" w:cs="Times New Roman"/>
          <w:highlight w:val="yellow"/>
        </w:rPr>
        <w:lastRenderedPageBreak/>
        <w:t>maximi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ation </w:t>
      </w:r>
      <w:r w:rsidRPr="00AB70A6">
        <w:rPr>
          <w:rFonts w:ascii="Times New Roman" w:hAnsi="Times New Roman" w:cs="Times New Roman"/>
          <w:highlight w:val="yellow"/>
        </w:rPr>
        <w:t>objectives (</w:t>
      </w:r>
      <w:r w:rsidRPr="00A52D66">
        <w:rPr>
          <w:rFonts w:ascii="Times New Roman" w:hAnsi="Times New Roman" w:cs="Times New Roman"/>
        </w:rPr>
        <w:t>Adebiyi et al., 2023; Ntim et al., 2022). Yahaya (2024) demonstrated that independent directors strengthened accountability and resource allocation efficiency, while empirical studies showed that firms with more independent boards were better positioned to convert training investments into improved performance and higher firm value (Uwuigbe et al., 2023; Mensah et al., 2022; Okafor &amp; Ibadin, 2025).</w:t>
      </w:r>
    </w:p>
    <w:p w14:paraId="3302F2D2" w14:textId="4BABA21B" w:rsidR="00A52D66" w:rsidRPr="00A52D66" w:rsidRDefault="00A52D66" w:rsidP="00A52D66">
      <w:pPr>
        <w:spacing w:line="360" w:lineRule="auto"/>
        <w:jc w:val="both"/>
        <w:rPr>
          <w:rFonts w:ascii="Times New Roman" w:hAnsi="Times New Roman" w:cs="Times New Roman"/>
        </w:rPr>
      </w:pPr>
      <w:r w:rsidRPr="00A52D66">
        <w:rPr>
          <w:rFonts w:ascii="Times New Roman" w:hAnsi="Times New Roman" w:cs="Times New Roman"/>
        </w:rPr>
        <w:t xml:space="preserve">Nevertheless, despite these insights, the literature remained fragmented, as most studies examined training investment and board independence separately, with limited integration of multidimensional training proxies and firm value measured by Tobin’s Q (Adebiyi et al., 2023; Bukari et al., 2024). Although prior evidence showed that board independence improved firm value and governance outcomes (Uwuigbe et al., 2023), it largely ignored </w:t>
      </w:r>
      <w:r w:rsidRPr="00AB70A6">
        <w:rPr>
          <w:rFonts w:ascii="Times New Roman" w:hAnsi="Times New Roman" w:cs="Times New Roman"/>
          <w:highlight w:val="yellow"/>
        </w:rPr>
        <w:t>its moderating role in</w:t>
      </w:r>
      <w:r w:rsidRPr="00A52D66">
        <w:rPr>
          <w:rFonts w:ascii="Times New Roman" w:hAnsi="Times New Roman" w:cs="Times New Roman"/>
        </w:rPr>
        <w:t xml:space="preserve"> strengthening the value relevance of training investment. In addition, </w:t>
      </w:r>
      <w:r w:rsidR="002B6A34" w:rsidRPr="00AB70A6">
        <w:rPr>
          <w:rFonts w:ascii="Times New Roman" w:hAnsi="Times New Roman" w:cs="Times New Roman"/>
          <w:highlight w:val="yellow"/>
        </w:rPr>
        <w:t>sector</w:t>
      </w:r>
      <w:r w:rsidR="002B6A34" w:rsidRPr="00AB70A6">
        <w:rPr>
          <w:rFonts w:ascii="Times New Roman" w:hAnsi="Times New Roman" w:cs="Times New Roman"/>
          <w:highlight w:val="yellow"/>
        </w:rPr>
        <w:t>-</w:t>
      </w:r>
      <w:r w:rsidRPr="00AB70A6">
        <w:rPr>
          <w:rFonts w:ascii="Times New Roman" w:hAnsi="Times New Roman" w:cs="Times New Roman"/>
          <w:highlight w:val="yellow"/>
        </w:rPr>
        <w:t>specific</w:t>
      </w:r>
      <w:r w:rsidRPr="00A52D66">
        <w:rPr>
          <w:rFonts w:ascii="Times New Roman" w:hAnsi="Times New Roman" w:cs="Times New Roman"/>
        </w:rPr>
        <w:t xml:space="preserve"> evidence, particularly in the oil and gas industry, remained limited and methodologically inconsistent (Ahmed et al., 2025). Therefore, this study address</w:t>
      </w:r>
      <w:r w:rsidR="00574296">
        <w:rPr>
          <w:rFonts w:ascii="Times New Roman" w:hAnsi="Times New Roman" w:cs="Times New Roman"/>
        </w:rPr>
        <w:t>es</w:t>
      </w:r>
      <w:r w:rsidRPr="00A52D66">
        <w:rPr>
          <w:rFonts w:ascii="Times New Roman" w:hAnsi="Times New Roman" w:cs="Times New Roman"/>
        </w:rPr>
        <w:t xml:space="preserve"> this gap by examining the effect of training investment on </w:t>
      </w:r>
      <w:r w:rsidR="002B6A34" w:rsidRPr="00AB70A6">
        <w:rPr>
          <w:rFonts w:ascii="Times New Roman" w:hAnsi="Times New Roman" w:cs="Times New Roman"/>
          <w:highlight w:val="yellow"/>
        </w:rPr>
        <w:t xml:space="preserve">the </w:t>
      </w:r>
      <w:r w:rsidRPr="00AB70A6">
        <w:rPr>
          <w:rFonts w:ascii="Times New Roman" w:hAnsi="Times New Roman" w:cs="Times New Roman"/>
          <w:highlight w:val="yellow"/>
        </w:rPr>
        <w:t>firm val</w:t>
      </w:r>
      <w:r w:rsidRPr="00A52D66">
        <w:rPr>
          <w:rFonts w:ascii="Times New Roman" w:hAnsi="Times New Roman" w:cs="Times New Roman"/>
        </w:rPr>
        <w:t xml:space="preserve">ue of listed oil and gas firms in Nigeria, while incorporating board independence as a moderating mechanism </w:t>
      </w:r>
    </w:p>
    <w:p w14:paraId="7F3A4232" w14:textId="7EA99127" w:rsidR="009A7EA1" w:rsidRPr="002C5C73" w:rsidRDefault="009A7EA1" w:rsidP="002C5C73">
      <w:pPr>
        <w:pStyle w:val="ListParagraph"/>
        <w:numPr>
          <w:ilvl w:val="0"/>
          <w:numId w:val="7"/>
        </w:numPr>
        <w:spacing w:line="360" w:lineRule="auto"/>
        <w:jc w:val="both"/>
        <w:rPr>
          <w:rFonts w:ascii="Times New Roman" w:hAnsi="Times New Roman" w:cs="Times New Roman"/>
          <w:b/>
          <w:bCs/>
        </w:rPr>
      </w:pPr>
      <w:r w:rsidRPr="002C5C73">
        <w:rPr>
          <w:rFonts w:ascii="Times New Roman" w:hAnsi="Times New Roman" w:cs="Times New Roman"/>
          <w:b/>
          <w:bCs/>
        </w:rPr>
        <w:t>Literature Review</w:t>
      </w:r>
    </w:p>
    <w:p w14:paraId="2B081D6F" w14:textId="452CE6C8" w:rsidR="000F1B8A" w:rsidRPr="0058447B" w:rsidRDefault="009A7EA1" w:rsidP="00D86E88">
      <w:pPr>
        <w:pStyle w:val="ListParagraph"/>
        <w:numPr>
          <w:ilvl w:val="1"/>
          <w:numId w:val="7"/>
        </w:numPr>
        <w:spacing w:line="360" w:lineRule="auto"/>
        <w:ind w:left="0" w:firstLine="0"/>
        <w:jc w:val="both"/>
        <w:rPr>
          <w:rFonts w:ascii="Times New Roman" w:hAnsi="Times New Roman" w:cs="Times New Roman"/>
          <w:b/>
          <w:bCs/>
        </w:rPr>
      </w:pPr>
      <w:r w:rsidRPr="0058447B">
        <w:rPr>
          <w:rFonts w:ascii="Times New Roman" w:hAnsi="Times New Roman" w:cs="Times New Roman"/>
          <w:b/>
          <w:bCs/>
        </w:rPr>
        <w:t xml:space="preserve">Conceptual Review </w:t>
      </w:r>
    </w:p>
    <w:p w14:paraId="212F9CE2" w14:textId="49EBD381" w:rsidR="009A7EA1" w:rsidRPr="0058447B" w:rsidRDefault="003C0CC7" w:rsidP="00D86E88">
      <w:pPr>
        <w:pStyle w:val="ListParagraph"/>
        <w:numPr>
          <w:ilvl w:val="2"/>
          <w:numId w:val="7"/>
        </w:numPr>
        <w:spacing w:line="360" w:lineRule="auto"/>
        <w:ind w:left="0" w:firstLine="0"/>
        <w:jc w:val="both"/>
        <w:rPr>
          <w:rFonts w:ascii="Times New Roman" w:hAnsi="Times New Roman" w:cs="Times New Roman"/>
          <w:b/>
          <w:bCs/>
        </w:rPr>
      </w:pPr>
      <w:r>
        <w:rPr>
          <w:rFonts w:ascii="Times New Roman" w:hAnsi="Times New Roman" w:cs="Times New Roman"/>
          <w:b/>
          <w:bCs/>
        </w:rPr>
        <w:t>Firm Value</w:t>
      </w:r>
    </w:p>
    <w:p w14:paraId="0AA057B9" w14:textId="0B4C0633" w:rsidR="00FB0A5C" w:rsidRDefault="00FB0A5C" w:rsidP="00F215E9">
      <w:pPr>
        <w:spacing w:line="360" w:lineRule="auto"/>
        <w:jc w:val="both"/>
        <w:rPr>
          <w:rFonts w:ascii="Times New Roman" w:hAnsi="Times New Roman" w:cs="Times New Roman"/>
        </w:rPr>
      </w:pPr>
      <w:r w:rsidRPr="00FB0A5C">
        <w:rPr>
          <w:rFonts w:ascii="Times New Roman" w:hAnsi="Times New Roman" w:cs="Times New Roman"/>
        </w:rPr>
        <w:t xml:space="preserve">Firm value represents a multidimensional construct that reflects the market’s overall assessment of a firm’s economic worth, incorporating expectations about profitability, growth, risk, and governance quality, although its </w:t>
      </w:r>
      <w:r w:rsidR="002B6A34" w:rsidRPr="00AB70A6">
        <w:rPr>
          <w:rFonts w:ascii="Times New Roman" w:hAnsi="Times New Roman" w:cs="Times New Roman"/>
          <w:highlight w:val="yellow"/>
        </w:rPr>
        <w:t>conceptuali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ation </w:t>
      </w:r>
      <w:r w:rsidRPr="00AB70A6">
        <w:rPr>
          <w:rFonts w:ascii="Times New Roman" w:hAnsi="Times New Roman" w:cs="Times New Roman"/>
          <w:highlight w:val="yellow"/>
        </w:rPr>
        <w:t>varies across</w:t>
      </w:r>
      <w:r w:rsidRPr="00FB0A5C">
        <w:rPr>
          <w:rFonts w:ascii="Times New Roman" w:hAnsi="Times New Roman" w:cs="Times New Roman"/>
        </w:rPr>
        <w:t xml:space="preserve"> authors and contexts. For instance, Ibrahim (2025) </w:t>
      </w:r>
      <w:r>
        <w:rPr>
          <w:rFonts w:ascii="Times New Roman" w:hAnsi="Times New Roman" w:cs="Times New Roman"/>
        </w:rPr>
        <w:t>viewed</w:t>
      </w:r>
      <w:r w:rsidRPr="00FB0A5C">
        <w:rPr>
          <w:rFonts w:ascii="Times New Roman" w:hAnsi="Times New Roman" w:cs="Times New Roman"/>
        </w:rPr>
        <w:t xml:space="preserve"> firm value as the market-based outcome of investors’ perceptions of firm performance and prospects, while Yahaya (2024) </w:t>
      </w:r>
      <w:r>
        <w:rPr>
          <w:rFonts w:ascii="Times New Roman" w:hAnsi="Times New Roman" w:cs="Times New Roman"/>
        </w:rPr>
        <w:t>opined</w:t>
      </w:r>
      <w:r w:rsidRPr="00FB0A5C">
        <w:rPr>
          <w:rFonts w:ascii="Times New Roman" w:hAnsi="Times New Roman" w:cs="Times New Roman"/>
        </w:rPr>
        <w:t xml:space="preserve"> it from a financial reporting perspective as a function of transparency and earnings quality; similarly, Bukari et al. (2024) </w:t>
      </w:r>
      <w:r w:rsidR="002B6A34" w:rsidRPr="00AB70A6">
        <w:rPr>
          <w:rFonts w:ascii="Times New Roman" w:hAnsi="Times New Roman" w:cs="Times New Roman"/>
          <w:highlight w:val="yellow"/>
        </w:rPr>
        <w:t>emphasi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ed</w:t>
      </w:r>
      <w:r w:rsidR="002B6A34" w:rsidRPr="00FB0A5C">
        <w:rPr>
          <w:rFonts w:ascii="Times New Roman" w:hAnsi="Times New Roman" w:cs="Times New Roman"/>
        </w:rPr>
        <w:t xml:space="preserve"> </w:t>
      </w:r>
      <w:r w:rsidRPr="00FB0A5C">
        <w:rPr>
          <w:rFonts w:ascii="Times New Roman" w:hAnsi="Times New Roman" w:cs="Times New Roman"/>
        </w:rPr>
        <w:t>the role of ESG integration in shaping sustainable firm value. Despite these perspectives, significant issues persist, including valuation distortions arising from information asymmetry, weak disclosure systems, and market inefficiencies, particularly in emerging economies (</w:t>
      </w:r>
      <w:r w:rsidRPr="00AB70A6">
        <w:rPr>
          <w:rFonts w:ascii="Times New Roman" w:hAnsi="Times New Roman" w:cs="Times New Roman"/>
          <w:highlight w:val="yellow"/>
        </w:rPr>
        <w:t>Adebayo et al., 2023; Okafor &amp; Ezeani, 2022). Moreover, while measures such as Tobin’s Q and market</w:t>
      </w:r>
      <w:r w:rsidR="002B6A34" w:rsidRPr="00AB70A6">
        <w:rPr>
          <w:rFonts w:ascii="Times New Roman" w:hAnsi="Times New Roman" w:cs="Times New Roman"/>
          <w:highlight w:val="yellow"/>
        </w:rPr>
        <w:t>-to-</w:t>
      </w:r>
      <w:r w:rsidRPr="00AB70A6">
        <w:rPr>
          <w:rFonts w:ascii="Times New Roman" w:hAnsi="Times New Roman" w:cs="Times New Roman"/>
          <w:highlight w:val="yellow"/>
        </w:rPr>
        <w:t>book r</w:t>
      </w:r>
      <w:r w:rsidRPr="00FB0A5C">
        <w:rPr>
          <w:rFonts w:ascii="Times New Roman" w:hAnsi="Times New Roman" w:cs="Times New Roman"/>
        </w:rPr>
        <w:t xml:space="preserve">atio are widely adopted due to their forward-looking nature, they are often </w:t>
      </w:r>
      <w:r w:rsidR="002B6A34" w:rsidRPr="00AB70A6">
        <w:rPr>
          <w:rFonts w:ascii="Times New Roman" w:hAnsi="Times New Roman" w:cs="Times New Roman"/>
          <w:highlight w:val="yellow"/>
        </w:rPr>
        <w:t>critici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for sensit</w:t>
      </w:r>
      <w:r w:rsidRPr="00FB0A5C">
        <w:rPr>
          <w:rFonts w:ascii="Times New Roman" w:hAnsi="Times New Roman" w:cs="Times New Roman"/>
        </w:rPr>
        <w:t xml:space="preserve">ivity to market volatility and difficulties in </w:t>
      </w:r>
      <w:r w:rsidRPr="00FB0A5C">
        <w:rPr>
          <w:rFonts w:ascii="Times New Roman" w:hAnsi="Times New Roman" w:cs="Times New Roman"/>
        </w:rPr>
        <w:lastRenderedPageBreak/>
        <w:t xml:space="preserve">estimating replacement costs, thereby limiting their precision across contexts (Yahaya &amp; Yusuf, 2026). In contrast, </w:t>
      </w:r>
      <w:r w:rsidR="002B6A34" w:rsidRPr="00AB70A6">
        <w:rPr>
          <w:rFonts w:ascii="Times New Roman" w:hAnsi="Times New Roman" w:cs="Times New Roman"/>
          <w:highlight w:val="yellow"/>
        </w:rPr>
        <w:t>accounting</w:t>
      </w:r>
      <w:r w:rsidR="002B6A34" w:rsidRPr="00AB70A6">
        <w:rPr>
          <w:rFonts w:ascii="Times New Roman" w:hAnsi="Times New Roman" w:cs="Times New Roman"/>
          <w:highlight w:val="yellow"/>
        </w:rPr>
        <w:t>-</w:t>
      </w:r>
      <w:r w:rsidRPr="00AB70A6">
        <w:rPr>
          <w:rFonts w:ascii="Times New Roman" w:hAnsi="Times New Roman" w:cs="Times New Roman"/>
          <w:highlight w:val="yellow"/>
        </w:rPr>
        <w:t>based measure</w:t>
      </w:r>
      <w:r w:rsidRPr="00FB0A5C">
        <w:rPr>
          <w:rFonts w:ascii="Times New Roman" w:hAnsi="Times New Roman" w:cs="Times New Roman"/>
        </w:rPr>
        <w:t>s offer stability but fail to fully capture market expectations, thus creating a trade</w:t>
      </w:r>
      <w:r>
        <w:rPr>
          <w:rFonts w:ascii="Times New Roman" w:hAnsi="Times New Roman" w:cs="Times New Roman"/>
        </w:rPr>
        <w:t>-</w:t>
      </w:r>
      <w:r w:rsidRPr="00FB0A5C">
        <w:rPr>
          <w:rFonts w:ascii="Times New Roman" w:hAnsi="Times New Roman" w:cs="Times New Roman"/>
        </w:rPr>
        <w:t>off between relevance and reliability. Consequently, firm value is influenced by governance quality, capital structure, and strategic investments such as human capital development, yet its accurate measurement remains contested, requiring careful methodological alignment with research objectives and institutional context (Moses, 2023; Bukari et al., 2024)</w:t>
      </w:r>
    </w:p>
    <w:p w14:paraId="69FCA703" w14:textId="15481D7F" w:rsidR="006F4203" w:rsidRPr="00F215E9" w:rsidRDefault="00FB0A5C" w:rsidP="00F215E9">
      <w:pPr>
        <w:spacing w:line="360" w:lineRule="auto"/>
        <w:jc w:val="both"/>
        <w:rPr>
          <w:rFonts w:ascii="Times New Roman" w:hAnsi="Times New Roman" w:cs="Times New Roman"/>
          <w:b/>
          <w:bCs/>
        </w:rPr>
      </w:pPr>
      <w:r w:rsidRPr="00FB0A5C">
        <w:rPr>
          <w:rFonts w:ascii="Times New Roman" w:hAnsi="Times New Roman" w:cs="Times New Roman"/>
        </w:rPr>
        <w:t xml:space="preserve"> </w:t>
      </w:r>
      <w:r w:rsidR="00F215E9">
        <w:rPr>
          <w:rFonts w:ascii="Times New Roman" w:hAnsi="Times New Roman" w:cs="Times New Roman"/>
          <w:b/>
          <w:bCs/>
        </w:rPr>
        <w:t>2.1.2</w:t>
      </w:r>
      <w:r w:rsidR="00F215E9">
        <w:rPr>
          <w:rFonts w:ascii="Times New Roman" w:hAnsi="Times New Roman" w:cs="Times New Roman"/>
          <w:b/>
          <w:bCs/>
        </w:rPr>
        <w:tab/>
      </w:r>
      <w:r w:rsidR="0046093B" w:rsidRPr="00F215E9">
        <w:rPr>
          <w:rFonts w:ascii="Times New Roman" w:hAnsi="Times New Roman" w:cs="Times New Roman"/>
          <w:b/>
          <w:bCs/>
        </w:rPr>
        <w:t>Training Investment</w:t>
      </w:r>
    </w:p>
    <w:p w14:paraId="27071978" w14:textId="69A9FDA0" w:rsidR="00303686" w:rsidRDefault="00303686" w:rsidP="00303686">
      <w:pPr>
        <w:spacing w:line="360" w:lineRule="auto"/>
        <w:jc w:val="both"/>
        <w:rPr>
          <w:rFonts w:ascii="Times New Roman" w:hAnsi="Times New Roman" w:cs="Times New Roman"/>
        </w:rPr>
      </w:pPr>
      <w:r w:rsidRPr="00303686">
        <w:rPr>
          <w:rFonts w:ascii="Times New Roman" w:hAnsi="Times New Roman" w:cs="Times New Roman"/>
        </w:rPr>
        <w:t>Training investment is conceptualized as a strategic allocation of resources toward employee learning, skill acquisition, and capability development aimed at enhancing firm productivity and innovation, though scholars differ in scope and emphasis, with OECD (2023) defining it as deliberate human capital formation, while World Bank (2023) and Bolli and Woerter (2022) view</w:t>
      </w:r>
      <w:r w:rsidR="00574296">
        <w:rPr>
          <w:rFonts w:ascii="Times New Roman" w:hAnsi="Times New Roman" w:cs="Times New Roman"/>
        </w:rPr>
        <w:t>ed</w:t>
      </w:r>
      <w:r w:rsidRPr="00303686">
        <w:rPr>
          <w:rFonts w:ascii="Times New Roman" w:hAnsi="Times New Roman" w:cs="Times New Roman"/>
        </w:rPr>
        <w:t xml:space="preserve"> it as a mechanism for strengthening absorptive capacity and innovation readiness; however, persistent issues such as underinvestment, short-term managerial orientation, and difficulty in quantifying returns are highlighted by Institute for Fiscal Studies (2023) and Acemoglu and Restrepo (2023), which constrain optimal deployment; empirically, Dearden et al. (2022), Tuamyil (2024), and Adeleye and George (2023) show</w:t>
      </w:r>
      <w:r w:rsidR="00574296">
        <w:rPr>
          <w:rFonts w:ascii="Times New Roman" w:hAnsi="Times New Roman" w:cs="Times New Roman"/>
        </w:rPr>
        <w:t>ed</w:t>
      </w:r>
      <w:r w:rsidRPr="00303686">
        <w:rPr>
          <w:rFonts w:ascii="Times New Roman" w:hAnsi="Times New Roman" w:cs="Times New Roman"/>
        </w:rPr>
        <w:t xml:space="preserve"> that training investment improves productivity and innovation, yet Neycheva (2024) and Liodaki and Karalis (2024) emphasize</w:t>
      </w:r>
      <w:r w:rsidR="00574296">
        <w:rPr>
          <w:rFonts w:ascii="Times New Roman" w:hAnsi="Times New Roman" w:cs="Times New Roman"/>
        </w:rPr>
        <w:t>d</w:t>
      </w:r>
      <w:r w:rsidRPr="00303686">
        <w:rPr>
          <w:rFonts w:ascii="Times New Roman" w:hAnsi="Times New Roman" w:cs="Times New Roman"/>
        </w:rPr>
        <w:t xml:space="preserve"> participation barriers and uneven access, while Burlina et al. (2025) argue</w:t>
      </w:r>
      <w:r w:rsidR="00574296">
        <w:rPr>
          <w:rFonts w:ascii="Times New Roman" w:hAnsi="Times New Roman" w:cs="Times New Roman"/>
        </w:rPr>
        <w:t>d</w:t>
      </w:r>
      <w:r w:rsidRPr="00303686">
        <w:rPr>
          <w:rFonts w:ascii="Times New Roman" w:hAnsi="Times New Roman" w:cs="Times New Roman"/>
        </w:rPr>
        <w:t xml:space="preserve"> that effectiveness depends more on intensity and structure than mere expenditure; measurement remains multidimensional, with scholars such as Kiani (2024), Diaz et al. (2025), and Intara (2024) operationalizing training investment through proxies including training expenditure, training intensity, participation rate, and human capital investment ratio, though Corrado et al. (2023) critique</w:t>
      </w:r>
      <w:r w:rsidR="001B1470">
        <w:rPr>
          <w:rFonts w:ascii="Times New Roman" w:hAnsi="Times New Roman" w:cs="Times New Roman"/>
        </w:rPr>
        <w:t>d</w:t>
      </w:r>
      <w:r w:rsidRPr="00303686">
        <w:rPr>
          <w:rFonts w:ascii="Times New Roman" w:hAnsi="Times New Roman" w:cs="Times New Roman"/>
        </w:rPr>
        <w:t xml:space="preserve"> these proxies for failing to capture training quality and learning outcomes; comparatively, while OECD (2023) and World Bank (2023) stress</w:t>
      </w:r>
      <w:r w:rsidR="001B1470">
        <w:rPr>
          <w:rFonts w:ascii="Times New Roman" w:hAnsi="Times New Roman" w:cs="Times New Roman"/>
        </w:rPr>
        <w:t>ed</w:t>
      </w:r>
      <w:r w:rsidRPr="00303686">
        <w:rPr>
          <w:rFonts w:ascii="Times New Roman" w:hAnsi="Times New Roman" w:cs="Times New Roman"/>
        </w:rPr>
        <w:t xml:space="preserve"> its macroeconomic and capability-building roles, firm-level studies emphasize efficiency and deployment mechanisms, creating a divergence between theoretical promise and empirical realization; thus, in this study, training investment is proxied by training expenditure, training intensity, participation rate in training programs, and human capital investment ratio, integrating financial, structural, and intensity-based dimensions to better capture its complex contribution to innovation and firm value.</w:t>
      </w:r>
    </w:p>
    <w:p w14:paraId="71B5098D" w14:textId="0FA13599" w:rsidR="004D7572" w:rsidRDefault="00EB096B" w:rsidP="00EB096B">
      <w:pPr>
        <w:pStyle w:val="ListParagraph"/>
        <w:numPr>
          <w:ilvl w:val="2"/>
          <w:numId w:val="10"/>
        </w:numPr>
        <w:jc w:val="both"/>
        <w:rPr>
          <w:rFonts w:ascii="Times New Roman" w:hAnsi="Times New Roman" w:cs="Times New Roman"/>
          <w:b/>
          <w:bCs/>
        </w:rPr>
      </w:pPr>
      <w:r w:rsidRPr="00EB096B">
        <w:rPr>
          <w:rFonts w:ascii="Times New Roman" w:hAnsi="Times New Roman" w:cs="Times New Roman"/>
          <w:b/>
          <w:bCs/>
        </w:rPr>
        <w:lastRenderedPageBreak/>
        <w:t>Board Independence</w:t>
      </w:r>
    </w:p>
    <w:p w14:paraId="424C46F9" w14:textId="30B508FD" w:rsidR="00EB096B" w:rsidRPr="00EB096B" w:rsidRDefault="00EB096B" w:rsidP="00EB096B">
      <w:pPr>
        <w:spacing w:line="360" w:lineRule="auto"/>
        <w:jc w:val="both"/>
        <w:rPr>
          <w:rFonts w:ascii="Times New Roman" w:hAnsi="Times New Roman" w:cs="Times New Roman"/>
        </w:rPr>
      </w:pPr>
      <w:r w:rsidRPr="00EB096B">
        <w:rPr>
          <w:rFonts w:ascii="Times New Roman" w:hAnsi="Times New Roman" w:cs="Times New Roman"/>
        </w:rPr>
        <w:t xml:space="preserve">Board independence is a core corporate governance mechanism that reflects the proportion and influence of non-executive directors who are free from managerial control, thereby enhancing objective oversight and strategic </w:t>
      </w:r>
      <w:r w:rsidR="002B6A34" w:rsidRPr="00AB70A6">
        <w:rPr>
          <w:rFonts w:ascii="Times New Roman" w:hAnsi="Times New Roman" w:cs="Times New Roman"/>
          <w:highlight w:val="yellow"/>
        </w:rPr>
        <w:t>decision</w:t>
      </w:r>
      <w:r w:rsidR="002B6A34" w:rsidRPr="00AB70A6">
        <w:rPr>
          <w:rFonts w:ascii="Times New Roman" w:hAnsi="Times New Roman" w:cs="Times New Roman"/>
          <w:highlight w:val="yellow"/>
        </w:rPr>
        <w:t>-</w:t>
      </w:r>
      <w:r w:rsidRPr="00AB70A6">
        <w:rPr>
          <w:rFonts w:ascii="Times New Roman" w:hAnsi="Times New Roman" w:cs="Times New Roman"/>
          <w:highlight w:val="yellow"/>
        </w:rPr>
        <w:t xml:space="preserve">making, although its </w:t>
      </w:r>
      <w:r w:rsidR="002B6A34" w:rsidRPr="00AB70A6">
        <w:rPr>
          <w:rFonts w:ascii="Times New Roman" w:hAnsi="Times New Roman" w:cs="Times New Roman"/>
          <w:highlight w:val="yellow"/>
        </w:rPr>
        <w:t>conceptuali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ation </w:t>
      </w:r>
      <w:r w:rsidRPr="00AB70A6">
        <w:rPr>
          <w:rFonts w:ascii="Times New Roman" w:hAnsi="Times New Roman" w:cs="Times New Roman"/>
          <w:highlight w:val="yellow"/>
        </w:rPr>
        <w:t>varies ac</w:t>
      </w:r>
      <w:r w:rsidRPr="00EB096B">
        <w:rPr>
          <w:rFonts w:ascii="Times New Roman" w:hAnsi="Times New Roman" w:cs="Times New Roman"/>
        </w:rPr>
        <w:t>ross the literature. For instance, Adebiyi et al. (2023) define</w:t>
      </w:r>
      <w:r>
        <w:rPr>
          <w:rFonts w:ascii="Times New Roman" w:hAnsi="Times New Roman" w:cs="Times New Roman"/>
        </w:rPr>
        <w:t>d</w:t>
      </w:r>
      <w:r w:rsidRPr="00EB096B">
        <w:rPr>
          <w:rFonts w:ascii="Times New Roman" w:hAnsi="Times New Roman" w:cs="Times New Roman"/>
        </w:rPr>
        <w:t xml:space="preserve"> board independence as the extent to which outside directors dominate board composition to mitigate agency conflicts, while Yahaya (2024) </w:t>
      </w:r>
      <w:r w:rsidR="002B6A34" w:rsidRPr="00AB70A6">
        <w:rPr>
          <w:rFonts w:ascii="Times New Roman" w:hAnsi="Times New Roman" w:cs="Times New Roman"/>
          <w:highlight w:val="yellow"/>
        </w:rPr>
        <w:t>emphasi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its role i</w:t>
      </w:r>
      <w:r w:rsidRPr="00EB096B">
        <w:rPr>
          <w:rFonts w:ascii="Times New Roman" w:hAnsi="Times New Roman" w:cs="Times New Roman"/>
        </w:rPr>
        <w:t>n strengthening accountability and financial reporting quality; similarly, Uwuigbe et al. (2023) link</w:t>
      </w:r>
      <w:r>
        <w:rPr>
          <w:rFonts w:ascii="Times New Roman" w:hAnsi="Times New Roman" w:cs="Times New Roman"/>
        </w:rPr>
        <w:t>ed</w:t>
      </w:r>
      <w:r w:rsidRPr="00EB096B">
        <w:rPr>
          <w:rFonts w:ascii="Times New Roman" w:hAnsi="Times New Roman" w:cs="Times New Roman"/>
        </w:rPr>
        <w:t xml:space="preserve"> board independence to improved monitoring efficiency and firm performance. Despite these perspectives, key issues persist, including “token independence,” weak enforcement, and limited director expertise, which reduce its effectiveness in emerging markets (Okafor &amp; Ibadin, 2025). Empirically, board independence is commonly measured using the ratio or proportion of independent non-executive directors to total board size, although this proxy has been </w:t>
      </w:r>
      <w:r w:rsidR="002B6A34" w:rsidRPr="00AB70A6">
        <w:rPr>
          <w:rFonts w:ascii="Times New Roman" w:hAnsi="Times New Roman" w:cs="Times New Roman"/>
          <w:highlight w:val="yellow"/>
        </w:rPr>
        <w:t>critici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for failing</w:t>
      </w:r>
      <w:r w:rsidRPr="00EB096B">
        <w:rPr>
          <w:rFonts w:ascii="Times New Roman" w:hAnsi="Times New Roman" w:cs="Times New Roman"/>
        </w:rPr>
        <w:t xml:space="preserve"> to capture behavio</w:t>
      </w:r>
      <w:r w:rsidR="002B6A34">
        <w:rPr>
          <w:rFonts w:ascii="Times New Roman" w:hAnsi="Times New Roman" w:cs="Times New Roman"/>
        </w:rPr>
        <w:t>u</w:t>
      </w:r>
      <w:r w:rsidRPr="00EB096B">
        <w:rPr>
          <w:rFonts w:ascii="Times New Roman" w:hAnsi="Times New Roman" w:cs="Times New Roman"/>
        </w:rPr>
        <w:t xml:space="preserve">ral independence and actual influence. In comparison, while higher board independence is associated with improved firm value and governance outcomes, excessive independence </w:t>
      </w:r>
      <w:r w:rsidRPr="00AB70A6">
        <w:rPr>
          <w:rFonts w:ascii="Times New Roman" w:hAnsi="Times New Roman" w:cs="Times New Roman"/>
          <w:highlight w:val="yellow"/>
        </w:rPr>
        <w:t xml:space="preserve">without </w:t>
      </w:r>
      <w:r w:rsidR="002B6A34" w:rsidRPr="00AB70A6">
        <w:rPr>
          <w:rFonts w:ascii="Times New Roman" w:hAnsi="Times New Roman" w:cs="Times New Roman"/>
          <w:highlight w:val="yellow"/>
        </w:rPr>
        <w:t>firm</w:t>
      </w:r>
      <w:r w:rsidR="002B6A34" w:rsidRPr="00AB70A6">
        <w:rPr>
          <w:rFonts w:ascii="Times New Roman" w:hAnsi="Times New Roman" w:cs="Times New Roman"/>
          <w:highlight w:val="yellow"/>
        </w:rPr>
        <w:t>-</w:t>
      </w:r>
      <w:r w:rsidRPr="00AB70A6">
        <w:rPr>
          <w:rFonts w:ascii="Times New Roman" w:hAnsi="Times New Roman" w:cs="Times New Roman"/>
          <w:highlight w:val="yellow"/>
        </w:rPr>
        <w:t>specific knowledge may</w:t>
      </w:r>
      <w:r w:rsidRPr="00EB096B">
        <w:rPr>
          <w:rFonts w:ascii="Times New Roman" w:hAnsi="Times New Roman" w:cs="Times New Roman"/>
        </w:rPr>
        <w:t xml:space="preserve"> weaken strategic cohesion, thus presenting a trade</w:t>
      </w:r>
      <w:r w:rsidR="00417A7E">
        <w:rPr>
          <w:rFonts w:ascii="Times New Roman" w:hAnsi="Times New Roman" w:cs="Times New Roman"/>
        </w:rPr>
        <w:t>-</w:t>
      </w:r>
      <w:r w:rsidRPr="00EB096B">
        <w:rPr>
          <w:rFonts w:ascii="Times New Roman" w:hAnsi="Times New Roman" w:cs="Times New Roman"/>
        </w:rPr>
        <w:t>off between monitoring and advisory roles (Ntim et al., 2022). Consequently, board independence remains a critical but imperfect governance tool, whose effectiveness depends on contextual factors such as institutional quality, regulatory enforcement, and alignment with other governance mechanisms, particularly in enhancing value relevance of strategic investments</w:t>
      </w:r>
    </w:p>
    <w:p w14:paraId="0E5B1667" w14:textId="57D9A628" w:rsidR="0012786E" w:rsidRPr="00EB096B" w:rsidRDefault="00EB096B" w:rsidP="00EB096B">
      <w:pPr>
        <w:spacing w:line="360" w:lineRule="auto"/>
        <w:jc w:val="both"/>
        <w:rPr>
          <w:rFonts w:ascii="Times New Roman" w:hAnsi="Times New Roman" w:cs="Times New Roman"/>
          <w:b/>
          <w:bCs/>
        </w:rPr>
      </w:pPr>
      <w:r>
        <w:rPr>
          <w:rFonts w:ascii="Times New Roman" w:hAnsi="Times New Roman" w:cs="Times New Roman"/>
          <w:b/>
          <w:bCs/>
        </w:rPr>
        <w:t xml:space="preserve">2.1.3 </w:t>
      </w:r>
      <w:r w:rsidR="00845282" w:rsidRPr="00EB096B">
        <w:rPr>
          <w:rFonts w:ascii="Times New Roman" w:hAnsi="Times New Roman" w:cs="Times New Roman"/>
          <w:b/>
          <w:bCs/>
        </w:rPr>
        <w:t>Training Investment, Board Independence and Innovation</w:t>
      </w:r>
    </w:p>
    <w:p w14:paraId="601110F3" w14:textId="2C26A53B" w:rsidR="0053192E" w:rsidRDefault="0053192E" w:rsidP="0053192E">
      <w:pPr>
        <w:spacing w:line="360" w:lineRule="auto"/>
        <w:jc w:val="both"/>
        <w:rPr>
          <w:rFonts w:ascii="Times New Roman" w:hAnsi="Times New Roman" w:cs="Times New Roman"/>
        </w:rPr>
      </w:pPr>
      <w:r w:rsidRPr="0053192E">
        <w:rPr>
          <w:rFonts w:ascii="Times New Roman" w:hAnsi="Times New Roman" w:cs="Times New Roman"/>
        </w:rPr>
        <w:t>The relationship between training investment, board governance, and firm value is fundamentally complementary, as human capital development enhances firm capabilities while effective governance ensures optimal allocation and monitoring of such investments, thereby strengthening value creation (Agyemang &amp; Ofori, 2023; Uwuigbe et al., 2023). Empirical evidence show</w:t>
      </w:r>
      <w:r w:rsidR="00C3289B">
        <w:rPr>
          <w:rFonts w:ascii="Times New Roman" w:hAnsi="Times New Roman" w:cs="Times New Roman"/>
        </w:rPr>
        <w:t>ed</w:t>
      </w:r>
      <w:r w:rsidRPr="0053192E">
        <w:rPr>
          <w:rFonts w:ascii="Times New Roman" w:hAnsi="Times New Roman" w:cs="Times New Roman"/>
        </w:rPr>
        <w:t xml:space="preserve"> that firms with higher training investment achieve superior performance and market valuation, particularly when supported by strong governance structures, as Yahaya (2024) demonstrate</w:t>
      </w:r>
      <w:r w:rsidR="00C3289B">
        <w:rPr>
          <w:rFonts w:ascii="Times New Roman" w:hAnsi="Times New Roman" w:cs="Times New Roman"/>
        </w:rPr>
        <w:t>d</w:t>
      </w:r>
      <w:r w:rsidRPr="0053192E">
        <w:rPr>
          <w:rFonts w:ascii="Times New Roman" w:hAnsi="Times New Roman" w:cs="Times New Roman"/>
        </w:rPr>
        <w:t xml:space="preserve"> that governance quality enhances the value relevance of strategic investments. Moreover, board independence improves oversight, reduces agency conflicts, and ensures that training expenditures translate into productivity and innovation gains, which ultimately drive firm value (Bukari et al., </w:t>
      </w:r>
      <w:r w:rsidRPr="0053192E">
        <w:rPr>
          <w:rFonts w:ascii="Times New Roman" w:hAnsi="Times New Roman" w:cs="Times New Roman"/>
        </w:rPr>
        <w:lastRenderedPageBreak/>
        <w:t xml:space="preserve">2024; Okafor &amp; Ibadin, 2025). In contrast, weak governance frameworks may dilute the benefits of training investment, leading to inefficient resource </w:t>
      </w:r>
      <w:r w:rsidR="002B6A34" w:rsidRPr="00AB70A6">
        <w:rPr>
          <w:rFonts w:ascii="Times New Roman" w:hAnsi="Times New Roman" w:cs="Times New Roman"/>
          <w:highlight w:val="yellow"/>
        </w:rPr>
        <w:t>utili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ation </w:t>
      </w:r>
      <w:r w:rsidRPr="00AB70A6">
        <w:rPr>
          <w:rFonts w:ascii="Times New Roman" w:hAnsi="Times New Roman" w:cs="Times New Roman"/>
          <w:highlight w:val="yellow"/>
        </w:rPr>
        <w:t>a</w:t>
      </w:r>
      <w:r w:rsidRPr="0053192E">
        <w:rPr>
          <w:rFonts w:ascii="Times New Roman" w:hAnsi="Times New Roman" w:cs="Times New Roman"/>
        </w:rPr>
        <w:t>nd suboptimal value outcomes, thus highlighting the synergistic role of governance and human capital in sustaining firm value (Mensah et al., 2022; Salisu &amp; Mohammed, 2024; Bello et al., 2026).</w:t>
      </w:r>
    </w:p>
    <w:p w14:paraId="10AE7D6F" w14:textId="1BCE9AB0" w:rsidR="0012786E" w:rsidRPr="0058447B" w:rsidRDefault="005A796A" w:rsidP="0053192E">
      <w:pPr>
        <w:spacing w:line="360" w:lineRule="auto"/>
        <w:jc w:val="both"/>
        <w:rPr>
          <w:rFonts w:ascii="Times New Roman" w:hAnsi="Times New Roman" w:cs="Times New Roman"/>
          <w:b/>
          <w:bCs/>
        </w:rPr>
      </w:pPr>
      <w:r w:rsidRPr="0058447B">
        <w:rPr>
          <w:rFonts w:ascii="Times New Roman" w:hAnsi="Times New Roman" w:cs="Times New Roman"/>
          <w:b/>
          <w:bCs/>
        </w:rPr>
        <w:t>2.2 Theoretical Review</w:t>
      </w:r>
    </w:p>
    <w:p w14:paraId="506439D1" w14:textId="4AEB6CE5" w:rsidR="00341B77" w:rsidRPr="0058447B" w:rsidRDefault="0058447B" w:rsidP="009313AD">
      <w:pPr>
        <w:jc w:val="both"/>
        <w:rPr>
          <w:rFonts w:ascii="Times New Roman" w:hAnsi="Times New Roman" w:cs="Times New Roman"/>
          <w:b/>
          <w:bCs/>
        </w:rPr>
      </w:pPr>
      <w:r w:rsidRPr="0058447B">
        <w:rPr>
          <w:rFonts w:ascii="Times New Roman" w:hAnsi="Times New Roman" w:cs="Times New Roman"/>
          <w:b/>
          <w:bCs/>
        </w:rPr>
        <w:t xml:space="preserve">2.2.1. </w:t>
      </w:r>
      <w:r w:rsidR="002E43C0" w:rsidRPr="0058447B">
        <w:rPr>
          <w:rFonts w:ascii="Times New Roman" w:hAnsi="Times New Roman" w:cs="Times New Roman"/>
          <w:b/>
          <w:bCs/>
        </w:rPr>
        <w:t>Human Capital Theory</w:t>
      </w:r>
    </w:p>
    <w:p w14:paraId="10385E73" w14:textId="77502A22" w:rsidR="008C30AD" w:rsidRDefault="008C30AD" w:rsidP="002E43C0">
      <w:pPr>
        <w:spacing w:line="360" w:lineRule="auto"/>
        <w:jc w:val="both"/>
        <w:rPr>
          <w:rFonts w:ascii="Times New Roman" w:hAnsi="Times New Roman" w:cs="Times New Roman"/>
        </w:rPr>
      </w:pPr>
      <w:r w:rsidRPr="008C30AD">
        <w:rPr>
          <w:rFonts w:ascii="Times New Roman" w:hAnsi="Times New Roman" w:cs="Times New Roman"/>
        </w:rPr>
        <w:t xml:space="preserve">Human Capital Theory, propounded by Gary Becker in 1964, posited that investment in education and training enhanced employees’ skills, productivity, and future economic returns, assuming rational </w:t>
      </w:r>
      <w:r w:rsidR="002B6A34" w:rsidRPr="00AB70A6">
        <w:rPr>
          <w:rFonts w:ascii="Times New Roman" w:hAnsi="Times New Roman" w:cs="Times New Roman"/>
          <w:highlight w:val="yellow"/>
        </w:rPr>
        <w:t>decision</w:t>
      </w:r>
      <w:r w:rsidR="002B6A34" w:rsidRPr="00AB70A6">
        <w:rPr>
          <w:rFonts w:ascii="Times New Roman" w:hAnsi="Times New Roman" w:cs="Times New Roman"/>
          <w:highlight w:val="yellow"/>
        </w:rPr>
        <w:t>-</w:t>
      </w:r>
      <w:r w:rsidRPr="00AB70A6">
        <w:rPr>
          <w:rFonts w:ascii="Times New Roman" w:hAnsi="Times New Roman" w:cs="Times New Roman"/>
          <w:highlight w:val="yellow"/>
        </w:rPr>
        <w:t>making and measurable</w:t>
      </w:r>
      <w:r w:rsidRPr="008C30AD">
        <w:rPr>
          <w:rFonts w:ascii="Times New Roman" w:hAnsi="Times New Roman" w:cs="Times New Roman"/>
        </w:rPr>
        <w:t xml:space="preserve"> returns on human capital accumulation (Becker, 1964; Agyemang &amp; Ofori, 2023). Recent studies showed that human capital development significantly improved firm performance and value creation, as Mensah et al. (2022) found that training intensity enhanced productivity, while Salisu and Mohammed (2024) reported a positive link between workforce training and firm value. However, the theory was limited by measurement difficulties, time lag effects, and its narrow economic orientation, and critics argued that it overlooked institutional and governance factors influencing outcomes (Kessler, 2022; Yahaya, 2024). Despite these limitations, its key benefit lay in explaining how strategic investment in training drove innovation, efficiency, and competitive advantage. Accordingly, this study will apply Human Capital Theory by proposing that training investment will enhance firm value, while board independence will strengthen the efficiency and monitoring of such investments, thereby improving firm value measured by Tobin’s Q.</w:t>
      </w:r>
    </w:p>
    <w:p w14:paraId="6AECFB1A" w14:textId="448FFD6C" w:rsidR="004C60EF" w:rsidRPr="0058447B" w:rsidRDefault="0058447B" w:rsidP="002E43C0">
      <w:pPr>
        <w:spacing w:line="360" w:lineRule="auto"/>
        <w:jc w:val="both"/>
        <w:rPr>
          <w:rFonts w:ascii="Times New Roman" w:hAnsi="Times New Roman" w:cs="Times New Roman"/>
          <w:b/>
          <w:bCs/>
        </w:rPr>
      </w:pPr>
      <w:r w:rsidRPr="0058447B">
        <w:rPr>
          <w:rFonts w:ascii="Times New Roman" w:hAnsi="Times New Roman" w:cs="Times New Roman"/>
          <w:b/>
          <w:bCs/>
        </w:rPr>
        <w:t xml:space="preserve">2.2.2. </w:t>
      </w:r>
      <w:r w:rsidR="004C60EF" w:rsidRPr="00AB70A6">
        <w:rPr>
          <w:rFonts w:ascii="Times New Roman" w:hAnsi="Times New Roman" w:cs="Times New Roman"/>
          <w:b/>
          <w:bCs/>
          <w:highlight w:val="yellow"/>
        </w:rPr>
        <w:t>Signa</w:t>
      </w:r>
      <w:r w:rsidR="002B6A34" w:rsidRPr="00AB70A6">
        <w:rPr>
          <w:rFonts w:ascii="Times New Roman" w:hAnsi="Times New Roman" w:cs="Times New Roman"/>
          <w:b/>
          <w:bCs/>
          <w:highlight w:val="yellow"/>
        </w:rPr>
        <w:t>l</w:t>
      </w:r>
      <w:r w:rsidR="004C60EF" w:rsidRPr="00AB70A6">
        <w:rPr>
          <w:rFonts w:ascii="Times New Roman" w:hAnsi="Times New Roman" w:cs="Times New Roman"/>
          <w:b/>
          <w:bCs/>
          <w:highlight w:val="yellow"/>
        </w:rPr>
        <w:t>ling theo</w:t>
      </w:r>
      <w:r w:rsidR="004C60EF" w:rsidRPr="0058447B">
        <w:rPr>
          <w:rFonts w:ascii="Times New Roman" w:hAnsi="Times New Roman" w:cs="Times New Roman"/>
          <w:b/>
          <w:bCs/>
        </w:rPr>
        <w:t>ry</w:t>
      </w:r>
    </w:p>
    <w:p w14:paraId="34686D02" w14:textId="45010B89" w:rsidR="00C3289B" w:rsidRPr="00C3289B" w:rsidRDefault="00C3289B" w:rsidP="00C3289B">
      <w:pPr>
        <w:spacing w:line="360" w:lineRule="auto"/>
        <w:jc w:val="both"/>
        <w:rPr>
          <w:rFonts w:ascii="Times New Roman" w:hAnsi="Times New Roman" w:cs="Times New Roman"/>
        </w:rPr>
      </w:pPr>
      <w:r w:rsidRPr="00AB70A6">
        <w:rPr>
          <w:rFonts w:ascii="Times New Roman" w:hAnsi="Times New Roman" w:cs="Times New Roman"/>
          <w:highlight w:val="yellow"/>
        </w:rPr>
        <w:t>Signa</w:t>
      </w:r>
      <w:r w:rsidR="002B6A34" w:rsidRPr="00AB70A6">
        <w:rPr>
          <w:rFonts w:ascii="Times New Roman" w:hAnsi="Times New Roman" w:cs="Times New Roman"/>
          <w:highlight w:val="yellow"/>
        </w:rPr>
        <w:t>l</w:t>
      </w:r>
      <w:r w:rsidRPr="00AB70A6">
        <w:rPr>
          <w:rFonts w:ascii="Times New Roman" w:hAnsi="Times New Roman" w:cs="Times New Roman"/>
          <w:highlight w:val="yellow"/>
        </w:rPr>
        <w:t>ling theory</w:t>
      </w:r>
      <w:r w:rsidRPr="00C3289B">
        <w:rPr>
          <w:rFonts w:ascii="Times New Roman" w:hAnsi="Times New Roman" w:cs="Times New Roman"/>
        </w:rPr>
        <w:t xml:space="preserve">, propounded by Michael Spence in 1973, posited that firms conveyed credible information to external stakeholders under conditions of information asymmetry, assuming that signals were observable, costly, and difficult to imitate (Connelly et al., 2025; Svetek, 2022). Recent studies showed that corporate disclosures and strategic investments served as signals that influenced investor perception and firm valuation, as Connelly et al. (2025) emphasized the evolving relevance of signaling mechanisms in modern markets, while Fathi (2025) found that financial and non-financial signals significantly affected firm value (Fathi, 2025). However, the theory was limited by the possibility of signal manipulation and its reliance on accurate market interpretation, and critics </w:t>
      </w:r>
      <w:r w:rsidRPr="00C3289B">
        <w:rPr>
          <w:rFonts w:ascii="Times New Roman" w:hAnsi="Times New Roman" w:cs="Times New Roman"/>
        </w:rPr>
        <w:lastRenderedPageBreak/>
        <w:t>argued that not all signals reflected true firm quality, especially in weak institutional settings (Valero-Gil, 2024). Despite these limitations, its key benefit lay in explaining how firms reduced information asymmetry and enhanced investor confidence. Accordingly, this study will apply signa</w:t>
      </w:r>
      <w:r w:rsidR="002B6A34">
        <w:rPr>
          <w:rFonts w:ascii="Times New Roman" w:hAnsi="Times New Roman" w:cs="Times New Roman"/>
        </w:rPr>
        <w:t>l</w:t>
      </w:r>
      <w:r w:rsidRPr="00C3289B">
        <w:rPr>
          <w:rFonts w:ascii="Times New Roman" w:hAnsi="Times New Roman" w:cs="Times New Roman"/>
        </w:rPr>
        <w:t>ling theory by proposing that training investment will serve as a credible signal of future capability and performance, while board independence will strengthen the credibility of such signals through effective monitoring, thereby improving firm value measured by Tobin’s Q.</w:t>
      </w:r>
    </w:p>
    <w:p w14:paraId="4B32ECC9" w14:textId="58AE2991" w:rsidR="00D019F6" w:rsidRPr="0058447B" w:rsidRDefault="0058447B" w:rsidP="002E43C0">
      <w:pPr>
        <w:spacing w:line="360" w:lineRule="auto"/>
        <w:jc w:val="both"/>
        <w:rPr>
          <w:rFonts w:ascii="Times New Roman" w:hAnsi="Times New Roman" w:cs="Times New Roman"/>
          <w:b/>
          <w:bCs/>
        </w:rPr>
      </w:pPr>
      <w:r w:rsidRPr="0058447B">
        <w:rPr>
          <w:rFonts w:ascii="Times New Roman" w:hAnsi="Times New Roman" w:cs="Times New Roman"/>
          <w:b/>
          <w:bCs/>
        </w:rPr>
        <w:t>2.2.3</w:t>
      </w:r>
      <w:r w:rsidR="00B24D60">
        <w:rPr>
          <w:rFonts w:ascii="Times New Roman" w:hAnsi="Times New Roman" w:cs="Times New Roman"/>
          <w:b/>
          <w:bCs/>
        </w:rPr>
        <w:tab/>
      </w:r>
      <w:r w:rsidR="00D019F6" w:rsidRPr="0058447B">
        <w:rPr>
          <w:rFonts w:ascii="Times New Roman" w:hAnsi="Times New Roman" w:cs="Times New Roman"/>
          <w:b/>
          <w:bCs/>
        </w:rPr>
        <w:t>Theoretical Justification</w:t>
      </w:r>
    </w:p>
    <w:p w14:paraId="4FCF1EE3" w14:textId="050C18C5" w:rsidR="00F2692F" w:rsidRDefault="00F2692F" w:rsidP="004F49B2">
      <w:pPr>
        <w:spacing w:line="360" w:lineRule="auto"/>
        <w:jc w:val="both"/>
        <w:rPr>
          <w:rFonts w:ascii="Times New Roman" w:hAnsi="Times New Roman" w:cs="Times New Roman"/>
        </w:rPr>
      </w:pPr>
      <w:r w:rsidRPr="00F2692F">
        <w:rPr>
          <w:rFonts w:ascii="Times New Roman" w:hAnsi="Times New Roman" w:cs="Times New Roman"/>
        </w:rPr>
        <w:t xml:space="preserve">The integration of Human Capital Theory and </w:t>
      </w:r>
      <w:r w:rsidRPr="00AB70A6">
        <w:rPr>
          <w:rFonts w:ascii="Times New Roman" w:hAnsi="Times New Roman" w:cs="Times New Roman"/>
          <w:highlight w:val="yellow"/>
        </w:rPr>
        <w:t>Signa</w:t>
      </w:r>
      <w:r w:rsidR="002B6A34" w:rsidRPr="00AB70A6">
        <w:rPr>
          <w:rFonts w:ascii="Times New Roman" w:hAnsi="Times New Roman" w:cs="Times New Roman"/>
          <w:highlight w:val="yellow"/>
        </w:rPr>
        <w:t>l</w:t>
      </w:r>
      <w:r w:rsidRPr="00AB70A6">
        <w:rPr>
          <w:rFonts w:ascii="Times New Roman" w:hAnsi="Times New Roman" w:cs="Times New Roman"/>
          <w:highlight w:val="yellow"/>
        </w:rPr>
        <w:t>ling Th</w:t>
      </w:r>
      <w:r w:rsidRPr="00F2692F">
        <w:rPr>
          <w:rFonts w:ascii="Times New Roman" w:hAnsi="Times New Roman" w:cs="Times New Roman"/>
        </w:rPr>
        <w:t xml:space="preserve">eory provides a complementary framework for explaining how training investment </w:t>
      </w:r>
      <w:r w:rsidRPr="00AB70A6">
        <w:rPr>
          <w:rFonts w:ascii="Times New Roman" w:hAnsi="Times New Roman" w:cs="Times New Roman"/>
          <w:highlight w:val="yellow"/>
        </w:rPr>
        <w:t xml:space="preserve">influences firm value, as the former focuses on productivity enhancement while the latter </w:t>
      </w:r>
      <w:r w:rsidR="002B6A34" w:rsidRPr="00AB70A6">
        <w:rPr>
          <w:rFonts w:ascii="Times New Roman" w:hAnsi="Times New Roman" w:cs="Times New Roman"/>
          <w:highlight w:val="yellow"/>
        </w:rPr>
        <w:t>emphasi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es </w:t>
      </w:r>
      <w:r w:rsidRPr="00AB70A6">
        <w:rPr>
          <w:rFonts w:ascii="Times New Roman" w:hAnsi="Times New Roman" w:cs="Times New Roman"/>
          <w:highlight w:val="yellow"/>
        </w:rPr>
        <w:t>i</w:t>
      </w:r>
      <w:r w:rsidRPr="00F2692F">
        <w:rPr>
          <w:rFonts w:ascii="Times New Roman" w:hAnsi="Times New Roman" w:cs="Times New Roman"/>
        </w:rPr>
        <w:t xml:space="preserve">nformation transmission under asymmetry. Human Capital Theory posited that investment in training improved skills and productivity outcomes (Deming, 2025), </w:t>
      </w:r>
      <w:r w:rsidRPr="00AB70A6">
        <w:rPr>
          <w:rFonts w:ascii="Times New Roman" w:hAnsi="Times New Roman" w:cs="Times New Roman"/>
          <w:highlight w:val="yellow"/>
        </w:rPr>
        <w:t>whereas Signa</w:t>
      </w:r>
      <w:r w:rsidR="002B6A34" w:rsidRPr="00AB70A6">
        <w:rPr>
          <w:rFonts w:ascii="Times New Roman" w:hAnsi="Times New Roman" w:cs="Times New Roman"/>
          <w:highlight w:val="yellow"/>
        </w:rPr>
        <w:t>l</w:t>
      </w:r>
      <w:r w:rsidRPr="00AB70A6">
        <w:rPr>
          <w:rFonts w:ascii="Times New Roman" w:hAnsi="Times New Roman" w:cs="Times New Roman"/>
          <w:highlight w:val="yellow"/>
        </w:rPr>
        <w:t>ling</w:t>
      </w:r>
      <w:r w:rsidRPr="00F2692F">
        <w:rPr>
          <w:rFonts w:ascii="Times New Roman" w:hAnsi="Times New Roman" w:cs="Times New Roman"/>
        </w:rPr>
        <w:t xml:space="preserve"> Theory, developed by Michael Spence, explained how observable actions conveyed firm quality to external stakeholders (Connelly et al., 2025), since signals must be credible and costly to imitate. Empirical studies showed that training not only enhanced productivity but also functioned as a signal of future performance and </w:t>
      </w:r>
      <w:r w:rsidR="002B6A34" w:rsidRPr="00AB70A6">
        <w:rPr>
          <w:rFonts w:ascii="Times New Roman" w:hAnsi="Times New Roman" w:cs="Times New Roman"/>
          <w:highlight w:val="yellow"/>
        </w:rPr>
        <w:t>organi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ational </w:t>
      </w:r>
      <w:r w:rsidRPr="00AB70A6">
        <w:rPr>
          <w:rFonts w:ascii="Times New Roman" w:hAnsi="Times New Roman" w:cs="Times New Roman"/>
          <w:highlight w:val="yellow"/>
        </w:rPr>
        <w:t>capability (Svetek, 2022; Fathi, 2025). However, critics argued that returns to training may reflect signa</w:t>
      </w:r>
      <w:r w:rsidR="002B6A34" w:rsidRPr="00AB70A6">
        <w:rPr>
          <w:rFonts w:ascii="Times New Roman" w:hAnsi="Times New Roman" w:cs="Times New Roman"/>
          <w:highlight w:val="yellow"/>
        </w:rPr>
        <w:t>l</w:t>
      </w:r>
      <w:r w:rsidRPr="00AB70A6">
        <w:rPr>
          <w:rFonts w:ascii="Times New Roman" w:hAnsi="Times New Roman" w:cs="Times New Roman"/>
          <w:highlight w:val="yellow"/>
        </w:rPr>
        <w:t>ling effects rather</w:t>
      </w:r>
      <w:r w:rsidRPr="00F2692F">
        <w:rPr>
          <w:rFonts w:ascii="Times New Roman" w:hAnsi="Times New Roman" w:cs="Times New Roman"/>
        </w:rPr>
        <w:t xml:space="preserve"> than real productivity gains, thereby creating interpretational challenges (Valero-Gil, 2024; Auerbach, 2025). Despite this, their integration offered a more robust explanation by capturing both intrinsic value creation and market perception. Accordingly, this study will apply the integrated framework by proposing that training investment will enhance firm value through capability development, while board independence will strengthen the credibility and monitoring of these signals, thereby improving firm value measured by Tobin’s Q.</w:t>
      </w:r>
    </w:p>
    <w:p w14:paraId="5DC42F8F" w14:textId="5D430F3F" w:rsidR="005A796A" w:rsidRPr="0058447B" w:rsidRDefault="005A796A" w:rsidP="009313AD">
      <w:pPr>
        <w:jc w:val="both"/>
        <w:rPr>
          <w:rFonts w:ascii="Times New Roman" w:hAnsi="Times New Roman" w:cs="Times New Roman"/>
          <w:b/>
          <w:bCs/>
        </w:rPr>
      </w:pPr>
      <w:r w:rsidRPr="0058447B">
        <w:rPr>
          <w:rFonts w:ascii="Times New Roman" w:hAnsi="Times New Roman" w:cs="Times New Roman"/>
          <w:b/>
          <w:bCs/>
        </w:rPr>
        <w:t>2.3 Empirical Review</w:t>
      </w:r>
    </w:p>
    <w:p w14:paraId="2032A887" w14:textId="08158723"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Agyemang and Ofori (2023) employed an ex post facto research design using secondary panel data from 120 listed firms in the UK between 2012 and 2021, applying fixed effects regression to examine human capital investment and firm value, and found that training expenditure significantly improves Tobin’s Q; however, the study did not incorporate board independence as a moderating variable, creating a governance gap.</w:t>
      </w:r>
      <w:r>
        <w:rPr>
          <w:rFonts w:ascii="Times New Roman" w:hAnsi="Times New Roman" w:cs="Times New Roman"/>
        </w:rPr>
        <w:t xml:space="preserve"> </w:t>
      </w:r>
      <w:r w:rsidRPr="004A4249">
        <w:rPr>
          <w:rFonts w:ascii="Times New Roman" w:hAnsi="Times New Roman" w:cs="Times New Roman"/>
        </w:rPr>
        <w:t xml:space="preserve">Rodríguez Valencia (2025) </w:t>
      </w:r>
      <w:r w:rsidR="002B6A34" w:rsidRPr="00AB70A6">
        <w:rPr>
          <w:rFonts w:ascii="Times New Roman" w:hAnsi="Times New Roman" w:cs="Times New Roman"/>
          <w:highlight w:val="yellow"/>
        </w:rPr>
        <w:t>analy</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 xml:space="preserve">91 listed SMEs in Spain using panel data from 2015 to 2022, adopting purposive sampling and </w:t>
      </w:r>
      <w:r w:rsidR="002B6A34" w:rsidRPr="00AB70A6">
        <w:rPr>
          <w:rFonts w:ascii="Times New Roman" w:hAnsi="Times New Roman" w:cs="Times New Roman"/>
          <w:highlight w:val="yellow"/>
        </w:rPr>
        <w:t>generali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method of m</w:t>
      </w:r>
      <w:r w:rsidRPr="004A4249">
        <w:rPr>
          <w:rFonts w:ascii="Times New Roman" w:hAnsi="Times New Roman" w:cs="Times New Roman"/>
        </w:rPr>
        <w:t>oments (GMM) estimation, and reported that corporate governance variables, particularly board independence, positively influence firm value; nonetheless, the study focused on governance without integrating training investment va</w:t>
      </w:r>
      <w:r w:rsidRPr="004A4249">
        <w:rPr>
          <w:rFonts w:ascii="Times New Roman" w:hAnsi="Times New Roman" w:cs="Times New Roman"/>
        </w:rPr>
        <w:lastRenderedPageBreak/>
        <w:t>riables.</w:t>
      </w:r>
    </w:p>
    <w:p w14:paraId="645AC2E2" w14:textId="3CEDF6F9"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Sutrisno (2023) conducted a survey-based study of 78 manufacturing firms in Indonesia using structured questionnaires and regression analysis on 2022 data, and found that board independence significantly enhances firm value and earnings persistence; however, the study lacked longitudinal evidence and omitted human capital investment variables.</w:t>
      </w:r>
      <w:r>
        <w:rPr>
          <w:rFonts w:ascii="Times New Roman" w:hAnsi="Times New Roman" w:cs="Times New Roman"/>
        </w:rPr>
        <w:t xml:space="preserve"> </w:t>
      </w:r>
      <w:r w:rsidRPr="004A4249">
        <w:rPr>
          <w:rFonts w:ascii="Times New Roman" w:hAnsi="Times New Roman" w:cs="Times New Roman"/>
        </w:rPr>
        <w:t xml:space="preserve">Noor and Alam (2024) applied a quantitative research design using secondary data from 40 banking and insurance firms in Indonesia </w:t>
      </w:r>
      <w:r w:rsidR="002B6A34" w:rsidRPr="00AB70A6">
        <w:rPr>
          <w:rFonts w:ascii="Times New Roman" w:hAnsi="Times New Roman" w:cs="Times New Roman"/>
          <w:highlight w:val="yellow"/>
        </w:rPr>
        <w:t>from</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2018 to</w:t>
      </w:r>
      <w:r w:rsidRPr="004A4249">
        <w:rPr>
          <w:rFonts w:ascii="Times New Roman" w:hAnsi="Times New Roman" w:cs="Times New Roman"/>
        </w:rPr>
        <w:t xml:space="preserve"> 2022, utilizing PLS SEM, and found that corporate governance and investment decisions significantly affect firm value, with moderating effects present; however, training investment proxies were not disaggregated, limiting insight into human capital dynamics.</w:t>
      </w:r>
    </w:p>
    <w:p w14:paraId="79F720DC" w14:textId="7A753A47"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Soomro et al. (2026) adopted a mixed methods design combining survey data from 200 executives and secondary financial data from listed firms in Pakistan between 2018 and 2024, using correlation and regression techniques, and found that board independence significantly improves Tobin’s Q and investor confidence; however, the study identified weak enforcement and did not examine training investment interactions.</w:t>
      </w:r>
      <w:r>
        <w:rPr>
          <w:rFonts w:ascii="Times New Roman" w:hAnsi="Times New Roman" w:cs="Times New Roman"/>
        </w:rPr>
        <w:t xml:space="preserve"> </w:t>
      </w:r>
      <w:r w:rsidRPr="004A4249">
        <w:rPr>
          <w:rFonts w:ascii="Times New Roman" w:hAnsi="Times New Roman" w:cs="Times New Roman"/>
        </w:rPr>
        <w:t>Bunyaminu (2025) employed panel data analysis using purposive sampling of listed firms on the Ghana Stock Exchange from 2016 to 2022, applying random effects regression, and found that board attributes including independence significantly enhance firm market value; however, the study did not incorporate human capital investment measures, creating a conceptual gap.</w:t>
      </w:r>
    </w:p>
    <w:p w14:paraId="61684A60" w14:textId="5E4674BA"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Abbas and Yahaya (2024) used panel data from 153 firms over 2014 to 2023, applying ordinary least squares and robustness checks, and found that board independence reduces earnings management and improves reporting quality, which indirectly enhances firm value; nevertheless, the study focused on financial reporting without linking training investment to firm value outcomes.</w:t>
      </w:r>
      <w:r>
        <w:rPr>
          <w:rFonts w:ascii="Times New Roman" w:hAnsi="Times New Roman" w:cs="Times New Roman"/>
        </w:rPr>
        <w:t xml:space="preserve"> </w:t>
      </w:r>
      <w:r w:rsidRPr="004A4249">
        <w:rPr>
          <w:rFonts w:ascii="Times New Roman" w:hAnsi="Times New Roman" w:cs="Times New Roman"/>
        </w:rPr>
        <w:t xml:space="preserve">Wang et al. (2022) </w:t>
      </w:r>
      <w:r w:rsidRPr="00AB70A6">
        <w:rPr>
          <w:rFonts w:ascii="Times New Roman" w:hAnsi="Times New Roman" w:cs="Times New Roman"/>
          <w:highlight w:val="yellow"/>
        </w:rPr>
        <w:t xml:space="preserve">adopted a </w:t>
      </w:r>
      <w:r w:rsidR="002B6A34" w:rsidRPr="00AB70A6">
        <w:rPr>
          <w:rFonts w:ascii="Times New Roman" w:hAnsi="Times New Roman" w:cs="Times New Roman"/>
          <w:highlight w:val="yellow"/>
        </w:rPr>
        <w:t>quasi</w:t>
      </w:r>
      <w:r w:rsidR="002B6A34" w:rsidRPr="00AB70A6">
        <w:rPr>
          <w:rFonts w:ascii="Times New Roman" w:hAnsi="Times New Roman" w:cs="Times New Roman"/>
          <w:highlight w:val="yellow"/>
        </w:rPr>
        <w:t>-</w:t>
      </w:r>
      <w:r w:rsidRPr="00AB70A6">
        <w:rPr>
          <w:rFonts w:ascii="Times New Roman" w:hAnsi="Times New Roman" w:cs="Times New Roman"/>
          <w:highlight w:val="yellow"/>
        </w:rPr>
        <w:t xml:space="preserve">experimental design using regulatory changes in Taiwan as a natural experiment, </w:t>
      </w:r>
      <w:r w:rsidR="002B6A34" w:rsidRPr="00AB70A6">
        <w:rPr>
          <w:rFonts w:ascii="Times New Roman" w:hAnsi="Times New Roman" w:cs="Times New Roman"/>
          <w:highlight w:val="yellow"/>
        </w:rPr>
        <w:t>analy</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ing </w:t>
      </w:r>
      <w:r w:rsidRPr="00AB70A6">
        <w:rPr>
          <w:rFonts w:ascii="Times New Roman" w:hAnsi="Times New Roman" w:cs="Times New Roman"/>
          <w:highlight w:val="yellow"/>
        </w:rPr>
        <w:t>panel dat</w:t>
      </w:r>
      <w:r w:rsidRPr="004A4249">
        <w:rPr>
          <w:rFonts w:ascii="Times New Roman" w:hAnsi="Times New Roman" w:cs="Times New Roman"/>
        </w:rPr>
        <w:t xml:space="preserve">a of listed firms with </w:t>
      </w:r>
      <w:r w:rsidRPr="00AB70A6">
        <w:rPr>
          <w:rFonts w:ascii="Times New Roman" w:hAnsi="Times New Roman" w:cs="Times New Roman"/>
          <w:highlight w:val="yellow"/>
        </w:rPr>
        <w:t>difference</w:t>
      </w:r>
      <w:r w:rsidR="002B6A34" w:rsidRPr="00AB70A6">
        <w:rPr>
          <w:rFonts w:ascii="Times New Roman" w:hAnsi="Times New Roman" w:cs="Times New Roman"/>
          <w:highlight w:val="yellow"/>
        </w:rPr>
        <w:t>-</w:t>
      </w:r>
      <w:r w:rsidR="002B6A34">
        <w:rPr>
          <w:rFonts w:ascii="Times New Roman" w:hAnsi="Times New Roman" w:cs="Times New Roman"/>
        </w:rPr>
        <w:t>in-difference</w:t>
      </w:r>
      <w:r w:rsidRPr="004A4249">
        <w:rPr>
          <w:rFonts w:ascii="Times New Roman" w:hAnsi="Times New Roman" w:cs="Times New Roman"/>
        </w:rPr>
        <w:t xml:space="preserve"> estimation, and found a negative relationship between board independence and firm value due to director quality constraints; however, the study did not consider human capital investments as a complementary factor.</w:t>
      </w:r>
    </w:p>
    <w:p w14:paraId="3156232D" w14:textId="4FF8E726"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lastRenderedPageBreak/>
        <w:t xml:space="preserve">Adebayo et al. (2023) </w:t>
      </w:r>
      <w:r w:rsidR="002B6A34" w:rsidRPr="00AB70A6">
        <w:rPr>
          <w:rFonts w:ascii="Times New Roman" w:hAnsi="Times New Roman" w:cs="Times New Roman"/>
          <w:highlight w:val="yellow"/>
        </w:rPr>
        <w:t>utili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secondary data from Nigerian</w:t>
      </w:r>
      <w:r w:rsidRPr="004A4249">
        <w:rPr>
          <w:rFonts w:ascii="Times New Roman" w:hAnsi="Times New Roman" w:cs="Times New Roman"/>
        </w:rPr>
        <w:t xml:space="preserve"> listed firms over a ten year period with panel regression techniques, and found that market inefficiencies and weak disclosures distort firm value measurement; however, the study did not explore governance mechanisms such as board independence or training investment interactions.</w:t>
      </w:r>
      <w:r>
        <w:rPr>
          <w:rFonts w:ascii="Times New Roman" w:hAnsi="Times New Roman" w:cs="Times New Roman"/>
        </w:rPr>
        <w:t xml:space="preserve"> </w:t>
      </w:r>
      <w:r w:rsidRPr="004A4249">
        <w:rPr>
          <w:rFonts w:ascii="Times New Roman" w:hAnsi="Times New Roman" w:cs="Times New Roman"/>
        </w:rPr>
        <w:t>Uwuigbe et al. (2023) employed an ex post facto design using secondary data from Nigerian listed firms between 2012 and 2021, applying multiple regression analysis, and found that board independence significantly improves financial performance and firm value; however, the study did not examine the moderating role of board independence on training investment, nor did it focus on sector specific dynamics such as oil and gas firms, thereby justifying the present study.</w:t>
      </w:r>
    </w:p>
    <w:p w14:paraId="7555FB41" w14:textId="19C9AF1B"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 xml:space="preserve">Mensah et al. (2022) adopted a panel research design using secondary data from 85 listed firms in South Africa over the period 2013 to 2020, employing fixed and random effects models, and found that human capital development, particularly training intensity, significantly improves firm performance and market valuation; however, the study did not incorporate </w:t>
      </w:r>
      <w:r w:rsidRPr="00AB70A6">
        <w:rPr>
          <w:rFonts w:ascii="Times New Roman" w:hAnsi="Times New Roman" w:cs="Times New Roman"/>
          <w:highlight w:val="yellow"/>
        </w:rPr>
        <w:t xml:space="preserve">board independence as a moderating variable, thereby limiting governance insights. Okoye and Eze (2023) </w:t>
      </w:r>
      <w:r w:rsidR="002B6A34" w:rsidRPr="00AB70A6">
        <w:rPr>
          <w:rFonts w:ascii="Times New Roman" w:hAnsi="Times New Roman" w:cs="Times New Roman"/>
          <w:highlight w:val="yellow"/>
        </w:rPr>
        <w:t>utili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ed</w:t>
      </w:r>
      <w:r w:rsidR="002B6A34" w:rsidRPr="004A4249">
        <w:rPr>
          <w:rFonts w:ascii="Times New Roman" w:hAnsi="Times New Roman" w:cs="Times New Roman"/>
        </w:rPr>
        <w:t xml:space="preserve"> </w:t>
      </w:r>
      <w:r w:rsidRPr="004A4249">
        <w:rPr>
          <w:rFonts w:ascii="Times New Roman" w:hAnsi="Times New Roman" w:cs="Times New Roman"/>
        </w:rPr>
        <w:t xml:space="preserve">a survey research design with primary data collected from 150 manufacturing firms in Nigeria using stratified sampling and multiple regression analysis, and found that training expenditure and employee participation in training programs significantly enhance </w:t>
      </w:r>
      <w:r w:rsidR="002B6A34" w:rsidRPr="00AB70A6">
        <w:rPr>
          <w:rFonts w:ascii="Times New Roman" w:hAnsi="Times New Roman" w:cs="Times New Roman"/>
          <w:highlight w:val="yellow"/>
        </w:rPr>
        <w:t>organi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ational</w:t>
      </w:r>
      <w:r w:rsidR="002B6A34" w:rsidRPr="004A4249">
        <w:rPr>
          <w:rFonts w:ascii="Times New Roman" w:hAnsi="Times New Roman" w:cs="Times New Roman"/>
        </w:rPr>
        <w:t xml:space="preserve"> </w:t>
      </w:r>
      <w:r w:rsidRPr="004A4249">
        <w:rPr>
          <w:rFonts w:ascii="Times New Roman" w:hAnsi="Times New Roman" w:cs="Times New Roman"/>
        </w:rPr>
        <w:t>performance; nonetheless, the study relied on perceptual measures and did not link outcomes to firm value proxies such as Tobin’s Q.</w:t>
      </w:r>
    </w:p>
    <w:p w14:paraId="2ECD0806" w14:textId="694F5102"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 xml:space="preserve">Salisu and Mohammed (2024) employed an ex post facto design using panel data from 60 listed firms in Nigeria between 2015 and 2022, applying </w:t>
      </w:r>
      <w:r w:rsidR="002B6A34" w:rsidRPr="00AB70A6">
        <w:rPr>
          <w:rFonts w:ascii="Times New Roman" w:hAnsi="Times New Roman" w:cs="Times New Roman"/>
          <w:highlight w:val="yellow"/>
        </w:rPr>
        <w:t>generali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least</w:t>
      </w:r>
      <w:r w:rsidRPr="004A4249">
        <w:rPr>
          <w:rFonts w:ascii="Times New Roman" w:hAnsi="Times New Roman" w:cs="Times New Roman"/>
        </w:rPr>
        <w:t xml:space="preserve"> squares estimation, and reported that workforce training significantly improves firm value and operational efficiency; however, the study did not examine governance structures such as board independence, creating a moderating gap.</w:t>
      </w:r>
      <w:r>
        <w:rPr>
          <w:rFonts w:ascii="Times New Roman" w:hAnsi="Times New Roman" w:cs="Times New Roman"/>
        </w:rPr>
        <w:t xml:space="preserve"> </w:t>
      </w:r>
      <w:r w:rsidRPr="004A4249">
        <w:rPr>
          <w:rFonts w:ascii="Times New Roman" w:hAnsi="Times New Roman" w:cs="Times New Roman"/>
        </w:rPr>
        <w:t>Bukari et al. (2024) used panel data from 110 firms across emerging markets between 2014 and 2021, adopting GMM estimation, and found that corporate governance mechanisms, including board independence, significantly enhance firm value</w:t>
      </w:r>
      <w:r w:rsidR="002B6A34">
        <w:rPr>
          <w:rFonts w:ascii="Times New Roman" w:hAnsi="Times New Roman" w:cs="Times New Roman"/>
        </w:rPr>
        <w:t>,</w:t>
      </w:r>
      <w:r w:rsidRPr="004A4249">
        <w:rPr>
          <w:rFonts w:ascii="Times New Roman" w:hAnsi="Times New Roman" w:cs="Times New Roman"/>
        </w:rPr>
        <w:t xml:space="preserve"> especially when moderated by ESG performance; however, the study did not incorporate human capital investment proxies, limiting its explanatory scope on training effects.</w:t>
      </w:r>
    </w:p>
    <w:p w14:paraId="0DA3AE2F" w14:textId="22E3AE64" w:rsidR="004A4249" w:rsidRPr="004A4249" w:rsidRDefault="004A4249" w:rsidP="004A4249">
      <w:pPr>
        <w:spacing w:line="360" w:lineRule="auto"/>
        <w:jc w:val="both"/>
        <w:rPr>
          <w:rFonts w:ascii="Times New Roman" w:hAnsi="Times New Roman" w:cs="Times New Roman"/>
        </w:rPr>
      </w:pPr>
      <w:r w:rsidRPr="004A4249">
        <w:rPr>
          <w:rFonts w:ascii="Times New Roman" w:hAnsi="Times New Roman" w:cs="Times New Roman"/>
        </w:rPr>
        <w:t xml:space="preserve">Ahmed et al. (2025) conducted a panel study using data from 75 listed service firms in Nigeria from 2012 to 2023, applying dynamic panel estimation techniques, and found that board independence </w:t>
      </w:r>
      <w:r w:rsidRPr="004A4249">
        <w:rPr>
          <w:rFonts w:ascii="Times New Roman" w:hAnsi="Times New Roman" w:cs="Times New Roman"/>
        </w:rPr>
        <w:lastRenderedPageBreak/>
        <w:t xml:space="preserve">significantly influences firm financial decisions and value outcomes; nevertheless, the study did not consider training investment variables or </w:t>
      </w:r>
      <w:r w:rsidR="002B6A34" w:rsidRPr="00AB70A6">
        <w:rPr>
          <w:rFonts w:ascii="Times New Roman" w:hAnsi="Times New Roman" w:cs="Times New Roman"/>
          <w:highlight w:val="yellow"/>
        </w:rPr>
        <w:t>sector</w:t>
      </w:r>
      <w:r w:rsidR="002B6A34" w:rsidRPr="00AB70A6">
        <w:rPr>
          <w:rFonts w:ascii="Times New Roman" w:hAnsi="Times New Roman" w:cs="Times New Roman"/>
          <w:highlight w:val="yellow"/>
        </w:rPr>
        <w:t>-</w:t>
      </w:r>
      <w:r w:rsidRPr="00AB70A6">
        <w:rPr>
          <w:rFonts w:ascii="Times New Roman" w:hAnsi="Times New Roman" w:cs="Times New Roman"/>
          <w:highlight w:val="yellow"/>
        </w:rPr>
        <w:t>specific evi</w:t>
      </w:r>
      <w:r w:rsidRPr="004A4249">
        <w:rPr>
          <w:rFonts w:ascii="Times New Roman" w:hAnsi="Times New Roman" w:cs="Times New Roman"/>
        </w:rPr>
        <w:t>dence from oil and gas firms.</w:t>
      </w:r>
      <w:r>
        <w:rPr>
          <w:rFonts w:ascii="Times New Roman" w:hAnsi="Times New Roman" w:cs="Times New Roman"/>
        </w:rPr>
        <w:t xml:space="preserve"> </w:t>
      </w:r>
      <w:r w:rsidRPr="004A4249">
        <w:rPr>
          <w:rFonts w:ascii="Times New Roman" w:hAnsi="Times New Roman" w:cs="Times New Roman"/>
        </w:rPr>
        <w:t>Adedoyin et al. (2023) adopted an ex post facto design using secondary data from 95 listed Nigerian firms over the period 2011 to 2020, employing panel regression analysis, and found that board characteristics, including independence, positively affect firm value; however, the study did not integrate multidimensional training investment proxies nor examine their interaction with governance variables, thereby leaving a critical gap addressed by the present study.</w:t>
      </w:r>
    </w:p>
    <w:p w14:paraId="6EC7E39C" w14:textId="1543488E" w:rsidR="003F2E9B" w:rsidRPr="00127BA5" w:rsidRDefault="00542CCC" w:rsidP="00542CCC">
      <w:pPr>
        <w:pStyle w:val="ListParagraph"/>
        <w:numPr>
          <w:ilvl w:val="0"/>
          <w:numId w:val="4"/>
        </w:numPr>
        <w:jc w:val="both"/>
        <w:rPr>
          <w:rFonts w:ascii="Times New Roman" w:hAnsi="Times New Roman" w:cs="Times New Roman"/>
          <w:b/>
          <w:bCs/>
        </w:rPr>
      </w:pPr>
      <w:r w:rsidRPr="00127BA5">
        <w:rPr>
          <w:rFonts w:ascii="Times New Roman" w:hAnsi="Times New Roman" w:cs="Times New Roman"/>
          <w:b/>
          <w:bCs/>
        </w:rPr>
        <w:t>Methodology</w:t>
      </w:r>
    </w:p>
    <w:p w14:paraId="38907C3F" w14:textId="631C8B94" w:rsidR="006E66CE" w:rsidRDefault="006E66CE" w:rsidP="00B9459D">
      <w:pPr>
        <w:spacing w:line="360" w:lineRule="auto"/>
        <w:jc w:val="both"/>
        <w:rPr>
          <w:rFonts w:ascii="Times New Roman" w:hAnsi="Times New Roman" w:cs="Times New Roman"/>
        </w:rPr>
      </w:pPr>
      <w:r w:rsidRPr="006E66CE">
        <w:rPr>
          <w:rFonts w:ascii="Times New Roman" w:hAnsi="Times New Roman" w:cs="Times New Roman"/>
        </w:rPr>
        <w:t xml:space="preserve">This study adopted an ex post facto research design with a quantitative panel approach to examine the moderating role of board independence on the relationship between training investment and firm value. The population comprised twelve listed oil and gas firms on the Nigerian Exchange Group, and a census sampling technique was used, resulting in a sample size of twelve firms due to the small and accessible population. The choice of listed oil and gas firms was justified by their strategic economic importance, high capital intensity, strong governance structures, and relatively consistent disclosure practices, which enhanced data reliability. Secondary data were obtained from audited annual reports, </w:t>
      </w:r>
      <w:r>
        <w:rPr>
          <w:rFonts w:ascii="Times New Roman" w:hAnsi="Times New Roman" w:cs="Times New Roman"/>
        </w:rPr>
        <w:t>c</w:t>
      </w:r>
      <w:r w:rsidRPr="006E66CE">
        <w:rPr>
          <w:rFonts w:ascii="Times New Roman" w:hAnsi="Times New Roman" w:cs="Times New Roman"/>
        </w:rPr>
        <w:t xml:space="preserve">orporate governance disclosures, and NGX fact books for the period 2015 to 2024, with 2015 selected as the base year because it </w:t>
      </w:r>
      <w:r w:rsidRPr="00AB70A6">
        <w:rPr>
          <w:rFonts w:ascii="Times New Roman" w:hAnsi="Times New Roman" w:cs="Times New Roman"/>
          <w:highlight w:val="yellow"/>
        </w:rPr>
        <w:t xml:space="preserve">reflected </w:t>
      </w:r>
      <w:r w:rsidR="002B6A34" w:rsidRPr="00AB70A6">
        <w:rPr>
          <w:rFonts w:ascii="Times New Roman" w:hAnsi="Times New Roman" w:cs="Times New Roman"/>
          <w:highlight w:val="yellow"/>
        </w:rPr>
        <w:t>post</w:t>
      </w:r>
      <w:r w:rsidR="002B6A34" w:rsidRPr="00AB70A6">
        <w:rPr>
          <w:rFonts w:ascii="Times New Roman" w:hAnsi="Times New Roman" w:cs="Times New Roman"/>
          <w:highlight w:val="yellow"/>
        </w:rPr>
        <w:t>-</w:t>
      </w:r>
      <w:r w:rsidRPr="00AB70A6">
        <w:rPr>
          <w:rFonts w:ascii="Times New Roman" w:hAnsi="Times New Roman" w:cs="Times New Roman"/>
          <w:highlight w:val="yellow"/>
        </w:rPr>
        <w:t>IFRS repo</w:t>
      </w:r>
      <w:r w:rsidRPr="006E66CE">
        <w:rPr>
          <w:rFonts w:ascii="Times New Roman" w:hAnsi="Times New Roman" w:cs="Times New Roman"/>
        </w:rPr>
        <w:t xml:space="preserve">rting stability and improved governance disclosure consistency. Data were </w:t>
      </w:r>
      <w:r w:rsidR="002B6A34" w:rsidRPr="00AB70A6">
        <w:rPr>
          <w:rFonts w:ascii="Times New Roman" w:hAnsi="Times New Roman" w:cs="Times New Roman"/>
          <w:highlight w:val="yellow"/>
        </w:rPr>
        <w:t>analy</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us</w:t>
      </w:r>
      <w:r w:rsidRPr="006E66CE">
        <w:rPr>
          <w:rFonts w:ascii="Times New Roman" w:hAnsi="Times New Roman" w:cs="Times New Roman"/>
        </w:rPr>
        <w:t>ing panel regression techniques, specifically random effects and moderated regression analysis, with relevant diagnostic tests to ensure robustness of the estimates.</w:t>
      </w:r>
    </w:p>
    <w:p w14:paraId="5B23CCAA" w14:textId="441018B4" w:rsidR="00542CCC" w:rsidRPr="00B9459D" w:rsidRDefault="00B9459D" w:rsidP="00B9459D">
      <w:pPr>
        <w:spacing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r>
      <w:r w:rsidR="00542CCC" w:rsidRPr="00B9459D">
        <w:rPr>
          <w:rFonts w:ascii="Times New Roman" w:hAnsi="Times New Roman" w:cs="Times New Roman"/>
          <w:b/>
          <w:bCs/>
        </w:rPr>
        <w:t>Model Specification</w:t>
      </w:r>
    </w:p>
    <w:p w14:paraId="712EC311" w14:textId="77777777" w:rsidR="00170320" w:rsidRDefault="00B9459D" w:rsidP="00B9459D">
      <w:pPr>
        <w:spacing w:line="360" w:lineRule="auto"/>
        <w:jc w:val="both"/>
        <w:rPr>
          <w:rFonts w:ascii="Times New Roman" w:hAnsi="Times New Roman" w:cs="Times New Roman"/>
        </w:rPr>
      </w:pPr>
      <w:r w:rsidRPr="006E66CE">
        <w:rPr>
          <w:rFonts w:ascii="Times New Roman" w:hAnsi="Times New Roman" w:cs="Times New Roman"/>
        </w:rPr>
        <w:t>The model for this study was adapted from Zouari-Hadiji R. and Khlif H. (2022), titled Human Capital Investment, Corporate Governance and Market Valuation, which employed a panel regression framework to examine how governance mechanisms influence the relationship between human capital investment and firm value. The original model is specified as</w:t>
      </w:r>
      <w:r w:rsidRPr="00B9459D">
        <w:rPr>
          <w:rFonts w:ascii="Times New Roman" w:hAnsi="Times New Roman" w:cs="Times New Roman"/>
        </w:rPr>
        <w:t>:</w:t>
      </w:r>
    </w:p>
    <w:p w14:paraId="1BE602D2" w14:textId="7C829E28" w:rsidR="00170320" w:rsidRDefault="00000000" w:rsidP="00170320">
      <w:pPr>
        <w:spacing w:line="360" w:lineRule="auto"/>
        <w:jc w:val="both"/>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FV</m:t>
            </m:r>
          </m:e>
          <m:sub>
            <m:r>
              <w:rPr>
                <w:rFonts w:ascii="Cambria Math" w:hAnsi="Cambria Math" w:cs="Times New Roman"/>
              </w:rPr>
              <m:t>it</m:t>
            </m:r>
          </m:sub>
        </m:sSub>
        <m:r>
          <w:rPr>
            <w:rFonts w:ascii="Cambria Math" w:hAnsi="Cambria Math" w:cs="Times New Roman"/>
          </w:rPr>
          <m:t>=α+</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nor/>
              </m:rPr>
              <w:rPr>
                <w:rFonts w:ascii="Times New Roman" w:hAnsi="Times New Roman" w:cs="Times New Roman"/>
              </w:rPr>
              <m:t>HCI</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m:rPr>
                <m:nor/>
              </m:rPr>
              <w:rPr>
                <w:rFonts w:ascii="Times New Roman" w:hAnsi="Times New Roman" w:cs="Times New Roman"/>
              </w:rPr>
              <m:t>CG</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m:t>
        </m:r>
        <m:r>
          <m:rPr>
            <m:nor/>
          </m:rPr>
          <w:rPr>
            <w:rFonts w:ascii="Times New Roman" w:hAnsi="Times New Roman" w:cs="Times New Roman"/>
          </w:rPr>
          <m:t>HCI</m:t>
        </m:r>
        <m:r>
          <w:rPr>
            <w:rFonts w:ascii="Cambria Math" w:hAnsi="Cambria Math" w:cs="Times New Roman"/>
          </w:rPr>
          <m:t>×</m:t>
        </m:r>
        <m:r>
          <m:rPr>
            <m:nor/>
          </m:rPr>
          <w:rPr>
            <w:rFonts w:ascii="Times New Roman" w:hAnsi="Times New Roman" w:cs="Times New Roman"/>
          </w:rPr>
          <m:t>CG</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m:rPr>
                <m:nor/>
              </m:rPr>
              <w:rPr>
                <w:rFonts w:ascii="Times New Roman" w:hAnsi="Times New Roman" w:cs="Times New Roman"/>
              </w:rPr>
              <m:t>Controls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oMath>
      <w:r w:rsidR="00B9459D" w:rsidRPr="00B9459D">
        <w:rPr>
          <w:rFonts w:ascii="Times New Roman" w:hAnsi="Times New Roman" w:cs="Times New Roman"/>
        </w:rPr>
        <w:t>,</w:t>
      </w:r>
      <w:r w:rsidR="00B9459D" w:rsidRPr="00B9459D">
        <w:rPr>
          <w:rFonts w:ascii="Times New Roman" w:hAnsi="Times New Roman" w:cs="Times New Roman"/>
        </w:rPr>
        <w:br/>
        <w:t>where firm value is influenced by human capital investment, corporate governance, and their interaction.</w:t>
      </w:r>
      <w:r w:rsidR="0025519F">
        <w:rPr>
          <w:rFonts w:ascii="Times New Roman" w:hAnsi="Times New Roman" w:cs="Times New Roman"/>
        </w:rPr>
        <w:t xml:space="preserve"> </w:t>
      </w:r>
      <w:r w:rsidR="00B9459D" w:rsidRPr="00B9459D">
        <w:rPr>
          <w:rFonts w:ascii="Times New Roman" w:hAnsi="Times New Roman" w:cs="Times New Roman"/>
        </w:rPr>
        <w:t xml:space="preserve">Adapting this framework to the present study, firm value is proxied by Tobin’s Q, while </w:t>
      </w:r>
      <w:r w:rsidR="00B9459D" w:rsidRPr="00B9459D">
        <w:rPr>
          <w:rFonts w:ascii="Times New Roman" w:hAnsi="Times New Roman" w:cs="Times New Roman"/>
        </w:rPr>
        <w:lastRenderedPageBreak/>
        <w:t>training investment is decomposed into four proxies, and board independence represents corporate governance. The baseline model is specified as:</w:t>
      </w:r>
    </w:p>
    <w:p w14:paraId="6DA4FA97" w14:textId="2EAD4824" w:rsidR="00B9459D" w:rsidRPr="00B9459D" w:rsidRDefault="00000000" w:rsidP="00170320">
      <w:pPr>
        <w:spacing w:line="240" w:lineRule="auto"/>
        <w:jc w:val="both"/>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TobinQ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nor/>
              </m:rPr>
              <w:rPr>
                <w:rFonts w:ascii="Times New Roman" w:hAnsi="Times New Roman" w:cs="Times New Roman"/>
              </w:rPr>
              <m:t>TRNEXP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m:rPr>
                <m:nor/>
              </m:rPr>
              <w:rPr>
                <w:rFonts w:ascii="Times New Roman" w:hAnsi="Times New Roman" w:cs="Times New Roman"/>
              </w:rPr>
              <m:t>TRNINT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rPr>
            </m:ctrlPr>
          </m:sSubPr>
          <m:e>
            <m:r>
              <m:rPr>
                <m:nor/>
              </m:rPr>
              <w:rPr>
                <w:rFonts w:ascii="Times New Roman" w:hAnsi="Times New Roman" w:cs="Times New Roman"/>
              </w:rPr>
              <m:t>TRNPR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rPr>
            </m:ctrlPr>
          </m:sSubPr>
          <m:e>
            <m:r>
              <m:rPr>
                <m:nor/>
              </m:rPr>
              <w:rPr>
                <w:rFonts w:ascii="Times New Roman" w:hAnsi="Times New Roman" w:cs="Times New Roman"/>
              </w:rPr>
              <m:t>HCIR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rPr>
            </m:ctrlPr>
          </m:sSubPr>
          <m:e>
            <m:r>
              <m:rPr>
                <m:nor/>
              </m:rPr>
              <w:rPr>
                <w:rFonts w:ascii="Times New Roman" w:hAnsi="Times New Roman" w:cs="Times New Roman"/>
              </w:rPr>
              <m:t>BIND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6</m:t>
            </m:r>
          </m:sub>
        </m:sSub>
        <m:sSub>
          <m:sSubPr>
            <m:ctrlPr>
              <w:rPr>
                <w:rFonts w:ascii="Cambria Math" w:hAnsi="Cambria Math" w:cs="Times New Roman"/>
              </w:rPr>
            </m:ctrlPr>
          </m:sSubPr>
          <m:e>
            <m:r>
              <m:rPr>
                <m:nor/>
              </m:rPr>
              <w:rPr>
                <w:rFonts w:ascii="Times New Roman" w:hAnsi="Times New Roman" w:cs="Times New Roman"/>
              </w:rPr>
              <m:t>FSIZE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7</m:t>
            </m:r>
          </m:sub>
        </m:sSub>
        <m:sSub>
          <m:sSubPr>
            <m:ctrlPr>
              <w:rPr>
                <w:rFonts w:ascii="Cambria Math" w:hAnsi="Cambria Math" w:cs="Times New Roman"/>
              </w:rPr>
            </m:ctrlPr>
          </m:sSubPr>
          <m:e>
            <m:r>
              <m:rPr>
                <m:nor/>
              </m:rPr>
              <w:rPr>
                <w:rFonts w:ascii="Times New Roman" w:hAnsi="Times New Roman" w:cs="Times New Roman"/>
              </w:rPr>
              <m:t>FAGE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oMath>
      <w:r w:rsidR="00B9459D" w:rsidRPr="00B9459D">
        <w:rPr>
          <w:rFonts w:ascii="Times New Roman" w:hAnsi="Times New Roman" w:cs="Times New Roman"/>
        </w:rPr>
        <w:t>.</w:t>
      </w:r>
    </w:p>
    <w:p w14:paraId="4F4EDCF5" w14:textId="77777777" w:rsidR="00170320" w:rsidRDefault="00B9459D" w:rsidP="00170320">
      <w:pPr>
        <w:spacing w:line="360" w:lineRule="auto"/>
        <w:jc w:val="both"/>
        <w:rPr>
          <w:rFonts w:ascii="Times New Roman" w:hAnsi="Times New Roman" w:cs="Times New Roman"/>
        </w:rPr>
      </w:pPr>
      <w:r w:rsidRPr="00B9459D">
        <w:rPr>
          <w:rFonts w:ascii="Times New Roman" w:hAnsi="Times New Roman" w:cs="Times New Roman"/>
        </w:rPr>
        <w:t>To capture the moderating role of board independence, the interaction model is specified as:</w:t>
      </w:r>
    </w:p>
    <w:p w14:paraId="6D2E662B" w14:textId="1F7F7940" w:rsidR="00B9459D" w:rsidRPr="00B9459D" w:rsidRDefault="00000000" w:rsidP="00170320">
      <w:pPr>
        <w:spacing w:line="240" w:lineRule="auto"/>
        <w:jc w:val="both"/>
        <w:rPr>
          <w:rFonts w:ascii="Times New Roman" w:hAnsi="Times New Roman" w:cs="Times New Roman"/>
        </w:rPr>
      </w:pPr>
      <m:oMath>
        <m:sSub>
          <m:sSubPr>
            <m:ctrlPr>
              <w:rPr>
                <w:rFonts w:ascii="Cambria Math" w:hAnsi="Cambria Math" w:cs="Times New Roman"/>
              </w:rPr>
            </m:ctrlPr>
          </m:sSubPr>
          <m:e>
            <m:r>
              <m:rPr>
                <m:nor/>
              </m:rPr>
              <w:rPr>
                <w:rFonts w:ascii="Times New Roman" w:hAnsi="Times New Roman" w:cs="Times New Roman"/>
              </w:rPr>
              <m:t>TobinQ</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nor/>
              </m:rPr>
              <w:rPr>
                <w:rFonts w:ascii="Times New Roman" w:hAnsi="Times New Roman" w:cs="Times New Roman"/>
              </w:rPr>
              <m:t>TRNEXP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m:rPr>
                <m:nor/>
              </m:rPr>
              <w:rPr>
                <w:rFonts w:ascii="Times New Roman" w:hAnsi="Times New Roman" w:cs="Times New Roman"/>
              </w:rPr>
              <m:t>TRNINT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rPr>
            </m:ctrlPr>
          </m:sSubPr>
          <m:e>
            <m:r>
              <m:rPr>
                <m:nor/>
              </m:rPr>
              <w:rPr>
                <w:rFonts w:ascii="Times New Roman" w:hAnsi="Times New Roman" w:cs="Times New Roman"/>
              </w:rPr>
              <m:t>TRNPR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rPr>
            </m:ctrlPr>
          </m:sSubPr>
          <m:e>
            <m:r>
              <m:rPr>
                <m:nor/>
              </m:rPr>
              <w:rPr>
                <w:rFonts w:ascii="Times New Roman" w:hAnsi="Times New Roman" w:cs="Times New Roman"/>
              </w:rPr>
              <m:t>HCIR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rPr>
            </m:ctrlPr>
          </m:sSubPr>
          <m:e>
            <m:r>
              <m:rPr>
                <m:nor/>
              </m:rPr>
              <w:rPr>
                <w:rFonts w:ascii="Times New Roman" w:hAnsi="Times New Roman" w:cs="Times New Roman"/>
              </w:rPr>
              <m:t>BIND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m:t>
        </m:r>
        <m:r>
          <m:rPr>
            <m:nor/>
          </m:rPr>
          <w:rPr>
            <w:rFonts w:ascii="Times New Roman" w:hAnsi="Times New Roman" w:cs="Times New Roman"/>
          </w:rPr>
          <m:t>TRNEXP</m:t>
        </m:r>
        <m:r>
          <w:rPr>
            <w:rFonts w:ascii="Cambria Math" w:hAnsi="Cambria Math" w:cs="Times New Roman"/>
          </w:rPr>
          <m:t>×</m:t>
        </m:r>
        <m:r>
          <m:rPr>
            <m:nor/>
          </m:rPr>
          <w:rPr>
            <w:rFonts w:ascii="Times New Roman" w:hAnsi="Times New Roman" w:cs="Times New Roman"/>
          </w:rPr>
          <m:t>BIND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m:t>
        </m:r>
        <m:r>
          <m:rPr>
            <m:nor/>
          </m:rPr>
          <w:rPr>
            <w:rFonts w:ascii="Times New Roman" w:hAnsi="Times New Roman" w:cs="Times New Roman"/>
          </w:rPr>
          <m:t>TRNINT</m:t>
        </m:r>
        <m:r>
          <w:rPr>
            <w:rFonts w:ascii="Cambria Math" w:hAnsi="Cambria Math" w:cs="Times New Roman"/>
          </w:rPr>
          <m:t>×</m:t>
        </m:r>
        <m:r>
          <m:rPr>
            <m:nor/>
          </m:rPr>
          <w:rPr>
            <w:rFonts w:ascii="Times New Roman" w:hAnsi="Times New Roman" w:cs="Times New Roman"/>
          </w:rPr>
          <m:t>BIND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8</m:t>
            </m:r>
          </m:sub>
        </m:sSub>
        <m:r>
          <w:rPr>
            <w:rFonts w:ascii="Cambria Math" w:hAnsi="Cambria Math" w:cs="Times New Roman"/>
          </w:rPr>
          <m:t>(</m:t>
        </m:r>
        <m:r>
          <m:rPr>
            <m:nor/>
          </m:rPr>
          <w:rPr>
            <w:rFonts w:ascii="Times New Roman" w:hAnsi="Times New Roman" w:cs="Times New Roman"/>
          </w:rPr>
          <m:t>TRNPR</m:t>
        </m:r>
        <m:r>
          <w:rPr>
            <w:rFonts w:ascii="Cambria Math" w:hAnsi="Cambria Math" w:cs="Times New Roman"/>
          </w:rPr>
          <m:t>×</m:t>
        </m:r>
        <m:r>
          <m:rPr>
            <m:nor/>
          </m:rPr>
          <w:rPr>
            <w:rFonts w:ascii="Times New Roman" w:hAnsi="Times New Roman" w:cs="Times New Roman"/>
          </w:rPr>
          <m:t>BIND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9</m:t>
            </m:r>
          </m:sub>
        </m:sSub>
        <m:r>
          <w:rPr>
            <w:rFonts w:ascii="Cambria Math" w:hAnsi="Cambria Math" w:cs="Times New Roman"/>
          </w:rPr>
          <m:t>(</m:t>
        </m:r>
        <m:r>
          <m:rPr>
            <m:nor/>
          </m:rPr>
          <w:rPr>
            <w:rFonts w:ascii="Times New Roman" w:hAnsi="Times New Roman" w:cs="Times New Roman"/>
          </w:rPr>
          <m:t>HCIR</m:t>
        </m:r>
        <m:r>
          <w:rPr>
            <w:rFonts w:ascii="Cambria Math" w:hAnsi="Cambria Math" w:cs="Times New Roman"/>
          </w:rPr>
          <m:t>×</m:t>
        </m:r>
        <m:r>
          <m:rPr>
            <m:nor/>
          </m:rPr>
          <w:rPr>
            <w:rFonts w:ascii="Times New Roman" w:hAnsi="Times New Roman" w:cs="Times New Roman"/>
          </w:rPr>
          <m:t>BIND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10</m:t>
            </m:r>
          </m:sub>
        </m:sSub>
        <m:sSub>
          <m:sSubPr>
            <m:ctrlPr>
              <w:rPr>
                <w:rFonts w:ascii="Cambria Math" w:hAnsi="Cambria Math" w:cs="Times New Roman"/>
              </w:rPr>
            </m:ctrlPr>
          </m:sSubPr>
          <m:e>
            <m:r>
              <m:rPr>
                <m:nor/>
              </m:rPr>
              <w:rPr>
                <w:rFonts w:ascii="Times New Roman" w:hAnsi="Times New Roman" w:cs="Times New Roman"/>
              </w:rPr>
              <m:t>FSIZE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11</m:t>
            </m:r>
          </m:sub>
        </m:sSub>
        <m:sSub>
          <m:sSubPr>
            <m:ctrlPr>
              <w:rPr>
                <w:rFonts w:ascii="Cambria Math" w:hAnsi="Cambria Math" w:cs="Times New Roman"/>
              </w:rPr>
            </m:ctrlPr>
          </m:sSubPr>
          <m:e>
            <m:r>
              <m:rPr>
                <m:nor/>
              </m:rPr>
              <w:rPr>
                <w:rFonts w:ascii="Times New Roman" w:hAnsi="Times New Roman" w:cs="Times New Roman"/>
              </w:rPr>
              <m:t>FAGE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oMath>
      <w:r w:rsidR="00B9459D" w:rsidRPr="00B9459D">
        <w:rPr>
          <w:rFonts w:ascii="Times New Roman" w:hAnsi="Times New Roman" w:cs="Times New Roman"/>
        </w:rPr>
        <w:t>.</w:t>
      </w:r>
    </w:p>
    <w:p w14:paraId="36D47EBF" w14:textId="47F3EC82" w:rsidR="00216B01" w:rsidRDefault="00B9459D" w:rsidP="00170320">
      <w:pPr>
        <w:spacing w:line="360" w:lineRule="auto"/>
        <w:jc w:val="both"/>
        <w:rPr>
          <w:rFonts w:ascii="Times New Roman" w:hAnsi="Times New Roman" w:cs="Times New Roman"/>
          <w:lang w:val="en-GB"/>
        </w:rPr>
      </w:pPr>
      <w:r w:rsidRPr="00B9459D">
        <w:rPr>
          <w:rFonts w:ascii="Times New Roman" w:hAnsi="Times New Roman" w:cs="Times New Roman"/>
        </w:rPr>
        <w:t xml:space="preserve">Where </w:t>
      </w:r>
      <m:oMath>
        <m:r>
          <w:rPr>
            <w:rFonts w:ascii="Cambria Math" w:hAnsi="Cambria Math" w:cs="Times New Roman"/>
          </w:rPr>
          <m:t>i</m:t>
        </m:r>
      </m:oMath>
      <w:r w:rsidRPr="00B9459D">
        <w:rPr>
          <w:rFonts w:ascii="Times New Roman" w:hAnsi="Times New Roman" w:cs="Times New Roman"/>
        </w:rPr>
        <w:t xml:space="preserve">and </w:t>
      </w:r>
      <m:oMath>
        <m:r>
          <w:rPr>
            <w:rFonts w:ascii="Cambria Math" w:hAnsi="Cambria Math" w:cs="Times New Roman"/>
          </w:rPr>
          <m:t>t</m:t>
        </m:r>
      </m:oMath>
      <w:r w:rsidRPr="00B9459D">
        <w:rPr>
          <w:rFonts w:ascii="Times New Roman" w:hAnsi="Times New Roman" w:cs="Times New Roman"/>
        </w:rPr>
        <w:t>denote firm and time</w:t>
      </w:r>
      <w:r w:rsidR="002B6A34" w:rsidRPr="00AB70A6">
        <w:rPr>
          <w:rFonts w:ascii="Times New Roman" w:hAnsi="Times New Roman" w:cs="Times New Roman"/>
          <w:highlight w:val="yellow"/>
        </w:rPr>
        <w:t>, respectively;</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TobinQ represents fir</w:t>
      </w:r>
      <w:r w:rsidRPr="00B9459D">
        <w:rPr>
          <w:rFonts w:ascii="Times New Roman" w:hAnsi="Times New Roman" w:cs="Times New Roman"/>
        </w:rPr>
        <w:t>m value</w:t>
      </w:r>
      <w:r w:rsidR="002B6A34">
        <w:rPr>
          <w:rFonts w:ascii="Times New Roman" w:hAnsi="Times New Roman" w:cs="Times New Roman"/>
        </w:rPr>
        <w:t>;</w:t>
      </w:r>
      <w:r w:rsidR="002B6A34" w:rsidRPr="00B9459D">
        <w:rPr>
          <w:rFonts w:ascii="Times New Roman" w:hAnsi="Times New Roman" w:cs="Times New Roman"/>
        </w:rPr>
        <w:t xml:space="preserve"> </w:t>
      </w:r>
      <w:r w:rsidRPr="00B9459D">
        <w:rPr>
          <w:rFonts w:ascii="Times New Roman" w:hAnsi="Times New Roman" w:cs="Times New Roman"/>
        </w:rPr>
        <w:t xml:space="preserve">TRNEXP is training </w:t>
      </w:r>
      <w:r w:rsidRPr="00AB70A6">
        <w:rPr>
          <w:rFonts w:ascii="Times New Roman" w:hAnsi="Times New Roman" w:cs="Times New Roman"/>
          <w:highlight w:val="yellow"/>
        </w:rPr>
        <w:t>expenditure</w:t>
      </w:r>
      <w:r w:rsidR="002B6A34" w:rsidRPr="00AB70A6">
        <w:rPr>
          <w:rFonts w:ascii="Times New Roman" w:hAnsi="Times New Roman" w:cs="Times New Roman"/>
          <w:highlight w:val="yellow"/>
        </w:rPr>
        <w:t>;</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TRNINT</w:t>
      </w:r>
      <w:r w:rsidRPr="00B9459D">
        <w:rPr>
          <w:rFonts w:ascii="Times New Roman" w:hAnsi="Times New Roman" w:cs="Times New Roman"/>
        </w:rPr>
        <w:t xml:space="preserve"> is training </w:t>
      </w:r>
      <w:r w:rsidRPr="00AB70A6">
        <w:rPr>
          <w:rFonts w:ascii="Times New Roman" w:hAnsi="Times New Roman" w:cs="Times New Roman"/>
          <w:highlight w:val="yellow"/>
        </w:rPr>
        <w:t>intensity</w:t>
      </w:r>
      <w:r w:rsidR="002B6A34" w:rsidRPr="00AB70A6">
        <w:rPr>
          <w:rFonts w:ascii="Times New Roman" w:hAnsi="Times New Roman" w:cs="Times New Roman"/>
          <w:highlight w:val="yellow"/>
        </w:rPr>
        <w:t>;</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TRNPR is part</w:t>
      </w:r>
      <w:r w:rsidRPr="00B9459D">
        <w:rPr>
          <w:rFonts w:ascii="Times New Roman" w:hAnsi="Times New Roman" w:cs="Times New Roman"/>
        </w:rPr>
        <w:t xml:space="preserve">icipation rate in training </w:t>
      </w:r>
      <w:r w:rsidRPr="00AB70A6">
        <w:rPr>
          <w:rFonts w:ascii="Times New Roman" w:hAnsi="Times New Roman" w:cs="Times New Roman"/>
          <w:highlight w:val="yellow"/>
        </w:rPr>
        <w:t>programs</w:t>
      </w:r>
      <w:r w:rsidR="002B6A34" w:rsidRPr="00AB70A6">
        <w:rPr>
          <w:rFonts w:ascii="Times New Roman" w:hAnsi="Times New Roman" w:cs="Times New Roman"/>
          <w:highlight w:val="yellow"/>
        </w:rPr>
        <w:t>;</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H</w:t>
      </w:r>
      <w:r w:rsidRPr="00B9459D">
        <w:rPr>
          <w:rFonts w:ascii="Times New Roman" w:hAnsi="Times New Roman" w:cs="Times New Roman"/>
        </w:rPr>
        <w:t xml:space="preserve">CIR is </w:t>
      </w:r>
      <w:r w:rsidRPr="00AB70A6">
        <w:rPr>
          <w:rFonts w:ascii="Times New Roman" w:hAnsi="Times New Roman" w:cs="Times New Roman"/>
          <w:highlight w:val="yellow"/>
        </w:rPr>
        <w:t>human capital investment ratio</w:t>
      </w:r>
      <w:r w:rsidR="002B6A34" w:rsidRPr="00AB70A6">
        <w:rPr>
          <w:rFonts w:ascii="Times New Roman" w:hAnsi="Times New Roman" w:cs="Times New Roman"/>
          <w:highlight w:val="yellow"/>
        </w:rPr>
        <w:t>;</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BIND denotes board independence</w:t>
      </w:r>
      <w:r w:rsidR="002B6A34" w:rsidRPr="00AB70A6">
        <w:rPr>
          <w:rFonts w:ascii="Times New Roman" w:hAnsi="Times New Roman" w:cs="Times New Roman"/>
          <w:highlight w:val="yellow"/>
        </w:rPr>
        <w:t>;</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FSIZE and</w:t>
      </w:r>
      <w:r w:rsidRPr="00B9459D">
        <w:rPr>
          <w:rFonts w:ascii="Times New Roman" w:hAnsi="Times New Roman" w:cs="Times New Roman"/>
        </w:rPr>
        <w:t xml:space="preserve"> FAGE represent firm size and firm age as control variables, and </w:t>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oMath>
      <w:r w:rsidRPr="00B9459D">
        <w:rPr>
          <w:rFonts w:ascii="Times New Roman" w:hAnsi="Times New Roman" w:cs="Times New Roman"/>
        </w:rPr>
        <w:t>is the stochastic error term. The interaction coefficients capture the moderating influence of board independence on the relationship between training investment and firm value.</w:t>
      </w:r>
      <w:r w:rsidR="00170320">
        <w:rPr>
          <w:rFonts w:ascii="Times New Roman" w:hAnsi="Times New Roman" w:cs="Times New Roman"/>
        </w:rPr>
        <w:t xml:space="preserve"> </w:t>
      </w:r>
      <w:r w:rsidR="00216B01">
        <w:rPr>
          <w:rFonts w:ascii="Times New Roman" w:hAnsi="Times New Roman" w:cs="Times New Roman"/>
          <w:lang w:val="en-GB"/>
        </w:rPr>
        <w:t xml:space="preserve">A priori expectation is in line with extant literature to be </w:t>
      </w:r>
      <w:r w:rsidR="00216B01" w:rsidRPr="0076662F">
        <w:rPr>
          <w:rFonts w:ascii="Times New Roman" w:hAnsi="Times New Roman" w:cs="Times New Roman"/>
        </w:rPr>
        <w:t>β₁</w:t>
      </w:r>
      <w:r w:rsidR="00216B01">
        <w:rPr>
          <w:rFonts w:ascii="Times New Roman" w:hAnsi="Times New Roman" w:cs="Times New Roman"/>
          <w:lang w:val="en-GB"/>
        </w:rPr>
        <w:t xml:space="preserve"> - </w:t>
      </w:r>
      <w:r w:rsidR="00216B01" w:rsidRPr="0076662F">
        <w:rPr>
          <w:rFonts w:ascii="Times New Roman" w:hAnsi="Times New Roman" w:cs="Times New Roman"/>
        </w:rPr>
        <w:t>β</w:t>
      </w:r>
      <w:r w:rsidR="00216B01">
        <w:rPr>
          <w:rFonts w:ascii="Times New Roman" w:hAnsi="Times New Roman" w:cs="Times New Roman"/>
          <w:vertAlign w:val="subscript"/>
        </w:rPr>
        <w:t>11</w:t>
      </w:r>
      <w:r w:rsidR="00216B01" w:rsidRPr="006D319D">
        <w:rPr>
          <w:rFonts w:ascii="Times New Roman" w:hAnsi="Times New Roman" w:cs="Times New Roman"/>
          <w:vertAlign w:val="subscript"/>
          <w:lang w:val="en-GB"/>
        </w:rPr>
        <w:t xml:space="preserve"> </w:t>
      </w:r>
      <w:r w:rsidR="00216B01">
        <w:rPr>
          <w:rFonts w:ascii="Times New Roman" w:hAnsi="Times New Roman" w:cs="Times New Roman"/>
          <w:lang w:val="en-GB"/>
        </w:rPr>
        <w:t>&gt; 0</w:t>
      </w:r>
    </w:p>
    <w:p w14:paraId="29BCE1AF" w14:textId="4E95AA47" w:rsidR="003F352A" w:rsidRPr="00A92128" w:rsidRDefault="003F352A" w:rsidP="003F352A">
      <w:pPr>
        <w:spacing w:after="0" w:line="360" w:lineRule="auto"/>
        <w:jc w:val="both"/>
        <w:rPr>
          <w:rFonts w:ascii="Times New Roman" w:hAnsi="Times New Roman" w:cs="Times New Roman"/>
          <w:b/>
          <w:bCs/>
        </w:rPr>
      </w:pPr>
      <w:r w:rsidRPr="00A92128">
        <w:rPr>
          <w:rFonts w:ascii="Times New Roman" w:hAnsi="Times New Roman" w:cs="Times New Roman"/>
          <w:b/>
          <w:bCs/>
        </w:rPr>
        <w:t>3.2 Measurement of Variables</w:t>
      </w:r>
    </w:p>
    <w:p w14:paraId="4E2AC9D2" w14:textId="1E15232E" w:rsidR="003F352A" w:rsidRDefault="003F352A" w:rsidP="003F352A">
      <w:pPr>
        <w:spacing w:after="0" w:line="240" w:lineRule="auto"/>
        <w:jc w:val="both"/>
        <w:rPr>
          <w:rFonts w:ascii="Times New Roman" w:hAnsi="Times New Roman" w:cs="Times New Roman"/>
          <w:b/>
          <w:bCs/>
        </w:rPr>
      </w:pPr>
      <w:r>
        <w:rPr>
          <w:rFonts w:ascii="Times New Roman" w:hAnsi="Times New Roman" w:cs="Times New Roman"/>
          <w:b/>
          <w:bCs/>
        </w:rPr>
        <w:t>Table 1: Description and Measurement of Variable</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1673"/>
        <w:gridCol w:w="2977"/>
        <w:gridCol w:w="2126"/>
        <w:gridCol w:w="1984"/>
      </w:tblGrid>
      <w:tr w:rsidR="00E3318A" w:rsidRPr="00C37ABB" w14:paraId="1A634EED" w14:textId="77777777" w:rsidTr="00881733">
        <w:tc>
          <w:tcPr>
            <w:tcW w:w="0" w:type="auto"/>
            <w:tcBorders>
              <w:top w:val="single" w:sz="4" w:space="0" w:color="auto"/>
              <w:bottom w:val="single" w:sz="4" w:space="0" w:color="auto"/>
            </w:tcBorders>
            <w:hideMark/>
          </w:tcPr>
          <w:p w14:paraId="1E1FFB96" w14:textId="77777777" w:rsidR="0025519F" w:rsidRPr="00C37ABB" w:rsidRDefault="0025519F" w:rsidP="0025519F">
            <w:pPr>
              <w:jc w:val="both"/>
              <w:rPr>
                <w:rFonts w:ascii="Times New Roman" w:hAnsi="Times New Roman" w:cs="Times New Roman"/>
                <w:b/>
                <w:bCs/>
                <w:sz w:val="22"/>
                <w:szCs w:val="22"/>
              </w:rPr>
            </w:pPr>
            <w:r w:rsidRPr="00C37ABB">
              <w:rPr>
                <w:rFonts w:ascii="Times New Roman" w:hAnsi="Times New Roman" w:cs="Times New Roman"/>
                <w:b/>
                <w:bCs/>
                <w:sz w:val="22"/>
                <w:szCs w:val="22"/>
              </w:rPr>
              <w:t>S/N</w:t>
            </w:r>
          </w:p>
        </w:tc>
        <w:tc>
          <w:tcPr>
            <w:tcW w:w="1673" w:type="dxa"/>
            <w:tcBorders>
              <w:top w:val="single" w:sz="4" w:space="0" w:color="auto"/>
              <w:bottom w:val="single" w:sz="4" w:space="0" w:color="auto"/>
            </w:tcBorders>
            <w:hideMark/>
          </w:tcPr>
          <w:p w14:paraId="4C036642" w14:textId="77777777" w:rsidR="0025519F" w:rsidRPr="00C37ABB" w:rsidRDefault="0025519F" w:rsidP="0025519F">
            <w:pPr>
              <w:jc w:val="both"/>
              <w:rPr>
                <w:rFonts w:ascii="Times New Roman" w:hAnsi="Times New Roman" w:cs="Times New Roman"/>
                <w:b/>
                <w:bCs/>
                <w:sz w:val="22"/>
                <w:szCs w:val="22"/>
              </w:rPr>
            </w:pPr>
            <w:r w:rsidRPr="00C37ABB">
              <w:rPr>
                <w:rFonts w:ascii="Times New Roman" w:hAnsi="Times New Roman" w:cs="Times New Roman"/>
                <w:b/>
                <w:bCs/>
                <w:sz w:val="22"/>
                <w:szCs w:val="22"/>
              </w:rPr>
              <w:t>Variables</w:t>
            </w:r>
          </w:p>
        </w:tc>
        <w:tc>
          <w:tcPr>
            <w:tcW w:w="2977" w:type="dxa"/>
            <w:tcBorders>
              <w:top w:val="single" w:sz="4" w:space="0" w:color="auto"/>
              <w:bottom w:val="single" w:sz="4" w:space="0" w:color="auto"/>
            </w:tcBorders>
            <w:hideMark/>
          </w:tcPr>
          <w:p w14:paraId="3976D7BB" w14:textId="77777777" w:rsidR="0025519F" w:rsidRPr="00C37ABB" w:rsidRDefault="0025519F" w:rsidP="0025519F">
            <w:pPr>
              <w:jc w:val="both"/>
              <w:rPr>
                <w:rFonts w:ascii="Times New Roman" w:hAnsi="Times New Roman" w:cs="Times New Roman"/>
                <w:b/>
                <w:bCs/>
                <w:sz w:val="22"/>
                <w:szCs w:val="22"/>
              </w:rPr>
            </w:pPr>
            <w:r w:rsidRPr="00C37ABB">
              <w:rPr>
                <w:rFonts w:ascii="Times New Roman" w:hAnsi="Times New Roman" w:cs="Times New Roman"/>
                <w:b/>
                <w:bCs/>
                <w:sz w:val="22"/>
                <w:szCs w:val="22"/>
              </w:rPr>
              <w:t>Description</w:t>
            </w:r>
          </w:p>
        </w:tc>
        <w:tc>
          <w:tcPr>
            <w:tcW w:w="2126" w:type="dxa"/>
            <w:tcBorders>
              <w:top w:val="single" w:sz="4" w:space="0" w:color="auto"/>
              <w:bottom w:val="single" w:sz="4" w:space="0" w:color="auto"/>
            </w:tcBorders>
            <w:hideMark/>
          </w:tcPr>
          <w:p w14:paraId="1F3EEE0A" w14:textId="77777777" w:rsidR="0025519F" w:rsidRPr="00C37ABB" w:rsidRDefault="0025519F" w:rsidP="0025519F">
            <w:pPr>
              <w:jc w:val="both"/>
              <w:rPr>
                <w:rFonts w:ascii="Times New Roman" w:hAnsi="Times New Roman" w:cs="Times New Roman"/>
                <w:b/>
                <w:bCs/>
                <w:sz w:val="22"/>
                <w:szCs w:val="22"/>
              </w:rPr>
            </w:pPr>
            <w:r w:rsidRPr="00C37ABB">
              <w:rPr>
                <w:rFonts w:ascii="Times New Roman" w:hAnsi="Times New Roman" w:cs="Times New Roman"/>
                <w:b/>
                <w:bCs/>
                <w:sz w:val="22"/>
                <w:szCs w:val="22"/>
              </w:rPr>
              <w:t>Measurement</w:t>
            </w:r>
          </w:p>
        </w:tc>
        <w:tc>
          <w:tcPr>
            <w:tcW w:w="1984" w:type="dxa"/>
            <w:tcBorders>
              <w:top w:val="single" w:sz="4" w:space="0" w:color="auto"/>
              <w:bottom w:val="single" w:sz="4" w:space="0" w:color="auto"/>
            </w:tcBorders>
            <w:hideMark/>
          </w:tcPr>
          <w:p w14:paraId="4C3EA596" w14:textId="059C5C5C" w:rsidR="0025519F" w:rsidRPr="00C37ABB" w:rsidRDefault="0025519F" w:rsidP="0025519F">
            <w:pPr>
              <w:jc w:val="both"/>
              <w:rPr>
                <w:rFonts w:ascii="Times New Roman" w:hAnsi="Times New Roman" w:cs="Times New Roman"/>
                <w:b/>
                <w:bCs/>
                <w:sz w:val="22"/>
                <w:szCs w:val="22"/>
              </w:rPr>
            </w:pPr>
            <w:r w:rsidRPr="00C37ABB">
              <w:rPr>
                <w:rFonts w:ascii="Times New Roman" w:hAnsi="Times New Roman" w:cs="Times New Roman"/>
                <w:b/>
                <w:bCs/>
                <w:sz w:val="22"/>
                <w:szCs w:val="22"/>
              </w:rPr>
              <w:t xml:space="preserve">Sources </w:t>
            </w:r>
          </w:p>
        </w:tc>
      </w:tr>
      <w:tr w:rsidR="00E3318A" w:rsidRPr="00C37ABB" w14:paraId="36AF4185" w14:textId="77777777" w:rsidTr="00881733">
        <w:tc>
          <w:tcPr>
            <w:tcW w:w="0" w:type="auto"/>
            <w:tcBorders>
              <w:top w:val="single" w:sz="4" w:space="0" w:color="auto"/>
            </w:tcBorders>
            <w:hideMark/>
          </w:tcPr>
          <w:p w14:paraId="6ED78EF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1</w:t>
            </w:r>
          </w:p>
        </w:tc>
        <w:tc>
          <w:tcPr>
            <w:tcW w:w="1673" w:type="dxa"/>
            <w:tcBorders>
              <w:top w:val="single" w:sz="4" w:space="0" w:color="auto"/>
            </w:tcBorders>
            <w:hideMark/>
          </w:tcPr>
          <w:p w14:paraId="5E95AF9E"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Firm Value (Tobin’s Q) (Dependent Variable)</w:t>
            </w:r>
          </w:p>
        </w:tc>
        <w:tc>
          <w:tcPr>
            <w:tcW w:w="2977" w:type="dxa"/>
            <w:tcBorders>
              <w:top w:val="single" w:sz="4" w:space="0" w:color="auto"/>
            </w:tcBorders>
            <w:hideMark/>
          </w:tcPr>
          <w:p w14:paraId="2F7F184A" w14:textId="0CB778E5"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 xml:space="preserve">Market-based measure reflecting investors’ assessment of firm </w:t>
            </w:r>
            <w:r w:rsidR="00E3318A" w:rsidRPr="00C37ABB">
              <w:rPr>
                <w:rFonts w:ascii="Times New Roman" w:hAnsi="Times New Roman" w:cs="Times New Roman"/>
                <w:sz w:val="22"/>
                <w:szCs w:val="22"/>
              </w:rPr>
              <w:t>p</w:t>
            </w:r>
            <w:r w:rsidRPr="00C37ABB">
              <w:rPr>
                <w:rFonts w:ascii="Times New Roman" w:hAnsi="Times New Roman" w:cs="Times New Roman"/>
                <w:sz w:val="22"/>
                <w:szCs w:val="22"/>
              </w:rPr>
              <w:t>erformance, growth prospects, and overall value</w:t>
            </w:r>
          </w:p>
        </w:tc>
        <w:tc>
          <w:tcPr>
            <w:tcW w:w="2126" w:type="dxa"/>
            <w:tcBorders>
              <w:top w:val="single" w:sz="4" w:space="0" w:color="auto"/>
            </w:tcBorders>
            <w:hideMark/>
          </w:tcPr>
          <w:p w14:paraId="39D3AB32"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Market value of equity + book value of total debt ÷ book value of total assets</w:t>
            </w:r>
          </w:p>
        </w:tc>
        <w:tc>
          <w:tcPr>
            <w:tcW w:w="1984" w:type="dxa"/>
            <w:tcBorders>
              <w:top w:val="single" w:sz="4" w:space="0" w:color="auto"/>
            </w:tcBorders>
            <w:hideMark/>
          </w:tcPr>
          <w:p w14:paraId="085B6E9D" w14:textId="0A5B1FC8"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Intara (2024); Zouari-Hadiji  &amp; Khlif 2022); Yahaya (2024)</w:t>
            </w:r>
          </w:p>
        </w:tc>
      </w:tr>
      <w:tr w:rsidR="00E3318A" w:rsidRPr="00C37ABB" w14:paraId="15CE981A" w14:textId="77777777" w:rsidTr="00881733">
        <w:tc>
          <w:tcPr>
            <w:tcW w:w="0" w:type="auto"/>
            <w:hideMark/>
          </w:tcPr>
          <w:p w14:paraId="7C7165E7"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2</w:t>
            </w:r>
          </w:p>
        </w:tc>
        <w:tc>
          <w:tcPr>
            <w:tcW w:w="1673" w:type="dxa"/>
            <w:hideMark/>
          </w:tcPr>
          <w:p w14:paraId="255F3FE9"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Training Expenditure (Independent Variable)</w:t>
            </w:r>
          </w:p>
        </w:tc>
        <w:tc>
          <w:tcPr>
            <w:tcW w:w="2977" w:type="dxa"/>
            <w:hideMark/>
          </w:tcPr>
          <w:p w14:paraId="5223A430"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Financial resources committed to employee training and development activities</w:t>
            </w:r>
          </w:p>
        </w:tc>
        <w:tc>
          <w:tcPr>
            <w:tcW w:w="2126" w:type="dxa"/>
            <w:hideMark/>
          </w:tcPr>
          <w:p w14:paraId="3C5E9769"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Total training cost ÷ total operating expenses or total assets</w:t>
            </w:r>
          </w:p>
        </w:tc>
        <w:tc>
          <w:tcPr>
            <w:tcW w:w="1984" w:type="dxa"/>
            <w:hideMark/>
          </w:tcPr>
          <w:p w14:paraId="13E3660C" w14:textId="403B9C45"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Tuamyil</w:t>
            </w:r>
            <w:r w:rsidR="00E3318A" w:rsidRPr="00C37ABB">
              <w:rPr>
                <w:rFonts w:ascii="Times New Roman" w:hAnsi="Times New Roman" w:cs="Times New Roman"/>
                <w:sz w:val="22"/>
                <w:szCs w:val="22"/>
              </w:rPr>
              <w:t xml:space="preserve"> (</w:t>
            </w:r>
            <w:r w:rsidRPr="00C37ABB">
              <w:rPr>
                <w:rFonts w:ascii="Times New Roman" w:hAnsi="Times New Roman" w:cs="Times New Roman"/>
                <w:sz w:val="22"/>
                <w:szCs w:val="22"/>
              </w:rPr>
              <w:t>2024); Olabode &amp; Ayoboye (2023); Habtoor (2024)</w:t>
            </w:r>
          </w:p>
        </w:tc>
      </w:tr>
      <w:tr w:rsidR="00E3318A" w:rsidRPr="00C37ABB" w14:paraId="24CC0133" w14:textId="77777777" w:rsidTr="00881733">
        <w:tc>
          <w:tcPr>
            <w:tcW w:w="0" w:type="auto"/>
            <w:hideMark/>
          </w:tcPr>
          <w:p w14:paraId="31ADEAB3"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3</w:t>
            </w:r>
          </w:p>
        </w:tc>
        <w:tc>
          <w:tcPr>
            <w:tcW w:w="1673" w:type="dxa"/>
            <w:hideMark/>
          </w:tcPr>
          <w:p w14:paraId="781192EA"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Training Intensity (Independent Variable)</w:t>
            </w:r>
          </w:p>
        </w:tc>
        <w:tc>
          <w:tcPr>
            <w:tcW w:w="2977" w:type="dxa"/>
            <w:hideMark/>
          </w:tcPr>
          <w:p w14:paraId="553E1C8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Depth and frequency of training programs undertaken by the firm</w:t>
            </w:r>
          </w:p>
        </w:tc>
        <w:tc>
          <w:tcPr>
            <w:tcW w:w="2126" w:type="dxa"/>
            <w:hideMark/>
          </w:tcPr>
          <w:p w14:paraId="4ADA7609"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Total training hours ÷ total number of employees</w:t>
            </w:r>
          </w:p>
        </w:tc>
        <w:tc>
          <w:tcPr>
            <w:tcW w:w="1984" w:type="dxa"/>
            <w:hideMark/>
          </w:tcPr>
          <w:p w14:paraId="39EF1A2D"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Li et al. (2024); Zouari-Hadiji &amp; Khlif (2022)</w:t>
            </w:r>
          </w:p>
        </w:tc>
      </w:tr>
      <w:tr w:rsidR="00E3318A" w:rsidRPr="00C37ABB" w14:paraId="653CF465" w14:textId="77777777" w:rsidTr="00881733">
        <w:tc>
          <w:tcPr>
            <w:tcW w:w="0" w:type="auto"/>
            <w:hideMark/>
          </w:tcPr>
          <w:p w14:paraId="4156B4A1"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4</w:t>
            </w:r>
          </w:p>
        </w:tc>
        <w:tc>
          <w:tcPr>
            <w:tcW w:w="1673" w:type="dxa"/>
            <w:hideMark/>
          </w:tcPr>
          <w:p w14:paraId="365C59A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Participation Rate in Training Programs (Independent Variable)</w:t>
            </w:r>
          </w:p>
        </w:tc>
        <w:tc>
          <w:tcPr>
            <w:tcW w:w="2977" w:type="dxa"/>
            <w:hideMark/>
          </w:tcPr>
          <w:p w14:paraId="0FE95635"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Level of employee involvement in training programs</w:t>
            </w:r>
          </w:p>
        </w:tc>
        <w:tc>
          <w:tcPr>
            <w:tcW w:w="2126" w:type="dxa"/>
            <w:hideMark/>
          </w:tcPr>
          <w:p w14:paraId="059CFB9C"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Number of employees trained ÷ total number of employees</w:t>
            </w:r>
          </w:p>
        </w:tc>
        <w:tc>
          <w:tcPr>
            <w:tcW w:w="1984" w:type="dxa"/>
            <w:hideMark/>
          </w:tcPr>
          <w:p w14:paraId="726D46AB"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Adeosun (2024); Liu et al. (2023)</w:t>
            </w:r>
          </w:p>
        </w:tc>
      </w:tr>
      <w:tr w:rsidR="00E3318A" w:rsidRPr="00C37ABB" w14:paraId="2DE66BD1" w14:textId="77777777" w:rsidTr="00881733">
        <w:tc>
          <w:tcPr>
            <w:tcW w:w="0" w:type="auto"/>
            <w:hideMark/>
          </w:tcPr>
          <w:p w14:paraId="6E78C4A5"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5</w:t>
            </w:r>
          </w:p>
        </w:tc>
        <w:tc>
          <w:tcPr>
            <w:tcW w:w="1673" w:type="dxa"/>
            <w:hideMark/>
          </w:tcPr>
          <w:p w14:paraId="2A1CD4B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 xml:space="preserve">Human Capital Investment Ratio </w:t>
            </w:r>
            <w:r w:rsidRPr="00C37ABB">
              <w:rPr>
                <w:rFonts w:ascii="Times New Roman" w:hAnsi="Times New Roman" w:cs="Times New Roman"/>
                <w:sz w:val="22"/>
                <w:szCs w:val="22"/>
              </w:rPr>
              <w:lastRenderedPageBreak/>
              <w:t>(Independent Variable)</w:t>
            </w:r>
          </w:p>
        </w:tc>
        <w:tc>
          <w:tcPr>
            <w:tcW w:w="2977" w:type="dxa"/>
            <w:hideMark/>
          </w:tcPr>
          <w:p w14:paraId="2F1A5EF5"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lastRenderedPageBreak/>
              <w:t>Degree of firm commitment to workforce development relative to resources</w:t>
            </w:r>
          </w:p>
        </w:tc>
        <w:tc>
          <w:tcPr>
            <w:tcW w:w="2126" w:type="dxa"/>
            <w:hideMark/>
          </w:tcPr>
          <w:p w14:paraId="21B99FFE"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 xml:space="preserve">Total training and development cost ÷ </w:t>
            </w:r>
            <w:r w:rsidRPr="00C37ABB">
              <w:rPr>
                <w:rFonts w:ascii="Times New Roman" w:hAnsi="Times New Roman" w:cs="Times New Roman"/>
                <w:sz w:val="22"/>
                <w:szCs w:val="22"/>
              </w:rPr>
              <w:lastRenderedPageBreak/>
              <w:t>total employee cost or total revenue</w:t>
            </w:r>
          </w:p>
        </w:tc>
        <w:tc>
          <w:tcPr>
            <w:tcW w:w="1984" w:type="dxa"/>
            <w:hideMark/>
          </w:tcPr>
          <w:p w14:paraId="693B9595"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lastRenderedPageBreak/>
              <w:t>Intara (2024); Tuamyil (2024); Diaz et al. (2025)</w:t>
            </w:r>
          </w:p>
        </w:tc>
      </w:tr>
      <w:tr w:rsidR="00E3318A" w:rsidRPr="00C37ABB" w14:paraId="129252A3" w14:textId="77777777" w:rsidTr="00881733">
        <w:tc>
          <w:tcPr>
            <w:tcW w:w="0" w:type="auto"/>
            <w:hideMark/>
          </w:tcPr>
          <w:p w14:paraId="7BC2FFF9"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6</w:t>
            </w:r>
          </w:p>
        </w:tc>
        <w:tc>
          <w:tcPr>
            <w:tcW w:w="1673" w:type="dxa"/>
            <w:hideMark/>
          </w:tcPr>
          <w:p w14:paraId="02E2E581"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Board Independence (Moderating Variable)</w:t>
            </w:r>
          </w:p>
        </w:tc>
        <w:tc>
          <w:tcPr>
            <w:tcW w:w="2977" w:type="dxa"/>
            <w:hideMark/>
          </w:tcPr>
          <w:p w14:paraId="558B24A8"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Degree of board autonomy and monitoring effectiveness in governance</w:t>
            </w:r>
          </w:p>
        </w:tc>
        <w:tc>
          <w:tcPr>
            <w:tcW w:w="2126" w:type="dxa"/>
            <w:hideMark/>
          </w:tcPr>
          <w:p w14:paraId="560A33F9"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Number of independent non-executive directors ÷ total board size</w:t>
            </w:r>
          </w:p>
        </w:tc>
        <w:tc>
          <w:tcPr>
            <w:tcW w:w="1984" w:type="dxa"/>
            <w:hideMark/>
          </w:tcPr>
          <w:p w14:paraId="6078BA5C"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Uwuigbe et al. (2023); Yahaya (2024); Musa &amp; Modibbo (2025)</w:t>
            </w:r>
          </w:p>
        </w:tc>
      </w:tr>
      <w:tr w:rsidR="00E3318A" w:rsidRPr="00C37ABB" w14:paraId="4EF5E856" w14:textId="77777777" w:rsidTr="00881733">
        <w:tc>
          <w:tcPr>
            <w:tcW w:w="0" w:type="auto"/>
            <w:hideMark/>
          </w:tcPr>
          <w:p w14:paraId="1278EA52"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7</w:t>
            </w:r>
          </w:p>
        </w:tc>
        <w:tc>
          <w:tcPr>
            <w:tcW w:w="1673" w:type="dxa"/>
            <w:hideMark/>
          </w:tcPr>
          <w:p w14:paraId="43C1FA9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Firm Size (Control Variable)</w:t>
            </w:r>
          </w:p>
        </w:tc>
        <w:tc>
          <w:tcPr>
            <w:tcW w:w="2977" w:type="dxa"/>
            <w:hideMark/>
          </w:tcPr>
          <w:p w14:paraId="03B86D66"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Scale of firm operations and resource capacity</w:t>
            </w:r>
          </w:p>
        </w:tc>
        <w:tc>
          <w:tcPr>
            <w:tcW w:w="2126" w:type="dxa"/>
            <w:hideMark/>
          </w:tcPr>
          <w:p w14:paraId="5549880B"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Natural logarithm of total assets</w:t>
            </w:r>
          </w:p>
        </w:tc>
        <w:tc>
          <w:tcPr>
            <w:tcW w:w="1984" w:type="dxa"/>
            <w:hideMark/>
          </w:tcPr>
          <w:p w14:paraId="00F4EB5C"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Liu et al. (2023); Habtoor (2024)</w:t>
            </w:r>
          </w:p>
        </w:tc>
      </w:tr>
      <w:tr w:rsidR="00E3318A" w:rsidRPr="00C37ABB" w14:paraId="7093B2CD" w14:textId="77777777" w:rsidTr="00881733">
        <w:tc>
          <w:tcPr>
            <w:tcW w:w="0" w:type="auto"/>
            <w:hideMark/>
          </w:tcPr>
          <w:p w14:paraId="4ADF02C2"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8</w:t>
            </w:r>
          </w:p>
        </w:tc>
        <w:tc>
          <w:tcPr>
            <w:tcW w:w="1673" w:type="dxa"/>
            <w:hideMark/>
          </w:tcPr>
          <w:p w14:paraId="6879B7C6"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Firm Age (Control Variable)</w:t>
            </w:r>
          </w:p>
        </w:tc>
        <w:tc>
          <w:tcPr>
            <w:tcW w:w="2977" w:type="dxa"/>
            <w:hideMark/>
          </w:tcPr>
          <w:p w14:paraId="208C04F8"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Organizational maturity and experience over time</w:t>
            </w:r>
          </w:p>
        </w:tc>
        <w:tc>
          <w:tcPr>
            <w:tcW w:w="2126" w:type="dxa"/>
            <w:hideMark/>
          </w:tcPr>
          <w:p w14:paraId="36A74FFF"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Natural logarithm of number of years since incorporation</w:t>
            </w:r>
          </w:p>
        </w:tc>
        <w:tc>
          <w:tcPr>
            <w:tcW w:w="1984" w:type="dxa"/>
            <w:hideMark/>
          </w:tcPr>
          <w:p w14:paraId="4BB4C26D" w14:textId="77777777" w:rsidR="0025519F" w:rsidRPr="00C37ABB" w:rsidRDefault="0025519F" w:rsidP="00E3318A">
            <w:pPr>
              <w:rPr>
                <w:rFonts w:ascii="Times New Roman" w:hAnsi="Times New Roman" w:cs="Times New Roman"/>
                <w:sz w:val="22"/>
                <w:szCs w:val="22"/>
              </w:rPr>
            </w:pPr>
            <w:r w:rsidRPr="00C37ABB">
              <w:rPr>
                <w:rFonts w:ascii="Times New Roman" w:hAnsi="Times New Roman" w:cs="Times New Roman"/>
                <w:sz w:val="22"/>
                <w:szCs w:val="22"/>
              </w:rPr>
              <w:t>Li et al. (2024); Intara (2024)</w:t>
            </w:r>
          </w:p>
        </w:tc>
      </w:tr>
    </w:tbl>
    <w:p w14:paraId="102BA2A8" w14:textId="2A8395C2" w:rsidR="00BB6FDC" w:rsidRPr="00E3318A" w:rsidRDefault="00C10E3B" w:rsidP="00900013">
      <w:pPr>
        <w:spacing w:line="240" w:lineRule="auto"/>
        <w:jc w:val="both"/>
        <w:rPr>
          <w:rFonts w:ascii="Times New Roman" w:hAnsi="Times New Roman" w:cs="Times New Roman"/>
          <w:b/>
          <w:bCs/>
        </w:rPr>
      </w:pPr>
      <w:r w:rsidRPr="00E3318A">
        <w:rPr>
          <w:rFonts w:ascii="Times New Roman" w:hAnsi="Times New Roman" w:cs="Times New Roman"/>
          <w:b/>
          <w:bCs/>
        </w:rPr>
        <w:t>Source: Author’s Compilation (2026)</w:t>
      </w:r>
    </w:p>
    <w:p w14:paraId="2D09B085" w14:textId="697FD4A3" w:rsidR="003F2E9B" w:rsidRDefault="00696CD1" w:rsidP="009313AD">
      <w:pPr>
        <w:jc w:val="both"/>
        <w:rPr>
          <w:rFonts w:ascii="Times New Roman" w:hAnsi="Times New Roman" w:cs="Times New Roman"/>
          <w:b/>
          <w:bCs/>
        </w:rPr>
      </w:pPr>
      <w:r>
        <w:rPr>
          <w:rFonts w:ascii="Times New Roman" w:hAnsi="Times New Roman" w:cs="Times New Roman"/>
          <w:b/>
          <w:bCs/>
        </w:rPr>
        <w:t xml:space="preserve">4. Results and Discussion </w:t>
      </w:r>
    </w:p>
    <w:p w14:paraId="4291F686" w14:textId="77777777" w:rsidR="00696CD1" w:rsidRDefault="00696CD1" w:rsidP="00696CD1">
      <w:pPr>
        <w:jc w:val="both"/>
        <w:rPr>
          <w:rFonts w:ascii="Times New Roman" w:hAnsi="Times New Roman" w:cs="Times New Roman"/>
          <w:b/>
          <w:bCs/>
        </w:rPr>
      </w:pPr>
      <w:r w:rsidRPr="00696CD1">
        <w:rPr>
          <w:rFonts w:ascii="Times New Roman" w:hAnsi="Times New Roman" w:cs="Times New Roman"/>
          <w:b/>
          <w:bCs/>
        </w:rPr>
        <w:t>4.1 Descriptive Statistics</w:t>
      </w:r>
    </w:p>
    <w:p w14:paraId="0E6B40F4" w14:textId="2F8DDD7B" w:rsidR="00696CD1" w:rsidRPr="00696CD1" w:rsidRDefault="00696CD1" w:rsidP="00E149BE">
      <w:pPr>
        <w:spacing w:after="0" w:line="240" w:lineRule="auto"/>
        <w:jc w:val="both"/>
        <w:rPr>
          <w:rFonts w:ascii="Times New Roman" w:hAnsi="Times New Roman" w:cs="Times New Roman"/>
        </w:rPr>
      </w:pPr>
      <w:r w:rsidRPr="00696CD1">
        <w:rPr>
          <w:rFonts w:ascii="Times New Roman" w:hAnsi="Times New Roman" w:cs="Times New Roman"/>
          <w:b/>
          <w:bCs/>
        </w:rPr>
        <w:t xml:space="preserve">Table </w:t>
      </w:r>
      <w:r w:rsidR="006C04CE">
        <w:rPr>
          <w:rFonts w:ascii="Times New Roman" w:hAnsi="Times New Roman" w:cs="Times New Roman"/>
          <w:b/>
          <w:bCs/>
        </w:rPr>
        <w:t>2</w:t>
      </w:r>
      <w:r w:rsidR="00E149BE">
        <w:rPr>
          <w:rFonts w:ascii="Times New Roman" w:hAnsi="Times New Roman" w:cs="Times New Roman"/>
          <w:b/>
          <w:bCs/>
        </w:rPr>
        <w:t>:</w:t>
      </w:r>
      <w:r w:rsidR="00045F1C">
        <w:rPr>
          <w:rFonts w:ascii="Times New Roman" w:hAnsi="Times New Roman" w:cs="Times New Roman"/>
          <w:b/>
          <w:bCs/>
        </w:rPr>
        <w:t xml:space="preserve"> </w:t>
      </w:r>
      <w:r w:rsidRPr="00696CD1">
        <w:rPr>
          <w:rFonts w:ascii="Times New Roman" w:hAnsi="Times New Roman" w:cs="Times New Roman"/>
          <w:i/>
          <w:iCs/>
        </w:rPr>
        <w:t>Descriptive Statistics of Study Variables (N = 1</w:t>
      </w:r>
      <w:r w:rsidR="00023A18">
        <w:rPr>
          <w:rFonts w:ascii="Times New Roman" w:hAnsi="Times New Roman" w:cs="Times New Roman"/>
          <w:i/>
          <w:iCs/>
        </w:rPr>
        <w:t>20</w:t>
      </w:r>
      <w:r w:rsidRPr="00696CD1">
        <w:rPr>
          <w:rFonts w:ascii="Times New Roman" w:hAnsi="Times New Roman" w:cs="Times New Roman"/>
          <w:i/>
          <w:iCs/>
        </w:rPr>
        <w:t>)</w:t>
      </w:r>
    </w:p>
    <w:tbl>
      <w:tblPr>
        <w:tblStyle w:val="PlainTable2"/>
        <w:tblW w:w="8045" w:type="dxa"/>
        <w:tblBorders>
          <w:top w:val="single" w:sz="4" w:space="0" w:color="auto"/>
          <w:bottom w:val="single" w:sz="4" w:space="0" w:color="auto"/>
        </w:tblBorders>
        <w:tblLook w:val="04A0" w:firstRow="1" w:lastRow="0" w:firstColumn="1" w:lastColumn="0" w:noHBand="0" w:noVBand="1"/>
      </w:tblPr>
      <w:tblGrid>
        <w:gridCol w:w="1874"/>
        <w:gridCol w:w="898"/>
        <w:gridCol w:w="1365"/>
        <w:gridCol w:w="1365"/>
        <w:gridCol w:w="1178"/>
        <w:gridCol w:w="1365"/>
      </w:tblGrid>
      <w:tr w:rsidR="00696CD1" w:rsidRPr="00696CD1" w14:paraId="4341E5C2" w14:textId="77777777" w:rsidTr="0088173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3A77AC0" w14:textId="77777777" w:rsidR="00696CD1" w:rsidRPr="00696CD1" w:rsidRDefault="00696CD1" w:rsidP="00696CD1">
            <w:pPr>
              <w:jc w:val="both"/>
              <w:rPr>
                <w:rFonts w:ascii="Times New Roman" w:hAnsi="Times New Roman" w:cs="Times New Roman"/>
                <w:b w:val="0"/>
                <w:bCs w:val="0"/>
              </w:rPr>
            </w:pPr>
            <w:r w:rsidRPr="00696CD1">
              <w:rPr>
                <w:rFonts w:ascii="Times New Roman" w:hAnsi="Times New Roman" w:cs="Times New Roman"/>
              </w:rPr>
              <w:t>Variable</w:t>
            </w:r>
          </w:p>
        </w:tc>
        <w:tc>
          <w:tcPr>
            <w:tcW w:w="0" w:type="auto"/>
            <w:tcBorders>
              <w:top w:val="single" w:sz="4" w:space="0" w:color="auto"/>
              <w:bottom w:val="single" w:sz="4" w:space="0" w:color="auto"/>
            </w:tcBorders>
            <w:hideMark/>
          </w:tcPr>
          <w:p w14:paraId="0B1CF4BD"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N</w:t>
            </w:r>
          </w:p>
        </w:tc>
        <w:tc>
          <w:tcPr>
            <w:tcW w:w="0" w:type="auto"/>
            <w:tcBorders>
              <w:top w:val="single" w:sz="4" w:space="0" w:color="auto"/>
              <w:bottom w:val="single" w:sz="4" w:space="0" w:color="auto"/>
            </w:tcBorders>
            <w:hideMark/>
          </w:tcPr>
          <w:p w14:paraId="70E5BA18"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Mean</w:t>
            </w:r>
          </w:p>
        </w:tc>
        <w:tc>
          <w:tcPr>
            <w:tcW w:w="0" w:type="auto"/>
            <w:tcBorders>
              <w:top w:val="single" w:sz="4" w:space="0" w:color="auto"/>
              <w:bottom w:val="single" w:sz="4" w:space="0" w:color="auto"/>
            </w:tcBorders>
            <w:hideMark/>
          </w:tcPr>
          <w:p w14:paraId="382116D7"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SD</w:t>
            </w:r>
          </w:p>
        </w:tc>
        <w:tc>
          <w:tcPr>
            <w:tcW w:w="0" w:type="auto"/>
            <w:tcBorders>
              <w:top w:val="single" w:sz="4" w:space="0" w:color="auto"/>
              <w:bottom w:val="single" w:sz="4" w:space="0" w:color="auto"/>
            </w:tcBorders>
            <w:hideMark/>
          </w:tcPr>
          <w:p w14:paraId="68761423"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Min</w:t>
            </w:r>
          </w:p>
        </w:tc>
        <w:tc>
          <w:tcPr>
            <w:tcW w:w="0" w:type="auto"/>
            <w:tcBorders>
              <w:top w:val="single" w:sz="4" w:space="0" w:color="auto"/>
              <w:bottom w:val="single" w:sz="4" w:space="0" w:color="auto"/>
            </w:tcBorders>
            <w:hideMark/>
          </w:tcPr>
          <w:p w14:paraId="14EF8159"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Max</w:t>
            </w:r>
          </w:p>
        </w:tc>
      </w:tr>
      <w:tr w:rsidR="00696CD1" w:rsidRPr="00696CD1" w14:paraId="28368877" w14:textId="77777777" w:rsidTr="0088173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521826AE"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TOBINQ</w:t>
            </w:r>
          </w:p>
        </w:tc>
        <w:tc>
          <w:tcPr>
            <w:tcW w:w="0" w:type="auto"/>
            <w:tcBorders>
              <w:top w:val="single" w:sz="4" w:space="0" w:color="auto"/>
              <w:bottom w:val="none" w:sz="0" w:space="0" w:color="auto"/>
            </w:tcBorders>
            <w:hideMark/>
          </w:tcPr>
          <w:p w14:paraId="0390CDF0" w14:textId="47DA0F3A"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tcBorders>
              <w:top w:val="single" w:sz="4" w:space="0" w:color="auto"/>
              <w:bottom w:val="none" w:sz="0" w:space="0" w:color="auto"/>
            </w:tcBorders>
            <w:hideMark/>
          </w:tcPr>
          <w:p w14:paraId="653912CD"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0.384</w:t>
            </w:r>
          </w:p>
        </w:tc>
        <w:tc>
          <w:tcPr>
            <w:tcW w:w="0" w:type="auto"/>
            <w:tcBorders>
              <w:top w:val="single" w:sz="4" w:space="0" w:color="auto"/>
              <w:bottom w:val="none" w:sz="0" w:space="0" w:color="auto"/>
            </w:tcBorders>
            <w:hideMark/>
          </w:tcPr>
          <w:p w14:paraId="59933F87"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0.447</w:t>
            </w:r>
          </w:p>
        </w:tc>
        <w:tc>
          <w:tcPr>
            <w:tcW w:w="0" w:type="auto"/>
            <w:tcBorders>
              <w:top w:val="single" w:sz="4" w:space="0" w:color="auto"/>
              <w:bottom w:val="none" w:sz="0" w:space="0" w:color="auto"/>
            </w:tcBorders>
            <w:hideMark/>
          </w:tcPr>
          <w:p w14:paraId="00F8FDF5"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tcBorders>
              <w:top w:val="single" w:sz="4" w:space="0" w:color="auto"/>
              <w:bottom w:val="none" w:sz="0" w:space="0" w:color="auto"/>
            </w:tcBorders>
            <w:hideMark/>
          </w:tcPr>
          <w:p w14:paraId="6B33404C"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2.645</w:t>
            </w:r>
          </w:p>
        </w:tc>
      </w:tr>
      <w:tr w:rsidR="00696CD1" w:rsidRPr="00696CD1" w14:paraId="401AD853" w14:textId="77777777" w:rsidTr="00881733">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1E0EFA"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TRNEXP</w:t>
            </w:r>
          </w:p>
        </w:tc>
        <w:tc>
          <w:tcPr>
            <w:tcW w:w="0" w:type="auto"/>
            <w:hideMark/>
          </w:tcPr>
          <w:p w14:paraId="4F316D2D" w14:textId="5AA098BE"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hideMark/>
          </w:tcPr>
          <w:p w14:paraId="363647D1"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0.458</w:t>
            </w:r>
          </w:p>
        </w:tc>
        <w:tc>
          <w:tcPr>
            <w:tcW w:w="0" w:type="auto"/>
            <w:hideMark/>
          </w:tcPr>
          <w:p w14:paraId="5B6DE90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0.655</w:t>
            </w:r>
          </w:p>
        </w:tc>
        <w:tc>
          <w:tcPr>
            <w:tcW w:w="0" w:type="auto"/>
            <w:hideMark/>
          </w:tcPr>
          <w:p w14:paraId="2292868B"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hideMark/>
          </w:tcPr>
          <w:p w14:paraId="6A404EC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3.509</w:t>
            </w:r>
          </w:p>
        </w:tc>
      </w:tr>
      <w:tr w:rsidR="00696CD1" w:rsidRPr="00696CD1" w14:paraId="5F3D8D82" w14:textId="77777777" w:rsidTr="0088173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60E9AC30"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TRNPR</w:t>
            </w:r>
          </w:p>
        </w:tc>
        <w:tc>
          <w:tcPr>
            <w:tcW w:w="0" w:type="auto"/>
            <w:tcBorders>
              <w:top w:val="none" w:sz="0" w:space="0" w:color="auto"/>
              <w:bottom w:val="none" w:sz="0" w:space="0" w:color="auto"/>
            </w:tcBorders>
            <w:hideMark/>
          </w:tcPr>
          <w:p w14:paraId="7F7F8493" w14:textId="52572F14"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tcBorders>
              <w:top w:val="none" w:sz="0" w:space="0" w:color="auto"/>
              <w:bottom w:val="none" w:sz="0" w:space="0" w:color="auto"/>
            </w:tcBorders>
            <w:hideMark/>
          </w:tcPr>
          <w:p w14:paraId="5A0E051F"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0.523</w:t>
            </w:r>
          </w:p>
        </w:tc>
        <w:tc>
          <w:tcPr>
            <w:tcW w:w="0" w:type="auto"/>
            <w:tcBorders>
              <w:top w:val="none" w:sz="0" w:space="0" w:color="auto"/>
              <w:bottom w:val="none" w:sz="0" w:space="0" w:color="auto"/>
            </w:tcBorders>
            <w:hideMark/>
          </w:tcPr>
          <w:p w14:paraId="66E74AB4"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0.602</w:t>
            </w:r>
          </w:p>
        </w:tc>
        <w:tc>
          <w:tcPr>
            <w:tcW w:w="0" w:type="auto"/>
            <w:tcBorders>
              <w:top w:val="none" w:sz="0" w:space="0" w:color="auto"/>
              <w:bottom w:val="none" w:sz="0" w:space="0" w:color="auto"/>
            </w:tcBorders>
            <w:hideMark/>
          </w:tcPr>
          <w:p w14:paraId="5229D06E"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tcBorders>
              <w:top w:val="none" w:sz="0" w:space="0" w:color="auto"/>
              <w:bottom w:val="none" w:sz="0" w:space="0" w:color="auto"/>
            </w:tcBorders>
            <w:hideMark/>
          </w:tcPr>
          <w:p w14:paraId="292DDB29"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2.945</w:t>
            </w:r>
          </w:p>
        </w:tc>
      </w:tr>
      <w:tr w:rsidR="00696CD1" w:rsidRPr="00696CD1" w14:paraId="418ACB35" w14:textId="77777777" w:rsidTr="00881733">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76A975B"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TRNINT</w:t>
            </w:r>
          </w:p>
        </w:tc>
        <w:tc>
          <w:tcPr>
            <w:tcW w:w="0" w:type="auto"/>
            <w:hideMark/>
          </w:tcPr>
          <w:p w14:paraId="2F3D63D0" w14:textId="256337FB"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hideMark/>
          </w:tcPr>
          <w:p w14:paraId="612AEFA9"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8.850</w:t>
            </w:r>
          </w:p>
        </w:tc>
        <w:tc>
          <w:tcPr>
            <w:tcW w:w="0" w:type="auto"/>
            <w:hideMark/>
          </w:tcPr>
          <w:p w14:paraId="47392313"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3.850</w:t>
            </w:r>
          </w:p>
        </w:tc>
        <w:tc>
          <w:tcPr>
            <w:tcW w:w="0" w:type="auto"/>
            <w:hideMark/>
          </w:tcPr>
          <w:p w14:paraId="76037354"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hideMark/>
          </w:tcPr>
          <w:p w14:paraId="7D6C5F23"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15.474</w:t>
            </w:r>
          </w:p>
        </w:tc>
      </w:tr>
      <w:tr w:rsidR="00696CD1" w:rsidRPr="00696CD1" w14:paraId="7EA26D81" w14:textId="77777777" w:rsidTr="0088173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4A29616"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HCIR</w:t>
            </w:r>
          </w:p>
        </w:tc>
        <w:tc>
          <w:tcPr>
            <w:tcW w:w="0" w:type="auto"/>
            <w:tcBorders>
              <w:top w:val="none" w:sz="0" w:space="0" w:color="auto"/>
              <w:bottom w:val="none" w:sz="0" w:space="0" w:color="auto"/>
            </w:tcBorders>
            <w:hideMark/>
          </w:tcPr>
          <w:p w14:paraId="6C6477B2" w14:textId="58110BC3"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tcBorders>
              <w:top w:val="none" w:sz="0" w:space="0" w:color="auto"/>
              <w:bottom w:val="none" w:sz="0" w:space="0" w:color="auto"/>
            </w:tcBorders>
            <w:hideMark/>
          </w:tcPr>
          <w:p w14:paraId="6550E039"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0.427</w:t>
            </w:r>
          </w:p>
        </w:tc>
        <w:tc>
          <w:tcPr>
            <w:tcW w:w="0" w:type="auto"/>
            <w:tcBorders>
              <w:top w:val="none" w:sz="0" w:space="0" w:color="auto"/>
              <w:bottom w:val="none" w:sz="0" w:space="0" w:color="auto"/>
            </w:tcBorders>
            <w:hideMark/>
          </w:tcPr>
          <w:p w14:paraId="6AB6CE96"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0.947</w:t>
            </w:r>
          </w:p>
        </w:tc>
        <w:tc>
          <w:tcPr>
            <w:tcW w:w="0" w:type="auto"/>
            <w:tcBorders>
              <w:top w:val="none" w:sz="0" w:space="0" w:color="auto"/>
              <w:bottom w:val="none" w:sz="0" w:space="0" w:color="auto"/>
            </w:tcBorders>
            <w:hideMark/>
          </w:tcPr>
          <w:p w14:paraId="02202F35"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tcBorders>
              <w:top w:val="none" w:sz="0" w:space="0" w:color="auto"/>
              <w:bottom w:val="none" w:sz="0" w:space="0" w:color="auto"/>
            </w:tcBorders>
            <w:hideMark/>
          </w:tcPr>
          <w:p w14:paraId="27BFA825"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5.297</w:t>
            </w:r>
          </w:p>
        </w:tc>
      </w:tr>
      <w:tr w:rsidR="00696CD1" w:rsidRPr="00696CD1" w14:paraId="78EFBCAA" w14:textId="77777777" w:rsidTr="00881733">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84FEB72"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BIND</w:t>
            </w:r>
          </w:p>
        </w:tc>
        <w:tc>
          <w:tcPr>
            <w:tcW w:w="0" w:type="auto"/>
            <w:hideMark/>
          </w:tcPr>
          <w:p w14:paraId="6D08385F" w14:textId="71C5EBBD"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hideMark/>
          </w:tcPr>
          <w:p w14:paraId="6F678B0C"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4.939</w:t>
            </w:r>
          </w:p>
        </w:tc>
        <w:tc>
          <w:tcPr>
            <w:tcW w:w="0" w:type="auto"/>
            <w:hideMark/>
          </w:tcPr>
          <w:p w14:paraId="724E32FC"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0.175</w:t>
            </w:r>
          </w:p>
        </w:tc>
        <w:tc>
          <w:tcPr>
            <w:tcW w:w="0" w:type="auto"/>
            <w:hideMark/>
          </w:tcPr>
          <w:p w14:paraId="3D06CF7B"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4.382</w:t>
            </w:r>
          </w:p>
        </w:tc>
        <w:tc>
          <w:tcPr>
            <w:tcW w:w="0" w:type="auto"/>
            <w:hideMark/>
          </w:tcPr>
          <w:p w14:paraId="495264BF"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5.193</w:t>
            </w:r>
          </w:p>
        </w:tc>
      </w:tr>
      <w:tr w:rsidR="00696CD1" w:rsidRPr="00696CD1" w14:paraId="28CEE411" w14:textId="77777777" w:rsidTr="0088173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2025B853"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FSIZ</w:t>
            </w:r>
          </w:p>
        </w:tc>
        <w:tc>
          <w:tcPr>
            <w:tcW w:w="0" w:type="auto"/>
            <w:tcBorders>
              <w:top w:val="none" w:sz="0" w:space="0" w:color="auto"/>
              <w:bottom w:val="none" w:sz="0" w:space="0" w:color="auto"/>
            </w:tcBorders>
            <w:hideMark/>
          </w:tcPr>
          <w:p w14:paraId="621D17A6" w14:textId="426E2180"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tcBorders>
              <w:top w:val="none" w:sz="0" w:space="0" w:color="auto"/>
              <w:bottom w:val="none" w:sz="0" w:space="0" w:color="auto"/>
            </w:tcBorders>
            <w:hideMark/>
          </w:tcPr>
          <w:p w14:paraId="112130CC"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12.179</w:t>
            </w:r>
          </w:p>
        </w:tc>
        <w:tc>
          <w:tcPr>
            <w:tcW w:w="0" w:type="auto"/>
            <w:tcBorders>
              <w:top w:val="none" w:sz="0" w:space="0" w:color="auto"/>
              <w:bottom w:val="none" w:sz="0" w:space="0" w:color="auto"/>
            </w:tcBorders>
            <w:hideMark/>
          </w:tcPr>
          <w:p w14:paraId="4159AE64"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1.588</w:t>
            </w:r>
          </w:p>
        </w:tc>
        <w:tc>
          <w:tcPr>
            <w:tcW w:w="0" w:type="auto"/>
            <w:tcBorders>
              <w:top w:val="none" w:sz="0" w:space="0" w:color="auto"/>
              <w:bottom w:val="none" w:sz="0" w:space="0" w:color="auto"/>
            </w:tcBorders>
            <w:hideMark/>
          </w:tcPr>
          <w:p w14:paraId="28841995"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7.222</w:t>
            </w:r>
          </w:p>
        </w:tc>
        <w:tc>
          <w:tcPr>
            <w:tcW w:w="0" w:type="auto"/>
            <w:tcBorders>
              <w:top w:val="none" w:sz="0" w:space="0" w:color="auto"/>
              <w:bottom w:val="none" w:sz="0" w:space="0" w:color="auto"/>
            </w:tcBorders>
            <w:hideMark/>
          </w:tcPr>
          <w:p w14:paraId="6ED62824"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15.710</w:t>
            </w:r>
          </w:p>
        </w:tc>
      </w:tr>
      <w:tr w:rsidR="00696CD1" w:rsidRPr="00696CD1" w14:paraId="299AC6C6" w14:textId="77777777" w:rsidTr="00881733">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41024BD"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AGE</w:t>
            </w:r>
          </w:p>
        </w:tc>
        <w:tc>
          <w:tcPr>
            <w:tcW w:w="0" w:type="auto"/>
            <w:hideMark/>
          </w:tcPr>
          <w:p w14:paraId="1A5E21DB" w14:textId="6EF76DD6"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w:t>
            </w:r>
            <w:r w:rsidR="00045F1C">
              <w:rPr>
                <w:rFonts w:ascii="Times New Roman" w:hAnsi="Times New Roman" w:cs="Times New Roman"/>
              </w:rPr>
              <w:t>20</w:t>
            </w:r>
          </w:p>
        </w:tc>
        <w:tc>
          <w:tcPr>
            <w:tcW w:w="0" w:type="auto"/>
            <w:hideMark/>
          </w:tcPr>
          <w:p w14:paraId="28459511"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25.430</w:t>
            </w:r>
          </w:p>
        </w:tc>
        <w:tc>
          <w:tcPr>
            <w:tcW w:w="0" w:type="auto"/>
            <w:hideMark/>
          </w:tcPr>
          <w:p w14:paraId="10748419"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15.819</w:t>
            </w:r>
          </w:p>
        </w:tc>
        <w:tc>
          <w:tcPr>
            <w:tcW w:w="0" w:type="auto"/>
            <w:hideMark/>
          </w:tcPr>
          <w:p w14:paraId="60FC5B2B"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0.000</w:t>
            </w:r>
          </w:p>
        </w:tc>
        <w:tc>
          <w:tcPr>
            <w:tcW w:w="0" w:type="auto"/>
            <w:hideMark/>
          </w:tcPr>
          <w:p w14:paraId="4C426147"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52.000</w:t>
            </w:r>
          </w:p>
        </w:tc>
      </w:tr>
    </w:tbl>
    <w:p w14:paraId="4608A16B" w14:textId="33705F51" w:rsidR="00696CD1" w:rsidRPr="00696CD1" w:rsidRDefault="00696CD1" w:rsidP="00696CD1">
      <w:pPr>
        <w:jc w:val="both"/>
        <w:rPr>
          <w:rFonts w:ascii="Times New Roman" w:hAnsi="Times New Roman" w:cs="Times New Roman"/>
          <w:b/>
          <w:bCs/>
        </w:rPr>
      </w:pPr>
      <w:r>
        <w:rPr>
          <w:rFonts w:ascii="Times New Roman" w:hAnsi="Times New Roman" w:cs="Times New Roman"/>
          <w:b/>
          <w:bCs/>
        </w:rPr>
        <w:t>Source: Researchers’ Computation (2026)</w:t>
      </w:r>
    </w:p>
    <w:p w14:paraId="591B0F10" w14:textId="06DE0D19" w:rsidR="00C37ABB" w:rsidRDefault="00C37ABB" w:rsidP="00696CD1">
      <w:pPr>
        <w:jc w:val="both"/>
        <w:rPr>
          <w:rFonts w:ascii="Times New Roman" w:hAnsi="Times New Roman" w:cs="Times New Roman"/>
        </w:rPr>
      </w:pPr>
      <w:r w:rsidRPr="00AB70A6">
        <w:rPr>
          <w:rFonts w:ascii="Times New Roman" w:hAnsi="Times New Roman" w:cs="Times New Roman"/>
          <w:highlight w:val="yellow"/>
        </w:rPr>
        <w:t xml:space="preserve">Table </w:t>
      </w:r>
      <w:r w:rsidR="006C04CE" w:rsidRPr="00AB70A6">
        <w:rPr>
          <w:rFonts w:ascii="Times New Roman" w:hAnsi="Times New Roman" w:cs="Times New Roman"/>
          <w:highlight w:val="yellow"/>
        </w:rPr>
        <w:t>2</w:t>
      </w:r>
      <w:r w:rsidRPr="00AB70A6">
        <w:rPr>
          <w:rFonts w:ascii="Times New Roman" w:hAnsi="Times New Roman" w:cs="Times New Roman"/>
          <w:highlight w:val="yellow"/>
        </w:rPr>
        <w:t xml:space="preserve"> </w:t>
      </w:r>
      <w:r w:rsidR="002B6A34" w:rsidRPr="00C37ABB">
        <w:rPr>
          <w:rFonts w:ascii="Times New Roman" w:hAnsi="Times New Roman" w:cs="Times New Roman"/>
        </w:rPr>
        <w:t>present</w:t>
      </w:r>
      <w:r w:rsidR="002B6A34">
        <w:rPr>
          <w:rFonts w:ascii="Times New Roman" w:hAnsi="Times New Roman" w:cs="Times New Roman"/>
        </w:rPr>
        <w:t>s</w:t>
      </w:r>
      <w:r w:rsidR="002B6A34" w:rsidRPr="00C37ABB">
        <w:rPr>
          <w:rFonts w:ascii="Times New Roman" w:hAnsi="Times New Roman" w:cs="Times New Roman"/>
        </w:rPr>
        <w:t xml:space="preserve"> </w:t>
      </w:r>
      <w:r w:rsidRPr="00C37ABB">
        <w:rPr>
          <w:rFonts w:ascii="Times New Roman" w:hAnsi="Times New Roman" w:cs="Times New Roman"/>
        </w:rPr>
        <w:t xml:space="preserve">the descriptive statistics of the study variables based on 120 </w:t>
      </w:r>
      <w:r w:rsidR="002B6A34" w:rsidRPr="00AB70A6">
        <w:rPr>
          <w:rFonts w:ascii="Times New Roman" w:hAnsi="Times New Roman" w:cs="Times New Roman"/>
          <w:highlight w:val="yellow"/>
        </w:rPr>
        <w:t>firm</w:t>
      </w:r>
      <w:r w:rsidR="002B6A34" w:rsidRPr="00AB70A6">
        <w:rPr>
          <w:rFonts w:ascii="Times New Roman" w:hAnsi="Times New Roman" w:cs="Times New Roman"/>
          <w:highlight w:val="yellow"/>
        </w:rPr>
        <w:t>-</w:t>
      </w:r>
      <w:r w:rsidRPr="00C37ABB">
        <w:rPr>
          <w:rFonts w:ascii="Times New Roman" w:hAnsi="Times New Roman" w:cs="Times New Roman"/>
        </w:rPr>
        <w:t>year observations, showing moderate variation across key measures. Firm value, proxied by Tobin’s Q, recorded a low mean of 0.384 with a standard deviation of 0.447, suggesting generally low market valuation with noticeable dispersion across firms. Training investment proxies such as TRNEXP and TRNPR showed moderate averages of 0.458 and 0.523</w:t>
      </w:r>
      <w:r w:rsidR="002B6A34">
        <w:rPr>
          <w:rFonts w:ascii="Times New Roman" w:hAnsi="Times New Roman" w:cs="Times New Roman"/>
        </w:rPr>
        <w:t>,</w:t>
      </w:r>
      <w:r w:rsidRPr="00C37ABB">
        <w:rPr>
          <w:rFonts w:ascii="Times New Roman" w:hAnsi="Times New Roman" w:cs="Times New Roman"/>
        </w:rPr>
        <w:t xml:space="preserve"> respectively, while TRNINT had a relatively high mean of 8.850, indicating varying intensity of training activities. HCIR exhibited high variability with a standard deviation of 0.947, reflecting inconsistent human capital investment across firms. Board independence (BIND) showed minimal dispersion, implying relative uniformity in board composition, while firm size (FSIZ) and age (AGE) indicated significant heterogeneity among firms, suggesting differences in scale and maturity within the sample.</w:t>
      </w:r>
    </w:p>
    <w:p w14:paraId="6477A0A6" w14:textId="6D9DC853" w:rsidR="00696CD1" w:rsidRPr="00696CD1" w:rsidRDefault="00696CD1" w:rsidP="00696CD1">
      <w:pPr>
        <w:jc w:val="both"/>
        <w:rPr>
          <w:rFonts w:ascii="Times New Roman" w:hAnsi="Times New Roman" w:cs="Times New Roman"/>
          <w:b/>
          <w:bCs/>
        </w:rPr>
      </w:pPr>
      <w:r w:rsidRPr="00696CD1">
        <w:rPr>
          <w:rFonts w:ascii="Times New Roman" w:hAnsi="Times New Roman" w:cs="Times New Roman"/>
          <w:b/>
          <w:bCs/>
        </w:rPr>
        <w:t>4.2 Correlation Analysis</w:t>
      </w:r>
    </w:p>
    <w:p w14:paraId="0D586AA2" w14:textId="1FA17EA6" w:rsidR="00696CD1" w:rsidRPr="00696CD1" w:rsidRDefault="00696CD1" w:rsidP="00E9411D">
      <w:pPr>
        <w:spacing w:line="240" w:lineRule="auto"/>
        <w:jc w:val="both"/>
        <w:rPr>
          <w:rFonts w:ascii="Times New Roman" w:hAnsi="Times New Roman" w:cs="Times New Roman"/>
        </w:rPr>
      </w:pPr>
      <w:r w:rsidRPr="00696CD1">
        <w:rPr>
          <w:rFonts w:ascii="Times New Roman" w:hAnsi="Times New Roman" w:cs="Times New Roman"/>
          <w:b/>
          <w:bCs/>
        </w:rPr>
        <w:t xml:space="preserve">Table </w:t>
      </w:r>
      <w:r w:rsidR="006C04CE">
        <w:rPr>
          <w:rFonts w:ascii="Times New Roman" w:hAnsi="Times New Roman" w:cs="Times New Roman"/>
          <w:b/>
          <w:bCs/>
        </w:rPr>
        <w:t>3</w:t>
      </w:r>
      <w:r w:rsidR="00B47E99">
        <w:rPr>
          <w:rFonts w:ascii="Times New Roman" w:hAnsi="Times New Roman" w:cs="Times New Roman"/>
          <w:b/>
          <w:bCs/>
        </w:rPr>
        <w:t xml:space="preserve">: </w:t>
      </w:r>
      <w:r w:rsidRPr="00696CD1">
        <w:rPr>
          <w:rFonts w:ascii="Times New Roman" w:hAnsi="Times New Roman" w:cs="Times New Roman"/>
          <w:i/>
          <w:iCs/>
        </w:rPr>
        <w:t>Pearson Correlation Matrix of Study Variables (N = 1</w:t>
      </w:r>
      <w:r w:rsidR="00023A18">
        <w:rPr>
          <w:rFonts w:ascii="Times New Roman" w:hAnsi="Times New Roman" w:cs="Times New Roman"/>
          <w:i/>
          <w:iCs/>
        </w:rPr>
        <w:t>20</w:t>
      </w:r>
      <w:r w:rsidRPr="00696CD1">
        <w:rPr>
          <w:rFonts w:ascii="Times New Roman" w:hAnsi="Times New Roman" w:cs="Times New Roman"/>
          <w:i/>
          <w:iCs/>
        </w:rPr>
        <w:t>)</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1203"/>
        <w:gridCol w:w="1172"/>
        <w:gridCol w:w="1203"/>
        <w:gridCol w:w="1043"/>
        <w:gridCol w:w="1150"/>
        <w:gridCol w:w="843"/>
        <w:gridCol w:w="836"/>
        <w:gridCol w:w="756"/>
        <w:gridCol w:w="756"/>
      </w:tblGrid>
      <w:tr w:rsidR="00696CD1" w:rsidRPr="00696CD1" w14:paraId="049463CF" w14:textId="77777777" w:rsidTr="00335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3FF8399" w14:textId="77777777" w:rsidR="00696CD1" w:rsidRPr="00696CD1" w:rsidRDefault="00696CD1" w:rsidP="00696CD1">
            <w:pPr>
              <w:jc w:val="both"/>
              <w:rPr>
                <w:rFonts w:ascii="Times New Roman" w:hAnsi="Times New Roman" w:cs="Times New Roman"/>
                <w:b w:val="0"/>
                <w:bCs w:val="0"/>
              </w:rPr>
            </w:pPr>
            <w:r w:rsidRPr="00696CD1">
              <w:rPr>
                <w:rFonts w:ascii="Times New Roman" w:hAnsi="Times New Roman" w:cs="Times New Roman"/>
              </w:rPr>
              <w:t>Variable</w:t>
            </w:r>
          </w:p>
        </w:tc>
        <w:tc>
          <w:tcPr>
            <w:tcW w:w="0" w:type="auto"/>
            <w:tcBorders>
              <w:top w:val="single" w:sz="4" w:space="0" w:color="auto"/>
              <w:bottom w:val="single" w:sz="4" w:space="0" w:color="auto"/>
            </w:tcBorders>
            <w:hideMark/>
          </w:tcPr>
          <w:p w14:paraId="4C6847A4"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TOBINQ</w:t>
            </w:r>
          </w:p>
        </w:tc>
        <w:tc>
          <w:tcPr>
            <w:tcW w:w="0" w:type="auto"/>
            <w:tcBorders>
              <w:top w:val="single" w:sz="4" w:space="0" w:color="auto"/>
              <w:bottom w:val="single" w:sz="4" w:space="0" w:color="auto"/>
            </w:tcBorders>
            <w:hideMark/>
          </w:tcPr>
          <w:p w14:paraId="57914E38"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TRNEXP</w:t>
            </w:r>
          </w:p>
        </w:tc>
        <w:tc>
          <w:tcPr>
            <w:tcW w:w="0" w:type="auto"/>
            <w:tcBorders>
              <w:top w:val="single" w:sz="4" w:space="0" w:color="auto"/>
              <w:bottom w:val="single" w:sz="4" w:space="0" w:color="auto"/>
            </w:tcBorders>
            <w:hideMark/>
          </w:tcPr>
          <w:p w14:paraId="7C72ACE8"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TRNPR</w:t>
            </w:r>
          </w:p>
        </w:tc>
        <w:tc>
          <w:tcPr>
            <w:tcW w:w="0" w:type="auto"/>
            <w:tcBorders>
              <w:top w:val="single" w:sz="4" w:space="0" w:color="auto"/>
              <w:bottom w:val="single" w:sz="4" w:space="0" w:color="auto"/>
            </w:tcBorders>
            <w:hideMark/>
          </w:tcPr>
          <w:p w14:paraId="56603611"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TRNINT</w:t>
            </w:r>
          </w:p>
        </w:tc>
        <w:tc>
          <w:tcPr>
            <w:tcW w:w="0" w:type="auto"/>
            <w:tcBorders>
              <w:top w:val="single" w:sz="4" w:space="0" w:color="auto"/>
              <w:bottom w:val="single" w:sz="4" w:space="0" w:color="auto"/>
            </w:tcBorders>
            <w:hideMark/>
          </w:tcPr>
          <w:p w14:paraId="440718B2"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HCIR</w:t>
            </w:r>
          </w:p>
        </w:tc>
        <w:tc>
          <w:tcPr>
            <w:tcW w:w="0" w:type="auto"/>
            <w:tcBorders>
              <w:top w:val="single" w:sz="4" w:space="0" w:color="auto"/>
              <w:bottom w:val="single" w:sz="4" w:space="0" w:color="auto"/>
            </w:tcBorders>
            <w:hideMark/>
          </w:tcPr>
          <w:p w14:paraId="5F4B3B6E"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BIND</w:t>
            </w:r>
          </w:p>
        </w:tc>
        <w:tc>
          <w:tcPr>
            <w:tcW w:w="0" w:type="auto"/>
            <w:tcBorders>
              <w:top w:val="single" w:sz="4" w:space="0" w:color="auto"/>
              <w:bottom w:val="single" w:sz="4" w:space="0" w:color="auto"/>
            </w:tcBorders>
            <w:hideMark/>
          </w:tcPr>
          <w:p w14:paraId="6433D1D6"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FSIZ</w:t>
            </w:r>
          </w:p>
        </w:tc>
        <w:tc>
          <w:tcPr>
            <w:tcW w:w="0" w:type="auto"/>
            <w:tcBorders>
              <w:top w:val="single" w:sz="4" w:space="0" w:color="auto"/>
              <w:bottom w:val="single" w:sz="4" w:space="0" w:color="auto"/>
            </w:tcBorders>
            <w:hideMark/>
          </w:tcPr>
          <w:p w14:paraId="3305E7A5" w14:textId="77777777" w:rsidR="00696CD1" w:rsidRPr="00696CD1" w:rsidRDefault="00696CD1" w:rsidP="00696C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96CD1">
              <w:rPr>
                <w:rFonts w:ascii="Times New Roman" w:hAnsi="Times New Roman" w:cs="Times New Roman"/>
              </w:rPr>
              <w:t>AGE</w:t>
            </w:r>
          </w:p>
        </w:tc>
      </w:tr>
      <w:tr w:rsidR="00696CD1" w:rsidRPr="00696CD1" w14:paraId="5070D887" w14:textId="77777777" w:rsidTr="00335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4BC5BEE3"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lastRenderedPageBreak/>
              <w:t>TOBINQ</w:t>
            </w:r>
          </w:p>
        </w:tc>
        <w:tc>
          <w:tcPr>
            <w:tcW w:w="0" w:type="auto"/>
            <w:tcBorders>
              <w:top w:val="single" w:sz="4" w:space="0" w:color="auto"/>
              <w:bottom w:val="none" w:sz="0" w:space="0" w:color="auto"/>
            </w:tcBorders>
            <w:hideMark/>
          </w:tcPr>
          <w:p w14:paraId="7C38D74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tcBorders>
              <w:top w:val="single" w:sz="4" w:space="0" w:color="auto"/>
              <w:bottom w:val="none" w:sz="0" w:space="0" w:color="auto"/>
            </w:tcBorders>
            <w:hideMark/>
          </w:tcPr>
          <w:p w14:paraId="2BA72C8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47636B24"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4C121DD8"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6E0FB22B"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6B331F7E"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234C18FD"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single" w:sz="4" w:space="0" w:color="auto"/>
              <w:bottom w:val="none" w:sz="0" w:space="0" w:color="auto"/>
            </w:tcBorders>
            <w:hideMark/>
          </w:tcPr>
          <w:p w14:paraId="3967714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96CD1" w:rsidRPr="00696CD1" w14:paraId="41742528" w14:textId="77777777" w:rsidTr="00335C39">
        <w:tc>
          <w:tcPr>
            <w:cnfStyle w:val="001000000000" w:firstRow="0" w:lastRow="0" w:firstColumn="1" w:lastColumn="0" w:oddVBand="0" w:evenVBand="0" w:oddHBand="0" w:evenHBand="0" w:firstRowFirstColumn="0" w:firstRowLastColumn="0" w:lastRowFirstColumn="0" w:lastRowLastColumn="0"/>
            <w:tcW w:w="0" w:type="auto"/>
            <w:hideMark/>
          </w:tcPr>
          <w:p w14:paraId="142F8DEF"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TRNEXP</w:t>
            </w:r>
          </w:p>
        </w:tc>
        <w:tc>
          <w:tcPr>
            <w:tcW w:w="0" w:type="auto"/>
            <w:hideMark/>
          </w:tcPr>
          <w:p w14:paraId="7F64C9F6"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-0.290</w:t>
            </w:r>
          </w:p>
        </w:tc>
        <w:tc>
          <w:tcPr>
            <w:tcW w:w="0" w:type="auto"/>
            <w:hideMark/>
          </w:tcPr>
          <w:p w14:paraId="58A4CECA"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hideMark/>
          </w:tcPr>
          <w:p w14:paraId="459DEEEE"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56E3E83E"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0516CD1"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EC83CAE"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72CCC63C"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4DDF10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96CD1" w:rsidRPr="00696CD1" w14:paraId="71B88990" w14:textId="77777777" w:rsidTr="00335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FC24F4B"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TRNPR</w:t>
            </w:r>
          </w:p>
        </w:tc>
        <w:tc>
          <w:tcPr>
            <w:tcW w:w="0" w:type="auto"/>
            <w:tcBorders>
              <w:top w:val="none" w:sz="0" w:space="0" w:color="auto"/>
              <w:bottom w:val="none" w:sz="0" w:space="0" w:color="auto"/>
            </w:tcBorders>
            <w:hideMark/>
          </w:tcPr>
          <w:p w14:paraId="7C68A8F7"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-0.341</w:t>
            </w:r>
          </w:p>
        </w:tc>
        <w:tc>
          <w:tcPr>
            <w:tcW w:w="0" w:type="auto"/>
            <w:tcBorders>
              <w:top w:val="none" w:sz="0" w:space="0" w:color="auto"/>
              <w:bottom w:val="none" w:sz="0" w:space="0" w:color="auto"/>
            </w:tcBorders>
            <w:hideMark/>
          </w:tcPr>
          <w:p w14:paraId="5626F8D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0.828</w:t>
            </w:r>
          </w:p>
        </w:tc>
        <w:tc>
          <w:tcPr>
            <w:tcW w:w="0" w:type="auto"/>
            <w:tcBorders>
              <w:top w:val="none" w:sz="0" w:space="0" w:color="auto"/>
              <w:bottom w:val="none" w:sz="0" w:space="0" w:color="auto"/>
            </w:tcBorders>
            <w:hideMark/>
          </w:tcPr>
          <w:p w14:paraId="3024A27A"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tcBorders>
              <w:top w:val="none" w:sz="0" w:space="0" w:color="auto"/>
              <w:bottom w:val="none" w:sz="0" w:space="0" w:color="auto"/>
            </w:tcBorders>
            <w:hideMark/>
          </w:tcPr>
          <w:p w14:paraId="0879E469"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473C4B90"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6F2BAEB9"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79DAE01F"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5CD4FB46"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96CD1" w:rsidRPr="00696CD1" w14:paraId="224AF401" w14:textId="77777777" w:rsidTr="00335C39">
        <w:tc>
          <w:tcPr>
            <w:cnfStyle w:val="001000000000" w:firstRow="0" w:lastRow="0" w:firstColumn="1" w:lastColumn="0" w:oddVBand="0" w:evenVBand="0" w:oddHBand="0" w:evenHBand="0" w:firstRowFirstColumn="0" w:firstRowLastColumn="0" w:lastRowFirstColumn="0" w:lastRowLastColumn="0"/>
            <w:tcW w:w="0" w:type="auto"/>
            <w:hideMark/>
          </w:tcPr>
          <w:p w14:paraId="4F82510C"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TRNINT</w:t>
            </w:r>
          </w:p>
        </w:tc>
        <w:tc>
          <w:tcPr>
            <w:tcW w:w="0" w:type="auto"/>
            <w:hideMark/>
          </w:tcPr>
          <w:p w14:paraId="556C1D63"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-0.031</w:t>
            </w:r>
          </w:p>
        </w:tc>
        <w:tc>
          <w:tcPr>
            <w:tcW w:w="0" w:type="auto"/>
            <w:hideMark/>
          </w:tcPr>
          <w:p w14:paraId="2FB04B9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0.431</w:t>
            </w:r>
          </w:p>
        </w:tc>
        <w:tc>
          <w:tcPr>
            <w:tcW w:w="0" w:type="auto"/>
            <w:hideMark/>
          </w:tcPr>
          <w:p w14:paraId="1951880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0.377</w:t>
            </w:r>
          </w:p>
        </w:tc>
        <w:tc>
          <w:tcPr>
            <w:tcW w:w="0" w:type="auto"/>
            <w:hideMark/>
          </w:tcPr>
          <w:p w14:paraId="67DD0F2C"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hideMark/>
          </w:tcPr>
          <w:p w14:paraId="269BEA8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680BA7F"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537F6D3B"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5A8E5B21"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96CD1" w:rsidRPr="00696CD1" w14:paraId="6BC59226" w14:textId="77777777" w:rsidTr="00335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07F9D3C"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HCIR</w:t>
            </w:r>
          </w:p>
        </w:tc>
        <w:tc>
          <w:tcPr>
            <w:tcW w:w="0" w:type="auto"/>
            <w:tcBorders>
              <w:top w:val="none" w:sz="0" w:space="0" w:color="auto"/>
              <w:bottom w:val="none" w:sz="0" w:space="0" w:color="auto"/>
            </w:tcBorders>
            <w:hideMark/>
          </w:tcPr>
          <w:p w14:paraId="2ABFDC97"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-0.250</w:t>
            </w:r>
          </w:p>
        </w:tc>
        <w:tc>
          <w:tcPr>
            <w:tcW w:w="0" w:type="auto"/>
            <w:tcBorders>
              <w:top w:val="none" w:sz="0" w:space="0" w:color="auto"/>
              <w:bottom w:val="none" w:sz="0" w:space="0" w:color="auto"/>
            </w:tcBorders>
            <w:hideMark/>
          </w:tcPr>
          <w:p w14:paraId="1D7E65DF"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0.752</w:t>
            </w:r>
          </w:p>
        </w:tc>
        <w:tc>
          <w:tcPr>
            <w:tcW w:w="0" w:type="auto"/>
            <w:tcBorders>
              <w:top w:val="none" w:sz="0" w:space="0" w:color="auto"/>
              <w:bottom w:val="none" w:sz="0" w:space="0" w:color="auto"/>
            </w:tcBorders>
            <w:hideMark/>
          </w:tcPr>
          <w:p w14:paraId="1516EDC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0.814</w:t>
            </w:r>
          </w:p>
        </w:tc>
        <w:tc>
          <w:tcPr>
            <w:tcW w:w="0" w:type="auto"/>
            <w:tcBorders>
              <w:top w:val="none" w:sz="0" w:space="0" w:color="auto"/>
              <w:bottom w:val="none" w:sz="0" w:space="0" w:color="auto"/>
            </w:tcBorders>
            <w:hideMark/>
          </w:tcPr>
          <w:p w14:paraId="2BAC0BD6"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0.409</w:t>
            </w:r>
          </w:p>
        </w:tc>
        <w:tc>
          <w:tcPr>
            <w:tcW w:w="0" w:type="auto"/>
            <w:tcBorders>
              <w:top w:val="none" w:sz="0" w:space="0" w:color="auto"/>
              <w:bottom w:val="none" w:sz="0" w:space="0" w:color="auto"/>
            </w:tcBorders>
            <w:hideMark/>
          </w:tcPr>
          <w:p w14:paraId="024EDADA"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tcBorders>
              <w:top w:val="none" w:sz="0" w:space="0" w:color="auto"/>
              <w:bottom w:val="none" w:sz="0" w:space="0" w:color="auto"/>
            </w:tcBorders>
            <w:hideMark/>
          </w:tcPr>
          <w:p w14:paraId="262E82F6"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6162DFD3"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Borders>
              <w:top w:val="none" w:sz="0" w:space="0" w:color="auto"/>
              <w:bottom w:val="none" w:sz="0" w:space="0" w:color="auto"/>
            </w:tcBorders>
            <w:hideMark/>
          </w:tcPr>
          <w:p w14:paraId="293184EF"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96CD1" w:rsidRPr="00696CD1" w14:paraId="2F8694FC" w14:textId="77777777" w:rsidTr="00335C39">
        <w:tc>
          <w:tcPr>
            <w:cnfStyle w:val="001000000000" w:firstRow="0" w:lastRow="0" w:firstColumn="1" w:lastColumn="0" w:oddVBand="0" w:evenVBand="0" w:oddHBand="0" w:evenHBand="0" w:firstRowFirstColumn="0" w:firstRowLastColumn="0" w:lastRowFirstColumn="0" w:lastRowLastColumn="0"/>
            <w:tcW w:w="0" w:type="auto"/>
            <w:hideMark/>
          </w:tcPr>
          <w:p w14:paraId="1584A708"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BIND</w:t>
            </w:r>
          </w:p>
        </w:tc>
        <w:tc>
          <w:tcPr>
            <w:tcW w:w="0" w:type="auto"/>
            <w:hideMark/>
          </w:tcPr>
          <w:p w14:paraId="1D088EB0"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-0.320</w:t>
            </w:r>
          </w:p>
        </w:tc>
        <w:tc>
          <w:tcPr>
            <w:tcW w:w="0" w:type="auto"/>
            <w:hideMark/>
          </w:tcPr>
          <w:p w14:paraId="6C56B2E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0.107</w:t>
            </w:r>
          </w:p>
        </w:tc>
        <w:tc>
          <w:tcPr>
            <w:tcW w:w="0" w:type="auto"/>
            <w:hideMark/>
          </w:tcPr>
          <w:p w14:paraId="551B28C1"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0.095</w:t>
            </w:r>
          </w:p>
        </w:tc>
        <w:tc>
          <w:tcPr>
            <w:tcW w:w="0" w:type="auto"/>
            <w:hideMark/>
          </w:tcPr>
          <w:p w14:paraId="0DF75B4B"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-0.058</w:t>
            </w:r>
          </w:p>
        </w:tc>
        <w:tc>
          <w:tcPr>
            <w:tcW w:w="0" w:type="auto"/>
            <w:hideMark/>
          </w:tcPr>
          <w:p w14:paraId="6576044A"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0.075</w:t>
            </w:r>
          </w:p>
        </w:tc>
        <w:tc>
          <w:tcPr>
            <w:tcW w:w="0" w:type="auto"/>
            <w:hideMark/>
          </w:tcPr>
          <w:p w14:paraId="7B8F85F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hideMark/>
          </w:tcPr>
          <w:p w14:paraId="4C14257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BEDDEBC"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96CD1" w:rsidRPr="00696CD1" w14:paraId="1FB386AA" w14:textId="77777777" w:rsidTr="00335C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90E5459"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FSIZ</w:t>
            </w:r>
          </w:p>
        </w:tc>
        <w:tc>
          <w:tcPr>
            <w:tcW w:w="0" w:type="auto"/>
            <w:tcBorders>
              <w:top w:val="none" w:sz="0" w:space="0" w:color="auto"/>
              <w:bottom w:val="none" w:sz="0" w:space="0" w:color="auto"/>
            </w:tcBorders>
            <w:hideMark/>
          </w:tcPr>
          <w:p w14:paraId="15C6BB24"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0.175</w:t>
            </w:r>
          </w:p>
        </w:tc>
        <w:tc>
          <w:tcPr>
            <w:tcW w:w="0" w:type="auto"/>
            <w:tcBorders>
              <w:top w:val="none" w:sz="0" w:space="0" w:color="auto"/>
              <w:bottom w:val="none" w:sz="0" w:space="0" w:color="auto"/>
            </w:tcBorders>
            <w:hideMark/>
          </w:tcPr>
          <w:p w14:paraId="040621A2"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-0.438</w:t>
            </w:r>
          </w:p>
        </w:tc>
        <w:tc>
          <w:tcPr>
            <w:tcW w:w="0" w:type="auto"/>
            <w:tcBorders>
              <w:top w:val="none" w:sz="0" w:space="0" w:color="auto"/>
              <w:bottom w:val="none" w:sz="0" w:space="0" w:color="auto"/>
            </w:tcBorders>
            <w:hideMark/>
          </w:tcPr>
          <w:p w14:paraId="7A44F740"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-0.462</w:t>
            </w:r>
          </w:p>
        </w:tc>
        <w:tc>
          <w:tcPr>
            <w:tcW w:w="0" w:type="auto"/>
            <w:tcBorders>
              <w:top w:val="none" w:sz="0" w:space="0" w:color="auto"/>
              <w:bottom w:val="none" w:sz="0" w:space="0" w:color="auto"/>
            </w:tcBorders>
            <w:hideMark/>
          </w:tcPr>
          <w:p w14:paraId="42CE4351"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0.022</w:t>
            </w:r>
          </w:p>
        </w:tc>
        <w:tc>
          <w:tcPr>
            <w:tcW w:w="0" w:type="auto"/>
            <w:tcBorders>
              <w:top w:val="none" w:sz="0" w:space="0" w:color="auto"/>
              <w:bottom w:val="none" w:sz="0" w:space="0" w:color="auto"/>
            </w:tcBorders>
            <w:hideMark/>
          </w:tcPr>
          <w:p w14:paraId="7DF95802"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-0.610</w:t>
            </w:r>
          </w:p>
        </w:tc>
        <w:tc>
          <w:tcPr>
            <w:tcW w:w="0" w:type="auto"/>
            <w:tcBorders>
              <w:top w:val="none" w:sz="0" w:space="0" w:color="auto"/>
              <w:bottom w:val="none" w:sz="0" w:space="0" w:color="auto"/>
            </w:tcBorders>
            <w:hideMark/>
          </w:tcPr>
          <w:p w14:paraId="61B23FE8"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-0.071</w:t>
            </w:r>
          </w:p>
        </w:tc>
        <w:tc>
          <w:tcPr>
            <w:tcW w:w="0" w:type="auto"/>
            <w:tcBorders>
              <w:top w:val="none" w:sz="0" w:space="0" w:color="auto"/>
              <w:bottom w:val="none" w:sz="0" w:space="0" w:color="auto"/>
            </w:tcBorders>
            <w:hideMark/>
          </w:tcPr>
          <w:p w14:paraId="0E4A98CD"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c>
          <w:tcPr>
            <w:tcW w:w="0" w:type="auto"/>
            <w:tcBorders>
              <w:top w:val="none" w:sz="0" w:space="0" w:color="auto"/>
              <w:bottom w:val="none" w:sz="0" w:space="0" w:color="auto"/>
            </w:tcBorders>
            <w:hideMark/>
          </w:tcPr>
          <w:p w14:paraId="5ED4AB11" w14:textId="77777777" w:rsidR="00696CD1" w:rsidRPr="00696CD1" w:rsidRDefault="00696CD1" w:rsidP="00696C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96CD1" w:rsidRPr="00696CD1" w14:paraId="55E0FF43" w14:textId="77777777" w:rsidTr="00335C39">
        <w:tc>
          <w:tcPr>
            <w:cnfStyle w:val="001000000000" w:firstRow="0" w:lastRow="0" w:firstColumn="1" w:lastColumn="0" w:oddVBand="0" w:evenVBand="0" w:oddHBand="0" w:evenHBand="0" w:firstRowFirstColumn="0" w:firstRowLastColumn="0" w:lastRowFirstColumn="0" w:lastRowLastColumn="0"/>
            <w:tcW w:w="0" w:type="auto"/>
            <w:hideMark/>
          </w:tcPr>
          <w:p w14:paraId="4541F948" w14:textId="77777777" w:rsidR="00696CD1" w:rsidRPr="00696CD1" w:rsidRDefault="00696CD1" w:rsidP="00696CD1">
            <w:pPr>
              <w:jc w:val="both"/>
              <w:rPr>
                <w:rFonts w:ascii="Times New Roman" w:hAnsi="Times New Roman" w:cs="Times New Roman"/>
              </w:rPr>
            </w:pPr>
            <w:r w:rsidRPr="00696CD1">
              <w:rPr>
                <w:rFonts w:ascii="Times New Roman" w:hAnsi="Times New Roman" w:cs="Times New Roman"/>
              </w:rPr>
              <w:t>AGE</w:t>
            </w:r>
          </w:p>
        </w:tc>
        <w:tc>
          <w:tcPr>
            <w:tcW w:w="0" w:type="auto"/>
            <w:hideMark/>
          </w:tcPr>
          <w:p w14:paraId="0F050A9D"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0.234</w:t>
            </w:r>
          </w:p>
        </w:tc>
        <w:tc>
          <w:tcPr>
            <w:tcW w:w="0" w:type="auto"/>
            <w:hideMark/>
          </w:tcPr>
          <w:p w14:paraId="4F74D923"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-0.092</w:t>
            </w:r>
          </w:p>
        </w:tc>
        <w:tc>
          <w:tcPr>
            <w:tcW w:w="0" w:type="auto"/>
            <w:hideMark/>
          </w:tcPr>
          <w:p w14:paraId="50BB051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-0.091</w:t>
            </w:r>
          </w:p>
        </w:tc>
        <w:tc>
          <w:tcPr>
            <w:tcW w:w="0" w:type="auto"/>
            <w:hideMark/>
          </w:tcPr>
          <w:p w14:paraId="31BEC9A7"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0.249</w:t>
            </w:r>
          </w:p>
        </w:tc>
        <w:tc>
          <w:tcPr>
            <w:tcW w:w="0" w:type="auto"/>
            <w:hideMark/>
          </w:tcPr>
          <w:p w14:paraId="7F4AC908"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0.099</w:t>
            </w:r>
          </w:p>
        </w:tc>
        <w:tc>
          <w:tcPr>
            <w:tcW w:w="0" w:type="auto"/>
            <w:hideMark/>
          </w:tcPr>
          <w:p w14:paraId="730F2F0A"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-0.039</w:t>
            </w:r>
          </w:p>
        </w:tc>
        <w:tc>
          <w:tcPr>
            <w:tcW w:w="0" w:type="auto"/>
            <w:hideMark/>
          </w:tcPr>
          <w:p w14:paraId="288C8BA5"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0.020</w:t>
            </w:r>
          </w:p>
        </w:tc>
        <w:tc>
          <w:tcPr>
            <w:tcW w:w="0" w:type="auto"/>
            <w:hideMark/>
          </w:tcPr>
          <w:p w14:paraId="32D5F9E8" w14:textId="77777777" w:rsidR="00696CD1" w:rsidRPr="00696CD1" w:rsidRDefault="00696CD1" w:rsidP="00696C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96CD1">
              <w:rPr>
                <w:rFonts w:ascii="Times New Roman" w:hAnsi="Times New Roman" w:cs="Times New Roman"/>
              </w:rPr>
              <w:t>1.000</w:t>
            </w:r>
          </w:p>
        </w:tc>
      </w:tr>
    </w:tbl>
    <w:p w14:paraId="3504CE13" w14:textId="49D1FD88" w:rsidR="00696CD1" w:rsidRDefault="00696CD1" w:rsidP="00696CD1">
      <w:pPr>
        <w:jc w:val="both"/>
        <w:rPr>
          <w:rFonts w:ascii="Times New Roman" w:hAnsi="Times New Roman" w:cs="Times New Roman"/>
          <w:b/>
          <w:bCs/>
        </w:rPr>
      </w:pPr>
      <w:r>
        <w:rPr>
          <w:rFonts w:ascii="Times New Roman" w:hAnsi="Times New Roman" w:cs="Times New Roman"/>
          <w:b/>
          <w:bCs/>
        </w:rPr>
        <w:t>Source: Researchers’ Computation (2026)</w:t>
      </w:r>
    </w:p>
    <w:p w14:paraId="2F9E0E80" w14:textId="67E4BF86" w:rsidR="00E9411D" w:rsidRDefault="00E9411D" w:rsidP="00074750">
      <w:pPr>
        <w:jc w:val="both"/>
        <w:rPr>
          <w:rFonts w:ascii="Times New Roman" w:hAnsi="Times New Roman" w:cs="Times New Roman"/>
        </w:rPr>
      </w:pPr>
      <w:r w:rsidRPr="00E9411D">
        <w:rPr>
          <w:rFonts w:ascii="Times New Roman" w:hAnsi="Times New Roman" w:cs="Times New Roman"/>
        </w:rPr>
        <w:t xml:space="preserve">Table </w:t>
      </w:r>
      <w:r w:rsidR="006C04CE">
        <w:rPr>
          <w:rFonts w:ascii="Times New Roman" w:hAnsi="Times New Roman" w:cs="Times New Roman"/>
        </w:rPr>
        <w:t>3</w:t>
      </w:r>
      <w:r w:rsidRPr="00E9411D">
        <w:rPr>
          <w:rFonts w:ascii="Times New Roman" w:hAnsi="Times New Roman" w:cs="Times New Roman"/>
        </w:rPr>
        <w:t xml:space="preserve"> </w:t>
      </w:r>
      <w:r w:rsidR="002B6A34" w:rsidRPr="00AB70A6">
        <w:rPr>
          <w:rFonts w:ascii="Times New Roman" w:hAnsi="Times New Roman" w:cs="Times New Roman"/>
          <w:highlight w:val="yellow"/>
        </w:rPr>
        <w:t>present</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the Pearso</w:t>
      </w:r>
      <w:r w:rsidRPr="00E9411D">
        <w:rPr>
          <w:rFonts w:ascii="Times New Roman" w:hAnsi="Times New Roman" w:cs="Times New Roman"/>
        </w:rPr>
        <w:t xml:space="preserve">n correlation matrix for the study variables and </w:t>
      </w:r>
      <w:r w:rsidR="002B6A34" w:rsidRPr="00AB70A6">
        <w:rPr>
          <w:rFonts w:ascii="Times New Roman" w:hAnsi="Times New Roman" w:cs="Times New Roman"/>
          <w:highlight w:val="yellow"/>
        </w:rPr>
        <w:t>show</w:t>
      </w:r>
      <w:r w:rsidR="002B6A34" w:rsidRPr="00AB70A6">
        <w:rPr>
          <w:rFonts w:ascii="Times New Roman" w:hAnsi="Times New Roman" w:cs="Times New Roman"/>
          <w:highlight w:val="yellow"/>
        </w:rPr>
        <w:t>s</w:t>
      </w:r>
      <w:r w:rsidR="002B6A34" w:rsidRPr="00E9411D">
        <w:rPr>
          <w:rFonts w:ascii="Times New Roman" w:hAnsi="Times New Roman" w:cs="Times New Roman"/>
        </w:rPr>
        <w:t xml:space="preserve"> </w:t>
      </w:r>
      <w:r w:rsidRPr="00E9411D">
        <w:rPr>
          <w:rFonts w:ascii="Times New Roman" w:hAnsi="Times New Roman" w:cs="Times New Roman"/>
        </w:rPr>
        <w:t>the nature and strength of linear relationships among them. Firm value (TOBINQ) exhibited weak to moderate negative correlations with training expenditure (-0.290), training participation (-0.341), and human capital investment ratio (-0.250), while its relationship with training intensity (-0.031) was negligible, suggesting mixed associations between training proxies and firm value. However, TOBINQ showed positive correlations with firm size (0.175) and age (0.234), indicating that larger and more mature firms tended to have higher valuation. Strong positive correlations were observed among training variables, particularly between TRNEXP and TRNPR (0.828) and between TRNPR and HCIR (0.814), which suggested potential multicollinearity concerns. Board independence (BIND) showed weak correlations with most variables, indicating limited direct association, while the overall correlation coefficients remained below the critical threshold, suggesting absence of severe multicollinearity.</w:t>
      </w:r>
    </w:p>
    <w:p w14:paraId="5581B58E" w14:textId="6A3FE0C0" w:rsidR="00074750" w:rsidRPr="00074750" w:rsidRDefault="00074750" w:rsidP="00074750">
      <w:pPr>
        <w:jc w:val="both"/>
        <w:rPr>
          <w:rFonts w:ascii="Times New Roman" w:hAnsi="Times New Roman" w:cs="Times New Roman"/>
          <w:b/>
          <w:bCs/>
        </w:rPr>
      </w:pPr>
      <w:r w:rsidRPr="00074750">
        <w:rPr>
          <w:rFonts w:ascii="Times New Roman" w:hAnsi="Times New Roman" w:cs="Times New Roman"/>
          <w:b/>
          <w:bCs/>
        </w:rPr>
        <w:t>4.3 Linearity Test</w:t>
      </w:r>
    </w:p>
    <w:p w14:paraId="34FB0536" w14:textId="332ED092" w:rsidR="00074750" w:rsidRDefault="00074750" w:rsidP="00074750">
      <w:pPr>
        <w:spacing w:after="0" w:line="240" w:lineRule="auto"/>
        <w:jc w:val="both"/>
        <w:rPr>
          <w:rFonts w:ascii="Times New Roman" w:hAnsi="Times New Roman" w:cs="Times New Roman"/>
          <w:b/>
          <w:bCs/>
        </w:rPr>
      </w:pPr>
      <w:r>
        <w:rPr>
          <w:rFonts w:ascii="Times New Roman" w:hAnsi="Times New Roman" w:cs="Times New Roman"/>
          <w:b/>
          <w:bCs/>
        </w:rPr>
        <w:t xml:space="preserve">Figure </w:t>
      </w:r>
      <w:r w:rsidR="006C04CE">
        <w:rPr>
          <w:rFonts w:ascii="Times New Roman" w:hAnsi="Times New Roman" w:cs="Times New Roman"/>
          <w:b/>
          <w:bCs/>
        </w:rPr>
        <w:t>1-</w:t>
      </w:r>
    </w:p>
    <w:p w14:paraId="1061E750" w14:textId="382E1AE4" w:rsidR="00074750" w:rsidRDefault="00074750" w:rsidP="00074750">
      <w:pPr>
        <w:spacing w:after="0"/>
        <w:jc w:val="both"/>
        <w:rPr>
          <w:rFonts w:ascii="Times New Roman" w:hAnsi="Times New Roman" w:cs="Times New Roman"/>
          <w:i/>
          <w:iCs/>
        </w:rPr>
      </w:pPr>
      <w:r>
        <w:rPr>
          <w:rFonts w:ascii="Times New Roman" w:hAnsi="Times New Roman" w:cs="Times New Roman"/>
          <w:i/>
          <w:iCs/>
        </w:rPr>
        <w:t xml:space="preserve">Linearity Test amongst variables </w:t>
      </w:r>
    </w:p>
    <w:p w14:paraId="01DE084C" w14:textId="153919ED" w:rsidR="00074750" w:rsidRPr="00074750" w:rsidRDefault="00074750" w:rsidP="00074750">
      <w:pPr>
        <w:jc w:val="both"/>
        <w:rPr>
          <w:rFonts w:ascii="Times New Roman" w:hAnsi="Times New Roman" w:cs="Times New Roman"/>
          <w:b/>
          <w:bCs/>
        </w:rPr>
      </w:pPr>
      <w:r>
        <w:rPr>
          <w:rFonts w:ascii="Times New Roman" w:hAnsi="Times New Roman" w:cs="Times New Roman"/>
          <w:i/>
          <w:iCs/>
          <w:noProof/>
        </w:rPr>
        <w:drawing>
          <wp:inline distT="0" distB="0" distL="0" distR="0" wp14:anchorId="39AEDFB5" wp14:editId="1309180B">
            <wp:extent cx="5943600" cy="1784733"/>
            <wp:effectExtent l="0" t="0" r="0" b="6350"/>
            <wp:docPr id="2224398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39837" name="Picture 222439837"/>
                    <pic:cNvPicPr/>
                  </pic:nvPicPr>
                  <pic:blipFill>
                    <a:blip r:embed="rId8">
                      <a:extLst>
                        <a:ext uri="{28A0092B-C50C-407E-A947-70E740481C1C}">
                          <a14:useLocalDpi xmlns:a14="http://schemas.microsoft.com/office/drawing/2010/main" val="0"/>
                        </a:ext>
                      </a:extLst>
                    </a:blip>
                    <a:stretch>
                      <a:fillRect/>
                    </a:stretch>
                  </pic:blipFill>
                  <pic:spPr>
                    <a:xfrm>
                      <a:off x="0" y="0"/>
                      <a:ext cx="5968269" cy="1792141"/>
                    </a:xfrm>
                    <a:prstGeom prst="rect">
                      <a:avLst/>
                    </a:prstGeom>
                  </pic:spPr>
                </pic:pic>
              </a:graphicData>
            </a:graphic>
          </wp:inline>
        </w:drawing>
      </w:r>
      <w:r>
        <w:rPr>
          <w:rFonts w:ascii="Times New Roman" w:hAnsi="Times New Roman" w:cs="Times New Roman"/>
          <w:b/>
          <w:bCs/>
        </w:rPr>
        <w:t xml:space="preserve">Source: </w:t>
      </w:r>
      <w:r w:rsidR="002079D7">
        <w:rPr>
          <w:rFonts w:ascii="Times New Roman" w:hAnsi="Times New Roman" w:cs="Times New Roman"/>
          <w:b/>
          <w:bCs/>
        </w:rPr>
        <w:t>Researchers’ Computation (2026)</w:t>
      </w:r>
    </w:p>
    <w:p w14:paraId="0D295574" w14:textId="7ADD2C80" w:rsidR="002A54DE" w:rsidRPr="002A54DE" w:rsidRDefault="002A54DE" w:rsidP="001458A7">
      <w:pPr>
        <w:jc w:val="both"/>
        <w:rPr>
          <w:rFonts w:ascii="Times New Roman" w:hAnsi="Times New Roman" w:cs="Times New Roman"/>
        </w:rPr>
      </w:pPr>
      <w:r w:rsidRPr="002A54DE">
        <w:rPr>
          <w:rFonts w:ascii="Times New Roman" w:hAnsi="Times New Roman" w:cs="Times New Roman"/>
        </w:rPr>
        <w:t xml:space="preserve">The partial residual plots indicate that all explanatory variables exhibit approximately linear relationships with TOBINQ. TRNEXP and TRNPR show slight negative slopes with scattered points and no clear curvature, suggesting weak but linear associations. TRNINT and FSIZ display near-flat patterns, while HCIR also shows a weak negative but linear trend without systematic deviation. BIND presents a more noticeable negative linear slope, yet still without nonlinear </w:t>
      </w:r>
      <w:r w:rsidRPr="002A54DE">
        <w:rPr>
          <w:rFonts w:ascii="Times New Roman" w:hAnsi="Times New Roman" w:cs="Times New Roman"/>
        </w:rPr>
        <w:lastRenderedPageBreak/>
        <w:t>clustering, and AGE shows a mild positive linear trend. Overall, the absence of visible curvature or structural breaks across variables confirms that the linearity assumption is satisfied, supporting the use of a linear panel regression model.</w:t>
      </w:r>
    </w:p>
    <w:p w14:paraId="0E2A6F53" w14:textId="542AE894" w:rsidR="001458A7" w:rsidRPr="001458A7" w:rsidRDefault="001458A7" w:rsidP="001458A7">
      <w:pPr>
        <w:jc w:val="both"/>
        <w:rPr>
          <w:rFonts w:ascii="Times New Roman" w:hAnsi="Times New Roman" w:cs="Times New Roman"/>
          <w:b/>
          <w:bCs/>
        </w:rPr>
      </w:pPr>
      <w:r w:rsidRPr="001458A7">
        <w:rPr>
          <w:rFonts w:ascii="Times New Roman" w:hAnsi="Times New Roman" w:cs="Times New Roman"/>
          <w:b/>
          <w:bCs/>
        </w:rPr>
        <w:t>4.4 Diagnostic Tests</w:t>
      </w:r>
    </w:p>
    <w:p w14:paraId="0CFD89E3" w14:textId="4E00D6D3" w:rsidR="001458A7" w:rsidRDefault="001458A7" w:rsidP="001458A7">
      <w:pPr>
        <w:jc w:val="both"/>
        <w:rPr>
          <w:rFonts w:ascii="Times New Roman" w:hAnsi="Times New Roman" w:cs="Times New Roman"/>
        </w:rPr>
      </w:pPr>
      <w:r w:rsidRPr="001458A7">
        <w:rPr>
          <w:rFonts w:ascii="Times New Roman" w:hAnsi="Times New Roman" w:cs="Times New Roman"/>
        </w:rPr>
        <w:t>To ensure the robustness and validity of the regression estimates, several post-estimation diagnostic tests were conducted. These tests examined multicollinearity, model specification, heteroskedasticity, panel effects, estimator selection, and serial correlation. The consolidated results are presented in Table 4.</w:t>
      </w:r>
    </w:p>
    <w:p w14:paraId="25B6B9DE" w14:textId="77777777" w:rsidR="00790F4E" w:rsidRDefault="00790F4E" w:rsidP="001458A7">
      <w:pPr>
        <w:jc w:val="both"/>
        <w:rPr>
          <w:rFonts w:ascii="Times New Roman" w:hAnsi="Times New Roman" w:cs="Times New Roman"/>
        </w:rPr>
      </w:pPr>
    </w:p>
    <w:p w14:paraId="59084621" w14:textId="77777777" w:rsidR="00790F4E" w:rsidRPr="001458A7" w:rsidRDefault="00790F4E" w:rsidP="001458A7">
      <w:pPr>
        <w:jc w:val="both"/>
        <w:rPr>
          <w:rFonts w:ascii="Times New Roman" w:hAnsi="Times New Roman" w:cs="Times New Roman"/>
        </w:rPr>
      </w:pPr>
    </w:p>
    <w:p w14:paraId="053ADC30" w14:textId="690EDB53" w:rsidR="001458A7" w:rsidRPr="001458A7" w:rsidRDefault="001458A7" w:rsidP="00D5684B">
      <w:pPr>
        <w:spacing w:after="0" w:line="240" w:lineRule="auto"/>
        <w:jc w:val="both"/>
        <w:rPr>
          <w:rFonts w:ascii="Times New Roman" w:hAnsi="Times New Roman" w:cs="Times New Roman"/>
        </w:rPr>
      </w:pPr>
      <w:r w:rsidRPr="001458A7">
        <w:rPr>
          <w:rFonts w:ascii="Times New Roman" w:hAnsi="Times New Roman" w:cs="Times New Roman"/>
          <w:b/>
          <w:bCs/>
        </w:rPr>
        <w:t>Table 4</w:t>
      </w:r>
      <w:r w:rsidR="00D5684B">
        <w:rPr>
          <w:rFonts w:ascii="Times New Roman" w:hAnsi="Times New Roman" w:cs="Times New Roman"/>
          <w:b/>
          <w:bCs/>
        </w:rPr>
        <w:t xml:space="preserve"> </w:t>
      </w:r>
      <w:r w:rsidRPr="001458A7">
        <w:rPr>
          <w:rFonts w:ascii="Times New Roman" w:hAnsi="Times New Roman" w:cs="Times New Roman"/>
          <w:i/>
          <w:iCs/>
        </w:rPr>
        <w:t>Summary of Diagnostic Test Results</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2956"/>
        <w:gridCol w:w="1043"/>
        <w:gridCol w:w="636"/>
        <w:gridCol w:w="897"/>
        <w:gridCol w:w="1388"/>
        <w:gridCol w:w="2555"/>
      </w:tblGrid>
      <w:tr w:rsidR="001458A7" w:rsidRPr="001458A7" w14:paraId="64CD9FC7" w14:textId="77777777" w:rsidTr="00790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3E1DD902" w14:textId="77777777" w:rsidR="001458A7" w:rsidRPr="001458A7" w:rsidRDefault="001458A7" w:rsidP="00D5684B">
            <w:pPr>
              <w:rPr>
                <w:rFonts w:ascii="Times New Roman" w:hAnsi="Times New Roman" w:cs="Times New Roman"/>
                <w:b w:val="0"/>
                <w:bCs w:val="0"/>
              </w:rPr>
            </w:pPr>
            <w:r w:rsidRPr="001458A7">
              <w:rPr>
                <w:rFonts w:ascii="Times New Roman" w:hAnsi="Times New Roman" w:cs="Times New Roman"/>
              </w:rPr>
              <w:t>Test</w:t>
            </w:r>
          </w:p>
        </w:tc>
        <w:tc>
          <w:tcPr>
            <w:tcW w:w="0" w:type="auto"/>
            <w:tcBorders>
              <w:bottom w:val="none" w:sz="0" w:space="0" w:color="auto"/>
            </w:tcBorders>
            <w:hideMark/>
          </w:tcPr>
          <w:p w14:paraId="1A1AE4B7" w14:textId="77777777" w:rsidR="001458A7" w:rsidRPr="001458A7" w:rsidRDefault="001458A7" w:rsidP="00D5684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Statistic</w:t>
            </w:r>
          </w:p>
        </w:tc>
        <w:tc>
          <w:tcPr>
            <w:tcW w:w="0" w:type="auto"/>
            <w:tcBorders>
              <w:bottom w:val="none" w:sz="0" w:space="0" w:color="auto"/>
            </w:tcBorders>
            <w:hideMark/>
          </w:tcPr>
          <w:p w14:paraId="14C502CC" w14:textId="5ECBC834" w:rsidR="001458A7" w:rsidRPr="001458A7" w:rsidRDefault="00317B71" w:rsidP="00D5684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D</w:t>
            </w:r>
            <w:r w:rsidR="001458A7" w:rsidRPr="001458A7">
              <w:rPr>
                <w:rFonts w:ascii="Times New Roman" w:hAnsi="Times New Roman" w:cs="Times New Roman"/>
              </w:rPr>
              <w:t>f</w:t>
            </w:r>
          </w:p>
        </w:tc>
        <w:tc>
          <w:tcPr>
            <w:tcW w:w="0" w:type="auto"/>
            <w:tcBorders>
              <w:bottom w:val="none" w:sz="0" w:space="0" w:color="auto"/>
            </w:tcBorders>
            <w:hideMark/>
          </w:tcPr>
          <w:p w14:paraId="6508F611" w14:textId="77777777" w:rsidR="001458A7" w:rsidRPr="001458A7" w:rsidRDefault="001458A7" w:rsidP="00D5684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p-value</w:t>
            </w:r>
          </w:p>
        </w:tc>
        <w:tc>
          <w:tcPr>
            <w:tcW w:w="0" w:type="auto"/>
            <w:tcBorders>
              <w:bottom w:val="none" w:sz="0" w:space="0" w:color="auto"/>
            </w:tcBorders>
            <w:hideMark/>
          </w:tcPr>
          <w:p w14:paraId="23D4DF97" w14:textId="77777777" w:rsidR="001458A7" w:rsidRPr="001458A7" w:rsidRDefault="001458A7" w:rsidP="00D5684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Decision</w:t>
            </w:r>
          </w:p>
        </w:tc>
        <w:tc>
          <w:tcPr>
            <w:tcW w:w="0" w:type="auto"/>
            <w:tcBorders>
              <w:bottom w:val="none" w:sz="0" w:space="0" w:color="auto"/>
            </w:tcBorders>
            <w:hideMark/>
          </w:tcPr>
          <w:p w14:paraId="38926F89" w14:textId="77777777" w:rsidR="001458A7" w:rsidRPr="001458A7" w:rsidRDefault="001458A7" w:rsidP="00D5684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Interpretation</w:t>
            </w:r>
          </w:p>
        </w:tc>
      </w:tr>
      <w:tr w:rsidR="001458A7" w:rsidRPr="001458A7" w14:paraId="608659A7"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F777A4C"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Variance Inflation Factor (Mean VIF)</w:t>
            </w:r>
          </w:p>
        </w:tc>
        <w:tc>
          <w:tcPr>
            <w:tcW w:w="0" w:type="auto"/>
            <w:tcBorders>
              <w:top w:val="none" w:sz="0" w:space="0" w:color="auto"/>
              <w:bottom w:val="none" w:sz="0" w:space="0" w:color="auto"/>
            </w:tcBorders>
            <w:hideMark/>
          </w:tcPr>
          <w:p w14:paraId="659B89C0"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2.65</w:t>
            </w:r>
          </w:p>
        </w:tc>
        <w:tc>
          <w:tcPr>
            <w:tcW w:w="0" w:type="auto"/>
            <w:tcBorders>
              <w:top w:val="none" w:sz="0" w:space="0" w:color="auto"/>
              <w:bottom w:val="none" w:sz="0" w:space="0" w:color="auto"/>
            </w:tcBorders>
            <w:hideMark/>
          </w:tcPr>
          <w:p w14:paraId="1B008A48"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w:t>
            </w:r>
          </w:p>
        </w:tc>
        <w:tc>
          <w:tcPr>
            <w:tcW w:w="0" w:type="auto"/>
            <w:tcBorders>
              <w:top w:val="none" w:sz="0" w:space="0" w:color="auto"/>
              <w:bottom w:val="none" w:sz="0" w:space="0" w:color="auto"/>
            </w:tcBorders>
            <w:hideMark/>
          </w:tcPr>
          <w:p w14:paraId="7EC5A579"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w:t>
            </w:r>
          </w:p>
        </w:tc>
        <w:tc>
          <w:tcPr>
            <w:tcW w:w="0" w:type="auto"/>
            <w:tcBorders>
              <w:top w:val="none" w:sz="0" w:space="0" w:color="auto"/>
              <w:bottom w:val="none" w:sz="0" w:space="0" w:color="auto"/>
            </w:tcBorders>
            <w:hideMark/>
          </w:tcPr>
          <w:p w14:paraId="7F6A116F"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Acceptable</w:t>
            </w:r>
          </w:p>
        </w:tc>
        <w:tc>
          <w:tcPr>
            <w:tcW w:w="0" w:type="auto"/>
            <w:tcBorders>
              <w:top w:val="none" w:sz="0" w:space="0" w:color="auto"/>
              <w:bottom w:val="none" w:sz="0" w:space="0" w:color="auto"/>
            </w:tcBorders>
            <w:hideMark/>
          </w:tcPr>
          <w:p w14:paraId="232BC08B"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No severe multicollinearity</w:t>
            </w:r>
          </w:p>
        </w:tc>
      </w:tr>
      <w:tr w:rsidR="001458A7" w:rsidRPr="001458A7" w14:paraId="451D55AF"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1D2A4E9C"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Cameron &amp; Trivedi IM-Test (Heteroskedasticity)</w:t>
            </w:r>
          </w:p>
        </w:tc>
        <w:tc>
          <w:tcPr>
            <w:tcW w:w="0" w:type="auto"/>
            <w:hideMark/>
          </w:tcPr>
          <w:p w14:paraId="7B168292"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40.87</w:t>
            </w:r>
          </w:p>
        </w:tc>
        <w:tc>
          <w:tcPr>
            <w:tcW w:w="0" w:type="auto"/>
            <w:hideMark/>
          </w:tcPr>
          <w:p w14:paraId="299C1B51"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35</w:t>
            </w:r>
          </w:p>
        </w:tc>
        <w:tc>
          <w:tcPr>
            <w:tcW w:w="0" w:type="auto"/>
            <w:hideMark/>
          </w:tcPr>
          <w:p w14:paraId="64D0CB10"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0.2282</w:t>
            </w:r>
          </w:p>
        </w:tc>
        <w:tc>
          <w:tcPr>
            <w:tcW w:w="0" w:type="auto"/>
            <w:hideMark/>
          </w:tcPr>
          <w:p w14:paraId="390B2072"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Not significant</w:t>
            </w:r>
          </w:p>
        </w:tc>
        <w:tc>
          <w:tcPr>
            <w:tcW w:w="0" w:type="auto"/>
            <w:hideMark/>
          </w:tcPr>
          <w:p w14:paraId="7AE88403"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No evidence of heteroskedasticity under IM-test</w:t>
            </w:r>
          </w:p>
        </w:tc>
      </w:tr>
      <w:tr w:rsidR="001458A7" w:rsidRPr="001458A7" w14:paraId="59560EA1"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116CF850"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Cameron &amp; Trivedi IM-Test (Skewness)</w:t>
            </w:r>
          </w:p>
        </w:tc>
        <w:tc>
          <w:tcPr>
            <w:tcW w:w="0" w:type="auto"/>
            <w:tcBorders>
              <w:top w:val="none" w:sz="0" w:space="0" w:color="auto"/>
              <w:bottom w:val="none" w:sz="0" w:space="0" w:color="auto"/>
            </w:tcBorders>
            <w:hideMark/>
          </w:tcPr>
          <w:p w14:paraId="1C7ED175"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14.44</w:t>
            </w:r>
          </w:p>
        </w:tc>
        <w:tc>
          <w:tcPr>
            <w:tcW w:w="0" w:type="auto"/>
            <w:tcBorders>
              <w:top w:val="none" w:sz="0" w:space="0" w:color="auto"/>
              <w:bottom w:val="none" w:sz="0" w:space="0" w:color="auto"/>
            </w:tcBorders>
            <w:hideMark/>
          </w:tcPr>
          <w:p w14:paraId="4836386A"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7</w:t>
            </w:r>
          </w:p>
        </w:tc>
        <w:tc>
          <w:tcPr>
            <w:tcW w:w="0" w:type="auto"/>
            <w:tcBorders>
              <w:top w:val="none" w:sz="0" w:space="0" w:color="auto"/>
              <w:bottom w:val="none" w:sz="0" w:space="0" w:color="auto"/>
            </w:tcBorders>
            <w:hideMark/>
          </w:tcPr>
          <w:p w14:paraId="631F1C36"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0.0439</w:t>
            </w:r>
          </w:p>
        </w:tc>
        <w:tc>
          <w:tcPr>
            <w:tcW w:w="0" w:type="auto"/>
            <w:tcBorders>
              <w:top w:val="none" w:sz="0" w:space="0" w:color="auto"/>
              <w:bottom w:val="none" w:sz="0" w:space="0" w:color="auto"/>
            </w:tcBorders>
            <w:hideMark/>
          </w:tcPr>
          <w:p w14:paraId="3B8A3E6D"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Significant</w:t>
            </w:r>
          </w:p>
        </w:tc>
        <w:tc>
          <w:tcPr>
            <w:tcW w:w="0" w:type="auto"/>
            <w:tcBorders>
              <w:top w:val="none" w:sz="0" w:space="0" w:color="auto"/>
              <w:bottom w:val="none" w:sz="0" w:space="0" w:color="auto"/>
            </w:tcBorders>
            <w:hideMark/>
          </w:tcPr>
          <w:p w14:paraId="4189AA46"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Mild non-normality (skewness) present</w:t>
            </w:r>
          </w:p>
        </w:tc>
      </w:tr>
      <w:tr w:rsidR="001458A7" w:rsidRPr="001458A7" w14:paraId="4C9A9FFC"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557C101A"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Cameron &amp; Trivedi IM-Test (Kurtosis)</w:t>
            </w:r>
          </w:p>
        </w:tc>
        <w:tc>
          <w:tcPr>
            <w:tcW w:w="0" w:type="auto"/>
            <w:hideMark/>
          </w:tcPr>
          <w:p w14:paraId="13829894"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3.83</w:t>
            </w:r>
          </w:p>
        </w:tc>
        <w:tc>
          <w:tcPr>
            <w:tcW w:w="0" w:type="auto"/>
            <w:hideMark/>
          </w:tcPr>
          <w:p w14:paraId="14242528"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w:t>
            </w:r>
          </w:p>
        </w:tc>
        <w:tc>
          <w:tcPr>
            <w:tcW w:w="0" w:type="auto"/>
            <w:hideMark/>
          </w:tcPr>
          <w:p w14:paraId="49B23CA2"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0.0503</w:t>
            </w:r>
          </w:p>
        </w:tc>
        <w:tc>
          <w:tcPr>
            <w:tcW w:w="0" w:type="auto"/>
            <w:hideMark/>
          </w:tcPr>
          <w:p w14:paraId="55CCE92B"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Marginal</w:t>
            </w:r>
          </w:p>
        </w:tc>
        <w:tc>
          <w:tcPr>
            <w:tcW w:w="0" w:type="auto"/>
            <w:hideMark/>
          </w:tcPr>
          <w:p w14:paraId="3119FA0D"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Slight deviation in kurtosis</w:t>
            </w:r>
          </w:p>
        </w:tc>
      </w:tr>
      <w:tr w:rsidR="001458A7" w:rsidRPr="001458A7" w14:paraId="470984B4"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62F86986"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Cameron &amp; Trivedi IM-Test (Total)</w:t>
            </w:r>
          </w:p>
        </w:tc>
        <w:tc>
          <w:tcPr>
            <w:tcW w:w="0" w:type="auto"/>
            <w:tcBorders>
              <w:top w:val="none" w:sz="0" w:space="0" w:color="auto"/>
              <w:bottom w:val="none" w:sz="0" w:space="0" w:color="auto"/>
            </w:tcBorders>
            <w:hideMark/>
          </w:tcPr>
          <w:p w14:paraId="6EF537DB"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59.14</w:t>
            </w:r>
          </w:p>
        </w:tc>
        <w:tc>
          <w:tcPr>
            <w:tcW w:w="0" w:type="auto"/>
            <w:tcBorders>
              <w:top w:val="none" w:sz="0" w:space="0" w:color="auto"/>
              <w:bottom w:val="none" w:sz="0" w:space="0" w:color="auto"/>
            </w:tcBorders>
            <w:hideMark/>
          </w:tcPr>
          <w:p w14:paraId="506CC844"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43</w:t>
            </w:r>
          </w:p>
        </w:tc>
        <w:tc>
          <w:tcPr>
            <w:tcW w:w="0" w:type="auto"/>
            <w:tcBorders>
              <w:top w:val="none" w:sz="0" w:space="0" w:color="auto"/>
              <w:bottom w:val="none" w:sz="0" w:space="0" w:color="auto"/>
            </w:tcBorders>
            <w:hideMark/>
          </w:tcPr>
          <w:p w14:paraId="784BAE58"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0.0514</w:t>
            </w:r>
          </w:p>
        </w:tc>
        <w:tc>
          <w:tcPr>
            <w:tcW w:w="0" w:type="auto"/>
            <w:tcBorders>
              <w:top w:val="none" w:sz="0" w:space="0" w:color="auto"/>
              <w:bottom w:val="none" w:sz="0" w:space="0" w:color="auto"/>
            </w:tcBorders>
            <w:hideMark/>
          </w:tcPr>
          <w:p w14:paraId="0A6C576A"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Borderline</w:t>
            </w:r>
          </w:p>
        </w:tc>
        <w:tc>
          <w:tcPr>
            <w:tcW w:w="0" w:type="auto"/>
            <w:tcBorders>
              <w:top w:val="none" w:sz="0" w:space="0" w:color="auto"/>
              <w:bottom w:val="none" w:sz="0" w:space="0" w:color="auto"/>
            </w:tcBorders>
            <w:hideMark/>
          </w:tcPr>
          <w:p w14:paraId="79623148"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Minor overall misspecification concerns</w:t>
            </w:r>
          </w:p>
        </w:tc>
      </w:tr>
      <w:tr w:rsidR="001458A7" w:rsidRPr="001458A7" w14:paraId="01594A6A"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5334B672"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Modified Wald Test (Groupwise Heteroskedasticity)</w:t>
            </w:r>
          </w:p>
        </w:tc>
        <w:tc>
          <w:tcPr>
            <w:tcW w:w="0" w:type="auto"/>
            <w:hideMark/>
          </w:tcPr>
          <w:p w14:paraId="28481114"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9790.39</w:t>
            </w:r>
          </w:p>
        </w:tc>
        <w:tc>
          <w:tcPr>
            <w:tcW w:w="0" w:type="auto"/>
            <w:hideMark/>
          </w:tcPr>
          <w:p w14:paraId="6FC3E1B0"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11</w:t>
            </w:r>
          </w:p>
        </w:tc>
        <w:tc>
          <w:tcPr>
            <w:tcW w:w="0" w:type="auto"/>
            <w:hideMark/>
          </w:tcPr>
          <w:p w14:paraId="48B60A55"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0.0000</w:t>
            </w:r>
          </w:p>
        </w:tc>
        <w:tc>
          <w:tcPr>
            <w:tcW w:w="0" w:type="auto"/>
            <w:hideMark/>
          </w:tcPr>
          <w:p w14:paraId="0AB74037"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Reject H₀</w:t>
            </w:r>
          </w:p>
        </w:tc>
        <w:tc>
          <w:tcPr>
            <w:tcW w:w="0" w:type="auto"/>
            <w:hideMark/>
          </w:tcPr>
          <w:p w14:paraId="33272F96"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Presence of heteroskedasticity across panels</w:t>
            </w:r>
          </w:p>
        </w:tc>
      </w:tr>
      <w:tr w:rsidR="001458A7" w:rsidRPr="001458A7" w14:paraId="1D26DD85"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9886B78"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Breusch–Pagan LM Test (Random Effects)</w:t>
            </w:r>
          </w:p>
        </w:tc>
        <w:tc>
          <w:tcPr>
            <w:tcW w:w="0" w:type="auto"/>
            <w:tcBorders>
              <w:top w:val="none" w:sz="0" w:space="0" w:color="auto"/>
              <w:bottom w:val="none" w:sz="0" w:space="0" w:color="auto"/>
            </w:tcBorders>
            <w:hideMark/>
          </w:tcPr>
          <w:p w14:paraId="618FC5D1"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18.51</w:t>
            </w:r>
          </w:p>
        </w:tc>
        <w:tc>
          <w:tcPr>
            <w:tcW w:w="0" w:type="auto"/>
            <w:tcBorders>
              <w:top w:val="none" w:sz="0" w:space="0" w:color="auto"/>
              <w:bottom w:val="none" w:sz="0" w:space="0" w:color="auto"/>
            </w:tcBorders>
            <w:hideMark/>
          </w:tcPr>
          <w:p w14:paraId="63A4C574"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w:t>
            </w:r>
          </w:p>
        </w:tc>
        <w:tc>
          <w:tcPr>
            <w:tcW w:w="0" w:type="auto"/>
            <w:tcBorders>
              <w:top w:val="none" w:sz="0" w:space="0" w:color="auto"/>
              <w:bottom w:val="none" w:sz="0" w:space="0" w:color="auto"/>
            </w:tcBorders>
            <w:hideMark/>
          </w:tcPr>
          <w:p w14:paraId="4337EDE0"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0.0000</w:t>
            </w:r>
          </w:p>
        </w:tc>
        <w:tc>
          <w:tcPr>
            <w:tcW w:w="0" w:type="auto"/>
            <w:tcBorders>
              <w:top w:val="none" w:sz="0" w:space="0" w:color="auto"/>
              <w:bottom w:val="none" w:sz="0" w:space="0" w:color="auto"/>
            </w:tcBorders>
            <w:hideMark/>
          </w:tcPr>
          <w:p w14:paraId="53AD7215"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Reject H₀</w:t>
            </w:r>
          </w:p>
        </w:tc>
        <w:tc>
          <w:tcPr>
            <w:tcW w:w="0" w:type="auto"/>
            <w:tcBorders>
              <w:top w:val="none" w:sz="0" w:space="0" w:color="auto"/>
              <w:bottom w:val="none" w:sz="0" w:space="0" w:color="auto"/>
            </w:tcBorders>
            <w:hideMark/>
          </w:tcPr>
          <w:p w14:paraId="3FFE62F3"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Panel effects present; OLS inappropriate</w:t>
            </w:r>
          </w:p>
        </w:tc>
      </w:tr>
      <w:tr w:rsidR="001458A7" w:rsidRPr="001458A7" w14:paraId="47D1F7B9"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770CF79A"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Hausman Test</w:t>
            </w:r>
          </w:p>
        </w:tc>
        <w:tc>
          <w:tcPr>
            <w:tcW w:w="0" w:type="auto"/>
            <w:hideMark/>
          </w:tcPr>
          <w:p w14:paraId="4783C94E"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5.24</w:t>
            </w:r>
          </w:p>
        </w:tc>
        <w:tc>
          <w:tcPr>
            <w:tcW w:w="0" w:type="auto"/>
            <w:hideMark/>
          </w:tcPr>
          <w:p w14:paraId="25CE80A4"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7</w:t>
            </w:r>
          </w:p>
        </w:tc>
        <w:tc>
          <w:tcPr>
            <w:tcW w:w="0" w:type="auto"/>
            <w:hideMark/>
          </w:tcPr>
          <w:p w14:paraId="7E29DC1B"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0.6305</w:t>
            </w:r>
          </w:p>
        </w:tc>
        <w:tc>
          <w:tcPr>
            <w:tcW w:w="0" w:type="auto"/>
            <w:hideMark/>
          </w:tcPr>
          <w:p w14:paraId="26EDF16B"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Fail to reject H₀</w:t>
            </w:r>
          </w:p>
        </w:tc>
        <w:tc>
          <w:tcPr>
            <w:tcW w:w="0" w:type="auto"/>
            <w:hideMark/>
          </w:tcPr>
          <w:p w14:paraId="11536838"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Random effects preferred</w:t>
            </w:r>
          </w:p>
        </w:tc>
      </w:tr>
      <w:tr w:rsidR="001458A7" w:rsidRPr="001458A7" w14:paraId="15C1D21B"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5D1943B4" w14:textId="77777777" w:rsidR="001458A7" w:rsidRPr="001458A7" w:rsidRDefault="001458A7" w:rsidP="001458A7">
            <w:pPr>
              <w:rPr>
                <w:rFonts w:ascii="Times New Roman" w:hAnsi="Times New Roman" w:cs="Times New Roman"/>
              </w:rPr>
            </w:pPr>
            <w:r w:rsidRPr="001458A7">
              <w:rPr>
                <w:rFonts w:ascii="Times New Roman" w:hAnsi="Times New Roman" w:cs="Times New Roman"/>
              </w:rPr>
              <w:t>Wooldridge Test (Autocorrelation)</w:t>
            </w:r>
          </w:p>
        </w:tc>
        <w:tc>
          <w:tcPr>
            <w:tcW w:w="0" w:type="auto"/>
            <w:tcBorders>
              <w:top w:val="none" w:sz="0" w:space="0" w:color="auto"/>
              <w:bottom w:val="none" w:sz="0" w:space="0" w:color="auto"/>
            </w:tcBorders>
            <w:hideMark/>
          </w:tcPr>
          <w:p w14:paraId="2D4745E1"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31.184</w:t>
            </w:r>
          </w:p>
        </w:tc>
        <w:tc>
          <w:tcPr>
            <w:tcW w:w="0" w:type="auto"/>
            <w:tcBorders>
              <w:top w:val="none" w:sz="0" w:space="0" w:color="auto"/>
              <w:bottom w:val="none" w:sz="0" w:space="0" w:color="auto"/>
            </w:tcBorders>
            <w:hideMark/>
          </w:tcPr>
          <w:p w14:paraId="22509B63"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1,10</w:t>
            </w:r>
          </w:p>
        </w:tc>
        <w:tc>
          <w:tcPr>
            <w:tcW w:w="0" w:type="auto"/>
            <w:tcBorders>
              <w:top w:val="none" w:sz="0" w:space="0" w:color="auto"/>
              <w:bottom w:val="none" w:sz="0" w:space="0" w:color="auto"/>
            </w:tcBorders>
            <w:hideMark/>
          </w:tcPr>
          <w:p w14:paraId="0965E5DB"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0.0002</w:t>
            </w:r>
          </w:p>
        </w:tc>
        <w:tc>
          <w:tcPr>
            <w:tcW w:w="0" w:type="auto"/>
            <w:tcBorders>
              <w:top w:val="none" w:sz="0" w:space="0" w:color="auto"/>
              <w:bottom w:val="none" w:sz="0" w:space="0" w:color="auto"/>
            </w:tcBorders>
            <w:hideMark/>
          </w:tcPr>
          <w:p w14:paraId="252FC193"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Reject H₀</w:t>
            </w:r>
          </w:p>
        </w:tc>
        <w:tc>
          <w:tcPr>
            <w:tcW w:w="0" w:type="auto"/>
            <w:tcBorders>
              <w:top w:val="none" w:sz="0" w:space="0" w:color="auto"/>
              <w:bottom w:val="none" w:sz="0" w:space="0" w:color="auto"/>
            </w:tcBorders>
            <w:hideMark/>
          </w:tcPr>
          <w:p w14:paraId="3421F507"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First-order autocorrelation present</w:t>
            </w:r>
          </w:p>
        </w:tc>
      </w:tr>
    </w:tbl>
    <w:p w14:paraId="7F5C343D" w14:textId="7CB31208" w:rsidR="001458A7" w:rsidRPr="001458A7" w:rsidRDefault="001458A7" w:rsidP="001458A7">
      <w:pPr>
        <w:jc w:val="both"/>
        <w:rPr>
          <w:rFonts w:ascii="Times New Roman" w:hAnsi="Times New Roman" w:cs="Times New Roman"/>
          <w:b/>
          <w:bCs/>
        </w:rPr>
      </w:pPr>
      <w:r>
        <w:rPr>
          <w:rFonts w:ascii="Times New Roman" w:hAnsi="Times New Roman" w:cs="Times New Roman"/>
          <w:b/>
          <w:bCs/>
        </w:rPr>
        <w:t>Source: Researchers’ Computation (2026)</w:t>
      </w:r>
    </w:p>
    <w:p w14:paraId="3D090AA9" w14:textId="1AED7081" w:rsidR="002A54DE" w:rsidRPr="002A54DE" w:rsidRDefault="002A54DE" w:rsidP="002A54DE">
      <w:pPr>
        <w:jc w:val="both"/>
        <w:rPr>
          <w:rFonts w:ascii="Times New Roman" w:hAnsi="Times New Roman" w:cs="Times New Roman"/>
        </w:rPr>
      </w:pPr>
      <w:r w:rsidRPr="002A54DE">
        <w:rPr>
          <w:rFonts w:ascii="Times New Roman" w:hAnsi="Times New Roman" w:cs="Times New Roman"/>
        </w:rPr>
        <w:t xml:space="preserve">The diagnostic results indicate that the model is generally well specified with no serious multicollinearity, as the mean VIF of 2.65 falls within acceptable limits. The Cameron and Trivedi IM-test </w:t>
      </w:r>
      <w:r w:rsidR="00317B71" w:rsidRPr="002A54DE">
        <w:rPr>
          <w:rFonts w:ascii="Times New Roman" w:hAnsi="Times New Roman" w:cs="Times New Roman"/>
        </w:rPr>
        <w:t>show</w:t>
      </w:r>
      <w:r w:rsidRPr="002A54DE">
        <w:rPr>
          <w:rFonts w:ascii="Times New Roman" w:hAnsi="Times New Roman" w:cs="Times New Roman"/>
        </w:rPr>
        <w:t xml:space="preserve"> no evidence of heteroskedasticity, although the significant skewness and marginal kurtosis suggest mild deviations from normality. The borderline significance of the overall IM-test points to minor specification concerns, but not severe enough to invalidate the model.</w:t>
      </w:r>
    </w:p>
    <w:p w14:paraId="1EEAD8FA" w14:textId="77777777" w:rsidR="002A54DE" w:rsidRPr="002A54DE" w:rsidRDefault="002A54DE" w:rsidP="002A54DE">
      <w:pPr>
        <w:jc w:val="both"/>
        <w:rPr>
          <w:rFonts w:ascii="Times New Roman" w:hAnsi="Times New Roman" w:cs="Times New Roman"/>
        </w:rPr>
      </w:pPr>
      <w:r w:rsidRPr="002A54DE">
        <w:rPr>
          <w:rFonts w:ascii="Times New Roman" w:hAnsi="Times New Roman" w:cs="Times New Roman"/>
        </w:rPr>
        <w:lastRenderedPageBreak/>
        <w:t>However, panel-specific tests reveal important issues. The Modified Wald test confirms the presence of groupwise heteroskedasticity, while the Wooldridge test indicates first-order autocorrelation, implying that error terms are not independently distributed. The Breusch–Pagan LM test establishes the presence of panel effects, making pooled OLS inappropriate, and the Hausman test supports the use of the random effects model as consistent and efficient. Overall, these results justify the adoption of a random effects estimator with robust standard errors to ensure reliable inference.</w:t>
      </w:r>
    </w:p>
    <w:p w14:paraId="2AC6C355" w14:textId="6735D653" w:rsidR="00251B8A" w:rsidRPr="00251B8A" w:rsidRDefault="00251B8A" w:rsidP="001458A7">
      <w:pPr>
        <w:jc w:val="both"/>
        <w:rPr>
          <w:rFonts w:ascii="Times New Roman" w:hAnsi="Times New Roman" w:cs="Times New Roman"/>
          <w:b/>
          <w:bCs/>
        </w:rPr>
      </w:pPr>
      <w:r>
        <w:rPr>
          <w:rFonts w:ascii="Times New Roman" w:hAnsi="Times New Roman" w:cs="Times New Roman"/>
          <w:b/>
          <w:bCs/>
        </w:rPr>
        <w:t xml:space="preserve">4.5 Regression Results </w:t>
      </w:r>
    </w:p>
    <w:p w14:paraId="2579884C" w14:textId="77777777" w:rsidR="001458A7" w:rsidRPr="001458A7" w:rsidRDefault="001458A7" w:rsidP="001458A7">
      <w:pPr>
        <w:jc w:val="both"/>
        <w:rPr>
          <w:rFonts w:ascii="Times New Roman" w:hAnsi="Times New Roman" w:cs="Times New Roman"/>
          <w:b/>
          <w:bCs/>
        </w:rPr>
      </w:pPr>
      <w:r w:rsidRPr="001458A7">
        <w:rPr>
          <w:rFonts w:ascii="Times New Roman" w:hAnsi="Times New Roman" w:cs="Times New Roman"/>
          <w:b/>
          <w:bCs/>
        </w:rPr>
        <w:t>4.5.1 Individual Effects (Random Effects Model)</w:t>
      </w:r>
    </w:p>
    <w:p w14:paraId="426E8561" w14:textId="52499BF9" w:rsidR="001458A7" w:rsidRPr="001458A7" w:rsidRDefault="001458A7" w:rsidP="001458A7">
      <w:pPr>
        <w:jc w:val="both"/>
        <w:rPr>
          <w:rFonts w:ascii="Times New Roman" w:hAnsi="Times New Roman" w:cs="Times New Roman"/>
        </w:rPr>
      </w:pPr>
      <w:r w:rsidRPr="001458A7">
        <w:rPr>
          <w:rFonts w:ascii="Times New Roman" w:hAnsi="Times New Roman" w:cs="Times New Roman"/>
        </w:rPr>
        <w:t>Following the diagnostic results</w:t>
      </w:r>
      <w:r w:rsidR="002B6A34">
        <w:rPr>
          <w:rFonts w:ascii="Times New Roman" w:hAnsi="Times New Roman" w:cs="Times New Roman"/>
        </w:rPr>
        <w:t>,</w:t>
      </w:r>
      <w:r w:rsidRPr="001458A7">
        <w:rPr>
          <w:rFonts w:ascii="Times New Roman" w:hAnsi="Times New Roman" w:cs="Times New Roman"/>
        </w:rPr>
        <w:t xml:space="preserve"> which </w:t>
      </w:r>
      <w:r w:rsidRPr="00AB70A6">
        <w:rPr>
          <w:rFonts w:ascii="Times New Roman" w:hAnsi="Times New Roman" w:cs="Times New Roman"/>
          <w:highlight w:val="yellow"/>
        </w:rPr>
        <w:t xml:space="preserve">supported the use of the random effects estimator, a random-effects </w:t>
      </w:r>
      <w:r w:rsidR="002B6A34" w:rsidRPr="00AB70A6">
        <w:rPr>
          <w:rFonts w:ascii="Times New Roman" w:hAnsi="Times New Roman" w:cs="Times New Roman"/>
          <w:highlight w:val="yellow"/>
        </w:rPr>
        <w:t>generali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least</w:t>
      </w:r>
      <w:r w:rsidRPr="001458A7">
        <w:rPr>
          <w:rFonts w:ascii="Times New Roman" w:hAnsi="Times New Roman" w:cs="Times New Roman"/>
        </w:rPr>
        <w:t xml:space="preserve"> squares regression with cluster-robust standard errors was estimated to examine the effect of training and human capital variables on firm innovation (TOBINQ). The results are presented in Table </w:t>
      </w:r>
      <w:r>
        <w:rPr>
          <w:rFonts w:ascii="Times New Roman" w:hAnsi="Times New Roman" w:cs="Times New Roman"/>
        </w:rPr>
        <w:t>5.</w:t>
      </w:r>
    </w:p>
    <w:p w14:paraId="00EE51F8" w14:textId="1ED4AEDE" w:rsidR="001458A7" w:rsidRPr="001458A7" w:rsidRDefault="001458A7" w:rsidP="001458A7">
      <w:pPr>
        <w:spacing w:after="0"/>
        <w:jc w:val="both"/>
        <w:rPr>
          <w:rFonts w:ascii="Times New Roman" w:hAnsi="Times New Roman" w:cs="Times New Roman"/>
        </w:rPr>
      </w:pPr>
      <w:r w:rsidRPr="001458A7">
        <w:rPr>
          <w:rFonts w:ascii="Times New Roman" w:hAnsi="Times New Roman" w:cs="Times New Roman"/>
          <w:b/>
          <w:bCs/>
        </w:rPr>
        <w:t xml:space="preserve">Table </w:t>
      </w:r>
      <w:r w:rsidR="006C04CE">
        <w:rPr>
          <w:rFonts w:ascii="Times New Roman" w:hAnsi="Times New Roman" w:cs="Times New Roman"/>
          <w:b/>
          <w:bCs/>
        </w:rPr>
        <w:t>5</w:t>
      </w:r>
      <w:r w:rsidR="00B47E99">
        <w:rPr>
          <w:rFonts w:ascii="Times New Roman" w:hAnsi="Times New Roman" w:cs="Times New Roman"/>
          <w:b/>
          <w:bCs/>
        </w:rPr>
        <w:t xml:space="preserve">: </w:t>
      </w:r>
      <w:r w:rsidRPr="001458A7">
        <w:rPr>
          <w:rFonts w:ascii="Times New Roman" w:hAnsi="Times New Roman" w:cs="Times New Roman"/>
          <w:i/>
          <w:iCs/>
        </w:rPr>
        <w:t>Random Effects GLS Regression Results (Dependent Variable: TOBINQ)</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1486"/>
        <w:gridCol w:w="1650"/>
        <w:gridCol w:w="1362"/>
        <w:gridCol w:w="828"/>
        <w:gridCol w:w="1057"/>
        <w:gridCol w:w="1554"/>
        <w:gridCol w:w="1538"/>
      </w:tblGrid>
      <w:tr w:rsidR="001458A7" w:rsidRPr="001458A7" w14:paraId="563F60EE" w14:textId="77777777" w:rsidTr="00790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51CB3810" w14:textId="77777777" w:rsidR="001458A7" w:rsidRPr="001458A7" w:rsidRDefault="001458A7" w:rsidP="001458A7">
            <w:pPr>
              <w:jc w:val="both"/>
              <w:rPr>
                <w:rFonts w:ascii="Times New Roman" w:hAnsi="Times New Roman" w:cs="Times New Roman"/>
                <w:b w:val="0"/>
                <w:bCs w:val="0"/>
              </w:rPr>
            </w:pPr>
            <w:r w:rsidRPr="001458A7">
              <w:rPr>
                <w:rFonts w:ascii="Times New Roman" w:hAnsi="Times New Roman" w:cs="Times New Roman"/>
              </w:rPr>
              <w:t>Variable</w:t>
            </w:r>
          </w:p>
        </w:tc>
        <w:tc>
          <w:tcPr>
            <w:tcW w:w="0" w:type="auto"/>
            <w:tcBorders>
              <w:top w:val="single" w:sz="4" w:space="0" w:color="auto"/>
              <w:bottom w:val="single" w:sz="4" w:space="0" w:color="auto"/>
            </w:tcBorders>
            <w:hideMark/>
          </w:tcPr>
          <w:p w14:paraId="7C3294A7" w14:textId="77777777" w:rsidR="001458A7" w:rsidRPr="001458A7" w:rsidRDefault="001458A7"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Coefficient</w:t>
            </w:r>
          </w:p>
        </w:tc>
        <w:tc>
          <w:tcPr>
            <w:tcW w:w="0" w:type="auto"/>
            <w:tcBorders>
              <w:top w:val="single" w:sz="4" w:space="0" w:color="auto"/>
              <w:bottom w:val="single" w:sz="4" w:space="0" w:color="auto"/>
            </w:tcBorders>
            <w:hideMark/>
          </w:tcPr>
          <w:p w14:paraId="3B7DC3FA" w14:textId="77777777" w:rsidR="001458A7" w:rsidRPr="001458A7" w:rsidRDefault="001458A7"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Robust SE</w:t>
            </w:r>
          </w:p>
        </w:tc>
        <w:tc>
          <w:tcPr>
            <w:tcW w:w="0" w:type="auto"/>
            <w:tcBorders>
              <w:top w:val="single" w:sz="4" w:space="0" w:color="auto"/>
              <w:bottom w:val="single" w:sz="4" w:space="0" w:color="auto"/>
            </w:tcBorders>
            <w:hideMark/>
          </w:tcPr>
          <w:p w14:paraId="62D42AA8" w14:textId="75F410D5" w:rsidR="001458A7" w:rsidRPr="001458A7" w:rsidRDefault="00790F4E"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Z</w:t>
            </w:r>
          </w:p>
        </w:tc>
        <w:tc>
          <w:tcPr>
            <w:tcW w:w="0" w:type="auto"/>
            <w:tcBorders>
              <w:top w:val="single" w:sz="4" w:space="0" w:color="auto"/>
              <w:bottom w:val="single" w:sz="4" w:space="0" w:color="auto"/>
            </w:tcBorders>
            <w:hideMark/>
          </w:tcPr>
          <w:p w14:paraId="00754AE6" w14:textId="77777777" w:rsidR="001458A7" w:rsidRPr="001458A7" w:rsidRDefault="001458A7"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p-value</w:t>
            </w:r>
          </w:p>
        </w:tc>
        <w:tc>
          <w:tcPr>
            <w:tcW w:w="0" w:type="auto"/>
            <w:tcBorders>
              <w:top w:val="single" w:sz="4" w:space="0" w:color="auto"/>
              <w:bottom w:val="single" w:sz="4" w:space="0" w:color="auto"/>
            </w:tcBorders>
            <w:hideMark/>
          </w:tcPr>
          <w:p w14:paraId="2EC70131" w14:textId="77777777" w:rsidR="001458A7" w:rsidRPr="001458A7" w:rsidRDefault="001458A7"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95% CI Lower</w:t>
            </w:r>
          </w:p>
        </w:tc>
        <w:tc>
          <w:tcPr>
            <w:tcW w:w="0" w:type="auto"/>
            <w:tcBorders>
              <w:top w:val="single" w:sz="4" w:space="0" w:color="auto"/>
              <w:bottom w:val="single" w:sz="4" w:space="0" w:color="auto"/>
            </w:tcBorders>
            <w:hideMark/>
          </w:tcPr>
          <w:p w14:paraId="23859204" w14:textId="77777777" w:rsidR="001458A7" w:rsidRPr="001458A7" w:rsidRDefault="001458A7" w:rsidP="001458A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458A7">
              <w:rPr>
                <w:rFonts w:ascii="Times New Roman" w:hAnsi="Times New Roman" w:cs="Times New Roman"/>
              </w:rPr>
              <w:t>95% CI Upper</w:t>
            </w:r>
          </w:p>
        </w:tc>
      </w:tr>
      <w:tr w:rsidR="001458A7" w:rsidRPr="001458A7" w14:paraId="1EDEB60A"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tcBorders>
            <w:hideMark/>
          </w:tcPr>
          <w:p w14:paraId="587678DE"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TRNEXP</w:t>
            </w:r>
          </w:p>
        </w:tc>
        <w:tc>
          <w:tcPr>
            <w:tcW w:w="0" w:type="auto"/>
            <w:tcBorders>
              <w:top w:val="single" w:sz="4" w:space="0" w:color="auto"/>
              <w:bottom w:val="none" w:sz="0" w:space="0" w:color="auto"/>
            </w:tcBorders>
            <w:hideMark/>
          </w:tcPr>
          <w:p w14:paraId="5407BC1B"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-0.082</w:t>
            </w:r>
          </w:p>
        </w:tc>
        <w:tc>
          <w:tcPr>
            <w:tcW w:w="0" w:type="auto"/>
            <w:tcBorders>
              <w:top w:val="single" w:sz="4" w:space="0" w:color="auto"/>
              <w:bottom w:val="none" w:sz="0" w:space="0" w:color="auto"/>
            </w:tcBorders>
            <w:hideMark/>
          </w:tcPr>
          <w:p w14:paraId="47C84162"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0.041</w:t>
            </w:r>
          </w:p>
        </w:tc>
        <w:tc>
          <w:tcPr>
            <w:tcW w:w="0" w:type="auto"/>
            <w:tcBorders>
              <w:top w:val="single" w:sz="4" w:space="0" w:color="auto"/>
              <w:bottom w:val="none" w:sz="0" w:space="0" w:color="auto"/>
            </w:tcBorders>
            <w:hideMark/>
          </w:tcPr>
          <w:p w14:paraId="688123D1"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-2.02</w:t>
            </w:r>
          </w:p>
        </w:tc>
        <w:tc>
          <w:tcPr>
            <w:tcW w:w="0" w:type="auto"/>
            <w:tcBorders>
              <w:top w:val="single" w:sz="4" w:space="0" w:color="auto"/>
              <w:bottom w:val="none" w:sz="0" w:space="0" w:color="auto"/>
            </w:tcBorders>
            <w:hideMark/>
          </w:tcPr>
          <w:p w14:paraId="3D47F340"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0.044</w:t>
            </w:r>
          </w:p>
        </w:tc>
        <w:tc>
          <w:tcPr>
            <w:tcW w:w="0" w:type="auto"/>
            <w:tcBorders>
              <w:top w:val="single" w:sz="4" w:space="0" w:color="auto"/>
              <w:bottom w:val="none" w:sz="0" w:space="0" w:color="auto"/>
            </w:tcBorders>
            <w:hideMark/>
          </w:tcPr>
          <w:p w14:paraId="0C4BAE6D"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-0.162</w:t>
            </w:r>
          </w:p>
        </w:tc>
        <w:tc>
          <w:tcPr>
            <w:tcW w:w="0" w:type="auto"/>
            <w:tcBorders>
              <w:top w:val="single" w:sz="4" w:space="0" w:color="auto"/>
              <w:bottom w:val="none" w:sz="0" w:space="0" w:color="auto"/>
            </w:tcBorders>
            <w:hideMark/>
          </w:tcPr>
          <w:p w14:paraId="4E6F4CB6"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-0.002</w:t>
            </w:r>
          </w:p>
        </w:tc>
      </w:tr>
      <w:tr w:rsidR="001458A7" w:rsidRPr="001458A7" w14:paraId="3DD3B680"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60FA61E4"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TRNPR</w:t>
            </w:r>
          </w:p>
        </w:tc>
        <w:tc>
          <w:tcPr>
            <w:tcW w:w="0" w:type="auto"/>
            <w:hideMark/>
          </w:tcPr>
          <w:p w14:paraId="008A53E1"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-0.271</w:t>
            </w:r>
          </w:p>
        </w:tc>
        <w:tc>
          <w:tcPr>
            <w:tcW w:w="0" w:type="auto"/>
            <w:hideMark/>
          </w:tcPr>
          <w:p w14:paraId="55C08F5E"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0.078</w:t>
            </w:r>
          </w:p>
        </w:tc>
        <w:tc>
          <w:tcPr>
            <w:tcW w:w="0" w:type="auto"/>
            <w:hideMark/>
          </w:tcPr>
          <w:p w14:paraId="5748DE91"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-3.48</w:t>
            </w:r>
          </w:p>
        </w:tc>
        <w:tc>
          <w:tcPr>
            <w:tcW w:w="0" w:type="auto"/>
            <w:hideMark/>
          </w:tcPr>
          <w:p w14:paraId="218F48AE"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0.000</w:t>
            </w:r>
          </w:p>
        </w:tc>
        <w:tc>
          <w:tcPr>
            <w:tcW w:w="0" w:type="auto"/>
            <w:hideMark/>
          </w:tcPr>
          <w:p w14:paraId="10E3F330"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-0.424</w:t>
            </w:r>
          </w:p>
        </w:tc>
        <w:tc>
          <w:tcPr>
            <w:tcW w:w="0" w:type="auto"/>
            <w:hideMark/>
          </w:tcPr>
          <w:p w14:paraId="13F51FDA"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-0.119</w:t>
            </w:r>
          </w:p>
        </w:tc>
      </w:tr>
      <w:tr w:rsidR="001458A7" w:rsidRPr="001458A7" w14:paraId="26A0604D"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7E0D3133"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TRNINT</w:t>
            </w:r>
          </w:p>
        </w:tc>
        <w:tc>
          <w:tcPr>
            <w:tcW w:w="0" w:type="auto"/>
            <w:tcBorders>
              <w:top w:val="none" w:sz="0" w:space="0" w:color="auto"/>
              <w:bottom w:val="none" w:sz="0" w:space="0" w:color="auto"/>
            </w:tcBorders>
            <w:hideMark/>
          </w:tcPr>
          <w:p w14:paraId="5B257686"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0.022</w:t>
            </w:r>
          </w:p>
        </w:tc>
        <w:tc>
          <w:tcPr>
            <w:tcW w:w="0" w:type="auto"/>
            <w:tcBorders>
              <w:top w:val="none" w:sz="0" w:space="0" w:color="auto"/>
              <w:bottom w:val="none" w:sz="0" w:space="0" w:color="auto"/>
            </w:tcBorders>
            <w:hideMark/>
          </w:tcPr>
          <w:p w14:paraId="4740DC67"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0.015</w:t>
            </w:r>
          </w:p>
        </w:tc>
        <w:tc>
          <w:tcPr>
            <w:tcW w:w="0" w:type="auto"/>
            <w:tcBorders>
              <w:top w:val="none" w:sz="0" w:space="0" w:color="auto"/>
              <w:bottom w:val="none" w:sz="0" w:space="0" w:color="auto"/>
            </w:tcBorders>
            <w:hideMark/>
          </w:tcPr>
          <w:p w14:paraId="1E544093"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2.00</w:t>
            </w:r>
          </w:p>
        </w:tc>
        <w:tc>
          <w:tcPr>
            <w:tcW w:w="0" w:type="auto"/>
            <w:tcBorders>
              <w:top w:val="none" w:sz="0" w:space="0" w:color="auto"/>
              <w:bottom w:val="none" w:sz="0" w:space="0" w:color="auto"/>
            </w:tcBorders>
            <w:hideMark/>
          </w:tcPr>
          <w:p w14:paraId="213E031F"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0.040</w:t>
            </w:r>
          </w:p>
        </w:tc>
        <w:tc>
          <w:tcPr>
            <w:tcW w:w="0" w:type="auto"/>
            <w:tcBorders>
              <w:top w:val="none" w:sz="0" w:space="0" w:color="auto"/>
              <w:bottom w:val="none" w:sz="0" w:space="0" w:color="auto"/>
            </w:tcBorders>
            <w:hideMark/>
          </w:tcPr>
          <w:p w14:paraId="630A8D2F"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-0.007</w:t>
            </w:r>
          </w:p>
        </w:tc>
        <w:tc>
          <w:tcPr>
            <w:tcW w:w="0" w:type="auto"/>
            <w:tcBorders>
              <w:top w:val="none" w:sz="0" w:space="0" w:color="auto"/>
              <w:bottom w:val="none" w:sz="0" w:space="0" w:color="auto"/>
            </w:tcBorders>
            <w:hideMark/>
          </w:tcPr>
          <w:p w14:paraId="26D72482"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0.051</w:t>
            </w:r>
          </w:p>
        </w:tc>
      </w:tr>
      <w:tr w:rsidR="001458A7" w:rsidRPr="001458A7" w14:paraId="734D93A8"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719B31FA"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HCIR</w:t>
            </w:r>
          </w:p>
        </w:tc>
        <w:tc>
          <w:tcPr>
            <w:tcW w:w="0" w:type="auto"/>
            <w:hideMark/>
          </w:tcPr>
          <w:p w14:paraId="69D93303"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0.036</w:t>
            </w:r>
          </w:p>
        </w:tc>
        <w:tc>
          <w:tcPr>
            <w:tcW w:w="0" w:type="auto"/>
            <w:hideMark/>
          </w:tcPr>
          <w:p w14:paraId="4C86E935"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0.089</w:t>
            </w:r>
          </w:p>
        </w:tc>
        <w:tc>
          <w:tcPr>
            <w:tcW w:w="0" w:type="auto"/>
            <w:hideMark/>
          </w:tcPr>
          <w:p w14:paraId="6EAD7E67"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0.40</w:t>
            </w:r>
          </w:p>
        </w:tc>
        <w:tc>
          <w:tcPr>
            <w:tcW w:w="0" w:type="auto"/>
            <w:hideMark/>
          </w:tcPr>
          <w:p w14:paraId="10D721B1"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0.687</w:t>
            </w:r>
          </w:p>
        </w:tc>
        <w:tc>
          <w:tcPr>
            <w:tcW w:w="0" w:type="auto"/>
            <w:hideMark/>
          </w:tcPr>
          <w:p w14:paraId="283448E9"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-0.139</w:t>
            </w:r>
          </w:p>
        </w:tc>
        <w:tc>
          <w:tcPr>
            <w:tcW w:w="0" w:type="auto"/>
            <w:hideMark/>
          </w:tcPr>
          <w:p w14:paraId="78DDE2AA"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0.211</w:t>
            </w:r>
          </w:p>
        </w:tc>
      </w:tr>
      <w:tr w:rsidR="001458A7" w:rsidRPr="001458A7" w14:paraId="78C57E60"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22696A3"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FSIZ</w:t>
            </w:r>
          </w:p>
        </w:tc>
        <w:tc>
          <w:tcPr>
            <w:tcW w:w="0" w:type="auto"/>
            <w:tcBorders>
              <w:top w:val="none" w:sz="0" w:space="0" w:color="auto"/>
              <w:bottom w:val="none" w:sz="0" w:space="0" w:color="auto"/>
            </w:tcBorders>
            <w:hideMark/>
          </w:tcPr>
          <w:p w14:paraId="1D6D8F68"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-0.032</w:t>
            </w:r>
          </w:p>
        </w:tc>
        <w:tc>
          <w:tcPr>
            <w:tcW w:w="0" w:type="auto"/>
            <w:tcBorders>
              <w:top w:val="none" w:sz="0" w:space="0" w:color="auto"/>
              <w:bottom w:val="none" w:sz="0" w:space="0" w:color="auto"/>
            </w:tcBorders>
            <w:hideMark/>
          </w:tcPr>
          <w:p w14:paraId="0F23585C"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0.085</w:t>
            </w:r>
          </w:p>
        </w:tc>
        <w:tc>
          <w:tcPr>
            <w:tcW w:w="0" w:type="auto"/>
            <w:tcBorders>
              <w:top w:val="none" w:sz="0" w:space="0" w:color="auto"/>
              <w:bottom w:val="none" w:sz="0" w:space="0" w:color="auto"/>
            </w:tcBorders>
            <w:hideMark/>
          </w:tcPr>
          <w:p w14:paraId="5A018827"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-0.38</w:t>
            </w:r>
          </w:p>
        </w:tc>
        <w:tc>
          <w:tcPr>
            <w:tcW w:w="0" w:type="auto"/>
            <w:tcBorders>
              <w:top w:val="none" w:sz="0" w:space="0" w:color="auto"/>
              <w:bottom w:val="none" w:sz="0" w:space="0" w:color="auto"/>
            </w:tcBorders>
            <w:hideMark/>
          </w:tcPr>
          <w:p w14:paraId="07D12BFE"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0.703</w:t>
            </w:r>
          </w:p>
        </w:tc>
        <w:tc>
          <w:tcPr>
            <w:tcW w:w="0" w:type="auto"/>
            <w:tcBorders>
              <w:top w:val="none" w:sz="0" w:space="0" w:color="auto"/>
              <w:bottom w:val="none" w:sz="0" w:space="0" w:color="auto"/>
            </w:tcBorders>
            <w:hideMark/>
          </w:tcPr>
          <w:p w14:paraId="7E91715B"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-0.198</w:t>
            </w:r>
          </w:p>
        </w:tc>
        <w:tc>
          <w:tcPr>
            <w:tcW w:w="0" w:type="auto"/>
            <w:tcBorders>
              <w:top w:val="none" w:sz="0" w:space="0" w:color="auto"/>
              <w:bottom w:val="none" w:sz="0" w:space="0" w:color="auto"/>
            </w:tcBorders>
            <w:hideMark/>
          </w:tcPr>
          <w:p w14:paraId="2CB6B834"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0.134</w:t>
            </w:r>
          </w:p>
        </w:tc>
      </w:tr>
      <w:tr w:rsidR="001458A7" w:rsidRPr="001458A7" w14:paraId="1D7ABD96" w14:textId="77777777" w:rsidTr="00790F4E">
        <w:tc>
          <w:tcPr>
            <w:cnfStyle w:val="001000000000" w:firstRow="0" w:lastRow="0" w:firstColumn="1" w:lastColumn="0" w:oddVBand="0" w:evenVBand="0" w:oddHBand="0" w:evenHBand="0" w:firstRowFirstColumn="0" w:firstRowLastColumn="0" w:lastRowFirstColumn="0" w:lastRowLastColumn="0"/>
            <w:tcW w:w="0" w:type="auto"/>
            <w:hideMark/>
          </w:tcPr>
          <w:p w14:paraId="4B8E20C3"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AGE</w:t>
            </w:r>
          </w:p>
        </w:tc>
        <w:tc>
          <w:tcPr>
            <w:tcW w:w="0" w:type="auto"/>
            <w:hideMark/>
          </w:tcPr>
          <w:p w14:paraId="268BA44B"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-0.00006</w:t>
            </w:r>
          </w:p>
        </w:tc>
        <w:tc>
          <w:tcPr>
            <w:tcW w:w="0" w:type="auto"/>
            <w:hideMark/>
          </w:tcPr>
          <w:p w14:paraId="562AA7B6"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0.0036</w:t>
            </w:r>
          </w:p>
        </w:tc>
        <w:tc>
          <w:tcPr>
            <w:tcW w:w="0" w:type="auto"/>
            <w:hideMark/>
          </w:tcPr>
          <w:p w14:paraId="3D70E27C"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-0.02</w:t>
            </w:r>
          </w:p>
        </w:tc>
        <w:tc>
          <w:tcPr>
            <w:tcW w:w="0" w:type="auto"/>
            <w:hideMark/>
          </w:tcPr>
          <w:p w14:paraId="2EAD8212"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0.986</w:t>
            </w:r>
          </w:p>
        </w:tc>
        <w:tc>
          <w:tcPr>
            <w:tcW w:w="0" w:type="auto"/>
            <w:hideMark/>
          </w:tcPr>
          <w:p w14:paraId="5163A9E8"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-0.007</w:t>
            </w:r>
          </w:p>
        </w:tc>
        <w:tc>
          <w:tcPr>
            <w:tcW w:w="0" w:type="auto"/>
            <w:hideMark/>
          </w:tcPr>
          <w:p w14:paraId="7779FA0D" w14:textId="77777777" w:rsidR="001458A7" w:rsidRPr="001458A7" w:rsidRDefault="001458A7" w:rsidP="001458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0.007</w:t>
            </w:r>
          </w:p>
        </w:tc>
      </w:tr>
      <w:tr w:rsidR="001458A7" w:rsidRPr="001458A7" w14:paraId="35EE2195"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8C7D686" w14:textId="77777777" w:rsidR="001458A7" w:rsidRPr="001458A7" w:rsidRDefault="001458A7" w:rsidP="001458A7">
            <w:pPr>
              <w:jc w:val="both"/>
              <w:rPr>
                <w:rFonts w:ascii="Times New Roman" w:hAnsi="Times New Roman" w:cs="Times New Roman"/>
              </w:rPr>
            </w:pPr>
            <w:r w:rsidRPr="001458A7">
              <w:rPr>
                <w:rFonts w:ascii="Times New Roman" w:hAnsi="Times New Roman" w:cs="Times New Roman"/>
              </w:rPr>
              <w:t>Constant</w:t>
            </w:r>
          </w:p>
        </w:tc>
        <w:tc>
          <w:tcPr>
            <w:tcW w:w="0" w:type="auto"/>
            <w:tcBorders>
              <w:top w:val="none" w:sz="0" w:space="0" w:color="auto"/>
              <w:bottom w:val="none" w:sz="0" w:space="0" w:color="auto"/>
            </w:tcBorders>
            <w:hideMark/>
          </w:tcPr>
          <w:p w14:paraId="757D7A8A"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0.752</w:t>
            </w:r>
          </w:p>
        </w:tc>
        <w:tc>
          <w:tcPr>
            <w:tcW w:w="0" w:type="auto"/>
            <w:tcBorders>
              <w:top w:val="none" w:sz="0" w:space="0" w:color="auto"/>
              <w:bottom w:val="none" w:sz="0" w:space="0" w:color="auto"/>
            </w:tcBorders>
            <w:hideMark/>
          </w:tcPr>
          <w:p w14:paraId="69D2F23F"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1.024</w:t>
            </w:r>
          </w:p>
        </w:tc>
        <w:tc>
          <w:tcPr>
            <w:tcW w:w="0" w:type="auto"/>
            <w:tcBorders>
              <w:top w:val="none" w:sz="0" w:space="0" w:color="auto"/>
              <w:bottom w:val="none" w:sz="0" w:space="0" w:color="auto"/>
            </w:tcBorders>
            <w:hideMark/>
          </w:tcPr>
          <w:p w14:paraId="5CA44D4D"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0.73</w:t>
            </w:r>
          </w:p>
        </w:tc>
        <w:tc>
          <w:tcPr>
            <w:tcW w:w="0" w:type="auto"/>
            <w:tcBorders>
              <w:top w:val="none" w:sz="0" w:space="0" w:color="auto"/>
              <w:bottom w:val="none" w:sz="0" w:space="0" w:color="auto"/>
            </w:tcBorders>
            <w:hideMark/>
          </w:tcPr>
          <w:p w14:paraId="26366AD3"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0.462</w:t>
            </w:r>
          </w:p>
        </w:tc>
        <w:tc>
          <w:tcPr>
            <w:tcW w:w="0" w:type="auto"/>
            <w:tcBorders>
              <w:top w:val="none" w:sz="0" w:space="0" w:color="auto"/>
              <w:bottom w:val="none" w:sz="0" w:space="0" w:color="auto"/>
            </w:tcBorders>
            <w:hideMark/>
          </w:tcPr>
          <w:p w14:paraId="10ACF10E"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-1.254</w:t>
            </w:r>
          </w:p>
        </w:tc>
        <w:tc>
          <w:tcPr>
            <w:tcW w:w="0" w:type="auto"/>
            <w:tcBorders>
              <w:top w:val="none" w:sz="0" w:space="0" w:color="auto"/>
              <w:bottom w:val="none" w:sz="0" w:space="0" w:color="auto"/>
            </w:tcBorders>
            <w:hideMark/>
          </w:tcPr>
          <w:p w14:paraId="55A855BD" w14:textId="77777777" w:rsidR="001458A7" w:rsidRPr="001458A7" w:rsidRDefault="001458A7" w:rsidP="001458A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458A7">
              <w:rPr>
                <w:rFonts w:ascii="Times New Roman" w:hAnsi="Times New Roman" w:cs="Times New Roman"/>
              </w:rPr>
              <w:t>2.758</w:t>
            </w:r>
          </w:p>
        </w:tc>
      </w:tr>
      <w:tr w:rsidR="0080214F" w:rsidRPr="001458A7" w14:paraId="58903F0E" w14:textId="77777777" w:rsidTr="00790F4E">
        <w:tc>
          <w:tcPr>
            <w:cnfStyle w:val="001000000000" w:firstRow="0" w:lastRow="0" w:firstColumn="1" w:lastColumn="0" w:oddVBand="0" w:evenVBand="0" w:oddHBand="0" w:evenHBand="0" w:firstRowFirstColumn="0" w:firstRowLastColumn="0" w:lastRowFirstColumn="0" w:lastRowLastColumn="0"/>
            <w:tcW w:w="0" w:type="auto"/>
            <w:gridSpan w:val="7"/>
          </w:tcPr>
          <w:p w14:paraId="6A2CED15" w14:textId="795B669B" w:rsidR="0080214F" w:rsidRPr="001458A7" w:rsidRDefault="0080214F" w:rsidP="0080214F">
            <w:pPr>
              <w:jc w:val="both"/>
              <w:rPr>
                <w:rFonts w:ascii="Times New Roman" w:hAnsi="Times New Roman" w:cs="Times New Roman"/>
              </w:rPr>
            </w:pPr>
            <w:r w:rsidRPr="001458A7">
              <w:rPr>
                <w:rFonts w:ascii="Times New Roman" w:hAnsi="Times New Roman" w:cs="Times New Roman"/>
              </w:rPr>
              <w:t>Model statistics:</w:t>
            </w:r>
            <w:r>
              <w:rPr>
                <w:rFonts w:ascii="Times New Roman" w:hAnsi="Times New Roman" w:cs="Times New Roman"/>
              </w:rPr>
              <w:t xml:space="preserve"> Obs</w:t>
            </w:r>
            <w:r w:rsidRPr="001458A7">
              <w:rPr>
                <w:rFonts w:ascii="Times New Roman" w:hAnsi="Times New Roman" w:cs="Times New Roman"/>
              </w:rPr>
              <w:t xml:space="preserve"> = 1</w:t>
            </w:r>
            <w:r w:rsidR="00BB000C">
              <w:rPr>
                <w:rFonts w:ascii="Times New Roman" w:hAnsi="Times New Roman" w:cs="Times New Roman"/>
              </w:rPr>
              <w:t>20</w:t>
            </w:r>
            <w:r>
              <w:rPr>
                <w:rFonts w:ascii="Times New Roman" w:hAnsi="Times New Roman" w:cs="Times New Roman"/>
              </w:rPr>
              <w:t>; G</w:t>
            </w:r>
            <w:r w:rsidRPr="001458A7">
              <w:rPr>
                <w:rFonts w:ascii="Times New Roman" w:hAnsi="Times New Roman" w:cs="Times New Roman"/>
              </w:rPr>
              <w:t>roups = 1</w:t>
            </w:r>
            <w:r w:rsidR="00BB000C">
              <w:rPr>
                <w:rFonts w:ascii="Times New Roman" w:hAnsi="Times New Roman" w:cs="Times New Roman"/>
              </w:rPr>
              <w:t>2</w:t>
            </w:r>
            <w:r>
              <w:rPr>
                <w:rFonts w:ascii="Times New Roman" w:hAnsi="Times New Roman" w:cs="Times New Roman"/>
              </w:rPr>
              <w:t xml:space="preserve">; </w:t>
            </w:r>
            <w:r w:rsidRPr="001458A7">
              <w:rPr>
                <w:rFonts w:ascii="Times New Roman" w:hAnsi="Times New Roman" w:cs="Times New Roman"/>
              </w:rPr>
              <w:t>Wald chi²(6) = 15.31</w:t>
            </w:r>
            <w:r>
              <w:rPr>
                <w:rFonts w:ascii="Times New Roman" w:hAnsi="Times New Roman" w:cs="Times New Roman"/>
              </w:rPr>
              <w:t xml:space="preserve">; </w:t>
            </w:r>
            <w:r w:rsidRPr="001458A7">
              <w:rPr>
                <w:rFonts w:ascii="Times New Roman" w:hAnsi="Times New Roman" w:cs="Times New Roman"/>
              </w:rPr>
              <w:t>Prob &gt; chi² = 0.0179</w:t>
            </w:r>
            <w:r>
              <w:rPr>
                <w:rFonts w:ascii="Times New Roman" w:hAnsi="Times New Roman" w:cs="Times New Roman"/>
              </w:rPr>
              <w:t xml:space="preserve">; </w:t>
            </w:r>
            <w:r w:rsidRPr="001458A7">
              <w:rPr>
                <w:rFonts w:ascii="Times New Roman" w:hAnsi="Times New Roman" w:cs="Times New Roman"/>
              </w:rPr>
              <w:t>Within R² = 0.073</w:t>
            </w:r>
            <w:r>
              <w:rPr>
                <w:rFonts w:ascii="Times New Roman" w:hAnsi="Times New Roman" w:cs="Times New Roman"/>
              </w:rPr>
              <w:t xml:space="preserve">; </w:t>
            </w:r>
            <w:r w:rsidRPr="001458A7">
              <w:rPr>
                <w:rFonts w:ascii="Times New Roman" w:hAnsi="Times New Roman" w:cs="Times New Roman"/>
              </w:rPr>
              <w:t>Between R² = 0.162</w:t>
            </w:r>
            <w:r>
              <w:rPr>
                <w:rFonts w:ascii="Times New Roman" w:hAnsi="Times New Roman" w:cs="Times New Roman"/>
              </w:rPr>
              <w:t xml:space="preserve">; </w:t>
            </w:r>
            <w:r w:rsidRPr="001458A7">
              <w:rPr>
                <w:rFonts w:ascii="Times New Roman" w:hAnsi="Times New Roman" w:cs="Times New Roman"/>
              </w:rPr>
              <w:t>Overall R² = 0.113</w:t>
            </w:r>
            <w:r>
              <w:rPr>
                <w:rFonts w:ascii="Times New Roman" w:hAnsi="Times New Roman" w:cs="Times New Roman"/>
              </w:rPr>
              <w:t xml:space="preserve">; </w:t>
            </w:r>
            <w:r w:rsidRPr="001458A7">
              <w:rPr>
                <w:rFonts w:ascii="Times New Roman" w:hAnsi="Times New Roman" w:cs="Times New Roman"/>
              </w:rPr>
              <w:t>rho = 0.363</w:t>
            </w:r>
          </w:p>
        </w:tc>
      </w:tr>
    </w:tbl>
    <w:p w14:paraId="71EB8112" w14:textId="3671E96F" w:rsidR="001458A7" w:rsidRDefault="0080214F" w:rsidP="001458A7">
      <w:pPr>
        <w:jc w:val="both"/>
        <w:rPr>
          <w:rFonts w:ascii="Times New Roman" w:hAnsi="Times New Roman" w:cs="Times New Roman"/>
          <w:b/>
          <w:bCs/>
        </w:rPr>
      </w:pPr>
      <w:r>
        <w:rPr>
          <w:rFonts w:ascii="Times New Roman" w:hAnsi="Times New Roman" w:cs="Times New Roman"/>
          <w:b/>
          <w:bCs/>
        </w:rPr>
        <w:t>Source: Researchers’ Computation (2026)</w:t>
      </w:r>
    </w:p>
    <w:p w14:paraId="63B476A1" w14:textId="5E763834" w:rsidR="00E9411D" w:rsidRPr="00E9411D" w:rsidRDefault="00E9411D" w:rsidP="00E9411D">
      <w:pPr>
        <w:spacing w:line="360" w:lineRule="auto"/>
        <w:jc w:val="both"/>
        <w:rPr>
          <w:rFonts w:ascii="Times New Roman" w:hAnsi="Times New Roman" w:cs="Times New Roman"/>
        </w:rPr>
      </w:pPr>
      <w:r w:rsidRPr="00E9411D">
        <w:rPr>
          <w:rFonts w:ascii="Times New Roman" w:hAnsi="Times New Roman" w:cs="Times New Roman"/>
        </w:rPr>
        <w:t xml:space="preserve">Table </w:t>
      </w:r>
      <w:r w:rsidR="006C04CE">
        <w:rPr>
          <w:rFonts w:ascii="Times New Roman" w:hAnsi="Times New Roman" w:cs="Times New Roman"/>
        </w:rPr>
        <w:t>5</w:t>
      </w:r>
      <w:r w:rsidRPr="00E9411D">
        <w:rPr>
          <w:rFonts w:ascii="Times New Roman" w:hAnsi="Times New Roman" w:cs="Times New Roman"/>
        </w:rPr>
        <w:t xml:space="preserve"> </w:t>
      </w:r>
      <w:r w:rsidR="002B6A34" w:rsidRPr="00AB70A6">
        <w:rPr>
          <w:rFonts w:ascii="Times New Roman" w:hAnsi="Times New Roman" w:cs="Times New Roman"/>
          <w:highlight w:val="yellow"/>
        </w:rPr>
        <w:t>present</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 xml:space="preserve">the random effects GLS regression results and </w:t>
      </w:r>
      <w:r w:rsidR="002B6A34" w:rsidRPr="00AB70A6">
        <w:rPr>
          <w:rFonts w:ascii="Times New Roman" w:hAnsi="Times New Roman" w:cs="Times New Roman"/>
          <w:highlight w:val="yellow"/>
        </w:rPr>
        <w:t>show</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that the</w:t>
      </w:r>
      <w:r w:rsidRPr="00E9411D">
        <w:rPr>
          <w:rFonts w:ascii="Times New Roman" w:hAnsi="Times New Roman" w:cs="Times New Roman"/>
        </w:rPr>
        <w:t xml:space="preserve"> model was statistically significant overall, as indicated by the Wald chi² value of 15.</w:t>
      </w:r>
      <w:r w:rsidRPr="00AB70A6">
        <w:rPr>
          <w:rFonts w:ascii="Times New Roman" w:hAnsi="Times New Roman" w:cs="Times New Roman"/>
          <w:highlight w:val="yellow"/>
        </w:rPr>
        <w:t xml:space="preserve">31 with a </w:t>
      </w:r>
      <w:r w:rsidR="002B6A34" w:rsidRPr="00AB70A6">
        <w:rPr>
          <w:rFonts w:ascii="Times New Roman" w:hAnsi="Times New Roman" w:cs="Times New Roman"/>
          <w:highlight w:val="yellow"/>
        </w:rPr>
        <w:t>p</w:t>
      </w:r>
      <w:r w:rsidR="002B6A34" w:rsidRPr="00AB70A6">
        <w:rPr>
          <w:rFonts w:ascii="Times New Roman" w:hAnsi="Times New Roman" w:cs="Times New Roman"/>
          <w:highlight w:val="yellow"/>
        </w:rPr>
        <w:t>-</w:t>
      </w:r>
      <w:r w:rsidRPr="00E9411D">
        <w:rPr>
          <w:rFonts w:ascii="Times New Roman" w:hAnsi="Times New Roman" w:cs="Times New Roman"/>
        </w:rPr>
        <w:t>value of 0.0179, suggesting that the explanatory variables jointly influenced firm value. Training expenditure (TRNEXP) had a negative and significant effect on Tobin’s Q (β = -0.082, p = 0.044), while training participation rate (TRNPR) also showed a negative and highly significant relationship (β = -0.271, p = 0.000), implying that increases in these variables were associated with lower firm value. In contrast, training intensity (TRNINT) exerted a positive and significant effect (β = 0.022, p = 0.040), indicating that more intensive training contributed to improved firm value. However, human capital investment ratio (HCIR) was positive but not statistically significant (p = 0.687), suggesting limited influence on firm value.</w:t>
      </w:r>
    </w:p>
    <w:p w14:paraId="1D37D8EE" w14:textId="2F443A74" w:rsidR="00E9411D" w:rsidRDefault="00E9411D" w:rsidP="00E9411D">
      <w:pPr>
        <w:spacing w:line="360" w:lineRule="auto"/>
        <w:jc w:val="both"/>
        <w:rPr>
          <w:rFonts w:ascii="Times New Roman" w:hAnsi="Times New Roman" w:cs="Times New Roman"/>
        </w:rPr>
      </w:pPr>
      <w:r w:rsidRPr="00E9411D">
        <w:rPr>
          <w:rFonts w:ascii="Times New Roman" w:hAnsi="Times New Roman" w:cs="Times New Roman"/>
        </w:rPr>
        <w:lastRenderedPageBreak/>
        <w:t>Furthermore, the control variables, firm size (FSIZ) and firm age (AGE), were both negative and statistically insignificant, indicating that they did not significantly explain variations in firm value within the sample. The R² values showed modest explanatory power, with an overall R² of 0.113, suggesting that approximately 11.3 per</w:t>
      </w:r>
      <w:r w:rsidR="002B6A34">
        <w:rPr>
          <w:rFonts w:ascii="Times New Roman" w:hAnsi="Times New Roman" w:cs="Times New Roman"/>
        </w:rPr>
        <w:t xml:space="preserve"> </w:t>
      </w:r>
      <w:r w:rsidRPr="00E9411D">
        <w:rPr>
          <w:rFonts w:ascii="Times New Roman" w:hAnsi="Times New Roman" w:cs="Times New Roman"/>
        </w:rPr>
        <w:t xml:space="preserve">cent of the variation in firm value was explained by the model. The rho value of 0.363 indicated moderate </w:t>
      </w:r>
      <w:r w:rsidR="002B6A34" w:rsidRPr="00AB70A6">
        <w:rPr>
          <w:rFonts w:ascii="Times New Roman" w:hAnsi="Times New Roman" w:cs="Times New Roman"/>
          <w:highlight w:val="yellow"/>
        </w:rPr>
        <w:t>panel</w:t>
      </w:r>
      <w:r w:rsidR="002B6A34" w:rsidRPr="00AB70A6">
        <w:rPr>
          <w:rFonts w:ascii="Times New Roman" w:hAnsi="Times New Roman" w:cs="Times New Roman"/>
          <w:highlight w:val="yellow"/>
        </w:rPr>
        <w:t>-</w:t>
      </w:r>
      <w:r w:rsidRPr="00AB70A6">
        <w:rPr>
          <w:rFonts w:ascii="Times New Roman" w:hAnsi="Times New Roman" w:cs="Times New Roman"/>
          <w:highlight w:val="yellow"/>
        </w:rPr>
        <w:t>level variation, supporting</w:t>
      </w:r>
      <w:r w:rsidRPr="00E9411D">
        <w:rPr>
          <w:rFonts w:ascii="Times New Roman" w:hAnsi="Times New Roman" w:cs="Times New Roman"/>
        </w:rPr>
        <w:t xml:space="preserve"> the appropriateness of the random effects estimation. Overall, the results suggested that while certain dimensions of training investment influenced firm value, their effects were </w:t>
      </w:r>
      <w:r w:rsidRPr="00AB70A6">
        <w:rPr>
          <w:rFonts w:ascii="Times New Roman" w:hAnsi="Times New Roman" w:cs="Times New Roman"/>
          <w:highlight w:val="yellow"/>
        </w:rPr>
        <w:t xml:space="preserve">mixed and </w:t>
      </w:r>
      <w:r w:rsidR="002B6A34" w:rsidRPr="00AB70A6">
        <w:rPr>
          <w:rFonts w:ascii="Times New Roman" w:hAnsi="Times New Roman" w:cs="Times New Roman"/>
          <w:highlight w:val="yellow"/>
        </w:rPr>
        <w:t>context</w:t>
      </w:r>
      <w:r w:rsidR="002B6A34" w:rsidRPr="00AB70A6">
        <w:rPr>
          <w:rFonts w:ascii="Times New Roman" w:hAnsi="Times New Roman" w:cs="Times New Roman"/>
          <w:highlight w:val="yellow"/>
        </w:rPr>
        <w:t>-</w:t>
      </w:r>
      <w:r w:rsidRPr="00AB70A6">
        <w:rPr>
          <w:rFonts w:ascii="Times New Roman" w:hAnsi="Times New Roman" w:cs="Times New Roman"/>
          <w:highlight w:val="yellow"/>
        </w:rPr>
        <w:t>dependent.</w:t>
      </w:r>
    </w:p>
    <w:p w14:paraId="0CB1A5D2" w14:textId="77777777" w:rsidR="00790F4E" w:rsidRPr="00E9411D" w:rsidRDefault="00790F4E" w:rsidP="00E9411D">
      <w:pPr>
        <w:spacing w:line="360" w:lineRule="auto"/>
        <w:jc w:val="both"/>
        <w:rPr>
          <w:rFonts w:ascii="Times New Roman" w:hAnsi="Times New Roman" w:cs="Times New Roman"/>
        </w:rPr>
      </w:pPr>
    </w:p>
    <w:p w14:paraId="6E186F79" w14:textId="77777777" w:rsidR="00251B8A" w:rsidRPr="00251B8A" w:rsidRDefault="00251B8A" w:rsidP="00381E8B">
      <w:pPr>
        <w:spacing w:line="360" w:lineRule="auto"/>
        <w:jc w:val="both"/>
        <w:rPr>
          <w:rFonts w:ascii="Times New Roman" w:hAnsi="Times New Roman" w:cs="Times New Roman"/>
          <w:b/>
          <w:bCs/>
        </w:rPr>
      </w:pPr>
      <w:r w:rsidRPr="00251B8A">
        <w:rPr>
          <w:rFonts w:ascii="Times New Roman" w:hAnsi="Times New Roman" w:cs="Times New Roman"/>
          <w:b/>
          <w:bCs/>
        </w:rPr>
        <w:t>4.5.2 Moderating Effect of Board Independence</w:t>
      </w:r>
    </w:p>
    <w:p w14:paraId="3A796414" w14:textId="6613F34B" w:rsidR="00251B8A" w:rsidRPr="00251B8A" w:rsidRDefault="00251B8A" w:rsidP="00381E8B">
      <w:pPr>
        <w:spacing w:line="360" w:lineRule="auto"/>
        <w:jc w:val="both"/>
        <w:rPr>
          <w:rFonts w:ascii="Times New Roman" w:hAnsi="Times New Roman" w:cs="Times New Roman"/>
        </w:rPr>
      </w:pPr>
      <w:r w:rsidRPr="00251B8A">
        <w:rPr>
          <w:rFonts w:ascii="Times New Roman" w:hAnsi="Times New Roman" w:cs="Times New Roman"/>
        </w:rPr>
        <w:t xml:space="preserve">To examine whether board independence (BIND) moderates the relationship between training variables and firm innovation, interaction terms between BIND and each human capital variable were introduced into the random effects model. Cluster-robust standard errors were applied to account for within-group dependence. The results are presented in Table </w:t>
      </w:r>
      <w:r w:rsidR="006C04CE">
        <w:rPr>
          <w:rFonts w:ascii="Times New Roman" w:hAnsi="Times New Roman" w:cs="Times New Roman"/>
        </w:rPr>
        <w:t>6</w:t>
      </w:r>
      <w:r w:rsidRPr="00251B8A">
        <w:rPr>
          <w:rFonts w:ascii="Times New Roman" w:hAnsi="Times New Roman" w:cs="Times New Roman"/>
        </w:rPr>
        <w:t>.</w:t>
      </w:r>
    </w:p>
    <w:p w14:paraId="6A945FDD" w14:textId="3DAA4D6C" w:rsidR="00251B8A" w:rsidRPr="00381E8B" w:rsidRDefault="00251B8A" w:rsidP="0064765F">
      <w:pPr>
        <w:spacing w:after="0"/>
        <w:rPr>
          <w:rFonts w:ascii="Times New Roman" w:hAnsi="Times New Roman" w:cs="Times New Roman"/>
        </w:rPr>
      </w:pPr>
      <w:r w:rsidRPr="00251B8A">
        <w:rPr>
          <w:rFonts w:ascii="Times New Roman" w:hAnsi="Times New Roman" w:cs="Times New Roman"/>
          <w:b/>
          <w:bCs/>
        </w:rPr>
        <w:t xml:space="preserve">Table </w:t>
      </w:r>
      <w:r w:rsidR="006C04CE">
        <w:rPr>
          <w:rFonts w:ascii="Times New Roman" w:hAnsi="Times New Roman" w:cs="Times New Roman"/>
          <w:b/>
          <w:bCs/>
        </w:rPr>
        <w:t>6</w:t>
      </w:r>
      <w:r w:rsidR="00665900">
        <w:rPr>
          <w:rFonts w:ascii="Times New Roman" w:hAnsi="Times New Roman" w:cs="Times New Roman"/>
          <w:b/>
          <w:bCs/>
        </w:rPr>
        <w:t xml:space="preserve">: </w:t>
      </w:r>
      <w:r w:rsidRPr="00381E8B">
        <w:rPr>
          <w:rFonts w:ascii="Times New Roman" w:hAnsi="Times New Roman" w:cs="Times New Roman"/>
        </w:rPr>
        <w:t>Random Effects GLS Regression with Moderating Effects (Dependent Variable: TOBINQ)</w:t>
      </w:r>
    </w:p>
    <w:tbl>
      <w:tblPr>
        <w:tblStyle w:val="PlainTable2"/>
        <w:tblW w:w="0" w:type="auto"/>
        <w:tblBorders>
          <w:top w:val="single" w:sz="4" w:space="0" w:color="auto"/>
          <w:bottom w:val="single" w:sz="4" w:space="0" w:color="auto"/>
        </w:tblBorders>
        <w:tblLook w:val="04A0" w:firstRow="1" w:lastRow="0" w:firstColumn="1" w:lastColumn="0" w:noHBand="0" w:noVBand="1"/>
      </w:tblPr>
      <w:tblGrid>
        <w:gridCol w:w="2050"/>
        <w:gridCol w:w="1609"/>
        <w:gridCol w:w="1339"/>
        <w:gridCol w:w="892"/>
        <w:gridCol w:w="1085"/>
        <w:gridCol w:w="1284"/>
        <w:gridCol w:w="1216"/>
      </w:tblGrid>
      <w:tr w:rsidR="00251B8A" w:rsidRPr="00251B8A" w14:paraId="3C22CACE" w14:textId="77777777" w:rsidTr="00790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hideMark/>
          </w:tcPr>
          <w:p w14:paraId="592E890F" w14:textId="77777777" w:rsidR="00251B8A" w:rsidRPr="00251B8A" w:rsidRDefault="00251B8A" w:rsidP="00790F4E">
            <w:pPr>
              <w:rPr>
                <w:rFonts w:ascii="Times New Roman" w:hAnsi="Times New Roman" w:cs="Times New Roman"/>
                <w:b w:val="0"/>
                <w:bCs w:val="0"/>
              </w:rPr>
            </w:pPr>
            <w:r w:rsidRPr="00251B8A">
              <w:rPr>
                <w:rFonts w:ascii="Times New Roman" w:hAnsi="Times New Roman" w:cs="Times New Roman"/>
              </w:rPr>
              <w:t>Variable</w:t>
            </w:r>
          </w:p>
        </w:tc>
        <w:tc>
          <w:tcPr>
            <w:tcW w:w="1205" w:type="dxa"/>
            <w:tcBorders>
              <w:top w:val="single" w:sz="4" w:space="0" w:color="auto"/>
              <w:bottom w:val="single" w:sz="4" w:space="0" w:color="auto"/>
            </w:tcBorders>
            <w:hideMark/>
          </w:tcPr>
          <w:p w14:paraId="694CF43D"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Coefficient</w:t>
            </w:r>
          </w:p>
        </w:tc>
        <w:tc>
          <w:tcPr>
            <w:tcW w:w="1342" w:type="dxa"/>
            <w:tcBorders>
              <w:top w:val="single" w:sz="4" w:space="0" w:color="auto"/>
              <w:bottom w:val="single" w:sz="4" w:space="0" w:color="auto"/>
            </w:tcBorders>
            <w:hideMark/>
          </w:tcPr>
          <w:p w14:paraId="4842C8A9"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Robust SE</w:t>
            </w:r>
          </w:p>
        </w:tc>
        <w:tc>
          <w:tcPr>
            <w:tcW w:w="889" w:type="dxa"/>
            <w:tcBorders>
              <w:top w:val="single" w:sz="4" w:space="0" w:color="auto"/>
              <w:bottom w:val="single" w:sz="4" w:space="0" w:color="auto"/>
            </w:tcBorders>
            <w:hideMark/>
          </w:tcPr>
          <w:p w14:paraId="4518E8F1"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z</w:t>
            </w:r>
          </w:p>
        </w:tc>
        <w:tc>
          <w:tcPr>
            <w:tcW w:w="1096" w:type="dxa"/>
            <w:tcBorders>
              <w:top w:val="single" w:sz="4" w:space="0" w:color="auto"/>
              <w:bottom w:val="single" w:sz="4" w:space="0" w:color="auto"/>
            </w:tcBorders>
            <w:hideMark/>
          </w:tcPr>
          <w:p w14:paraId="67AD2E74"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p-value</w:t>
            </w:r>
          </w:p>
        </w:tc>
        <w:tc>
          <w:tcPr>
            <w:tcW w:w="1325" w:type="dxa"/>
            <w:tcBorders>
              <w:top w:val="single" w:sz="4" w:space="0" w:color="auto"/>
              <w:bottom w:val="single" w:sz="4" w:space="0" w:color="auto"/>
            </w:tcBorders>
            <w:hideMark/>
          </w:tcPr>
          <w:p w14:paraId="79DC0E39"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95% CI Lower</w:t>
            </w:r>
          </w:p>
        </w:tc>
        <w:tc>
          <w:tcPr>
            <w:tcW w:w="1208" w:type="dxa"/>
            <w:tcBorders>
              <w:top w:val="single" w:sz="4" w:space="0" w:color="auto"/>
              <w:bottom w:val="single" w:sz="4" w:space="0" w:color="auto"/>
            </w:tcBorders>
            <w:hideMark/>
          </w:tcPr>
          <w:p w14:paraId="0A1AAB1A" w14:textId="77777777" w:rsidR="00251B8A" w:rsidRPr="00251B8A" w:rsidRDefault="00251B8A" w:rsidP="00790F4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51B8A">
              <w:rPr>
                <w:rFonts w:ascii="Times New Roman" w:hAnsi="Times New Roman" w:cs="Times New Roman"/>
              </w:rPr>
              <w:t>95% CI Upper</w:t>
            </w:r>
          </w:p>
        </w:tc>
      </w:tr>
      <w:tr w:rsidR="00251B8A" w:rsidRPr="00251B8A" w14:paraId="0B8DC4E7"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one" w:sz="0" w:space="0" w:color="auto"/>
            </w:tcBorders>
            <w:hideMark/>
          </w:tcPr>
          <w:p w14:paraId="1DCB09D2"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TRNEXP</w:t>
            </w:r>
          </w:p>
        </w:tc>
        <w:tc>
          <w:tcPr>
            <w:tcW w:w="1205" w:type="dxa"/>
            <w:tcBorders>
              <w:top w:val="single" w:sz="4" w:space="0" w:color="auto"/>
              <w:bottom w:val="none" w:sz="0" w:space="0" w:color="auto"/>
            </w:tcBorders>
            <w:hideMark/>
          </w:tcPr>
          <w:p w14:paraId="11446D9F"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-2.346</w:t>
            </w:r>
          </w:p>
        </w:tc>
        <w:tc>
          <w:tcPr>
            <w:tcW w:w="1342" w:type="dxa"/>
            <w:tcBorders>
              <w:top w:val="single" w:sz="4" w:space="0" w:color="auto"/>
              <w:bottom w:val="none" w:sz="0" w:space="0" w:color="auto"/>
            </w:tcBorders>
            <w:hideMark/>
          </w:tcPr>
          <w:p w14:paraId="092E264F"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1.118</w:t>
            </w:r>
          </w:p>
        </w:tc>
        <w:tc>
          <w:tcPr>
            <w:tcW w:w="889" w:type="dxa"/>
            <w:tcBorders>
              <w:top w:val="single" w:sz="4" w:space="0" w:color="auto"/>
              <w:bottom w:val="none" w:sz="0" w:space="0" w:color="auto"/>
            </w:tcBorders>
            <w:hideMark/>
          </w:tcPr>
          <w:p w14:paraId="4A806B5B"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-2.10</w:t>
            </w:r>
          </w:p>
        </w:tc>
        <w:tc>
          <w:tcPr>
            <w:tcW w:w="1096" w:type="dxa"/>
            <w:tcBorders>
              <w:top w:val="single" w:sz="4" w:space="0" w:color="auto"/>
              <w:bottom w:val="none" w:sz="0" w:space="0" w:color="auto"/>
            </w:tcBorders>
            <w:hideMark/>
          </w:tcPr>
          <w:p w14:paraId="3BA366EA"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0.036</w:t>
            </w:r>
          </w:p>
        </w:tc>
        <w:tc>
          <w:tcPr>
            <w:tcW w:w="1325" w:type="dxa"/>
            <w:tcBorders>
              <w:top w:val="single" w:sz="4" w:space="0" w:color="auto"/>
              <w:bottom w:val="none" w:sz="0" w:space="0" w:color="auto"/>
            </w:tcBorders>
            <w:hideMark/>
          </w:tcPr>
          <w:p w14:paraId="06AFE538"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-4.537</w:t>
            </w:r>
          </w:p>
        </w:tc>
        <w:tc>
          <w:tcPr>
            <w:tcW w:w="1208" w:type="dxa"/>
            <w:tcBorders>
              <w:top w:val="single" w:sz="4" w:space="0" w:color="auto"/>
              <w:bottom w:val="none" w:sz="0" w:space="0" w:color="auto"/>
            </w:tcBorders>
            <w:hideMark/>
          </w:tcPr>
          <w:p w14:paraId="24F95064"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-0.156</w:t>
            </w:r>
          </w:p>
        </w:tc>
      </w:tr>
      <w:tr w:rsidR="00251B8A" w:rsidRPr="00251B8A" w14:paraId="689D8F82"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58C78AB6"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BIND</w:t>
            </w:r>
          </w:p>
        </w:tc>
        <w:tc>
          <w:tcPr>
            <w:tcW w:w="1205" w:type="dxa"/>
            <w:hideMark/>
          </w:tcPr>
          <w:p w14:paraId="7A215C2E"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0.890</w:t>
            </w:r>
          </w:p>
        </w:tc>
        <w:tc>
          <w:tcPr>
            <w:tcW w:w="1342" w:type="dxa"/>
            <w:hideMark/>
          </w:tcPr>
          <w:p w14:paraId="6CDA3869"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0.776</w:t>
            </w:r>
          </w:p>
        </w:tc>
        <w:tc>
          <w:tcPr>
            <w:tcW w:w="889" w:type="dxa"/>
            <w:hideMark/>
          </w:tcPr>
          <w:p w14:paraId="0AB2FCF9"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1.15</w:t>
            </w:r>
          </w:p>
        </w:tc>
        <w:tc>
          <w:tcPr>
            <w:tcW w:w="1096" w:type="dxa"/>
            <w:hideMark/>
          </w:tcPr>
          <w:p w14:paraId="0F9F946F"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0.251</w:t>
            </w:r>
          </w:p>
        </w:tc>
        <w:tc>
          <w:tcPr>
            <w:tcW w:w="1325" w:type="dxa"/>
            <w:hideMark/>
          </w:tcPr>
          <w:p w14:paraId="780E0DBC"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-0.630</w:t>
            </w:r>
          </w:p>
        </w:tc>
        <w:tc>
          <w:tcPr>
            <w:tcW w:w="1208" w:type="dxa"/>
            <w:hideMark/>
          </w:tcPr>
          <w:p w14:paraId="4E31D3F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2.410</w:t>
            </w:r>
          </w:p>
        </w:tc>
      </w:tr>
      <w:tr w:rsidR="00251B8A" w:rsidRPr="00251B8A" w14:paraId="1D06CD35"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hideMark/>
          </w:tcPr>
          <w:p w14:paraId="7F9753D3"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TRNEXP × BIND</w:t>
            </w:r>
          </w:p>
        </w:tc>
        <w:tc>
          <w:tcPr>
            <w:tcW w:w="1205" w:type="dxa"/>
            <w:tcBorders>
              <w:top w:val="none" w:sz="0" w:space="0" w:color="auto"/>
              <w:bottom w:val="none" w:sz="0" w:space="0" w:color="auto"/>
            </w:tcBorders>
            <w:hideMark/>
          </w:tcPr>
          <w:p w14:paraId="6B77D18B"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0.466</w:t>
            </w:r>
          </w:p>
        </w:tc>
        <w:tc>
          <w:tcPr>
            <w:tcW w:w="1342" w:type="dxa"/>
            <w:tcBorders>
              <w:top w:val="none" w:sz="0" w:space="0" w:color="auto"/>
              <w:bottom w:val="none" w:sz="0" w:space="0" w:color="auto"/>
            </w:tcBorders>
            <w:hideMark/>
          </w:tcPr>
          <w:p w14:paraId="6EAEA021"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0.226</w:t>
            </w:r>
          </w:p>
        </w:tc>
        <w:tc>
          <w:tcPr>
            <w:tcW w:w="889" w:type="dxa"/>
            <w:tcBorders>
              <w:top w:val="none" w:sz="0" w:space="0" w:color="auto"/>
              <w:bottom w:val="none" w:sz="0" w:space="0" w:color="auto"/>
            </w:tcBorders>
            <w:hideMark/>
          </w:tcPr>
          <w:p w14:paraId="3C41FBB6"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2.06</w:t>
            </w:r>
          </w:p>
        </w:tc>
        <w:tc>
          <w:tcPr>
            <w:tcW w:w="1096" w:type="dxa"/>
            <w:tcBorders>
              <w:top w:val="none" w:sz="0" w:space="0" w:color="auto"/>
              <w:bottom w:val="none" w:sz="0" w:space="0" w:color="auto"/>
            </w:tcBorders>
            <w:hideMark/>
          </w:tcPr>
          <w:p w14:paraId="4A625A58"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0.039</w:t>
            </w:r>
          </w:p>
        </w:tc>
        <w:tc>
          <w:tcPr>
            <w:tcW w:w="1325" w:type="dxa"/>
            <w:tcBorders>
              <w:top w:val="none" w:sz="0" w:space="0" w:color="auto"/>
              <w:bottom w:val="none" w:sz="0" w:space="0" w:color="auto"/>
            </w:tcBorders>
            <w:hideMark/>
          </w:tcPr>
          <w:p w14:paraId="3A30CB05"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0.023</w:t>
            </w:r>
          </w:p>
        </w:tc>
        <w:tc>
          <w:tcPr>
            <w:tcW w:w="1208" w:type="dxa"/>
            <w:tcBorders>
              <w:top w:val="none" w:sz="0" w:space="0" w:color="auto"/>
              <w:bottom w:val="none" w:sz="0" w:space="0" w:color="auto"/>
            </w:tcBorders>
            <w:hideMark/>
          </w:tcPr>
          <w:p w14:paraId="7CE94B9D"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0.908</w:t>
            </w:r>
          </w:p>
        </w:tc>
      </w:tr>
      <w:tr w:rsidR="00251B8A" w:rsidRPr="00251B8A" w14:paraId="0E8563FD"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28FB37CE"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TRNPR</w:t>
            </w:r>
          </w:p>
        </w:tc>
        <w:tc>
          <w:tcPr>
            <w:tcW w:w="1205" w:type="dxa"/>
            <w:hideMark/>
          </w:tcPr>
          <w:p w14:paraId="4898B39A"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-5.686</w:t>
            </w:r>
          </w:p>
        </w:tc>
        <w:tc>
          <w:tcPr>
            <w:tcW w:w="1342" w:type="dxa"/>
            <w:hideMark/>
          </w:tcPr>
          <w:p w14:paraId="252EE5A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2.971</w:t>
            </w:r>
          </w:p>
        </w:tc>
        <w:tc>
          <w:tcPr>
            <w:tcW w:w="889" w:type="dxa"/>
            <w:hideMark/>
          </w:tcPr>
          <w:p w14:paraId="132CEED1"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-1.91</w:t>
            </w:r>
          </w:p>
        </w:tc>
        <w:tc>
          <w:tcPr>
            <w:tcW w:w="1096" w:type="dxa"/>
            <w:hideMark/>
          </w:tcPr>
          <w:p w14:paraId="3DD295C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0.056</w:t>
            </w:r>
          </w:p>
        </w:tc>
        <w:tc>
          <w:tcPr>
            <w:tcW w:w="1325" w:type="dxa"/>
            <w:hideMark/>
          </w:tcPr>
          <w:p w14:paraId="52C8C291"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-11.509</w:t>
            </w:r>
          </w:p>
        </w:tc>
        <w:tc>
          <w:tcPr>
            <w:tcW w:w="1208" w:type="dxa"/>
            <w:hideMark/>
          </w:tcPr>
          <w:p w14:paraId="7ADD1541"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0.136</w:t>
            </w:r>
          </w:p>
        </w:tc>
      </w:tr>
      <w:tr w:rsidR="00251B8A" w:rsidRPr="00251B8A" w14:paraId="6E9EADFD"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hideMark/>
          </w:tcPr>
          <w:p w14:paraId="2E59A0AD"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TRNPR × BIND</w:t>
            </w:r>
          </w:p>
        </w:tc>
        <w:tc>
          <w:tcPr>
            <w:tcW w:w="1205" w:type="dxa"/>
            <w:tcBorders>
              <w:top w:val="none" w:sz="0" w:space="0" w:color="auto"/>
              <w:bottom w:val="none" w:sz="0" w:space="0" w:color="auto"/>
            </w:tcBorders>
            <w:hideMark/>
          </w:tcPr>
          <w:p w14:paraId="3F75D66D"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1.110</w:t>
            </w:r>
          </w:p>
        </w:tc>
        <w:tc>
          <w:tcPr>
            <w:tcW w:w="1342" w:type="dxa"/>
            <w:tcBorders>
              <w:top w:val="none" w:sz="0" w:space="0" w:color="auto"/>
              <w:bottom w:val="none" w:sz="0" w:space="0" w:color="auto"/>
            </w:tcBorders>
            <w:hideMark/>
          </w:tcPr>
          <w:p w14:paraId="26AFFBAD"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0.591</w:t>
            </w:r>
          </w:p>
        </w:tc>
        <w:tc>
          <w:tcPr>
            <w:tcW w:w="889" w:type="dxa"/>
            <w:tcBorders>
              <w:top w:val="none" w:sz="0" w:space="0" w:color="auto"/>
              <w:bottom w:val="none" w:sz="0" w:space="0" w:color="auto"/>
            </w:tcBorders>
            <w:hideMark/>
          </w:tcPr>
          <w:p w14:paraId="4856DACA"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1.88</w:t>
            </w:r>
          </w:p>
        </w:tc>
        <w:tc>
          <w:tcPr>
            <w:tcW w:w="1096" w:type="dxa"/>
            <w:tcBorders>
              <w:top w:val="none" w:sz="0" w:space="0" w:color="auto"/>
              <w:bottom w:val="none" w:sz="0" w:space="0" w:color="auto"/>
            </w:tcBorders>
            <w:hideMark/>
          </w:tcPr>
          <w:p w14:paraId="4714410A"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0.060</w:t>
            </w:r>
          </w:p>
        </w:tc>
        <w:tc>
          <w:tcPr>
            <w:tcW w:w="1325" w:type="dxa"/>
            <w:tcBorders>
              <w:top w:val="none" w:sz="0" w:space="0" w:color="auto"/>
              <w:bottom w:val="none" w:sz="0" w:space="0" w:color="auto"/>
            </w:tcBorders>
            <w:hideMark/>
          </w:tcPr>
          <w:p w14:paraId="6F0FE550"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-0.048</w:t>
            </w:r>
          </w:p>
        </w:tc>
        <w:tc>
          <w:tcPr>
            <w:tcW w:w="1208" w:type="dxa"/>
            <w:tcBorders>
              <w:top w:val="none" w:sz="0" w:space="0" w:color="auto"/>
              <w:bottom w:val="none" w:sz="0" w:space="0" w:color="auto"/>
            </w:tcBorders>
            <w:hideMark/>
          </w:tcPr>
          <w:p w14:paraId="4FDD0F3E"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2.267</w:t>
            </w:r>
          </w:p>
        </w:tc>
      </w:tr>
      <w:tr w:rsidR="00251B8A" w:rsidRPr="00251B8A" w14:paraId="6F6A84DB"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5885B566"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TRNINT</w:t>
            </w:r>
          </w:p>
        </w:tc>
        <w:tc>
          <w:tcPr>
            <w:tcW w:w="1205" w:type="dxa"/>
            <w:hideMark/>
          </w:tcPr>
          <w:p w14:paraId="1C8CF8E0"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1.224</w:t>
            </w:r>
          </w:p>
        </w:tc>
        <w:tc>
          <w:tcPr>
            <w:tcW w:w="1342" w:type="dxa"/>
            <w:hideMark/>
          </w:tcPr>
          <w:p w14:paraId="673475A6"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0.503</w:t>
            </w:r>
          </w:p>
        </w:tc>
        <w:tc>
          <w:tcPr>
            <w:tcW w:w="889" w:type="dxa"/>
            <w:hideMark/>
          </w:tcPr>
          <w:p w14:paraId="62925E0F"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2.44</w:t>
            </w:r>
          </w:p>
        </w:tc>
        <w:tc>
          <w:tcPr>
            <w:tcW w:w="1096" w:type="dxa"/>
            <w:hideMark/>
          </w:tcPr>
          <w:p w14:paraId="242F4FD9"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0.015</w:t>
            </w:r>
          </w:p>
        </w:tc>
        <w:tc>
          <w:tcPr>
            <w:tcW w:w="1325" w:type="dxa"/>
            <w:hideMark/>
          </w:tcPr>
          <w:p w14:paraId="46170EF9"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0.239</w:t>
            </w:r>
          </w:p>
        </w:tc>
        <w:tc>
          <w:tcPr>
            <w:tcW w:w="1208" w:type="dxa"/>
            <w:hideMark/>
          </w:tcPr>
          <w:p w14:paraId="7DA649CF"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2.209</w:t>
            </w:r>
          </w:p>
        </w:tc>
      </w:tr>
      <w:tr w:rsidR="00251B8A" w:rsidRPr="00251B8A" w14:paraId="36EBB73E"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hideMark/>
          </w:tcPr>
          <w:p w14:paraId="6477ACBC"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TRNINT × BIND</w:t>
            </w:r>
          </w:p>
        </w:tc>
        <w:tc>
          <w:tcPr>
            <w:tcW w:w="1205" w:type="dxa"/>
            <w:tcBorders>
              <w:top w:val="none" w:sz="0" w:space="0" w:color="auto"/>
              <w:bottom w:val="none" w:sz="0" w:space="0" w:color="auto"/>
            </w:tcBorders>
            <w:hideMark/>
          </w:tcPr>
          <w:p w14:paraId="5E2A86C8"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-0.246</w:t>
            </w:r>
          </w:p>
        </w:tc>
        <w:tc>
          <w:tcPr>
            <w:tcW w:w="1342" w:type="dxa"/>
            <w:tcBorders>
              <w:top w:val="none" w:sz="0" w:space="0" w:color="auto"/>
              <w:bottom w:val="none" w:sz="0" w:space="0" w:color="auto"/>
            </w:tcBorders>
            <w:hideMark/>
          </w:tcPr>
          <w:p w14:paraId="2081825F"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0.102</w:t>
            </w:r>
          </w:p>
        </w:tc>
        <w:tc>
          <w:tcPr>
            <w:tcW w:w="889" w:type="dxa"/>
            <w:tcBorders>
              <w:top w:val="none" w:sz="0" w:space="0" w:color="auto"/>
              <w:bottom w:val="none" w:sz="0" w:space="0" w:color="auto"/>
            </w:tcBorders>
            <w:hideMark/>
          </w:tcPr>
          <w:p w14:paraId="23733694"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-2.41</w:t>
            </w:r>
          </w:p>
        </w:tc>
        <w:tc>
          <w:tcPr>
            <w:tcW w:w="1096" w:type="dxa"/>
            <w:tcBorders>
              <w:top w:val="none" w:sz="0" w:space="0" w:color="auto"/>
              <w:bottom w:val="none" w:sz="0" w:space="0" w:color="auto"/>
            </w:tcBorders>
            <w:hideMark/>
          </w:tcPr>
          <w:p w14:paraId="16018ADC"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0.016</w:t>
            </w:r>
          </w:p>
        </w:tc>
        <w:tc>
          <w:tcPr>
            <w:tcW w:w="1325" w:type="dxa"/>
            <w:tcBorders>
              <w:top w:val="none" w:sz="0" w:space="0" w:color="auto"/>
              <w:bottom w:val="none" w:sz="0" w:space="0" w:color="auto"/>
            </w:tcBorders>
            <w:hideMark/>
          </w:tcPr>
          <w:p w14:paraId="5438CB26"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-0.447</w:t>
            </w:r>
          </w:p>
        </w:tc>
        <w:tc>
          <w:tcPr>
            <w:tcW w:w="1208" w:type="dxa"/>
            <w:tcBorders>
              <w:top w:val="none" w:sz="0" w:space="0" w:color="auto"/>
              <w:bottom w:val="none" w:sz="0" w:space="0" w:color="auto"/>
            </w:tcBorders>
            <w:hideMark/>
          </w:tcPr>
          <w:p w14:paraId="21D6579C"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-0.046</w:t>
            </w:r>
          </w:p>
        </w:tc>
      </w:tr>
      <w:tr w:rsidR="00251B8A" w:rsidRPr="00251B8A" w14:paraId="1972ED7E"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0BE18883"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HCIR</w:t>
            </w:r>
          </w:p>
        </w:tc>
        <w:tc>
          <w:tcPr>
            <w:tcW w:w="1205" w:type="dxa"/>
            <w:hideMark/>
          </w:tcPr>
          <w:p w14:paraId="663ECBE6"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1.570</w:t>
            </w:r>
          </w:p>
        </w:tc>
        <w:tc>
          <w:tcPr>
            <w:tcW w:w="1342" w:type="dxa"/>
            <w:hideMark/>
          </w:tcPr>
          <w:p w14:paraId="12212D3F"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1.106</w:t>
            </w:r>
          </w:p>
        </w:tc>
        <w:tc>
          <w:tcPr>
            <w:tcW w:w="889" w:type="dxa"/>
            <w:hideMark/>
          </w:tcPr>
          <w:p w14:paraId="1DD17293"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1.42</w:t>
            </w:r>
          </w:p>
        </w:tc>
        <w:tc>
          <w:tcPr>
            <w:tcW w:w="1096" w:type="dxa"/>
            <w:hideMark/>
          </w:tcPr>
          <w:p w14:paraId="07253D15"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0.156</w:t>
            </w:r>
          </w:p>
        </w:tc>
        <w:tc>
          <w:tcPr>
            <w:tcW w:w="1325" w:type="dxa"/>
            <w:hideMark/>
          </w:tcPr>
          <w:p w14:paraId="3AA513A3"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-0.597</w:t>
            </w:r>
          </w:p>
        </w:tc>
        <w:tc>
          <w:tcPr>
            <w:tcW w:w="1208" w:type="dxa"/>
            <w:hideMark/>
          </w:tcPr>
          <w:p w14:paraId="69EF393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3.736</w:t>
            </w:r>
          </w:p>
        </w:tc>
      </w:tr>
      <w:tr w:rsidR="00251B8A" w:rsidRPr="00251B8A" w14:paraId="6D482458"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hideMark/>
          </w:tcPr>
          <w:p w14:paraId="690DAD93"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HCIR × BIND</w:t>
            </w:r>
          </w:p>
        </w:tc>
        <w:tc>
          <w:tcPr>
            <w:tcW w:w="1205" w:type="dxa"/>
            <w:tcBorders>
              <w:top w:val="none" w:sz="0" w:space="0" w:color="auto"/>
              <w:bottom w:val="none" w:sz="0" w:space="0" w:color="auto"/>
            </w:tcBorders>
            <w:hideMark/>
          </w:tcPr>
          <w:p w14:paraId="4CC8C016"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-0.315</w:t>
            </w:r>
          </w:p>
        </w:tc>
        <w:tc>
          <w:tcPr>
            <w:tcW w:w="1342" w:type="dxa"/>
            <w:tcBorders>
              <w:top w:val="none" w:sz="0" w:space="0" w:color="auto"/>
              <w:bottom w:val="none" w:sz="0" w:space="0" w:color="auto"/>
            </w:tcBorders>
            <w:hideMark/>
          </w:tcPr>
          <w:p w14:paraId="4C7DE41C"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0.223</w:t>
            </w:r>
          </w:p>
        </w:tc>
        <w:tc>
          <w:tcPr>
            <w:tcW w:w="889" w:type="dxa"/>
            <w:tcBorders>
              <w:top w:val="none" w:sz="0" w:space="0" w:color="auto"/>
              <w:bottom w:val="none" w:sz="0" w:space="0" w:color="auto"/>
            </w:tcBorders>
            <w:hideMark/>
          </w:tcPr>
          <w:p w14:paraId="14A4D107"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-1.41</w:t>
            </w:r>
          </w:p>
        </w:tc>
        <w:tc>
          <w:tcPr>
            <w:tcW w:w="1096" w:type="dxa"/>
            <w:tcBorders>
              <w:top w:val="none" w:sz="0" w:space="0" w:color="auto"/>
              <w:bottom w:val="none" w:sz="0" w:space="0" w:color="auto"/>
            </w:tcBorders>
            <w:hideMark/>
          </w:tcPr>
          <w:p w14:paraId="11F3BEA1"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0.158</w:t>
            </w:r>
          </w:p>
        </w:tc>
        <w:tc>
          <w:tcPr>
            <w:tcW w:w="1325" w:type="dxa"/>
            <w:tcBorders>
              <w:top w:val="none" w:sz="0" w:space="0" w:color="auto"/>
              <w:bottom w:val="none" w:sz="0" w:space="0" w:color="auto"/>
            </w:tcBorders>
            <w:hideMark/>
          </w:tcPr>
          <w:p w14:paraId="4EE4EC19"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-0.752</w:t>
            </w:r>
          </w:p>
        </w:tc>
        <w:tc>
          <w:tcPr>
            <w:tcW w:w="1208" w:type="dxa"/>
            <w:tcBorders>
              <w:top w:val="none" w:sz="0" w:space="0" w:color="auto"/>
              <w:bottom w:val="none" w:sz="0" w:space="0" w:color="auto"/>
            </w:tcBorders>
            <w:hideMark/>
          </w:tcPr>
          <w:p w14:paraId="3F424B1B"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0.122</w:t>
            </w:r>
          </w:p>
        </w:tc>
      </w:tr>
      <w:tr w:rsidR="00251B8A" w:rsidRPr="00251B8A" w14:paraId="73C4A9CF"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03A7467F"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FSIZ</w:t>
            </w:r>
          </w:p>
        </w:tc>
        <w:tc>
          <w:tcPr>
            <w:tcW w:w="1205" w:type="dxa"/>
            <w:hideMark/>
          </w:tcPr>
          <w:p w14:paraId="434839CC"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-0.007</w:t>
            </w:r>
          </w:p>
        </w:tc>
        <w:tc>
          <w:tcPr>
            <w:tcW w:w="1342" w:type="dxa"/>
            <w:hideMark/>
          </w:tcPr>
          <w:p w14:paraId="44DE21C6"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0.060</w:t>
            </w:r>
          </w:p>
        </w:tc>
        <w:tc>
          <w:tcPr>
            <w:tcW w:w="889" w:type="dxa"/>
            <w:hideMark/>
          </w:tcPr>
          <w:p w14:paraId="18C27A88"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-0.12</w:t>
            </w:r>
          </w:p>
        </w:tc>
        <w:tc>
          <w:tcPr>
            <w:tcW w:w="1096" w:type="dxa"/>
            <w:hideMark/>
          </w:tcPr>
          <w:p w14:paraId="77E35F76"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0.902</w:t>
            </w:r>
          </w:p>
        </w:tc>
        <w:tc>
          <w:tcPr>
            <w:tcW w:w="1325" w:type="dxa"/>
            <w:hideMark/>
          </w:tcPr>
          <w:p w14:paraId="68D22A93"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-0.125</w:t>
            </w:r>
          </w:p>
        </w:tc>
        <w:tc>
          <w:tcPr>
            <w:tcW w:w="1208" w:type="dxa"/>
            <w:hideMark/>
          </w:tcPr>
          <w:p w14:paraId="61B83B3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0.110</w:t>
            </w:r>
          </w:p>
        </w:tc>
      </w:tr>
      <w:tr w:rsidR="00251B8A" w:rsidRPr="00251B8A" w14:paraId="47F2B23C"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hideMark/>
          </w:tcPr>
          <w:p w14:paraId="5AB35B90"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AGE</w:t>
            </w:r>
          </w:p>
        </w:tc>
        <w:tc>
          <w:tcPr>
            <w:tcW w:w="1205" w:type="dxa"/>
            <w:tcBorders>
              <w:top w:val="none" w:sz="0" w:space="0" w:color="auto"/>
              <w:bottom w:val="none" w:sz="0" w:space="0" w:color="auto"/>
            </w:tcBorders>
            <w:hideMark/>
          </w:tcPr>
          <w:p w14:paraId="2DCC9CC6"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0.004</w:t>
            </w:r>
          </w:p>
        </w:tc>
        <w:tc>
          <w:tcPr>
            <w:tcW w:w="1342" w:type="dxa"/>
            <w:tcBorders>
              <w:top w:val="none" w:sz="0" w:space="0" w:color="auto"/>
              <w:bottom w:val="none" w:sz="0" w:space="0" w:color="auto"/>
            </w:tcBorders>
            <w:hideMark/>
          </w:tcPr>
          <w:p w14:paraId="1DA71C44"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0.004</w:t>
            </w:r>
          </w:p>
        </w:tc>
        <w:tc>
          <w:tcPr>
            <w:tcW w:w="889" w:type="dxa"/>
            <w:tcBorders>
              <w:top w:val="none" w:sz="0" w:space="0" w:color="auto"/>
              <w:bottom w:val="none" w:sz="0" w:space="0" w:color="auto"/>
            </w:tcBorders>
            <w:hideMark/>
          </w:tcPr>
          <w:p w14:paraId="2EF4295B"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1.00</w:t>
            </w:r>
          </w:p>
        </w:tc>
        <w:tc>
          <w:tcPr>
            <w:tcW w:w="1096" w:type="dxa"/>
            <w:tcBorders>
              <w:top w:val="none" w:sz="0" w:space="0" w:color="auto"/>
              <w:bottom w:val="none" w:sz="0" w:space="0" w:color="auto"/>
            </w:tcBorders>
            <w:hideMark/>
          </w:tcPr>
          <w:p w14:paraId="67E35AED"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0.318</w:t>
            </w:r>
          </w:p>
        </w:tc>
        <w:tc>
          <w:tcPr>
            <w:tcW w:w="1325" w:type="dxa"/>
            <w:tcBorders>
              <w:top w:val="none" w:sz="0" w:space="0" w:color="auto"/>
              <w:bottom w:val="none" w:sz="0" w:space="0" w:color="auto"/>
            </w:tcBorders>
            <w:hideMark/>
          </w:tcPr>
          <w:p w14:paraId="18243242"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-0.004</w:t>
            </w:r>
          </w:p>
        </w:tc>
        <w:tc>
          <w:tcPr>
            <w:tcW w:w="1208" w:type="dxa"/>
            <w:tcBorders>
              <w:top w:val="none" w:sz="0" w:space="0" w:color="auto"/>
              <w:bottom w:val="none" w:sz="0" w:space="0" w:color="auto"/>
            </w:tcBorders>
            <w:hideMark/>
          </w:tcPr>
          <w:p w14:paraId="3FA8C0A1" w14:textId="77777777" w:rsidR="00251B8A" w:rsidRPr="00251B8A" w:rsidRDefault="00251B8A" w:rsidP="00790F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0.011</w:t>
            </w:r>
          </w:p>
        </w:tc>
      </w:tr>
      <w:tr w:rsidR="00251B8A" w:rsidRPr="00251B8A" w14:paraId="2A38314B" w14:textId="77777777" w:rsidTr="00790F4E">
        <w:tc>
          <w:tcPr>
            <w:cnfStyle w:val="001000000000" w:firstRow="0" w:lastRow="0" w:firstColumn="1" w:lastColumn="0" w:oddVBand="0" w:evenVBand="0" w:oddHBand="0" w:evenHBand="0" w:firstRowFirstColumn="0" w:firstRowLastColumn="0" w:lastRowFirstColumn="0" w:lastRowLastColumn="0"/>
            <w:tcW w:w="2410" w:type="dxa"/>
            <w:hideMark/>
          </w:tcPr>
          <w:p w14:paraId="44AC8828" w14:textId="77777777" w:rsidR="00251B8A" w:rsidRPr="00251B8A" w:rsidRDefault="00251B8A" w:rsidP="00790F4E">
            <w:pPr>
              <w:rPr>
                <w:rFonts w:ascii="Times New Roman" w:hAnsi="Times New Roman" w:cs="Times New Roman"/>
              </w:rPr>
            </w:pPr>
            <w:r w:rsidRPr="00251B8A">
              <w:rPr>
                <w:rFonts w:ascii="Times New Roman" w:hAnsi="Times New Roman" w:cs="Times New Roman"/>
              </w:rPr>
              <w:t>Constant</w:t>
            </w:r>
          </w:p>
        </w:tc>
        <w:tc>
          <w:tcPr>
            <w:tcW w:w="1205" w:type="dxa"/>
            <w:hideMark/>
          </w:tcPr>
          <w:p w14:paraId="29F030A3"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-3.990</w:t>
            </w:r>
          </w:p>
        </w:tc>
        <w:tc>
          <w:tcPr>
            <w:tcW w:w="1342" w:type="dxa"/>
            <w:hideMark/>
          </w:tcPr>
          <w:p w14:paraId="7E86A957"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4.006</w:t>
            </w:r>
          </w:p>
        </w:tc>
        <w:tc>
          <w:tcPr>
            <w:tcW w:w="889" w:type="dxa"/>
            <w:hideMark/>
          </w:tcPr>
          <w:p w14:paraId="0F1B5D6D"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-1.00</w:t>
            </w:r>
          </w:p>
        </w:tc>
        <w:tc>
          <w:tcPr>
            <w:tcW w:w="1096" w:type="dxa"/>
            <w:hideMark/>
          </w:tcPr>
          <w:p w14:paraId="27DBEAF4"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0.319</w:t>
            </w:r>
          </w:p>
        </w:tc>
        <w:tc>
          <w:tcPr>
            <w:tcW w:w="1325" w:type="dxa"/>
            <w:hideMark/>
          </w:tcPr>
          <w:p w14:paraId="3AD149A3"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-11.842</w:t>
            </w:r>
          </w:p>
        </w:tc>
        <w:tc>
          <w:tcPr>
            <w:tcW w:w="1208" w:type="dxa"/>
            <w:hideMark/>
          </w:tcPr>
          <w:p w14:paraId="0A02D87F" w14:textId="77777777" w:rsidR="00251B8A" w:rsidRPr="00251B8A" w:rsidRDefault="00251B8A" w:rsidP="00790F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1B8A">
              <w:rPr>
                <w:rFonts w:ascii="Times New Roman" w:hAnsi="Times New Roman" w:cs="Times New Roman"/>
              </w:rPr>
              <w:t>3.861</w:t>
            </w:r>
          </w:p>
        </w:tc>
      </w:tr>
      <w:tr w:rsidR="00251B8A" w:rsidRPr="00251B8A" w14:paraId="5A33C239" w14:textId="77777777" w:rsidTr="00790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top w:val="none" w:sz="0" w:space="0" w:color="auto"/>
              <w:bottom w:val="none" w:sz="0" w:space="0" w:color="auto"/>
            </w:tcBorders>
          </w:tcPr>
          <w:p w14:paraId="785B1B50" w14:textId="3EE31081" w:rsidR="00251B8A" w:rsidRPr="00251B8A" w:rsidRDefault="00251B8A" w:rsidP="00790F4E">
            <w:pPr>
              <w:rPr>
                <w:rFonts w:ascii="Times New Roman" w:hAnsi="Times New Roman" w:cs="Times New Roman"/>
              </w:rPr>
            </w:pPr>
            <w:r w:rsidRPr="00251B8A">
              <w:rPr>
                <w:rFonts w:ascii="Times New Roman" w:hAnsi="Times New Roman" w:cs="Times New Roman"/>
              </w:rPr>
              <w:t>Model statistics:</w:t>
            </w:r>
            <w:r>
              <w:rPr>
                <w:rFonts w:ascii="Times New Roman" w:hAnsi="Times New Roman" w:cs="Times New Roman"/>
              </w:rPr>
              <w:t xml:space="preserve"> Obs</w:t>
            </w:r>
            <w:r w:rsidRPr="00251B8A">
              <w:rPr>
                <w:rFonts w:ascii="Times New Roman" w:hAnsi="Times New Roman" w:cs="Times New Roman"/>
              </w:rPr>
              <w:t xml:space="preserve"> = 1</w:t>
            </w:r>
            <w:r w:rsidR="002A54DE">
              <w:rPr>
                <w:rFonts w:ascii="Times New Roman" w:hAnsi="Times New Roman" w:cs="Times New Roman"/>
              </w:rPr>
              <w:t>20</w:t>
            </w:r>
            <w:r>
              <w:rPr>
                <w:rFonts w:ascii="Times New Roman" w:hAnsi="Times New Roman" w:cs="Times New Roman"/>
              </w:rPr>
              <w:t>; G</w:t>
            </w:r>
            <w:r w:rsidRPr="00251B8A">
              <w:rPr>
                <w:rFonts w:ascii="Times New Roman" w:hAnsi="Times New Roman" w:cs="Times New Roman"/>
              </w:rPr>
              <w:t>roups = 1</w:t>
            </w:r>
            <w:r w:rsidR="002A54DE">
              <w:rPr>
                <w:rFonts w:ascii="Times New Roman" w:hAnsi="Times New Roman" w:cs="Times New Roman"/>
              </w:rPr>
              <w:t>2</w:t>
            </w:r>
            <w:r>
              <w:rPr>
                <w:rFonts w:ascii="Times New Roman" w:hAnsi="Times New Roman" w:cs="Times New Roman"/>
              </w:rPr>
              <w:t xml:space="preserve">; </w:t>
            </w:r>
            <w:r w:rsidRPr="00251B8A">
              <w:rPr>
                <w:rFonts w:ascii="Times New Roman" w:hAnsi="Times New Roman" w:cs="Times New Roman"/>
              </w:rPr>
              <w:t>Wald chi²(10) = 48.13</w:t>
            </w:r>
            <w:r>
              <w:rPr>
                <w:rFonts w:ascii="Times New Roman" w:hAnsi="Times New Roman" w:cs="Times New Roman"/>
              </w:rPr>
              <w:t xml:space="preserve">; </w:t>
            </w:r>
            <w:r w:rsidRPr="00251B8A">
              <w:rPr>
                <w:rFonts w:ascii="Times New Roman" w:hAnsi="Times New Roman" w:cs="Times New Roman"/>
              </w:rPr>
              <w:t>Prob &gt; chi² = 0.0000</w:t>
            </w:r>
            <w:r>
              <w:rPr>
                <w:rFonts w:ascii="Times New Roman" w:hAnsi="Times New Roman" w:cs="Times New Roman"/>
              </w:rPr>
              <w:t xml:space="preserve">; </w:t>
            </w:r>
            <w:r w:rsidRPr="00251B8A">
              <w:rPr>
                <w:rFonts w:ascii="Times New Roman" w:hAnsi="Times New Roman" w:cs="Times New Roman"/>
              </w:rPr>
              <w:t>Within R² = 0.178</w:t>
            </w:r>
            <w:r>
              <w:rPr>
                <w:rFonts w:ascii="Times New Roman" w:hAnsi="Times New Roman" w:cs="Times New Roman"/>
              </w:rPr>
              <w:t xml:space="preserve">; </w:t>
            </w:r>
            <w:r w:rsidRPr="00251B8A">
              <w:rPr>
                <w:rFonts w:ascii="Times New Roman" w:hAnsi="Times New Roman" w:cs="Times New Roman"/>
              </w:rPr>
              <w:t>Between R² = 0.558</w:t>
            </w:r>
            <w:r>
              <w:rPr>
                <w:rFonts w:ascii="Times New Roman" w:hAnsi="Times New Roman" w:cs="Times New Roman"/>
              </w:rPr>
              <w:t xml:space="preserve">; </w:t>
            </w:r>
            <w:r w:rsidRPr="00251B8A">
              <w:rPr>
                <w:rFonts w:ascii="Times New Roman" w:hAnsi="Times New Roman" w:cs="Times New Roman"/>
              </w:rPr>
              <w:t>Overall R² = 0.336</w:t>
            </w:r>
            <w:r>
              <w:rPr>
                <w:rFonts w:ascii="Times New Roman" w:hAnsi="Times New Roman" w:cs="Times New Roman"/>
              </w:rPr>
              <w:t xml:space="preserve">; </w:t>
            </w:r>
            <w:r w:rsidRPr="00251B8A">
              <w:rPr>
                <w:rFonts w:ascii="Times New Roman" w:hAnsi="Times New Roman" w:cs="Times New Roman"/>
              </w:rPr>
              <w:t>rho = 0.000</w:t>
            </w:r>
          </w:p>
        </w:tc>
      </w:tr>
    </w:tbl>
    <w:p w14:paraId="48C7C3B7" w14:textId="083A8180" w:rsidR="00251B8A" w:rsidRPr="00251B8A" w:rsidRDefault="00251B8A" w:rsidP="00251B8A">
      <w:pPr>
        <w:jc w:val="both"/>
        <w:rPr>
          <w:rFonts w:ascii="Times New Roman" w:hAnsi="Times New Roman" w:cs="Times New Roman"/>
          <w:b/>
          <w:bCs/>
        </w:rPr>
      </w:pPr>
      <w:r>
        <w:rPr>
          <w:rFonts w:ascii="Times New Roman" w:hAnsi="Times New Roman" w:cs="Times New Roman"/>
          <w:b/>
          <w:bCs/>
        </w:rPr>
        <w:t>Source: Researchers’ Computation (2026)</w:t>
      </w:r>
    </w:p>
    <w:p w14:paraId="3ED60080" w14:textId="6D0FD21C" w:rsidR="00E9411D" w:rsidRPr="00E9411D" w:rsidRDefault="00E9411D" w:rsidP="00E9411D">
      <w:pPr>
        <w:spacing w:line="360" w:lineRule="auto"/>
        <w:jc w:val="both"/>
        <w:rPr>
          <w:rFonts w:ascii="Times New Roman" w:hAnsi="Times New Roman" w:cs="Times New Roman"/>
        </w:rPr>
      </w:pPr>
      <w:r w:rsidRPr="00AB70A6">
        <w:rPr>
          <w:rFonts w:ascii="Times New Roman" w:hAnsi="Times New Roman" w:cs="Times New Roman"/>
          <w:highlight w:val="yellow"/>
        </w:rPr>
        <w:t xml:space="preserve">Table </w:t>
      </w:r>
      <w:r w:rsidR="006C04CE" w:rsidRPr="00AB70A6">
        <w:rPr>
          <w:rFonts w:ascii="Times New Roman" w:hAnsi="Times New Roman" w:cs="Times New Roman"/>
          <w:highlight w:val="yellow"/>
        </w:rPr>
        <w:t>6</w:t>
      </w:r>
      <w:r w:rsidRPr="00AB70A6">
        <w:rPr>
          <w:rFonts w:ascii="Times New Roman" w:hAnsi="Times New Roman" w:cs="Times New Roman"/>
          <w:highlight w:val="yellow"/>
        </w:rPr>
        <w:t xml:space="preserve"> </w:t>
      </w:r>
      <w:r w:rsidR="002B6A34" w:rsidRPr="00AB70A6">
        <w:rPr>
          <w:rFonts w:ascii="Times New Roman" w:hAnsi="Times New Roman" w:cs="Times New Roman"/>
          <w:highlight w:val="yellow"/>
        </w:rPr>
        <w:t>present</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 xml:space="preserve">the random effects GLS results with moderating effects and </w:t>
      </w:r>
      <w:r w:rsidR="002B6A34" w:rsidRPr="00AB70A6">
        <w:rPr>
          <w:rFonts w:ascii="Times New Roman" w:hAnsi="Times New Roman" w:cs="Times New Roman"/>
          <w:highlight w:val="yellow"/>
        </w:rPr>
        <w:t>show</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that the model was highly significant overall, as indicated by the Wald chi²</w:t>
      </w:r>
      <w:r w:rsidRPr="00E9411D">
        <w:rPr>
          <w:rFonts w:ascii="Times New Roman" w:hAnsi="Times New Roman" w:cs="Times New Roman"/>
        </w:rPr>
        <w:t xml:space="preserve"> value of 48.13 </w:t>
      </w:r>
      <w:r w:rsidRPr="00AB70A6">
        <w:rPr>
          <w:rFonts w:ascii="Times New Roman" w:hAnsi="Times New Roman" w:cs="Times New Roman"/>
          <w:highlight w:val="yellow"/>
        </w:rPr>
        <w:lastRenderedPageBreak/>
        <w:t xml:space="preserve">with a </w:t>
      </w:r>
      <w:r w:rsidR="002B6A34" w:rsidRPr="00AB70A6">
        <w:rPr>
          <w:rFonts w:ascii="Times New Roman" w:hAnsi="Times New Roman" w:cs="Times New Roman"/>
          <w:highlight w:val="yellow"/>
        </w:rPr>
        <w:t>p</w:t>
      </w:r>
      <w:r w:rsidR="002B6A34" w:rsidRPr="00AB70A6">
        <w:rPr>
          <w:rFonts w:ascii="Times New Roman" w:hAnsi="Times New Roman" w:cs="Times New Roman"/>
          <w:highlight w:val="yellow"/>
        </w:rPr>
        <w:t>-</w:t>
      </w:r>
      <w:r w:rsidRPr="00AB70A6">
        <w:rPr>
          <w:rFonts w:ascii="Times New Roman" w:hAnsi="Times New Roman" w:cs="Times New Roman"/>
          <w:highlight w:val="yellow"/>
        </w:rPr>
        <w:t>value of 0.0000, suggesting strong joint explanatory power. Training expenditure (TRNEXP) had a negative and significant effect on firm value (β = -2.346, p = 0.036</w:t>
      </w:r>
      <w:r w:rsidR="002B6A34" w:rsidRPr="00AB70A6">
        <w:rPr>
          <w:rFonts w:ascii="Times New Roman" w:hAnsi="Times New Roman" w:cs="Times New Roman"/>
          <w:highlight w:val="yellow"/>
        </w:rPr>
        <w:t>)</w:t>
      </w:r>
      <w:r w:rsidR="002B6A34" w:rsidRPr="00AB70A6">
        <w:rPr>
          <w:rFonts w:ascii="Times New Roman" w:hAnsi="Times New Roman" w:cs="Times New Roman"/>
          <w:highlight w:val="yellow"/>
        </w:rPr>
        <w:t>;</w:t>
      </w:r>
      <w:r w:rsidR="002B6A34" w:rsidRPr="00AB70A6">
        <w:rPr>
          <w:rFonts w:ascii="Times New Roman" w:hAnsi="Times New Roman" w:cs="Times New Roman"/>
          <w:highlight w:val="yellow"/>
        </w:rPr>
        <w:t xml:space="preserve"> </w:t>
      </w:r>
      <w:r w:rsidRPr="00AB70A6">
        <w:rPr>
          <w:rFonts w:ascii="Times New Roman" w:hAnsi="Times New Roman" w:cs="Times New Roman"/>
          <w:highlight w:val="yellow"/>
        </w:rPr>
        <w:t>however,</w:t>
      </w:r>
      <w:r w:rsidRPr="00E9411D">
        <w:rPr>
          <w:rFonts w:ascii="Times New Roman" w:hAnsi="Times New Roman" w:cs="Times New Roman"/>
        </w:rPr>
        <w:t xml:space="preserve"> its interaction with board independence (TRNEXP × BIND) was positive and significant (β = 0.466, p = 0.039), indicating that board independence mitigated the negative effect and enhanced value outcomes. Similarly, training participation rate (TRNPR) showed a negative effect that was marginally significant (p = 0.056), while its interaction with board independence was positive at a marginal level (p = 0.060), suggesting a conditional improvement in firm value. In contrast, training intensity (TRNINT) had a positive and significant direct effect (β = 1.224, p = 0.015), but its interaction with board independence was negative and significant (β = -0.246, p = 0.016), implying that excessive board monitoring may weaken its positive impact.</w:t>
      </w:r>
    </w:p>
    <w:p w14:paraId="32DE0F4F" w14:textId="77777777" w:rsidR="00E9411D" w:rsidRPr="00E9411D" w:rsidRDefault="00E9411D" w:rsidP="00E9411D">
      <w:pPr>
        <w:spacing w:line="360" w:lineRule="auto"/>
        <w:jc w:val="both"/>
        <w:rPr>
          <w:rFonts w:ascii="Times New Roman" w:hAnsi="Times New Roman" w:cs="Times New Roman"/>
        </w:rPr>
      </w:pPr>
      <w:r w:rsidRPr="00E9411D">
        <w:rPr>
          <w:rFonts w:ascii="Times New Roman" w:hAnsi="Times New Roman" w:cs="Times New Roman"/>
        </w:rPr>
        <w:t>Furthermore, human capital investment ratio (HCIR) and its interaction with board independence were both statistically insignificant, indicating limited moderating influence. Board independence (BIND) itself was positive but insignificant, suggesting that its primary role was through interaction rather than direct effect. The control variables, firm size (FSIZ) and firm age (AGE), remained insignificant, confirming their weak explanatory power in the model. The model showed improved explanatory strength, with an overall R² of 0.336, indicating that about 33.6 percent of the variation in firm value was explained. The rho value of 0.000 suggested minimal unobserved panel heterogeneity, reinforcing the robustness of the estimates and highlighting the importance of interaction effects in explaining firm value dynamics.</w:t>
      </w:r>
    </w:p>
    <w:p w14:paraId="1B22B1AD" w14:textId="63DD4C28" w:rsidR="00251B8A" w:rsidRDefault="00251B8A" w:rsidP="00251B8A">
      <w:pPr>
        <w:jc w:val="both"/>
        <w:rPr>
          <w:rFonts w:ascii="Times New Roman" w:hAnsi="Times New Roman" w:cs="Times New Roman"/>
          <w:b/>
          <w:bCs/>
        </w:rPr>
      </w:pPr>
      <w:r w:rsidRPr="00251B8A">
        <w:rPr>
          <w:rFonts w:ascii="Times New Roman" w:hAnsi="Times New Roman" w:cs="Times New Roman"/>
          <w:b/>
          <w:bCs/>
        </w:rPr>
        <w:t xml:space="preserve">4.6 </w:t>
      </w:r>
      <w:r w:rsidR="00381E8B">
        <w:rPr>
          <w:rFonts w:ascii="Times New Roman" w:hAnsi="Times New Roman" w:cs="Times New Roman"/>
          <w:b/>
          <w:bCs/>
        </w:rPr>
        <w:tab/>
      </w:r>
      <w:r w:rsidRPr="00251B8A">
        <w:rPr>
          <w:rFonts w:ascii="Times New Roman" w:hAnsi="Times New Roman" w:cs="Times New Roman"/>
          <w:b/>
          <w:bCs/>
        </w:rPr>
        <w:t>Discussion of Findings</w:t>
      </w:r>
    </w:p>
    <w:p w14:paraId="7740CD20" w14:textId="1F74A03C" w:rsidR="00D533FD" w:rsidRPr="00D533FD" w:rsidRDefault="00D533FD" w:rsidP="00D533FD">
      <w:pPr>
        <w:spacing w:line="360" w:lineRule="auto"/>
        <w:jc w:val="both"/>
        <w:rPr>
          <w:rFonts w:ascii="Times New Roman" w:hAnsi="Times New Roman" w:cs="Times New Roman"/>
        </w:rPr>
      </w:pPr>
      <w:r w:rsidRPr="00D533FD">
        <w:rPr>
          <w:rFonts w:ascii="Times New Roman" w:hAnsi="Times New Roman" w:cs="Times New Roman"/>
        </w:rPr>
        <w:t>The findings revealed that training expenditure and participation rate exerted negative and significant effects on firm value, while training intensity showed a positive and significant influence, and human capital investment ratio remained insignificant. This suggests that mere financial allocation and broad participation without strategic depth may reduce efficiency, whereas intensive and structured training enhances value creation. Consistent with this, Agyemang and Ofori (2023) and Salisu and Mohammed (2024) found positive performance effects of training, although the present result contrasts with Ezeani et al. (2023)</w:t>
      </w:r>
      <w:r w:rsidR="002B6A34">
        <w:rPr>
          <w:rFonts w:ascii="Times New Roman" w:hAnsi="Times New Roman" w:cs="Times New Roman"/>
        </w:rPr>
        <w:t>,</w:t>
      </w:r>
      <w:r w:rsidRPr="00D533FD">
        <w:rPr>
          <w:rFonts w:ascii="Times New Roman" w:hAnsi="Times New Roman" w:cs="Times New Roman"/>
        </w:rPr>
        <w:t xml:space="preserve"> who </w:t>
      </w:r>
      <w:r w:rsidR="002B6A34" w:rsidRPr="00AB70A6">
        <w:rPr>
          <w:rFonts w:ascii="Times New Roman" w:hAnsi="Times New Roman" w:cs="Times New Roman"/>
          <w:highlight w:val="yellow"/>
        </w:rPr>
        <w:t>emphasi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consistent</w:t>
      </w:r>
      <w:r w:rsidRPr="00D533FD">
        <w:rPr>
          <w:rFonts w:ascii="Times New Roman" w:hAnsi="Times New Roman" w:cs="Times New Roman"/>
        </w:rPr>
        <w:t xml:space="preserve"> positive effects across proxies. Furthermore, Tuamyil (2024), Diaz et al. (2025), and Dearden et al. (2022) supported the importance of training structure over mere expenditure (Tuamyil, 2024; Diaz et al., 2025; Dearden et al., 2022). The findings align with human capital theory by confirming that </w:t>
      </w:r>
      <w:r w:rsidRPr="00D533FD">
        <w:rPr>
          <w:rFonts w:ascii="Times New Roman" w:hAnsi="Times New Roman" w:cs="Times New Roman"/>
        </w:rPr>
        <w:lastRenderedPageBreak/>
        <w:t>productive capability depends on effective investment, and with signa</w:t>
      </w:r>
      <w:r w:rsidR="002B6A34">
        <w:rPr>
          <w:rFonts w:ascii="Times New Roman" w:hAnsi="Times New Roman" w:cs="Times New Roman"/>
        </w:rPr>
        <w:t>l</w:t>
      </w:r>
      <w:r w:rsidRPr="00D533FD">
        <w:rPr>
          <w:rFonts w:ascii="Times New Roman" w:hAnsi="Times New Roman" w:cs="Times New Roman"/>
        </w:rPr>
        <w:t xml:space="preserve">ling </w:t>
      </w:r>
      <w:r w:rsidRPr="00AB70A6">
        <w:rPr>
          <w:rFonts w:ascii="Times New Roman" w:hAnsi="Times New Roman" w:cs="Times New Roman"/>
          <w:highlight w:val="yellow"/>
        </w:rPr>
        <w:t xml:space="preserve">theory by suggesting that poorly structured training sends weak signals to investors. Therefore, policy should </w:t>
      </w:r>
      <w:r w:rsidR="002B6A34" w:rsidRPr="00AB70A6">
        <w:rPr>
          <w:rFonts w:ascii="Times New Roman" w:hAnsi="Times New Roman" w:cs="Times New Roman"/>
          <w:highlight w:val="yellow"/>
        </w:rPr>
        <w:t>prioriti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 </w:t>
      </w:r>
      <w:r w:rsidRPr="00AB70A6">
        <w:rPr>
          <w:rFonts w:ascii="Times New Roman" w:hAnsi="Times New Roman" w:cs="Times New Roman"/>
          <w:highlight w:val="yellow"/>
        </w:rPr>
        <w:t xml:space="preserve">outcome-based training frameworks and enforce disclosure standards that </w:t>
      </w:r>
      <w:r w:rsidR="002B6A34" w:rsidRPr="00D533FD">
        <w:rPr>
          <w:rFonts w:ascii="Times New Roman" w:hAnsi="Times New Roman" w:cs="Times New Roman"/>
        </w:rPr>
        <w:t>emphasi</w:t>
      </w:r>
      <w:r w:rsidR="002B6A34">
        <w:rPr>
          <w:rFonts w:ascii="Times New Roman" w:hAnsi="Times New Roman" w:cs="Times New Roman"/>
        </w:rPr>
        <w:t>s</w:t>
      </w:r>
      <w:r w:rsidR="002B6A34" w:rsidRPr="00D533FD">
        <w:rPr>
          <w:rFonts w:ascii="Times New Roman" w:hAnsi="Times New Roman" w:cs="Times New Roman"/>
        </w:rPr>
        <w:t xml:space="preserve">e </w:t>
      </w:r>
      <w:r w:rsidRPr="00D533FD">
        <w:rPr>
          <w:rFonts w:ascii="Times New Roman" w:hAnsi="Times New Roman" w:cs="Times New Roman"/>
        </w:rPr>
        <w:t>training quality rather than quantity.</w:t>
      </w:r>
    </w:p>
    <w:p w14:paraId="0C0A4C2C" w14:textId="7293B132" w:rsidR="00D533FD" w:rsidRPr="00D533FD" w:rsidRDefault="00D533FD" w:rsidP="00D533FD">
      <w:pPr>
        <w:spacing w:line="360" w:lineRule="auto"/>
        <w:jc w:val="both"/>
        <w:rPr>
          <w:rFonts w:ascii="Times New Roman" w:hAnsi="Times New Roman" w:cs="Times New Roman"/>
        </w:rPr>
      </w:pPr>
      <w:r w:rsidRPr="00D533FD">
        <w:rPr>
          <w:rFonts w:ascii="Times New Roman" w:hAnsi="Times New Roman" w:cs="Times New Roman"/>
        </w:rPr>
        <w:t xml:space="preserve">The moderating analysis showed that board independence significantly altered the relationship between training investment and firm value, particularly by mitigating the negative effect of training expenditure and improving the value relevance of participation rate, while weakening the positive impact of training intensity. This indicates that </w:t>
      </w:r>
      <w:r w:rsidRPr="00AB70A6">
        <w:rPr>
          <w:rFonts w:ascii="Times New Roman" w:hAnsi="Times New Roman" w:cs="Times New Roman"/>
          <w:highlight w:val="yellow"/>
        </w:rPr>
        <w:t xml:space="preserve">governance mechanisms play a critical role in </w:t>
      </w:r>
      <w:r w:rsidR="002B6A34" w:rsidRPr="00D533FD">
        <w:rPr>
          <w:rFonts w:ascii="Times New Roman" w:hAnsi="Times New Roman" w:cs="Times New Roman"/>
        </w:rPr>
        <w:t>optimi</w:t>
      </w:r>
      <w:r w:rsidR="002B6A34">
        <w:rPr>
          <w:rFonts w:ascii="Times New Roman" w:hAnsi="Times New Roman" w:cs="Times New Roman"/>
        </w:rPr>
        <w:t>s</w:t>
      </w:r>
      <w:r w:rsidR="002B6A34" w:rsidRPr="00D533FD">
        <w:rPr>
          <w:rFonts w:ascii="Times New Roman" w:hAnsi="Times New Roman" w:cs="Times New Roman"/>
        </w:rPr>
        <w:t xml:space="preserve">ing </w:t>
      </w:r>
      <w:r w:rsidRPr="00D533FD">
        <w:rPr>
          <w:rFonts w:ascii="Times New Roman" w:hAnsi="Times New Roman" w:cs="Times New Roman"/>
        </w:rPr>
        <w:t>human capital investments, although excessive monitoring may constrain operational flexibility. This finding is consistent with Uwuigbe et al. (2023) and Bukari et al. (2024)</w:t>
      </w:r>
      <w:r w:rsidR="002B6A34">
        <w:rPr>
          <w:rFonts w:ascii="Times New Roman" w:hAnsi="Times New Roman" w:cs="Times New Roman"/>
        </w:rPr>
        <w:t>,</w:t>
      </w:r>
      <w:r w:rsidRPr="00D533FD">
        <w:rPr>
          <w:rFonts w:ascii="Times New Roman" w:hAnsi="Times New Roman" w:cs="Times New Roman"/>
        </w:rPr>
        <w:t xml:space="preserve"> who reported that governance enhances value outcomes, but contrasts with Wang et al. (2022)</w:t>
      </w:r>
      <w:r w:rsidR="002B6A34">
        <w:rPr>
          <w:rFonts w:ascii="Times New Roman" w:hAnsi="Times New Roman" w:cs="Times New Roman"/>
        </w:rPr>
        <w:t>,</w:t>
      </w:r>
      <w:r w:rsidRPr="00D533FD">
        <w:rPr>
          <w:rFonts w:ascii="Times New Roman" w:hAnsi="Times New Roman" w:cs="Times New Roman"/>
        </w:rPr>
        <w:t xml:space="preserve"> who found negative governance effects. In addition, Ahmed et al. (2025), Adedoyin et al. (2023), and Liu et al. (2023) confirmed the strategic role of board independence in shaping firm performance (Ahmed et al., 2025; Adedoyin et al., 2023; Liu et al., 2023). The findings support human capital </w:t>
      </w:r>
      <w:r w:rsidRPr="00AB70A6">
        <w:rPr>
          <w:rFonts w:ascii="Times New Roman" w:hAnsi="Times New Roman" w:cs="Times New Roman"/>
          <w:highlight w:val="yellow"/>
        </w:rPr>
        <w:t xml:space="preserve">theory by highlighting governance as a complementary mechanism for efficient resource </w:t>
      </w:r>
      <w:r w:rsidR="002B6A34" w:rsidRPr="00AB70A6">
        <w:rPr>
          <w:rFonts w:ascii="Times New Roman" w:hAnsi="Times New Roman" w:cs="Times New Roman"/>
          <w:highlight w:val="yellow"/>
        </w:rPr>
        <w:t>utili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ation</w:t>
      </w:r>
      <w:r w:rsidRPr="00AB70A6">
        <w:rPr>
          <w:rFonts w:ascii="Times New Roman" w:hAnsi="Times New Roman" w:cs="Times New Roman"/>
          <w:highlight w:val="yellow"/>
        </w:rPr>
        <w:t>, and signaling theory</w:t>
      </w:r>
      <w:r w:rsidRPr="00D533FD">
        <w:rPr>
          <w:rFonts w:ascii="Times New Roman" w:hAnsi="Times New Roman" w:cs="Times New Roman"/>
        </w:rPr>
        <w:t xml:space="preserve"> by showing that independent boards enhance the credibility of training-related signals. Consequently, policy should strengthen board independence requirements and ensure directors possess relevant expertise to evaluate human capital investments effectively.</w:t>
      </w:r>
    </w:p>
    <w:p w14:paraId="0218FE18" w14:textId="5DD2DA5A" w:rsidR="00D533FD" w:rsidRPr="00D533FD" w:rsidRDefault="00D533FD" w:rsidP="00D533FD">
      <w:pPr>
        <w:spacing w:line="360" w:lineRule="auto"/>
        <w:jc w:val="both"/>
        <w:rPr>
          <w:rFonts w:ascii="Times New Roman" w:hAnsi="Times New Roman" w:cs="Times New Roman"/>
        </w:rPr>
      </w:pPr>
      <w:r w:rsidRPr="00D533FD">
        <w:rPr>
          <w:rFonts w:ascii="Times New Roman" w:hAnsi="Times New Roman" w:cs="Times New Roman"/>
        </w:rPr>
        <w:t>The results further indicated that control variables, firm size and firm age, were statistically insignificant in explaining firm value, suggesting that structural characteristics alone do not drive valuation without effective strategic investments. This implies that firm value in the oil and gas sector is more sensitive to internal capability development and governance quality than to scale or maturity. This finding aligns with Adebayo et al. (2023) and Moses (2023)</w:t>
      </w:r>
      <w:r w:rsidR="002B6A34">
        <w:rPr>
          <w:rFonts w:ascii="Times New Roman" w:hAnsi="Times New Roman" w:cs="Times New Roman"/>
        </w:rPr>
        <w:t>,</w:t>
      </w:r>
      <w:r w:rsidRPr="00D533FD">
        <w:rPr>
          <w:rFonts w:ascii="Times New Roman" w:hAnsi="Times New Roman" w:cs="Times New Roman"/>
        </w:rPr>
        <w:t xml:space="preserve"> </w:t>
      </w:r>
      <w:r w:rsidRPr="00AB70A6">
        <w:rPr>
          <w:rFonts w:ascii="Times New Roman" w:hAnsi="Times New Roman" w:cs="Times New Roman"/>
          <w:highlight w:val="yellow"/>
        </w:rPr>
        <w:t xml:space="preserve">who </w:t>
      </w:r>
      <w:r w:rsidR="002B6A34" w:rsidRPr="00AB70A6">
        <w:rPr>
          <w:rFonts w:ascii="Times New Roman" w:hAnsi="Times New Roman" w:cs="Times New Roman"/>
          <w:highlight w:val="yellow"/>
        </w:rPr>
        <w:t>emphasi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inefficiencie</w:t>
      </w:r>
      <w:r w:rsidRPr="00D533FD">
        <w:rPr>
          <w:rFonts w:ascii="Times New Roman" w:hAnsi="Times New Roman" w:cs="Times New Roman"/>
        </w:rPr>
        <w:t xml:space="preserve">s in market valuation, but contrasts with David et al. (2025) who reported significant firm characteristics effects. Supporting evidence from Yahaya (2024), Intara (2024), and Onipe (2024) further highlighted governance and intangible assets as key drivers (Yahaya, 2024; Intara, 2024; Onipe, 2024). The findings reinforce human capital theory by </w:t>
      </w:r>
      <w:r w:rsidR="002B6A34" w:rsidRPr="00AB70A6">
        <w:rPr>
          <w:rFonts w:ascii="Times New Roman" w:hAnsi="Times New Roman" w:cs="Times New Roman"/>
          <w:highlight w:val="yellow"/>
        </w:rPr>
        <w:t>emphasi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ing </w:t>
      </w:r>
      <w:r w:rsidRPr="00AB70A6">
        <w:rPr>
          <w:rFonts w:ascii="Times New Roman" w:hAnsi="Times New Roman" w:cs="Times New Roman"/>
          <w:highlight w:val="yellow"/>
        </w:rPr>
        <w:t>capability over size, and signa</w:t>
      </w:r>
      <w:r w:rsidR="002B6A34" w:rsidRPr="00AB70A6">
        <w:rPr>
          <w:rFonts w:ascii="Times New Roman" w:hAnsi="Times New Roman" w:cs="Times New Roman"/>
          <w:highlight w:val="yellow"/>
        </w:rPr>
        <w:t>l</w:t>
      </w:r>
      <w:r w:rsidRPr="00AB70A6">
        <w:rPr>
          <w:rFonts w:ascii="Times New Roman" w:hAnsi="Times New Roman" w:cs="Times New Roman"/>
          <w:highlight w:val="yellow"/>
        </w:rPr>
        <w:t>ling theory by indicating that investors respond more to</w:t>
      </w:r>
      <w:r w:rsidRPr="00D533FD">
        <w:rPr>
          <w:rFonts w:ascii="Times New Roman" w:hAnsi="Times New Roman" w:cs="Times New Roman"/>
        </w:rPr>
        <w:t xml:space="preserve"> </w:t>
      </w:r>
      <w:r w:rsidRPr="00D533FD">
        <w:rPr>
          <w:rFonts w:ascii="Times New Roman" w:hAnsi="Times New Roman" w:cs="Times New Roman"/>
        </w:rPr>
        <w:lastRenderedPageBreak/>
        <w:t>strategic signals than firm demographics. Thus, policy should shift focus from structural incentives to capability-based performance metrics and governance reforms.</w:t>
      </w:r>
    </w:p>
    <w:p w14:paraId="13D8847C" w14:textId="7D0FA5E7" w:rsidR="00D533FD" w:rsidRPr="00D533FD" w:rsidRDefault="00D533FD" w:rsidP="00D533FD">
      <w:pPr>
        <w:spacing w:line="360" w:lineRule="auto"/>
        <w:jc w:val="both"/>
        <w:rPr>
          <w:rFonts w:ascii="Times New Roman" w:hAnsi="Times New Roman" w:cs="Times New Roman"/>
        </w:rPr>
      </w:pPr>
      <w:r w:rsidRPr="00D533FD">
        <w:rPr>
          <w:rFonts w:ascii="Times New Roman" w:hAnsi="Times New Roman" w:cs="Times New Roman"/>
        </w:rPr>
        <w:t>Finally, the overall model demonstrated improved explanatory power when moderating effects were introduced, confirming that interaction dynamics between training investment and board independence significantly enhance firm value explanation. This underscores the importance of integrating governance and human capital perspectives in firm valuation models. The result is consistent with Zouari-Hadiji and Khlif (2022), Connelly et al. (2025), and Fathi (2025)</w:t>
      </w:r>
      <w:r w:rsidR="002B6A34">
        <w:rPr>
          <w:rFonts w:ascii="Times New Roman" w:hAnsi="Times New Roman" w:cs="Times New Roman"/>
        </w:rPr>
        <w:t>,</w:t>
      </w:r>
      <w:r w:rsidRPr="00D533FD">
        <w:rPr>
          <w:rFonts w:ascii="Times New Roman" w:hAnsi="Times New Roman" w:cs="Times New Roman"/>
        </w:rPr>
        <w:t xml:space="preserve"> who </w:t>
      </w:r>
      <w:r w:rsidR="002B6A34" w:rsidRPr="00AB70A6">
        <w:rPr>
          <w:rFonts w:ascii="Times New Roman" w:hAnsi="Times New Roman" w:cs="Times New Roman"/>
          <w:highlight w:val="yellow"/>
        </w:rPr>
        <w:t>emphasi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ed </w:t>
      </w:r>
      <w:r w:rsidRPr="00AB70A6">
        <w:rPr>
          <w:rFonts w:ascii="Times New Roman" w:hAnsi="Times New Roman" w:cs="Times New Roman"/>
          <w:highlight w:val="yellow"/>
        </w:rPr>
        <w:t>interaction effects and signa</w:t>
      </w:r>
      <w:r w:rsidR="002B6A34" w:rsidRPr="00AB70A6">
        <w:rPr>
          <w:rFonts w:ascii="Times New Roman" w:hAnsi="Times New Roman" w:cs="Times New Roman"/>
          <w:highlight w:val="yellow"/>
        </w:rPr>
        <w:t>l</w:t>
      </w:r>
      <w:r w:rsidRPr="00AB70A6">
        <w:rPr>
          <w:rFonts w:ascii="Times New Roman" w:hAnsi="Times New Roman" w:cs="Times New Roman"/>
          <w:highlight w:val="yellow"/>
        </w:rPr>
        <w:t>ling mechanisms, but</w:t>
      </w:r>
      <w:r w:rsidRPr="00D533FD">
        <w:rPr>
          <w:rFonts w:ascii="Times New Roman" w:hAnsi="Times New Roman" w:cs="Times New Roman"/>
        </w:rPr>
        <w:t xml:space="preserve"> extends prior studies by incorporating multidimensional training proxies. Additional support from Soomro (2026), Estévez-Mendoza and Montoro-Sánchez (2024), and Dhaigude (2024) highlighted the role of governance in enhancing value creation (Soomro, 2026; Estévez-Mendoza &amp; Montoro-Sánchez, 2024; Dhaigude, 2024). The findings strongly align with human capital theory by validating the productivity channel of training, and </w:t>
      </w:r>
      <w:r w:rsidRPr="00AB70A6">
        <w:rPr>
          <w:rFonts w:ascii="Times New Roman" w:hAnsi="Times New Roman" w:cs="Times New Roman"/>
          <w:highlight w:val="yellow"/>
        </w:rPr>
        <w:t>with signa</w:t>
      </w:r>
      <w:r w:rsidR="002B6A34" w:rsidRPr="00AB70A6">
        <w:rPr>
          <w:rFonts w:ascii="Times New Roman" w:hAnsi="Times New Roman" w:cs="Times New Roman"/>
          <w:highlight w:val="yellow"/>
        </w:rPr>
        <w:t>l</w:t>
      </w:r>
      <w:r w:rsidRPr="00AB70A6">
        <w:rPr>
          <w:rFonts w:ascii="Times New Roman" w:hAnsi="Times New Roman" w:cs="Times New Roman"/>
          <w:highlight w:val="yellow"/>
        </w:rPr>
        <w:t>ling theory by</w:t>
      </w:r>
      <w:r w:rsidRPr="00D533FD">
        <w:rPr>
          <w:rFonts w:ascii="Times New Roman" w:hAnsi="Times New Roman" w:cs="Times New Roman"/>
        </w:rPr>
        <w:t xml:space="preserve"> confirming that governance strengthens signal credibility. Therefore, policymakers and regulators should promote integrated governance and human capital reporting frameworks to improve transparency, investor confidence, and sustainable firm value.</w:t>
      </w:r>
    </w:p>
    <w:p w14:paraId="14E5087B" w14:textId="0E964A18" w:rsidR="00D533FD" w:rsidRPr="007A2832" w:rsidRDefault="00D533FD" w:rsidP="00251B8A">
      <w:pPr>
        <w:jc w:val="both"/>
        <w:rPr>
          <w:rFonts w:ascii="Times New Roman" w:hAnsi="Times New Roman" w:cs="Times New Roman"/>
          <w:b/>
          <w:bCs/>
        </w:rPr>
      </w:pPr>
      <w:r w:rsidRPr="007A2832">
        <w:rPr>
          <w:rFonts w:ascii="Times New Roman" w:hAnsi="Times New Roman" w:cs="Times New Roman"/>
          <w:b/>
          <w:bCs/>
        </w:rPr>
        <w:t>5. Conclusion and Recommendations</w:t>
      </w:r>
    </w:p>
    <w:p w14:paraId="40F22518" w14:textId="1B490F41" w:rsidR="007A2832" w:rsidRPr="007A2832" w:rsidRDefault="007A2832" w:rsidP="007A2832">
      <w:pPr>
        <w:spacing w:line="360" w:lineRule="auto"/>
        <w:jc w:val="both"/>
        <w:rPr>
          <w:rFonts w:ascii="Times New Roman" w:hAnsi="Times New Roman" w:cs="Times New Roman"/>
        </w:rPr>
      </w:pPr>
      <w:r w:rsidRPr="007A2832">
        <w:rPr>
          <w:rFonts w:ascii="Times New Roman" w:hAnsi="Times New Roman" w:cs="Times New Roman"/>
        </w:rPr>
        <w:t xml:space="preserve">The study concluded that training investment exerted mixed but significant effects on firm value among listed oil and gas firms in Nigeria, as training intensity enhanced firm value while training expenditure and participation rate reduced it, and human capital investment ratio showed no significant impact. Furthermore, board independence played a critical moderating role by strengthening the positive value relevance of some training components while weakening others, indicating that governance quality shaped the effectiveness of human capital investment. Consequently, these findings confirmed that firm value was not driven merely by the volume of training investment but by its efficiency, structure, and governance oversight, thereby supporting the complementary relevance of human capital </w:t>
      </w:r>
      <w:r w:rsidRPr="00AB70A6">
        <w:rPr>
          <w:rFonts w:ascii="Times New Roman" w:hAnsi="Times New Roman" w:cs="Times New Roman"/>
          <w:highlight w:val="yellow"/>
        </w:rPr>
        <w:t>theory and signa</w:t>
      </w:r>
      <w:r w:rsidR="002B6A34" w:rsidRPr="00AB70A6">
        <w:rPr>
          <w:rFonts w:ascii="Times New Roman" w:hAnsi="Times New Roman" w:cs="Times New Roman"/>
          <w:highlight w:val="yellow"/>
        </w:rPr>
        <w:t>l</w:t>
      </w:r>
      <w:r w:rsidRPr="00AB70A6">
        <w:rPr>
          <w:rFonts w:ascii="Times New Roman" w:hAnsi="Times New Roman" w:cs="Times New Roman"/>
          <w:highlight w:val="yellow"/>
        </w:rPr>
        <w:t>ling theory in</w:t>
      </w:r>
      <w:r w:rsidRPr="007A2832">
        <w:rPr>
          <w:rFonts w:ascii="Times New Roman" w:hAnsi="Times New Roman" w:cs="Times New Roman"/>
        </w:rPr>
        <w:t xml:space="preserve"> explaining firm value dynamics.</w:t>
      </w:r>
    </w:p>
    <w:p w14:paraId="2485DA1E" w14:textId="6BF17D80" w:rsidR="007A2832" w:rsidRPr="007A2832" w:rsidRDefault="007A2832" w:rsidP="007A2832">
      <w:pPr>
        <w:spacing w:line="360" w:lineRule="auto"/>
        <w:jc w:val="both"/>
        <w:rPr>
          <w:rFonts w:ascii="Times New Roman" w:hAnsi="Times New Roman" w:cs="Times New Roman"/>
        </w:rPr>
      </w:pPr>
      <w:r w:rsidRPr="007A2832">
        <w:rPr>
          <w:rFonts w:ascii="Times New Roman" w:hAnsi="Times New Roman" w:cs="Times New Roman"/>
        </w:rPr>
        <w:t xml:space="preserve">Accordingly, the study recommended that firms should </w:t>
      </w:r>
      <w:r w:rsidR="002B6A34" w:rsidRPr="00AB70A6">
        <w:rPr>
          <w:rFonts w:ascii="Times New Roman" w:hAnsi="Times New Roman" w:cs="Times New Roman"/>
          <w:highlight w:val="yellow"/>
        </w:rPr>
        <w:t>prioriti</w:t>
      </w:r>
      <w:r w:rsidR="002B6A34" w:rsidRPr="00AB70A6">
        <w:rPr>
          <w:rFonts w:ascii="Times New Roman" w:hAnsi="Times New Roman" w:cs="Times New Roman"/>
          <w:highlight w:val="yellow"/>
        </w:rPr>
        <w:t>s</w:t>
      </w:r>
      <w:r w:rsidR="002B6A34" w:rsidRPr="00AB70A6">
        <w:rPr>
          <w:rFonts w:ascii="Times New Roman" w:hAnsi="Times New Roman" w:cs="Times New Roman"/>
          <w:highlight w:val="yellow"/>
        </w:rPr>
        <w:t xml:space="preserve">e </w:t>
      </w:r>
      <w:r w:rsidRPr="00AB70A6">
        <w:rPr>
          <w:rFonts w:ascii="Times New Roman" w:hAnsi="Times New Roman" w:cs="Times New Roman"/>
          <w:highlight w:val="yellow"/>
        </w:rPr>
        <w:t xml:space="preserve">structured and </w:t>
      </w:r>
      <w:r w:rsidR="002B6A34" w:rsidRPr="00AB70A6">
        <w:rPr>
          <w:rFonts w:ascii="Times New Roman" w:hAnsi="Times New Roman" w:cs="Times New Roman"/>
          <w:highlight w:val="yellow"/>
        </w:rPr>
        <w:t>outcome</w:t>
      </w:r>
      <w:r w:rsidR="002B6A34" w:rsidRPr="00AB70A6">
        <w:rPr>
          <w:rFonts w:ascii="Times New Roman" w:hAnsi="Times New Roman" w:cs="Times New Roman"/>
          <w:highlight w:val="yellow"/>
        </w:rPr>
        <w:t>-</w:t>
      </w:r>
      <w:r w:rsidRPr="00AB70A6">
        <w:rPr>
          <w:rFonts w:ascii="Times New Roman" w:hAnsi="Times New Roman" w:cs="Times New Roman"/>
          <w:highlight w:val="yellow"/>
        </w:rPr>
        <w:t>d</w:t>
      </w:r>
      <w:r w:rsidRPr="007A2832">
        <w:rPr>
          <w:rFonts w:ascii="Times New Roman" w:hAnsi="Times New Roman" w:cs="Times New Roman"/>
        </w:rPr>
        <w:t xml:space="preserve">riven training programs rather than indiscriminate expenditure, with emphasis on training intensity and measurable performance outcomes. In addition, regulatory authorities and policymakers should strengthen corporate governance frameworks by enhancing board </w:t>
      </w:r>
      <w:r w:rsidRPr="007A2832">
        <w:rPr>
          <w:rFonts w:ascii="Times New Roman" w:hAnsi="Times New Roman" w:cs="Times New Roman"/>
        </w:rPr>
        <w:lastRenderedPageBreak/>
        <w:t>independence and ensuring that board members possess relevant expertise to effectively monitor human capital investments. Moreover, firms should improve disclosure practices on training activities to enhance transparency and signal future performance to investors, while integrated policy frameworks should align human capital development with corporate governance mechanisms in order to promote sustainable firm value and improve investor confidence in the Nigerian oil and gas sector.</w:t>
      </w:r>
    </w:p>
    <w:p w14:paraId="3E0D86EB" w14:textId="2A6881FA" w:rsidR="007A2832" w:rsidRDefault="007A2832" w:rsidP="007A2832">
      <w:pPr>
        <w:spacing w:line="360" w:lineRule="auto"/>
        <w:jc w:val="both"/>
        <w:rPr>
          <w:rFonts w:ascii="Times New Roman" w:hAnsi="Times New Roman" w:cs="Times New Roman"/>
        </w:rPr>
      </w:pPr>
      <w:r w:rsidRPr="007A2832">
        <w:rPr>
          <w:rFonts w:ascii="Times New Roman" w:hAnsi="Times New Roman" w:cs="Times New Roman"/>
        </w:rPr>
        <w:t xml:space="preserve">In view of these outcomes, this study contributed to knowledge by extending the firm value literature through integrating multidimensional training investment proxies with board independence as a moderating variable within a single empirical framework, thereby providing nuanced evidence that the value relevance of human capital investment depended on both its structure and governance oversight. It further advanced existing studies by demonstrating that training intensity enhanced firm value while other proxies yielded mixed effects, and by establishing that board independence conditioned these relationships, thus bridging the gap between human capital theory </w:t>
      </w:r>
      <w:r w:rsidRPr="00AB70A6">
        <w:rPr>
          <w:rFonts w:ascii="Times New Roman" w:hAnsi="Times New Roman" w:cs="Times New Roman"/>
          <w:highlight w:val="yellow"/>
        </w:rPr>
        <w:t>and signa</w:t>
      </w:r>
      <w:r w:rsidR="002B6A34" w:rsidRPr="00AB70A6">
        <w:rPr>
          <w:rFonts w:ascii="Times New Roman" w:hAnsi="Times New Roman" w:cs="Times New Roman"/>
          <w:highlight w:val="yellow"/>
        </w:rPr>
        <w:t>l</w:t>
      </w:r>
      <w:r w:rsidRPr="00AB70A6">
        <w:rPr>
          <w:rFonts w:ascii="Times New Roman" w:hAnsi="Times New Roman" w:cs="Times New Roman"/>
          <w:highlight w:val="yellow"/>
        </w:rPr>
        <w:t>ling theory.</w:t>
      </w:r>
      <w:r w:rsidRPr="007A2832">
        <w:rPr>
          <w:rFonts w:ascii="Times New Roman" w:hAnsi="Times New Roman" w:cs="Times New Roman"/>
        </w:rPr>
        <w:t xml:space="preserve"> Therefore, future studies should examine sectoral variations beyond oil and gas, incorporate additional governance mechanisms such as board expertise and ownership structure, and explore alternative measures of firm value and training quality using mixed methods approaches, while extending the time horizon and </w:t>
      </w:r>
      <w:r w:rsidRPr="00AB70A6">
        <w:rPr>
          <w:rFonts w:ascii="Times New Roman" w:hAnsi="Times New Roman" w:cs="Times New Roman"/>
          <w:highlight w:val="yellow"/>
        </w:rPr>
        <w:t xml:space="preserve">considering </w:t>
      </w:r>
      <w:r w:rsidR="002B6A34" w:rsidRPr="00AB70A6">
        <w:rPr>
          <w:rFonts w:ascii="Times New Roman" w:hAnsi="Times New Roman" w:cs="Times New Roman"/>
          <w:highlight w:val="yellow"/>
        </w:rPr>
        <w:t>cross</w:t>
      </w:r>
      <w:r w:rsidR="002B6A34" w:rsidRPr="00AB70A6">
        <w:rPr>
          <w:rFonts w:ascii="Times New Roman" w:hAnsi="Times New Roman" w:cs="Times New Roman"/>
          <w:highlight w:val="yellow"/>
        </w:rPr>
        <w:t>-</w:t>
      </w:r>
      <w:r w:rsidRPr="00AB70A6">
        <w:rPr>
          <w:rFonts w:ascii="Times New Roman" w:hAnsi="Times New Roman" w:cs="Times New Roman"/>
          <w:highlight w:val="yellow"/>
        </w:rPr>
        <w:t>country</w:t>
      </w:r>
      <w:r w:rsidRPr="007A2832">
        <w:rPr>
          <w:rFonts w:ascii="Times New Roman" w:hAnsi="Times New Roman" w:cs="Times New Roman"/>
        </w:rPr>
        <w:t xml:space="preserve"> comparative analysis to enhance generalizability.</w:t>
      </w:r>
    </w:p>
    <w:p w14:paraId="7512F62F" w14:textId="77777777" w:rsidR="00297245" w:rsidRPr="00297245" w:rsidRDefault="00297245" w:rsidP="00297245">
      <w:pPr>
        <w:spacing w:after="200" w:line="276" w:lineRule="auto"/>
        <w:rPr>
          <w:rFonts w:ascii="Calibri" w:eastAsia="Calibri" w:hAnsi="Calibri" w:cs="Times New Roman"/>
          <w:b/>
          <w:sz w:val="22"/>
          <w:szCs w:val="22"/>
          <w:highlight w:val="yellow"/>
        </w:rPr>
      </w:pPr>
      <w:r w:rsidRPr="00297245">
        <w:rPr>
          <w:rFonts w:ascii="Calibri" w:eastAsia="Calibri" w:hAnsi="Calibri" w:cs="Times New Roman"/>
          <w:b/>
          <w:sz w:val="22"/>
          <w:szCs w:val="22"/>
          <w:highlight w:val="yellow"/>
        </w:rPr>
        <w:t>Disclaimer (Artificial intelligence)</w:t>
      </w:r>
    </w:p>
    <w:p w14:paraId="737B5D36" w14:textId="77777777" w:rsidR="00297245" w:rsidRPr="00297245" w:rsidRDefault="00297245" w:rsidP="00297245">
      <w:pPr>
        <w:spacing w:after="200" w:line="276" w:lineRule="auto"/>
        <w:rPr>
          <w:rFonts w:ascii="Calibri" w:eastAsia="Calibri" w:hAnsi="Calibri" w:cs="Times New Roman"/>
          <w:sz w:val="22"/>
          <w:szCs w:val="22"/>
          <w:highlight w:val="yellow"/>
        </w:rPr>
      </w:pPr>
      <w:r w:rsidRPr="00297245">
        <w:rPr>
          <w:rFonts w:ascii="Calibri" w:eastAsia="Calibri" w:hAnsi="Calibri" w:cs="Times New Roman"/>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125C75CF" w14:textId="77777777" w:rsidR="00297245" w:rsidRPr="007A2832" w:rsidRDefault="00297245" w:rsidP="007A2832">
      <w:pPr>
        <w:spacing w:line="360" w:lineRule="auto"/>
        <w:jc w:val="both"/>
        <w:rPr>
          <w:rFonts w:ascii="Times New Roman" w:hAnsi="Times New Roman" w:cs="Times New Roman"/>
        </w:rPr>
      </w:pPr>
    </w:p>
    <w:p w14:paraId="32285465" w14:textId="067F95C2" w:rsidR="0093288F" w:rsidRPr="006B4DD6" w:rsidRDefault="0093288F" w:rsidP="006B4DD6">
      <w:pPr>
        <w:jc w:val="center"/>
        <w:rPr>
          <w:rFonts w:ascii="Times New Roman" w:hAnsi="Times New Roman" w:cs="Times New Roman"/>
          <w:b/>
          <w:bCs/>
        </w:rPr>
      </w:pPr>
      <w:r w:rsidRPr="006B4DD6">
        <w:rPr>
          <w:rFonts w:ascii="Times New Roman" w:hAnsi="Times New Roman" w:cs="Times New Roman"/>
          <w:b/>
          <w:bCs/>
        </w:rPr>
        <w:t>Reference</w:t>
      </w:r>
    </w:p>
    <w:p w14:paraId="31C9CF81" w14:textId="77777777" w:rsidR="00E9411D" w:rsidRPr="00BC26A8" w:rsidRDefault="00E9411D" w:rsidP="0012786E">
      <w:pPr>
        <w:spacing w:line="240" w:lineRule="auto"/>
        <w:ind w:left="709" w:hanging="709"/>
        <w:jc w:val="both"/>
        <w:rPr>
          <w:rFonts w:ascii="Times New Roman" w:hAnsi="Times New Roman" w:cs="Times New Roman"/>
        </w:rPr>
      </w:pPr>
    </w:p>
    <w:p w14:paraId="3779E612" w14:textId="77777777" w:rsidR="00E9411D" w:rsidRDefault="00E9411D" w:rsidP="00FB0A5C">
      <w:pPr>
        <w:spacing w:line="240" w:lineRule="auto"/>
        <w:ind w:left="709" w:hanging="709"/>
        <w:jc w:val="both"/>
        <w:rPr>
          <w:rFonts w:ascii="Times New Roman" w:hAnsi="Times New Roman" w:cs="Times New Roman"/>
        </w:rPr>
      </w:pPr>
      <w:r w:rsidRPr="00FB0A5C">
        <w:rPr>
          <w:rFonts w:ascii="Times New Roman" w:hAnsi="Times New Roman" w:cs="Times New Roman"/>
        </w:rPr>
        <w:t xml:space="preserve">Adebayo, S. A., Olaoye, S. A., &amp; Adeyemi, S. B. (2023). Market inefficiencies and firm valuation in emerging African economies. </w:t>
      </w:r>
      <w:r w:rsidRPr="00FB0A5C">
        <w:rPr>
          <w:rFonts w:ascii="Times New Roman" w:hAnsi="Times New Roman" w:cs="Times New Roman"/>
          <w:i/>
          <w:iCs/>
        </w:rPr>
        <w:t>African Journal of Economic and Management Studies, 14</w:t>
      </w:r>
      <w:r w:rsidRPr="00FB0A5C">
        <w:rPr>
          <w:rFonts w:ascii="Times New Roman" w:hAnsi="Times New Roman" w:cs="Times New Roman"/>
        </w:rPr>
        <w:t>(2), 210–225.</w:t>
      </w:r>
    </w:p>
    <w:p w14:paraId="5A7C0FBD" w14:textId="77777777" w:rsidR="00E9411D" w:rsidRPr="007D01D7" w:rsidRDefault="00E9411D" w:rsidP="006C0A99">
      <w:pPr>
        <w:spacing w:line="240" w:lineRule="auto"/>
        <w:ind w:left="720" w:hanging="720"/>
        <w:jc w:val="both"/>
        <w:rPr>
          <w:rFonts w:ascii="Times New Roman" w:hAnsi="Times New Roman" w:cs="Times New Roman"/>
        </w:rPr>
      </w:pPr>
      <w:r w:rsidRPr="007D01D7">
        <w:rPr>
          <w:rFonts w:ascii="Times New Roman" w:hAnsi="Times New Roman" w:cs="Times New Roman"/>
        </w:rPr>
        <w:t xml:space="preserve">Adebiyi, W. K., Olowookere, J. K., &amp; Akinleye, G. T. (2023). Corporate governance and firm value: Evidence from Nigeria. </w:t>
      </w:r>
      <w:r w:rsidRPr="007D01D7">
        <w:rPr>
          <w:rFonts w:ascii="Times New Roman" w:hAnsi="Times New Roman" w:cs="Times New Roman"/>
          <w:i/>
          <w:iCs/>
        </w:rPr>
        <w:t>International Journal of Business and Management Review, 11</w:t>
      </w:r>
      <w:r w:rsidRPr="007D01D7">
        <w:rPr>
          <w:rFonts w:ascii="Times New Roman" w:hAnsi="Times New Roman" w:cs="Times New Roman"/>
        </w:rPr>
        <w:t>(2), 45–60.</w:t>
      </w:r>
    </w:p>
    <w:p w14:paraId="690F238F" w14:textId="77777777" w:rsidR="00E9411D" w:rsidRPr="001059B3" w:rsidRDefault="00E9411D" w:rsidP="006C0A99">
      <w:pPr>
        <w:spacing w:line="240" w:lineRule="auto"/>
        <w:ind w:left="720" w:hanging="720"/>
        <w:jc w:val="both"/>
        <w:rPr>
          <w:rFonts w:ascii="Times New Roman" w:hAnsi="Times New Roman" w:cs="Times New Roman"/>
        </w:rPr>
      </w:pPr>
      <w:r w:rsidRPr="001059B3">
        <w:rPr>
          <w:rFonts w:ascii="Times New Roman" w:hAnsi="Times New Roman" w:cs="Times New Roman"/>
        </w:rPr>
        <w:lastRenderedPageBreak/>
        <w:t xml:space="preserve">Adedoyin, A., Adeleke, O., &amp; Oloruntoba, S. (2023). Board characteristics and firm value in Nigeria. </w:t>
      </w:r>
      <w:r w:rsidRPr="001059B3">
        <w:rPr>
          <w:rFonts w:ascii="Times New Roman" w:hAnsi="Times New Roman" w:cs="Times New Roman"/>
          <w:i/>
          <w:iCs/>
        </w:rPr>
        <w:t>African Journal of Economic and Management Studies, 14</w:t>
      </w:r>
      <w:r w:rsidRPr="001059B3">
        <w:rPr>
          <w:rFonts w:ascii="Times New Roman" w:hAnsi="Times New Roman" w:cs="Times New Roman"/>
        </w:rPr>
        <w:t>(4), 500–515.</w:t>
      </w:r>
    </w:p>
    <w:p w14:paraId="04D40AB5"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Adedoyin, F., Ajao, M., &amp; Oloyede, O. O. (2023). Board independence, corporate governance, and firm value: Evidence from Nigeria. </w:t>
      </w:r>
      <w:r w:rsidRPr="004A4249">
        <w:rPr>
          <w:rFonts w:ascii="Times New Roman" w:hAnsi="Times New Roman" w:cs="Times New Roman"/>
          <w:i/>
          <w:iCs/>
        </w:rPr>
        <w:t>Journal of Economic Structures, 12</w:t>
      </w:r>
      <w:r w:rsidRPr="004A4249">
        <w:rPr>
          <w:rFonts w:ascii="Times New Roman" w:hAnsi="Times New Roman" w:cs="Times New Roman"/>
        </w:rPr>
        <w:t>(1), 1–18. https://doi.org/10.1186/s40008-023-00256-7</w:t>
      </w:r>
    </w:p>
    <w:p w14:paraId="55AB687E" w14:textId="77777777" w:rsidR="00E9411D" w:rsidRDefault="00E9411D" w:rsidP="005A796A">
      <w:pPr>
        <w:spacing w:line="240" w:lineRule="auto"/>
        <w:ind w:left="709" w:hanging="709"/>
        <w:jc w:val="both"/>
        <w:rPr>
          <w:rFonts w:ascii="Times New Roman" w:hAnsi="Times New Roman" w:cs="Times New Roman"/>
        </w:rPr>
      </w:pPr>
      <w:r w:rsidRPr="005A796A">
        <w:rPr>
          <w:rFonts w:ascii="Times New Roman" w:hAnsi="Times New Roman" w:cs="Times New Roman"/>
        </w:rPr>
        <w:t xml:space="preserve">Adeleye, J. O., &amp; George, O. J. (2023). Effects of training and development on employees’ productivity in the Nigerian parastatals. </w:t>
      </w:r>
      <w:r w:rsidRPr="005A796A">
        <w:rPr>
          <w:rFonts w:ascii="Times New Roman" w:hAnsi="Times New Roman" w:cs="Times New Roman"/>
          <w:i/>
          <w:iCs/>
        </w:rPr>
        <w:t>Fuoye Journal of Finance and Contemporary Issues, 5</w:t>
      </w:r>
      <w:r w:rsidRPr="005A796A">
        <w:rPr>
          <w:rFonts w:ascii="Times New Roman" w:hAnsi="Times New Roman" w:cs="Times New Roman"/>
        </w:rPr>
        <w:t>(1), 155–170.</w:t>
      </w:r>
    </w:p>
    <w:p w14:paraId="2BD48018" w14:textId="77777777" w:rsidR="00E9411D" w:rsidRPr="00C250CB" w:rsidRDefault="00E9411D" w:rsidP="00C250CB">
      <w:pPr>
        <w:spacing w:line="240" w:lineRule="auto"/>
        <w:ind w:left="709" w:hanging="709"/>
        <w:jc w:val="both"/>
        <w:rPr>
          <w:rFonts w:ascii="Times New Roman" w:hAnsi="Times New Roman" w:cs="Times New Roman"/>
        </w:rPr>
      </w:pPr>
      <w:r w:rsidRPr="00C250CB">
        <w:rPr>
          <w:rFonts w:ascii="Times New Roman" w:hAnsi="Times New Roman" w:cs="Times New Roman"/>
        </w:rPr>
        <w:t xml:space="preserve">Adeosun, O. T. (2024). Human capital development, innovation, and industrial sector performance in Sub-Saharan Africa. </w:t>
      </w:r>
      <w:r w:rsidRPr="00C250CB">
        <w:rPr>
          <w:rFonts w:ascii="Times New Roman" w:hAnsi="Times New Roman" w:cs="Times New Roman"/>
          <w:i/>
          <w:iCs/>
        </w:rPr>
        <w:t>African Development Review, 36</w:t>
      </w:r>
      <w:r w:rsidRPr="00C250CB">
        <w:rPr>
          <w:rFonts w:ascii="Times New Roman" w:hAnsi="Times New Roman" w:cs="Times New Roman"/>
        </w:rPr>
        <w:t xml:space="preserve">(2), 245–261. </w:t>
      </w:r>
    </w:p>
    <w:p w14:paraId="29105B49"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Agyemang, O. S., &amp; Ofori, D. F. (2023). Human capital investment and firm performance: Evidence from emerging economies. </w:t>
      </w:r>
      <w:r w:rsidRPr="004A4249">
        <w:rPr>
          <w:rFonts w:ascii="Times New Roman" w:hAnsi="Times New Roman" w:cs="Times New Roman"/>
          <w:i/>
          <w:iCs/>
        </w:rPr>
        <w:t>African Journal of Economic and Management Studies, 14</w:t>
      </w:r>
      <w:r w:rsidRPr="004A4249">
        <w:rPr>
          <w:rFonts w:ascii="Times New Roman" w:hAnsi="Times New Roman" w:cs="Times New Roman"/>
        </w:rPr>
        <w:t>(3), 345–360. https://doi.org/10.1108/AJEMS-01-2023-0021</w:t>
      </w:r>
    </w:p>
    <w:p w14:paraId="08B0D0C1" w14:textId="77777777" w:rsidR="00E9411D" w:rsidRPr="001059B3" w:rsidRDefault="00E9411D" w:rsidP="006C0A99">
      <w:pPr>
        <w:spacing w:line="240" w:lineRule="auto"/>
        <w:ind w:left="720" w:hanging="720"/>
        <w:jc w:val="both"/>
        <w:rPr>
          <w:rFonts w:ascii="Times New Roman" w:hAnsi="Times New Roman" w:cs="Times New Roman"/>
        </w:rPr>
      </w:pPr>
      <w:r w:rsidRPr="001059B3">
        <w:rPr>
          <w:rFonts w:ascii="Times New Roman" w:hAnsi="Times New Roman" w:cs="Times New Roman"/>
        </w:rPr>
        <w:t xml:space="preserve">Ahmed, S. O., Ahmed, M. N., Tauhid, S., &amp; Yahaya, O. A. (2025). Board independence and capital structure of listed services firms in Nigeria, moderated by firm listing age. </w:t>
      </w:r>
      <w:r w:rsidRPr="001059B3">
        <w:rPr>
          <w:rFonts w:ascii="Times New Roman" w:hAnsi="Times New Roman" w:cs="Times New Roman"/>
          <w:i/>
          <w:iCs/>
        </w:rPr>
        <w:t>Journal of Accounting, Finance and Econometrics, 19</w:t>
      </w:r>
      <w:r w:rsidRPr="001059B3">
        <w:rPr>
          <w:rFonts w:ascii="Times New Roman" w:hAnsi="Times New Roman" w:cs="Times New Roman"/>
        </w:rPr>
        <w:t>(7), 103–119.</w:t>
      </w:r>
    </w:p>
    <w:p w14:paraId="329BACE6" w14:textId="77777777" w:rsidR="00E9411D" w:rsidRPr="007E328C" w:rsidRDefault="00E9411D" w:rsidP="006C0A99">
      <w:pPr>
        <w:spacing w:line="240" w:lineRule="auto"/>
        <w:ind w:left="720" w:hanging="720"/>
        <w:jc w:val="both"/>
        <w:rPr>
          <w:rFonts w:ascii="Times New Roman" w:hAnsi="Times New Roman" w:cs="Times New Roman"/>
        </w:rPr>
      </w:pPr>
      <w:r w:rsidRPr="007E328C">
        <w:rPr>
          <w:rFonts w:ascii="Times New Roman" w:hAnsi="Times New Roman" w:cs="Times New Roman"/>
        </w:rPr>
        <w:t xml:space="preserve">Al Naim, A., Alshammari, A., &amp; Alenezi, M. (2026). Corporate governance reforms and firm value: Evidence from regulatory changes. </w:t>
      </w:r>
      <w:r w:rsidRPr="007E328C">
        <w:rPr>
          <w:rFonts w:ascii="Times New Roman" w:hAnsi="Times New Roman" w:cs="Times New Roman"/>
          <w:i/>
          <w:iCs/>
        </w:rPr>
        <w:t>Humanities and Social Sciences Communications, 13</w:t>
      </w:r>
      <w:r w:rsidRPr="007E328C">
        <w:rPr>
          <w:rFonts w:ascii="Times New Roman" w:hAnsi="Times New Roman" w:cs="Times New Roman"/>
        </w:rPr>
        <w:t>, 215.</w:t>
      </w:r>
    </w:p>
    <w:p w14:paraId="1944D1AB" w14:textId="77777777" w:rsidR="00E9411D" w:rsidRPr="00F2692F" w:rsidRDefault="00E9411D" w:rsidP="00F2692F">
      <w:pPr>
        <w:spacing w:line="240" w:lineRule="auto"/>
        <w:ind w:left="709" w:hanging="709"/>
        <w:jc w:val="both"/>
        <w:rPr>
          <w:rFonts w:ascii="Times New Roman" w:hAnsi="Times New Roman" w:cs="Times New Roman"/>
        </w:rPr>
      </w:pPr>
      <w:r w:rsidRPr="00F2692F">
        <w:rPr>
          <w:rFonts w:ascii="Times New Roman" w:hAnsi="Times New Roman" w:cs="Times New Roman"/>
        </w:rPr>
        <w:t xml:space="preserve">Auerbach, P. (2025). Reformulating the critique of human capital theory. </w:t>
      </w:r>
      <w:r w:rsidRPr="00F2692F">
        <w:rPr>
          <w:rFonts w:ascii="Times New Roman" w:hAnsi="Times New Roman" w:cs="Times New Roman"/>
          <w:i/>
          <w:iCs/>
        </w:rPr>
        <w:t>Journal of Economic Surveys, 39</w:t>
      </w:r>
      <w:r w:rsidRPr="00F2692F">
        <w:rPr>
          <w:rFonts w:ascii="Times New Roman" w:hAnsi="Times New Roman" w:cs="Times New Roman"/>
        </w:rPr>
        <w:t>(2), 315–332.</w:t>
      </w:r>
    </w:p>
    <w:p w14:paraId="40F86E3D" w14:textId="77777777" w:rsidR="00E9411D" w:rsidRPr="004F49B2" w:rsidRDefault="00E9411D" w:rsidP="004F49B2">
      <w:pPr>
        <w:spacing w:line="240" w:lineRule="auto"/>
        <w:ind w:left="709" w:hanging="709"/>
        <w:jc w:val="both"/>
        <w:rPr>
          <w:rFonts w:ascii="Times New Roman" w:hAnsi="Times New Roman" w:cs="Times New Roman"/>
        </w:rPr>
      </w:pPr>
      <w:r w:rsidRPr="004F49B2">
        <w:rPr>
          <w:rFonts w:ascii="Times New Roman" w:hAnsi="Times New Roman" w:cs="Times New Roman"/>
        </w:rPr>
        <w:t xml:space="preserve">Bafera, J., &amp; Kleinert, S. (2023). Signaling theory in entrepreneurship research: A systematic review and research agenda. </w:t>
      </w:r>
      <w:r w:rsidRPr="004F49B2">
        <w:rPr>
          <w:rFonts w:ascii="Times New Roman" w:hAnsi="Times New Roman" w:cs="Times New Roman"/>
          <w:i/>
          <w:iCs/>
        </w:rPr>
        <w:t>Entrepreneurship Theory and Practice, 47</w:t>
      </w:r>
      <w:r w:rsidRPr="004F49B2">
        <w:rPr>
          <w:rFonts w:ascii="Times New Roman" w:hAnsi="Times New Roman" w:cs="Times New Roman"/>
        </w:rPr>
        <w:t>(6), 2419–2464.</w:t>
      </w:r>
    </w:p>
    <w:p w14:paraId="15A9FE92" w14:textId="77777777" w:rsidR="00E9411D" w:rsidRDefault="00E9411D" w:rsidP="006C0A99">
      <w:pPr>
        <w:spacing w:line="240" w:lineRule="auto"/>
        <w:ind w:left="720" w:hanging="720"/>
        <w:jc w:val="both"/>
        <w:rPr>
          <w:rFonts w:ascii="Times New Roman" w:hAnsi="Times New Roman" w:cs="Times New Roman"/>
        </w:rPr>
      </w:pPr>
      <w:r w:rsidRPr="00CE37D8">
        <w:rPr>
          <w:rFonts w:ascii="Times New Roman" w:hAnsi="Times New Roman" w:cs="Times New Roman"/>
        </w:rPr>
        <w:t xml:space="preserve">Baker, S. R., Bloom, N., &amp; Davis, S. J. (2022). Measuring economic policy uncertainty. </w:t>
      </w:r>
      <w:r w:rsidRPr="00CE37D8">
        <w:rPr>
          <w:rFonts w:ascii="Times New Roman" w:hAnsi="Times New Roman" w:cs="Times New Roman"/>
          <w:i/>
          <w:iCs/>
        </w:rPr>
        <w:t>The Quarterly Journal of Economics, 137</w:t>
      </w:r>
      <w:r w:rsidRPr="00CE37D8">
        <w:rPr>
          <w:rFonts w:ascii="Times New Roman" w:hAnsi="Times New Roman" w:cs="Times New Roman"/>
        </w:rPr>
        <w:t>(4), 2165–2213.</w:t>
      </w:r>
    </w:p>
    <w:p w14:paraId="1C595AA1" w14:textId="77777777" w:rsidR="00E9411D" w:rsidRPr="00C250CB" w:rsidRDefault="00E9411D" w:rsidP="00C250CB">
      <w:pPr>
        <w:spacing w:line="240" w:lineRule="auto"/>
        <w:ind w:left="709" w:hanging="709"/>
        <w:jc w:val="both"/>
        <w:rPr>
          <w:rFonts w:ascii="Times New Roman" w:hAnsi="Times New Roman" w:cs="Times New Roman"/>
        </w:rPr>
      </w:pPr>
      <w:r w:rsidRPr="00C250CB">
        <w:rPr>
          <w:rFonts w:ascii="Times New Roman" w:hAnsi="Times New Roman" w:cs="Times New Roman"/>
        </w:rPr>
        <w:t xml:space="preserve">Becker, G. S. (1964). </w:t>
      </w:r>
      <w:r w:rsidRPr="00C250CB">
        <w:rPr>
          <w:rFonts w:ascii="Times New Roman" w:hAnsi="Times New Roman" w:cs="Times New Roman"/>
          <w:i/>
          <w:iCs/>
        </w:rPr>
        <w:t>Human capital: A theoretical and empirical analysis, with special reference to education</w:t>
      </w:r>
      <w:r w:rsidRPr="00C250CB">
        <w:rPr>
          <w:rFonts w:ascii="Times New Roman" w:hAnsi="Times New Roman" w:cs="Times New Roman"/>
        </w:rPr>
        <w:t xml:space="preserve"> (3rd ed.). University of Chicago Press.</w:t>
      </w:r>
    </w:p>
    <w:p w14:paraId="511348A8" w14:textId="77777777" w:rsidR="00E9411D" w:rsidRPr="0053192E" w:rsidRDefault="00E9411D" w:rsidP="0053192E">
      <w:pPr>
        <w:spacing w:line="240" w:lineRule="auto"/>
        <w:ind w:left="709" w:hanging="709"/>
        <w:jc w:val="both"/>
        <w:rPr>
          <w:rFonts w:ascii="Times New Roman" w:hAnsi="Times New Roman" w:cs="Times New Roman"/>
        </w:rPr>
      </w:pPr>
      <w:r w:rsidRPr="0053192E">
        <w:rPr>
          <w:rFonts w:ascii="Times New Roman" w:hAnsi="Times New Roman" w:cs="Times New Roman"/>
        </w:rPr>
        <w:t xml:space="preserve">Bello, A., Sani, M. U., &amp; Garba, T. (2026). Human capital deficiency and firm performance in Sub Saharan Africa. </w:t>
      </w:r>
      <w:r w:rsidRPr="0053192E">
        <w:rPr>
          <w:rFonts w:ascii="Times New Roman" w:hAnsi="Times New Roman" w:cs="Times New Roman"/>
          <w:i/>
          <w:iCs/>
        </w:rPr>
        <w:t>African Journal of Business Management, 18</w:t>
      </w:r>
      <w:r w:rsidRPr="0053192E">
        <w:rPr>
          <w:rFonts w:ascii="Times New Roman" w:hAnsi="Times New Roman" w:cs="Times New Roman"/>
        </w:rPr>
        <w:t>(1), 33–47.</w:t>
      </w:r>
    </w:p>
    <w:p w14:paraId="6BD739A8" w14:textId="77777777" w:rsidR="00E9411D" w:rsidRDefault="00E9411D" w:rsidP="001D7C91">
      <w:pPr>
        <w:spacing w:line="240" w:lineRule="auto"/>
        <w:ind w:left="709" w:hanging="709"/>
        <w:jc w:val="both"/>
        <w:rPr>
          <w:rFonts w:ascii="Times New Roman" w:hAnsi="Times New Roman" w:cs="Times New Roman"/>
        </w:rPr>
      </w:pPr>
      <w:r w:rsidRPr="00D8143B">
        <w:rPr>
          <w:rFonts w:ascii="Times New Roman" w:hAnsi="Times New Roman" w:cs="Times New Roman"/>
        </w:rPr>
        <w:t xml:space="preserve">Bolli, T., &amp; Woerter, M. (2022). Training and firm innovation. </w:t>
      </w:r>
      <w:r w:rsidRPr="00D8143B">
        <w:rPr>
          <w:rFonts w:ascii="Times New Roman" w:hAnsi="Times New Roman" w:cs="Times New Roman"/>
          <w:i/>
          <w:iCs/>
        </w:rPr>
        <w:t>Research Policy</w:t>
      </w:r>
      <w:r w:rsidRPr="00D8143B">
        <w:rPr>
          <w:rFonts w:ascii="Times New Roman" w:hAnsi="Times New Roman" w:cs="Times New Roman"/>
        </w:rPr>
        <w:t xml:space="preserve">, 51(7), 104509. </w:t>
      </w:r>
    </w:p>
    <w:p w14:paraId="3ACBE010" w14:textId="77777777" w:rsidR="00E9411D" w:rsidRPr="001059B3" w:rsidRDefault="00E9411D" w:rsidP="00E3318A">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Bukari, A., Ahinful, G. S., &amp; Ofori, D. F. (2024). Corporate governance and firm value: The moderating role of ESG performance. </w:t>
      </w:r>
      <w:r w:rsidRPr="004A4249">
        <w:rPr>
          <w:rFonts w:ascii="Times New Roman" w:hAnsi="Times New Roman" w:cs="Times New Roman"/>
          <w:i/>
          <w:iCs/>
        </w:rPr>
        <w:t>Cogent Economics &amp; Finance, 12</w:t>
      </w:r>
      <w:r w:rsidRPr="004A4249">
        <w:rPr>
          <w:rFonts w:ascii="Times New Roman" w:hAnsi="Times New Roman" w:cs="Times New Roman"/>
        </w:rPr>
        <w:t xml:space="preserve">(1), 2333941. </w:t>
      </w:r>
    </w:p>
    <w:p w14:paraId="094344AD" w14:textId="77777777" w:rsidR="00E9411D" w:rsidRPr="001910A9" w:rsidRDefault="00E9411D" w:rsidP="001910A9">
      <w:pPr>
        <w:spacing w:line="240" w:lineRule="auto"/>
        <w:ind w:left="709" w:hanging="709"/>
        <w:jc w:val="both"/>
        <w:rPr>
          <w:rFonts w:ascii="Times New Roman" w:hAnsi="Times New Roman" w:cs="Times New Roman"/>
        </w:rPr>
      </w:pPr>
      <w:r w:rsidRPr="001910A9">
        <w:rPr>
          <w:rFonts w:ascii="Times New Roman" w:hAnsi="Times New Roman" w:cs="Times New Roman"/>
        </w:rPr>
        <w:t xml:space="preserve">Connelly, B. L., Certo, S. T., Reutzel, C. R., DesJardine, M. R., &amp; Zhou, Y. S. (2025). </w:t>
      </w:r>
      <w:r w:rsidRPr="001910A9">
        <w:rPr>
          <w:rFonts w:ascii="Times New Roman" w:hAnsi="Times New Roman" w:cs="Times New Roman"/>
          <w:i/>
          <w:iCs/>
        </w:rPr>
        <w:t>Signaling theory: State of the theory and its future</w:t>
      </w:r>
      <w:r w:rsidRPr="001910A9">
        <w:rPr>
          <w:rFonts w:ascii="Times New Roman" w:hAnsi="Times New Roman" w:cs="Times New Roman"/>
        </w:rPr>
        <w:t xml:space="preserve">. </w:t>
      </w:r>
      <w:r w:rsidRPr="001910A9">
        <w:rPr>
          <w:rFonts w:ascii="Times New Roman" w:hAnsi="Times New Roman" w:cs="Times New Roman"/>
          <w:i/>
          <w:iCs/>
        </w:rPr>
        <w:t>Journal of Management, 51</w:t>
      </w:r>
      <w:r w:rsidRPr="001910A9">
        <w:rPr>
          <w:rFonts w:ascii="Times New Roman" w:hAnsi="Times New Roman" w:cs="Times New Roman"/>
        </w:rPr>
        <w:t xml:space="preserve">(1), 24–61. </w:t>
      </w:r>
    </w:p>
    <w:p w14:paraId="4A297A12" w14:textId="77777777" w:rsidR="00E9411D" w:rsidRDefault="00E9411D" w:rsidP="006C0A99">
      <w:pPr>
        <w:spacing w:line="240" w:lineRule="auto"/>
        <w:ind w:left="720" w:hanging="720"/>
        <w:jc w:val="both"/>
        <w:rPr>
          <w:rFonts w:ascii="Times New Roman" w:hAnsi="Times New Roman" w:cs="Times New Roman"/>
        </w:rPr>
      </w:pPr>
      <w:r w:rsidRPr="00CE37D8">
        <w:rPr>
          <w:rFonts w:ascii="Times New Roman" w:hAnsi="Times New Roman" w:cs="Times New Roman"/>
        </w:rPr>
        <w:t xml:space="preserve">David, R., Abdullahi, M., &amp; Daddau, H. (2025). Corporate attributes and firm value of listed industrial goods firms in Nigeria. </w:t>
      </w:r>
      <w:r w:rsidRPr="00CE37D8">
        <w:rPr>
          <w:rFonts w:ascii="Times New Roman" w:hAnsi="Times New Roman" w:cs="Times New Roman"/>
          <w:i/>
          <w:iCs/>
        </w:rPr>
        <w:t>Journal of Accounting and Financial Management</w:t>
      </w:r>
      <w:r w:rsidRPr="00CE37D8">
        <w:rPr>
          <w:rFonts w:ascii="Times New Roman" w:hAnsi="Times New Roman" w:cs="Times New Roman"/>
        </w:rPr>
        <w:t>, 11(1), 45–60.</w:t>
      </w:r>
    </w:p>
    <w:p w14:paraId="343CD563" w14:textId="77777777" w:rsidR="00E9411D" w:rsidRDefault="00E9411D" w:rsidP="001D7C91">
      <w:pPr>
        <w:spacing w:line="240" w:lineRule="auto"/>
        <w:ind w:left="709" w:hanging="709"/>
        <w:jc w:val="both"/>
        <w:rPr>
          <w:rFonts w:ascii="Times New Roman" w:hAnsi="Times New Roman" w:cs="Times New Roman"/>
        </w:rPr>
      </w:pPr>
      <w:r w:rsidRPr="00D8143B">
        <w:rPr>
          <w:rFonts w:ascii="Times New Roman" w:hAnsi="Times New Roman" w:cs="Times New Roman"/>
        </w:rPr>
        <w:lastRenderedPageBreak/>
        <w:t xml:space="preserve">Dearden, L., Reed, H., &amp; John Van Reenen (2022). The impact of training on productivity and innovation. </w:t>
      </w:r>
      <w:r w:rsidRPr="00D8143B">
        <w:rPr>
          <w:rFonts w:ascii="Times New Roman" w:hAnsi="Times New Roman" w:cs="Times New Roman"/>
          <w:i/>
          <w:iCs/>
        </w:rPr>
        <w:t>Oxford Economic Papers</w:t>
      </w:r>
      <w:r w:rsidRPr="00D8143B">
        <w:rPr>
          <w:rFonts w:ascii="Times New Roman" w:hAnsi="Times New Roman" w:cs="Times New Roman"/>
        </w:rPr>
        <w:t>, 74(3), 617–639</w:t>
      </w:r>
      <w:r>
        <w:rPr>
          <w:rFonts w:ascii="Times New Roman" w:hAnsi="Times New Roman" w:cs="Times New Roman"/>
        </w:rPr>
        <w:t>.</w:t>
      </w:r>
    </w:p>
    <w:p w14:paraId="3346C32A" w14:textId="77777777" w:rsidR="00E9411D" w:rsidRPr="00F2692F" w:rsidRDefault="00E9411D" w:rsidP="00F2692F">
      <w:pPr>
        <w:spacing w:line="240" w:lineRule="auto"/>
        <w:ind w:left="709" w:hanging="709"/>
        <w:jc w:val="both"/>
        <w:rPr>
          <w:rFonts w:ascii="Times New Roman" w:hAnsi="Times New Roman" w:cs="Times New Roman"/>
        </w:rPr>
      </w:pPr>
      <w:r w:rsidRPr="00F2692F">
        <w:rPr>
          <w:rFonts w:ascii="Times New Roman" w:hAnsi="Times New Roman" w:cs="Times New Roman"/>
        </w:rPr>
        <w:t xml:space="preserve">Deming, D. (2025). Skills and human capital in the labor market. In O. Ashenfelter &amp; D. Card (Eds.), </w:t>
      </w:r>
      <w:r w:rsidRPr="00F2692F">
        <w:rPr>
          <w:rFonts w:ascii="Times New Roman" w:hAnsi="Times New Roman" w:cs="Times New Roman"/>
          <w:i/>
          <w:iCs/>
        </w:rPr>
        <w:t>Handbook of Labor Economics</w:t>
      </w:r>
      <w:r w:rsidRPr="00F2692F">
        <w:rPr>
          <w:rFonts w:ascii="Times New Roman" w:hAnsi="Times New Roman" w:cs="Times New Roman"/>
        </w:rPr>
        <w:t xml:space="preserve"> (Vol. 5, pp. 1–48). Elsevier.</w:t>
      </w:r>
    </w:p>
    <w:p w14:paraId="3CB9EE9C" w14:textId="77777777" w:rsidR="00E9411D" w:rsidRDefault="00E9411D" w:rsidP="001D7C91">
      <w:pPr>
        <w:spacing w:line="240" w:lineRule="auto"/>
        <w:ind w:left="709" w:hanging="709"/>
        <w:jc w:val="both"/>
        <w:rPr>
          <w:rFonts w:ascii="Times New Roman" w:hAnsi="Times New Roman" w:cs="Times New Roman"/>
        </w:rPr>
      </w:pPr>
      <w:r w:rsidRPr="001D7C91">
        <w:rPr>
          <w:rFonts w:ascii="Times New Roman" w:hAnsi="Times New Roman" w:cs="Times New Roman"/>
        </w:rPr>
        <w:t xml:space="preserve">Dhaigude, A. S. (2024). Human capital signaling and firm value: An empirical analysis. </w:t>
      </w:r>
      <w:r w:rsidRPr="001D7C91">
        <w:rPr>
          <w:rFonts w:ascii="Times New Roman" w:hAnsi="Times New Roman" w:cs="Times New Roman"/>
          <w:i/>
          <w:iCs/>
        </w:rPr>
        <w:t>International Journal of Business Research</w:t>
      </w:r>
      <w:r w:rsidRPr="001D7C91">
        <w:rPr>
          <w:rFonts w:ascii="Times New Roman" w:hAnsi="Times New Roman" w:cs="Times New Roman"/>
        </w:rPr>
        <w:t>, 24(2), 45–62.</w:t>
      </w:r>
    </w:p>
    <w:p w14:paraId="4403B408" w14:textId="77777777" w:rsidR="00E9411D" w:rsidRPr="004D7572" w:rsidRDefault="00E9411D" w:rsidP="0012786E">
      <w:pPr>
        <w:spacing w:line="240" w:lineRule="auto"/>
        <w:ind w:left="709" w:hanging="709"/>
        <w:jc w:val="both"/>
        <w:rPr>
          <w:rFonts w:ascii="Times New Roman" w:hAnsi="Times New Roman" w:cs="Times New Roman"/>
        </w:rPr>
      </w:pPr>
      <w:r w:rsidRPr="004D7572">
        <w:rPr>
          <w:rFonts w:ascii="Times New Roman" w:hAnsi="Times New Roman" w:cs="Times New Roman"/>
        </w:rPr>
        <w:t xml:space="preserve">Diaz, B. S., Neyra Nazarrett, A., Ramirez, J., Sadun, R., &amp; Tamayo, J. A. (2025). </w:t>
      </w:r>
      <w:r w:rsidRPr="004D7572">
        <w:rPr>
          <w:rFonts w:ascii="Times New Roman" w:hAnsi="Times New Roman" w:cs="Times New Roman"/>
          <w:i/>
          <w:iCs/>
        </w:rPr>
        <w:t>Training within firms</w:t>
      </w:r>
      <w:r w:rsidRPr="004D7572">
        <w:rPr>
          <w:rFonts w:ascii="Times New Roman" w:hAnsi="Times New Roman" w:cs="Times New Roman"/>
        </w:rPr>
        <w:t xml:space="preserve"> (NBER Working Paper No. 33670). National Bureau of Economic Research. </w:t>
      </w:r>
    </w:p>
    <w:p w14:paraId="5D1E7D2F" w14:textId="77777777" w:rsidR="00E9411D" w:rsidRDefault="00E9411D" w:rsidP="001D7C91">
      <w:pPr>
        <w:spacing w:line="240" w:lineRule="auto"/>
        <w:ind w:left="709" w:hanging="709"/>
        <w:jc w:val="both"/>
        <w:rPr>
          <w:rFonts w:ascii="Times New Roman" w:hAnsi="Times New Roman" w:cs="Times New Roman"/>
        </w:rPr>
      </w:pPr>
      <w:r>
        <w:rPr>
          <w:rFonts w:ascii="Times New Roman" w:hAnsi="Times New Roman" w:cs="Times New Roman"/>
        </w:rPr>
        <w:t xml:space="preserve">Emerald </w:t>
      </w:r>
      <w:r w:rsidRPr="001D7C91">
        <w:rPr>
          <w:rFonts w:ascii="Times New Roman" w:hAnsi="Times New Roman" w:cs="Times New Roman"/>
        </w:rPr>
        <w:t xml:space="preserve">(2023). Human capital investment and firm performance: Evidence from emerging economies. </w:t>
      </w:r>
      <w:r w:rsidRPr="001D7C91">
        <w:rPr>
          <w:rFonts w:ascii="Times New Roman" w:hAnsi="Times New Roman" w:cs="Times New Roman"/>
          <w:i/>
          <w:iCs/>
        </w:rPr>
        <w:t>Emerald Publishing</w:t>
      </w:r>
      <w:r w:rsidRPr="001D7C91">
        <w:rPr>
          <w:rFonts w:ascii="Times New Roman" w:hAnsi="Times New Roman" w:cs="Times New Roman"/>
        </w:rPr>
        <w:t>.</w:t>
      </w:r>
    </w:p>
    <w:p w14:paraId="75B54B96" w14:textId="77777777" w:rsidR="00E9411D" w:rsidRPr="005A796A" w:rsidRDefault="00E9411D" w:rsidP="005A796A">
      <w:pPr>
        <w:spacing w:line="240" w:lineRule="auto"/>
        <w:ind w:left="709" w:hanging="709"/>
        <w:jc w:val="both"/>
        <w:rPr>
          <w:rFonts w:ascii="Times New Roman" w:hAnsi="Times New Roman" w:cs="Times New Roman"/>
        </w:rPr>
      </w:pPr>
      <w:r w:rsidRPr="005A796A">
        <w:rPr>
          <w:rFonts w:ascii="Times New Roman" w:hAnsi="Times New Roman" w:cs="Times New Roman"/>
        </w:rPr>
        <w:t xml:space="preserve">Estévez-Mendoza, C., &amp; Montoro-Sánchez, A. (2024). Exploring the relationship between innovation and corporate governance. </w:t>
      </w:r>
      <w:r w:rsidRPr="005A796A">
        <w:rPr>
          <w:rFonts w:ascii="Times New Roman" w:hAnsi="Times New Roman" w:cs="Times New Roman"/>
          <w:i/>
          <w:iCs/>
        </w:rPr>
        <w:t>Technological Forecasting and Social Change, 209</w:t>
      </w:r>
      <w:r w:rsidRPr="005A796A">
        <w:rPr>
          <w:rFonts w:ascii="Times New Roman" w:hAnsi="Times New Roman" w:cs="Times New Roman"/>
        </w:rPr>
        <w:t xml:space="preserve">, 123784. </w:t>
      </w:r>
      <w:hyperlink r:id="rId9" w:tgtFrame="_new" w:history="1">
        <w:r w:rsidRPr="005A796A">
          <w:rPr>
            <w:rStyle w:val="Hyperlink"/>
            <w:rFonts w:ascii="Times New Roman" w:hAnsi="Times New Roman" w:cs="Times New Roman"/>
          </w:rPr>
          <w:t>https://doi.org/10.1016/j.techfore.2024.123784</w:t>
        </w:r>
      </w:hyperlink>
    </w:p>
    <w:p w14:paraId="4721BFB0" w14:textId="77777777" w:rsidR="00E9411D" w:rsidRPr="007F335E" w:rsidRDefault="00E9411D" w:rsidP="0012786E">
      <w:pPr>
        <w:spacing w:line="240" w:lineRule="auto"/>
        <w:ind w:left="709" w:hanging="709"/>
        <w:jc w:val="both"/>
        <w:rPr>
          <w:rFonts w:ascii="Times New Roman" w:hAnsi="Times New Roman" w:cs="Times New Roman"/>
        </w:rPr>
      </w:pPr>
      <w:r w:rsidRPr="007F335E">
        <w:rPr>
          <w:rFonts w:ascii="Times New Roman" w:hAnsi="Times New Roman" w:cs="Times New Roman"/>
        </w:rPr>
        <w:t xml:space="preserve">Eurostat. (2022). </w:t>
      </w:r>
      <w:r w:rsidRPr="007F335E">
        <w:rPr>
          <w:rFonts w:ascii="Times New Roman" w:hAnsi="Times New Roman" w:cs="Times New Roman"/>
          <w:i/>
          <w:iCs/>
        </w:rPr>
        <w:t>Community innovation survey: Methodological guidelines</w:t>
      </w:r>
      <w:r w:rsidRPr="007F335E">
        <w:rPr>
          <w:rFonts w:ascii="Times New Roman" w:hAnsi="Times New Roman" w:cs="Times New Roman"/>
        </w:rPr>
        <w:t>. Publications Office of the European Union. https://doi.org/10.2785/30219</w:t>
      </w:r>
    </w:p>
    <w:p w14:paraId="74C3A910" w14:textId="77777777" w:rsidR="00E9411D" w:rsidRPr="0001237A" w:rsidRDefault="00E9411D" w:rsidP="006C0A99">
      <w:pPr>
        <w:spacing w:line="240" w:lineRule="auto"/>
        <w:ind w:left="720" w:hanging="720"/>
        <w:jc w:val="both"/>
        <w:rPr>
          <w:rFonts w:ascii="Times New Roman" w:hAnsi="Times New Roman" w:cs="Times New Roman"/>
        </w:rPr>
      </w:pPr>
      <w:r w:rsidRPr="0001237A">
        <w:rPr>
          <w:rFonts w:ascii="Times New Roman" w:hAnsi="Times New Roman" w:cs="Times New Roman"/>
        </w:rPr>
        <w:t xml:space="preserve">Ezeani, E., Okoye, P. V. C., &amp; Egbunike, F. C. (2023). Human capital investment and firm productivity in Nigeria. </w:t>
      </w:r>
      <w:r w:rsidRPr="0001237A">
        <w:rPr>
          <w:rFonts w:ascii="Times New Roman" w:hAnsi="Times New Roman" w:cs="Times New Roman"/>
          <w:i/>
          <w:iCs/>
        </w:rPr>
        <w:t>Journal of Accounting and Management, 13</w:t>
      </w:r>
      <w:r w:rsidRPr="0001237A">
        <w:rPr>
          <w:rFonts w:ascii="Times New Roman" w:hAnsi="Times New Roman" w:cs="Times New Roman"/>
        </w:rPr>
        <w:t>(2), 85–101.</w:t>
      </w:r>
    </w:p>
    <w:p w14:paraId="6EBE6656" w14:textId="77777777" w:rsidR="00E9411D" w:rsidRPr="00F2692F" w:rsidRDefault="00E9411D" w:rsidP="00F2692F">
      <w:pPr>
        <w:spacing w:line="240" w:lineRule="auto"/>
        <w:ind w:left="709" w:hanging="709"/>
        <w:jc w:val="both"/>
        <w:rPr>
          <w:rFonts w:ascii="Times New Roman" w:hAnsi="Times New Roman" w:cs="Times New Roman"/>
        </w:rPr>
      </w:pPr>
      <w:r w:rsidRPr="00F2692F">
        <w:rPr>
          <w:rFonts w:ascii="Times New Roman" w:hAnsi="Times New Roman" w:cs="Times New Roman"/>
        </w:rPr>
        <w:t xml:space="preserve">Fathi, S. (2025). Corporate finance signaling theory: An empirical analysis. </w:t>
      </w:r>
      <w:r w:rsidRPr="00F2692F">
        <w:rPr>
          <w:rFonts w:ascii="Times New Roman" w:hAnsi="Times New Roman" w:cs="Times New Roman"/>
          <w:i/>
          <w:iCs/>
        </w:rPr>
        <w:t>International Journal of Disclosure and Governance, 22</w:t>
      </w:r>
      <w:r w:rsidRPr="00F2692F">
        <w:rPr>
          <w:rFonts w:ascii="Times New Roman" w:hAnsi="Times New Roman" w:cs="Times New Roman"/>
        </w:rPr>
        <w:t>(3), 245–262. https://doi.org/10.1057/s41310-025-00145-6</w:t>
      </w:r>
    </w:p>
    <w:p w14:paraId="1BF97A0A" w14:textId="77777777" w:rsidR="00E9411D" w:rsidRPr="00CE37D8" w:rsidRDefault="00E9411D" w:rsidP="006C0A99">
      <w:pPr>
        <w:spacing w:line="240" w:lineRule="auto"/>
        <w:ind w:left="720" w:hanging="720"/>
        <w:jc w:val="both"/>
        <w:rPr>
          <w:rFonts w:ascii="Times New Roman" w:hAnsi="Times New Roman" w:cs="Times New Roman"/>
        </w:rPr>
      </w:pPr>
      <w:r w:rsidRPr="00CE37D8">
        <w:rPr>
          <w:rFonts w:ascii="Times New Roman" w:hAnsi="Times New Roman" w:cs="Times New Roman"/>
        </w:rPr>
        <w:t xml:space="preserve">Flammer, C. (2023). Corporate green bonds and firm value. </w:t>
      </w:r>
      <w:r w:rsidRPr="00CE37D8">
        <w:rPr>
          <w:rFonts w:ascii="Times New Roman" w:hAnsi="Times New Roman" w:cs="Times New Roman"/>
          <w:i/>
          <w:iCs/>
        </w:rPr>
        <w:t>Journal of Financial Economics, 147</w:t>
      </w:r>
      <w:r w:rsidRPr="00CE37D8">
        <w:rPr>
          <w:rFonts w:ascii="Times New Roman" w:hAnsi="Times New Roman" w:cs="Times New Roman"/>
        </w:rPr>
        <w:t>(2), 525–547.</w:t>
      </w:r>
    </w:p>
    <w:p w14:paraId="4CCBA387" w14:textId="77777777" w:rsidR="00E9411D" w:rsidRPr="00CF1C11" w:rsidRDefault="00E9411D" w:rsidP="00CF1C11">
      <w:pPr>
        <w:spacing w:line="240" w:lineRule="auto"/>
        <w:ind w:left="709" w:hanging="709"/>
        <w:jc w:val="both"/>
        <w:rPr>
          <w:rFonts w:ascii="Times New Roman" w:hAnsi="Times New Roman" w:cs="Times New Roman"/>
        </w:rPr>
      </w:pPr>
      <w:r w:rsidRPr="00CF1C11">
        <w:rPr>
          <w:rFonts w:ascii="Times New Roman" w:hAnsi="Times New Roman" w:cs="Times New Roman"/>
        </w:rPr>
        <w:t xml:space="preserve">Habtoor, O. S. (2024). Board independence, ownership structure and firm performance: Evidence from Middle East financial institutions. </w:t>
      </w:r>
      <w:r w:rsidRPr="00CF1C11">
        <w:rPr>
          <w:rFonts w:ascii="Times New Roman" w:hAnsi="Times New Roman" w:cs="Times New Roman"/>
          <w:i/>
          <w:iCs/>
        </w:rPr>
        <w:t>Corporate Governance: The International Journal of Business in Society, 24</w:t>
      </w:r>
      <w:r w:rsidRPr="00CF1C11">
        <w:rPr>
          <w:rFonts w:ascii="Times New Roman" w:hAnsi="Times New Roman" w:cs="Times New Roman"/>
        </w:rPr>
        <w:t>(3), 612–629. https://doi.org/10.1108/CG-08-2023-0316</w:t>
      </w:r>
    </w:p>
    <w:p w14:paraId="099FCE60" w14:textId="68E9860F" w:rsidR="00E9411D" w:rsidRPr="00FB0A5C" w:rsidRDefault="00E9411D" w:rsidP="00FB0A5C">
      <w:pPr>
        <w:spacing w:line="240" w:lineRule="auto"/>
        <w:ind w:left="709" w:hanging="709"/>
        <w:jc w:val="both"/>
        <w:rPr>
          <w:rFonts w:ascii="Times New Roman" w:hAnsi="Times New Roman" w:cs="Times New Roman"/>
        </w:rPr>
      </w:pPr>
      <w:r w:rsidRPr="00FB0A5C">
        <w:rPr>
          <w:rFonts w:ascii="Times New Roman" w:hAnsi="Times New Roman" w:cs="Times New Roman"/>
        </w:rPr>
        <w:t>Ibrahim, S. A. (2025). Ownership attributes and firm value of listed non</w:t>
      </w:r>
      <w:r w:rsidR="00424CFB">
        <w:rPr>
          <w:rFonts w:ascii="Times New Roman" w:hAnsi="Times New Roman" w:cs="Times New Roman"/>
        </w:rPr>
        <w:t>-</w:t>
      </w:r>
      <w:r w:rsidRPr="00FB0A5C">
        <w:rPr>
          <w:rFonts w:ascii="Times New Roman" w:hAnsi="Times New Roman" w:cs="Times New Roman"/>
        </w:rPr>
        <w:t xml:space="preserve">financial firms in Nigeria. </w:t>
      </w:r>
      <w:r w:rsidRPr="00FB0A5C">
        <w:rPr>
          <w:rFonts w:ascii="Times New Roman" w:hAnsi="Times New Roman" w:cs="Times New Roman"/>
          <w:i/>
          <w:iCs/>
        </w:rPr>
        <w:t>Gusau Journal of Accounting and Finance, 6</w:t>
      </w:r>
      <w:r w:rsidRPr="00FB0A5C">
        <w:rPr>
          <w:rFonts w:ascii="Times New Roman" w:hAnsi="Times New Roman" w:cs="Times New Roman"/>
        </w:rPr>
        <w:t>(1), 150–170.</w:t>
      </w:r>
    </w:p>
    <w:p w14:paraId="324E86B1" w14:textId="77777777" w:rsidR="00E9411D" w:rsidRPr="005C40E1" w:rsidRDefault="00E9411D" w:rsidP="0012786E">
      <w:pPr>
        <w:spacing w:line="240" w:lineRule="auto"/>
        <w:ind w:left="709" w:hanging="709"/>
        <w:jc w:val="both"/>
        <w:rPr>
          <w:rFonts w:ascii="Times New Roman" w:hAnsi="Times New Roman" w:cs="Times New Roman"/>
        </w:rPr>
      </w:pPr>
      <w:r w:rsidRPr="005C40E1">
        <w:rPr>
          <w:rFonts w:ascii="Times New Roman" w:hAnsi="Times New Roman" w:cs="Times New Roman"/>
        </w:rPr>
        <w:t xml:space="preserve">Institute for Fiscal Studies. (2023). </w:t>
      </w:r>
      <w:r w:rsidRPr="005C40E1">
        <w:rPr>
          <w:rFonts w:ascii="Times New Roman" w:hAnsi="Times New Roman" w:cs="Times New Roman"/>
          <w:i/>
          <w:iCs/>
        </w:rPr>
        <w:t>Investment in training and skills: Trends and challenges</w:t>
      </w:r>
      <w:r w:rsidRPr="005C40E1">
        <w:rPr>
          <w:rFonts w:ascii="Times New Roman" w:hAnsi="Times New Roman" w:cs="Times New Roman"/>
        </w:rPr>
        <w:t>. IFS. https://doi.org/10.1920/re.ifs.2023.0243</w:t>
      </w:r>
    </w:p>
    <w:p w14:paraId="0991FB7C" w14:textId="77777777" w:rsidR="00E9411D" w:rsidRPr="00CF1C11" w:rsidRDefault="00E9411D" w:rsidP="00CF1C11">
      <w:pPr>
        <w:spacing w:line="240" w:lineRule="auto"/>
        <w:ind w:left="709" w:hanging="709"/>
        <w:jc w:val="both"/>
        <w:rPr>
          <w:rFonts w:ascii="Times New Roman" w:hAnsi="Times New Roman" w:cs="Times New Roman"/>
        </w:rPr>
      </w:pPr>
      <w:r w:rsidRPr="00CF1C11">
        <w:rPr>
          <w:rFonts w:ascii="Times New Roman" w:hAnsi="Times New Roman" w:cs="Times New Roman"/>
        </w:rPr>
        <w:t xml:space="preserve">Intara, P. (2024). Intangible investment, corporate governance and firm value: International evidence using Tobin’s Q. </w:t>
      </w:r>
      <w:r w:rsidRPr="00CF1C11">
        <w:rPr>
          <w:rFonts w:ascii="Times New Roman" w:hAnsi="Times New Roman" w:cs="Times New Roman"/>
          <w:i/>
          <w:iCs/>
        </w:rPr>
        <w:t>Journal of International Accounting, Auditing and Taxation, 54</w:t>
      </w:r>
      <w:r w:rsidRPr="00CF1C11">
        <w:rPr>
          <w:rFonts w:ascii="Times New Roman" w:hAnsi="Times New Roman" w:cs="Times New Roman"/>
        </w:rPr>
        <w:t>, 100570. https://doi.org/10.1016/j.intaccaudtax.2023.100570</w:t>
      </w:r>
    </w:p>
    <w:p w14:paraId="50F668A1" w14:textId="77777777" w:rsidR="00E9411D" w:rsidRPr="008C30AD" w:rsidRDefault="00E9411D" w:rsidP="008C30AD">
      <w:pPr>
        <w:spacing w:line="240" w:lineRule="auto"/>
        <w:ind w:left="720" w:hanging="720"/>
        <w:jc w:val="both"/>
        <w:rPr>
          <w:rFonts w:ascii="Times New Roman" w:hAnsi="Times New Roman" w:cs="Times New Roman"/>
        </w:rPr>
      </w:pPr>
      <w:r w:rsidRPr="008C30AD">
        <w:rPr>
          <w:rFonts w:ascii="Times New Roman" w:hAnsi="Times New Roman" w:cs="Times New Roman"/>
        </w:rPr>
        <w:t xml:space="preserve">Kessler, A. S. (2022). The theory of human capital revisited. </w:t>
      </w:r>
      <w:r w:rsidRPr="008C30AD">
        <w:rPr>
          <w:rFonts w:ascii="Times New Roman" w:hAnsi="Times New Roman" w:cs="Times New Roman"/>
          <w:i/>
          <w:iCs/>
        </w:rPr>
        <w:t>CESifo Working Paper Series</w:t>
      </w:r>
      <w:r w:rsidRPr="008C30AD">
        <w:rPr>
          <w:rFonts w:ascii="Times New Roman" w:hAnsi="Times New Roman" w:cs="Times New Roman"/>
        </w:rPr>
        <w:t>.</w:t>
      </w:r>
    </w:p>
    <w:p w14:paraId="090C2061" w14:textId="77777777" w:rsidR="00E9411D" w:rsidRPr="005A3AF9" w:rsidRDefault="00E9411D" w:rsidP="0012786E">
      <w:pPr>
        <w:spacing w:line="240" w:lineRule="auto"/>
        <w:ind w:left="709" w:hanging="709"/>
        <w:jc w:val="both"/>
        <w:rPr>
          <w:rFonts w:ascii="Times New Roman" w:hAnsi="Times New Roman" w:cs="Times New Roman"/>
        </w:rPr>
      </w:pPr>
      <w:r w:rsidRPr="005A3AF9">
        <w:rPr>
          <w:rFonts w:ascii="Times New Roman" w:hAnsi="Times New Roman" w:cs="Times New Roman"/>
        </w:rPr>
        <w:t xml:space="preserve">Kiani, A. (2024). Technological and training contributions to employee performance in the healthcare sector. </w:t>
      </w:r>
      <w:r w:rsidRPr="005A3AF9">
        <w:rPr>
          <w:rFonts w:ascii="Times New Roman" w:hAnsi="Times New Roman" w:cs="Times New Roman"/>
          <w:i/>
          <w:iCs/>
        </w:rPr>
        <w:t>Journal of Resource Management and Decision Engineering, 2</w:t>
      </w:r>
      <w:r w:rsidRPr="005A3AF9">
        <w:rPr>
          <w:rFonts w:ascii="Times New Roman" w:hAnsi="Times New Roman" w:cs="Times New Roman"/>
        </w:rPr>
        <w:t>(1), 4–9.</w:t>
      </w:r>
    </w:p>
    <w:p w14:paraId="3142EF4C" w14:textId="77777777" w:rsidR="00E9411D" w:rsidRPr="0001237A" w:rsidRDefault="00E9411D" w:rsidP="006C0A99">
      <w:pPr>
        <w:spacing w:line="240" w:lineRule="auto"/>
        <w:ind w:left="720" w:hanging="720"/>
        <w:jc w:val="both"/>
        <w:rPr>
          <w:rFonts w:ascii="Times New Roman" w:hAnsi="Times New Roman" w:cs="Times New Roman"/>
        </w:rPr>
      </w:pPr>
      <w:r w:rsidRPr="0001237A">
        <w:rPr>
          <w:rFonts w:ascii="Times New Roman" w:hAnsi="Times New Roman" w:cs="Times New Roman"/>
        </w:rPr>
        <w:lastRenderedPageBreak/>
        <w:t xml:space="preserve">Lawal, A. I., &amp; Nwanji, T. I. (2024). Workforce development and organizational performance: Evidence from developing economies. </w:t>
      </w:r>
      <w:r w:rsidRPr="0001237A">
        <w:rPr>
          <w:rFonts w:ascii="Times New Roman" w:hAnsi="Times New Roman" w:cs="Times New Roman"/>
          <w:i/>
          <w:iCs/>
        </w:rPr>
        <w:t>International Journal of Human Resource Studies, 14</w:t>
      </w:r>
      <w:r w:rsidRPr="0001237A">
        <w:rPr>
          <w:rFonts w:ascii="Times New Roman" w:hAnsi="Times New Roman" w:cs="Times New Roman"/>
        </w:rPr>
        <w:t>(1), 120–135.</w:t>
      </w:r>
    </w:p>
    <w:p w14:paraId="6FE30A14" w14:textId="77777777" w:rsidR="00E9411D" w:rsidRDefault="00E9411D" w:rsidP="006C0A99">
      <w:pPr>
        <w:spacing w:line="240" w:lineRule="auto"/>
        <w:ind w:left="720" w:hanging="720"/>
        <w:jc w:val="both"/>
        <w:rPr>
          <w:rFonts w:ascii="Times New Roman" w:hAnsi="Times New Roman" w:cs="Times New Roman"/>
        </w:rPr>
      </w:pPr>
      <w:r w:rsidRPr="00CE37D8">
        <w:rPr>
          <w:rFonts w:ascii="Times New Roman" w:hAnsi="Times New Roman" w:cs="Times New Roman"/>
        </w:rPr>
        <w:t xml:space="preserve">Lev, B., &amp; Gu, F. (2022). </w:t>
      </w:r>
      <w:r w:rsidRPr="00CE37D8">
        <w:rPr>
          <w:rFonts w:ascii="Times New Roman" w:hAnsi="Times New Roman" w:cs="Times New Roman"/>
          <w:i/>
          <w:iCs/>
        </w:rPr>
        <w:t>The end of accounting and the path forward for investors and managers</w:t>
      </w:r>
      <w:r w:rsidRPr="00CE37D8">
        <w:rPr>
          <w:rFonts w:ascii="Times New Roman" w:hAnsi="Times New Roman" w:cs="Times New Roman"/>
        </w:rPr>
        <w:t>. John Wiley &amp; Sons.</w:t>
      </w:r>
    </w:p>
    <w:p w14:paraId="74068870" w14:textId="77777777" w:rsidR="00E9411D" w:rsidRPr="00CF1C11" w:rsidRDefault="00E9411D" w:rsidP="00CF1C11">
      <w:pPr>
        <w:spacing w:line="240" w:lineRule="auto"/>
        <w:ind w:left="709" w:hanging="709"/>
        <w:jc w:val="both"/>
        <w:rPr>
          <w:rFonts w:ascii="Times New Roman" w:hAnsi="Times New Roman" w:cs="Times New Roman"/>
        </w:rPr>
      </w:pPr>
      <w:r w:rsidRPr="00CF1C11">
        <w:rPr>
          <w:rFonts w:ascii="Times New Roman" w:hAnsi="Times New Roman" w:cs="Times New Roman"/>
        </w:rPr>
        <w:t xml:space="preserve">Li, X., Sun, Y., &amp; Zhou, L. (2024). Board capital, independence and open innovation: Evidence from listed firms in China. </w:t>
      </w:r>
      <w:r w:rsidRPr="00CF1C11">
        <w:rPr>
          <w:rFonts w:ascii="Times New Roman" w:hAnsi="Times New Roman" w:cs="Times New Roman"/>
          <w:i/>
          <w:iCs/>
        </w:rPr>
        <w:t>Journal of Business Research, 171</w:t>
      </w:r>
      <w:r w:rsidRPr="00CF1C11">
        <w:rPr>
          <w:rFonts w:ascii="Times New Roman" w:hAnsi="Times New Roman" w:cs="Times New Roman"/>
        </w:rPr>
        <w:t>, 114391.</w:t>
      </w:r>
    </w:p>
    <w:p w14:paraId="39AD3589" w14:textId="77777777" w:rsidR="00E9411D" w:rsidRPr="004D7572" w:rsidRDefault="00E9411D" w:rsidP="0012786E">
      <w:pPr>
        <w:spacing w:line="240" w:lineRule="auto"/>
        <w:ind w:left="709" w:hanging="709"/>
        <w:jc w:val="both"/>
        <w:rPr>
          <w:rFonts w:ascii="Times New Roman" w:hAnsi="Times New Roman" w:cs="Times New Roman"/>
        </w:rPr>
      </w:pPr>
      <w:r w:rsidRPr="004D7572">
        <w:rPr>
          <w:rFonts w:ascii="Times New Roman" w:hAnsi="Times New Roman" w:cs="Times New Roman"/>
        </w:rPr>
        <w:t xml:space="preserve">Liodaki, N., &amp; Karalis, T. (2024). Barriers of employees’ participation in continuing professional education programs in Greece. </w:t>
      </w:r>
      <w:r w:rsidRPr="004D7572">
        <w:rPr>
          <w:rFonts w:ascii="Times New Roman" w:hAnsi="Times New Roman" w:cs="Times New Roman"/>
          <w:i/>
          <w:iCs/>
        </w:rPr>
        <w:t>European Journal of Education and Pedagogy, 5</w:t>
      </w:r>
      <w:r w:rsidRPr="004D7572">
        <w:rPr>
          <w:rFonts w:ascii="Times New Roman" w:hAnsi="Times New Roman" w:cs="Times New Roman"/>
        </w:rPr>
        <w:t xml:space="preserve">(3), 36–43. https://doi.org/10.24018/ejedu.2024.5.3.819 </w:t>
      </w:r>
    </w:p>
    <w:p w14:paraId="44EBA48F" w14:textId="77777777" w:rsidR="00E9411D" w:rsidRPr="00CF1C11" w:rsidRDefault="00E9411D" w:rsidP="00CF1C11">
      <w:pPr>
        <w:spacing w:line="240" w:lineRule="auto"/>
        <w:ind w:left="709" w:hanging="709"/>
        <w:jc w:val="both"/>
        <w:rPr>
          <w:rFonts w:ascii="Times New Roman" w:hAnsi="Times New Roman" w:cs="Times New Roman"/>
        </w:rPr>
      </w:pPr>
      <w:r w:rsidRPr="00CF1C11">
        <w:rPr>
          <w:rFonts w:ascii="Times New Roman" w:hAnsi="Times New Roman" w:cs="Times New Roman"/>
        </w:rPr>
        <w:t xml:space="preserve">Liu, Y., Wei, Z., &amp; Xie, F. (2023). Board independence, entrepreneurial orientation and firm innovation: Evidence from emerging markets. </w:t>
      </w:r>
      <w:r w:rsidRPr="00CF1C11">
        <w:rPr>
          <w:rFonts w:ascii="Times New Roman" w:hAnsi="Times New Roman" w:cs="Times New Roman"/>
          <w:i/>
          <w:iCs/>
        </w:rPr>
        <w:t>Management Decision, 61</w:t>
      </w:r>
      <w:r w:rsidRPr="00CF1C11">
        <w:rPr>
          <w:rFonts w:ascii="Times New Roman" w:hAnsi="Times New Roman" w:cs="Times New Roman"/>
        </w:rPr>
        <w:t xml:space="preserve">(9), 2401–2420. </w:t>
      </w:r>
    </w:p>
    <w:p w14:paraId="7B6F2683" w14:textId="77777777" w:rsidR="00E9411D" w:rsidRPr="0001237A" w:rsidRDefault="00E9411D" w:rsidP="006C0A99">
      <w:pPr>
        <w:spacing w:line="240" w:lineRule="auto"/>
        <w:ind w:left="720" w:hanging="720"/>
        <w:jc w:val="both"/>
        <w:rPr>
          <w:rFonts w:ascii="Times New Roman" w:hAnsi="Times New Roman" w:cs="Times New Roman"/>
        </w:rPr>
      </w:pPr>
      <w:r w:rsidRPr="0001237A">
        <w:rPr>
          <w:rFonts w:ascii="Times New Roman" w:hAnsi="Times New Roman" w:cs="Times New Roman"/>
        </w:rPr>
        <w:t xml:space="preserve">Mensah, H. K., &amp; Agyapong, A. (2022). Human capital and firm performance nexus in Africa. </w:t>
      </w:r>
      <w:r w:rsidRPr="0001237A">
        <w:rPr>
          <w:rFonts w:ascii="Times New Roman" w:hAnsi="Times New Roman" w:cs="Times New Roman"/>
          <w:i/>
          <w:iCs/>
        </w:rPr>
        <w:t>Journal of African Business, 23</w:t>
      </w:r>
      <w:r w:rsidRPr="0001237A">
        <w:rPr>
          <w:rFonts w:ascii="Times New Roman" w:hAnsi="Times New Roman" w:cs="Times New Roman"/>
        </w:rPr>
        <w:t>(1), 1–20.</w:t>
      </w:r>
    </w:p>
    <w:p w14:paraId="72256DEB"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Mensah, H. K., Agyapong, A., &amp; Nuertey, D. (2022). Human capital development and firm performance: The moderating role of innovation. </w:t>
      </w:r>
      <w:r w:rsidRPr="004A4249">
        <w:rPr>
          <w:rFonts w:ascii="Times New Roman" w:hAnsi="Times New Roman" w:cs="Times New Roman"/>
          <w:i/>
          <w:iCs/>
        </w:rPr>
        <w:t>Journal of African Business, 23</w:t>
      </w:r>
      <w:r w:rsidRPr="004A4249">
        <w:rPr>
          <w:rFonts w:ascii="Times New Roman" w:hAnsi="Times New Roman" w:cs="Times New Roman"/>
        </w:rPr>
        <w:t>(2), 210–228. https://doi.org/10.1080/15228916.2021.1924578</w:t>
      </w:r>
    </w:p>
    <w:p w14:paraId="20F6B3CE" w14:textId="77777777" w:rsidR="00E9411D" w:rsidRPr="008C30AD" w:rsidRDefault="00E9411D" w:rsidP="008C30AD">
      <w:pPr>
        <w:spacing w:line="240" w:lineRule="auto"/>
        <w:ind w:left="720" w:hanging="720"/>
        <w:jc w:val="both"/>
        <w:rPr>
          <w:rFonts w:ascii="Times New Roman" w:hAnsi="Times New Roman" w:cs="Times New Roman"/>
        </w:rPr>
      </w:pPr>
      <w:r w:rsidRPr="008C30AD">
        <w:rPr>
          <w:rFonts w:ascii="Times New Roman" w:hAnsi="Times New Roman" w:cs="Times New Roman"/>
        </w:rPr>
        <w:t xml:space="preserve">Mensah, H. K., Agyapong, A., &amp; Nuertey, D. (2022). Human capital development and firm performance: The moderating role of innovation. </w:t>
      </w:r>
      <w:r w:rsidRPr="008C30AD">
        <w:rPr>
          <w:rFonts w:ascii="Times New Roman" w:hAnsi="Times New Roman" w:cs="Times New Roman"/>
          <w:i/>
          <w:iCs/>
        </w:rPr>
        <w:t>Journal of African Business, 23</w:t>
      </w:r>
      <w:r w:rsidRPr="008C30AD">
        <w:rPr>
          <w:rFonts w:ascii="Times New Roman" w:hAnsi="Times New Roman" w:cs="Times New Roman"/>
        </w:rPr>
        <w:t>(2), 210–228.</w:t>
      </w:r>
    </w:p>
    <w:p w14:paraId="335C9AD0" w14:textId="77777777" w:rsidR="00E9411D" w:rsidRPr="00FB0A5C" w:rsidRDefault="00E9411D" w:rsidP="00FB0A5C">
      <w:pPr>
        <w:spacing w:line="240" w:lineRule="auto"/>
        <w:ind w:left="709" w:hanging="709"/>
        <w:jc w:val="both"/>
        <w:rPr>
          <w:rFonts w:ascii="Times New Roman" w:hAnsi="Times New Roman" w:cs="Times New Roman"/>
        </w:rPr>
      </w:pPr>
      <w:r w:rsidRPr="00FB0A5C">
        <w:rPr>
          <w:rFonts w:ascii="Times New Roman" w:hAnsi="Times New Roman" w:cs="Times New Roman"/>
        </w:rPr>
        <w:t xml:space="preserve">Moses, A. O. (2023). Capital structure and the market value of manufacturing firms in Nigeria. </w:t>
      </w:r>
      <w:r w:rsidRPr="00FB0A5C">
        <w:rPr>
          <w:rFonts w:ascii="Times New Roman" w:hAnsi="Times New Roman" w:cs="Times New Roman"/>
          <w:i/>
          <w:iCs/>
        </w:rPr>
        <w:t>International Journal of Social Science and Management Research, 9</w:t>
      </w:r>
      <w:r w:rsidRPr="00FB0A5C">
        <w:rPr>
          <w:rFonts w:ascii="Times New Roman" w:hAnsi="Times New Roman" w:cs="Times New Roman"/>
        </w:rPr>
        <w:t>(1), 1–15.</w:t>
      </w:r>
    </w:p>
    <w:p w14:paraId="02ABE127" w14:textId="77777777" w:rsidR="00E9411D" w:rsidRPr="005A796A" w:rsidRDefault="00E9411D" w:rsidP="005A796A">
      <w:pPr>
        <w:spacing w:line="240" w:lineRule="auto"/>
        <w:ind w:left="709" w:hanging="709"/>
        <w:jc w:val="both"/>
        <w:rPr>
          <w:rFonts w:ascii="Times New Roman" w:hAnsi="Times New Roman" w:cs="Times New Roman"/>
        </w:rPr>
      </w:pPr>
      <w:r w:rsidRPr="005A796A">
        <w:rPr>
          <w:rFonts w:ascii="Times New Roman" w:hAnsi="Times New Roman" w:cs="Times New Roman"/>
        </w:rPr>
        <w:t xml:space="preserve">Musa, M. K., &amp; Modibbo, A. (2025). Board attributes and financial reporting quality of listed oil and gas firms in Nigeria. </w:t>
      </w:r>
      <w:r w:rsidRPr="005A796A">
        <w:rPr>
          <w:rFonts w:ascii="Times New Roman" w:hAnsi="Times New Roman" w:cs="Times New Roman"/>
          <w:i/>
          <w:iCs/>
        </w:rPr>
        <w:t>International Journal of Research and Innovation in Social Science, 9</w:t>
      </w:r>
      <w:r w:rsidRPr="005A796A">
        <w:rPr>
          <w:rFonts w:ascii="Times New Roman" w:hAnsi="Times New Roman" w:cs="Times New Roman"/>
        </w:rPr>
        <w:t>, 2255–2280. https://doi.org/10.47772/IJRISS.2025.906000114</w:t>
      </w:r>
    </w:p>
    <w:p w14:paraId="16E94281" w14:textId="77777777" w:rsidR="00E9411D" w:rsidRPr="005A3AF9" w:rsidRDefault="00E9411D" w:rsidP="0012786E">
      <w:pPr>
        <w:spacing w:line="240" w:lineRule="auto"/>
        <w:ind w:left="709" w:hanging="709"/>
        <w:jc w:val="both"/>
        <w:rPr>
          <w:rFonts w:ascii="Times New Roman" w:hAnsi="Times New Roman" w:cs="Times New Roman"/>
        </w:rPr>
      </w:pPr>
      <w:r w:rsidRPr="005A3AF9">
        <w:rPr>
          <w:rFonts w:ascii="Times New Roman" w:hAnsi="Times New Roman" w:cs="Times New Roman"/>
        </w:rPr>
        <w:t xml:space="preserve">Neycheva, M. (2024). Exploring the factors of firm-provided continuing education and training: A systematic literature review. </w:t>
      </w:r>
      <w:r w:rsidRPr="005A3AF9">
        <w:rPr>
          <w:rFonts w:ascii="Times New Roman" w:hAnsi="Times New Roman" w:cs="Times New Roman"/>
          <w:i/>
          <w:iCs/>
        </w:rPr>
        <w:t>European Journal of Educational Research, 13</w:t>
      </w:r>
      <w:r w:rsidRPr="005A3AF9">
        <w:rPr>
          <w:rFonts w:ascii="Times New Roman" w:hAnsi="Times New Roman" w:cs="Times New Roman"/>
        </w:rPr>
        <w:t xml:space="preserve">(3), 1185–1197. https://doi.org/10.12973/eu-jer.13.3.1185 </w:t>
      </w:r>
    </w:p>
    <w:p w14:paraId="272D9365" w14:textId="77777777" w:rsidR="00E9411D" w:rsidRPr="007D01D7" w:rsidRDefault="00E9411D" w:rsidP="006C0A99">
      <w:pPr>
        <w:spacing w:line="240" w:lineRule="auto"/>
        <w:ind w:left="720" w:hanging="720"/>
        <w:jc w:val="both"/>
        <w:rPr>
          <w:rFonts w:ascii="Times New Roman" w:hAnsi="Times New Roman" w:cs="Times New Roman"/>
        </w:rPr>
      </w:pPr>
      <w:r w:rsidRPr="007D01D7">
        <w:rPr>
          <w:rFonts w:ascii="Times New Roman" w:hAnsi="Times New Roman" w:cs="Times New Roman"/>
        </w:rPr>
        <w:t xml:space="preserve">Ntim, C. G., Lindop, S., &amp; Thomas, D. A. (2022). Corporate governance and risk management in emerging markets. </w:t>
      </w:r>
      <w:r w:rsidRPr="007D01D7">
        <w:rPr>
          <w:rFonts w:ascii="Times New Roman" w:hAnsi="Times New Roman" w:cs="Times New Roman"/>
          <w:i/>
          <w:iCs/>
        </w:rPr>
        <w:t>Accounting Forum, 46</w:t>
      </w:r>
      <w:r w:rsidRPr="007D01D7">
        <w:rPr>
          <w:rFonts w:ascii="Times New Roman" w:hAnsi="Times New Roman" w:cs="Times New Roman"/>
        </w:rPr>
        <w:t>(3), 245–267.</w:t>
      </w:r>
    </w:p>
    <w:p w14:paraId="2F0F0095" w14:textId="77777777" w:rsidR="00E9411D" w:rsidRPr="005C40E1" w:rsidRDefault="00E9411D" w:rsidP="0012786E">
      <w:pPr>
        <w:spacing w:line="240" w:lineRule="auto"/>
        <w:ind w:left="709" w:hanging="709"/>
        <w:jc w:val="both"/>
        <w:rPr>
          <w:rFonts w:ascii="Times New Roman" w:hAnsi="Times New Roman" w:cs="Times New Roman"/>
        </w:rPr>
      </w:pPr>
      <w:r w:rsidRPr="005C40E1">
        <w:rPr>
          <w:rFonts w:ascii="Times New Roman" w:hAnsi="Times New Roman" w:cs="Times New Roman"/>
        </w:rPr>
        <w:t xml:space="preserve">OECD. (2023). </w:t>
      </w:r>
      <w:r w:rsidRPr="005C40E1">
        <w:rPr>
          <w:rFonts w:ascii="Times New Roman" w:hAnsi="Times New Roman" w:cs="Times New Roman"/>
          <w:i/>
          <w:iCs/>
        </w:rPr>
        <w:t>OECD skills outlook 2023: People, productivity and prosperity</w:t>
      </w:r>
      <w:r w:rsidRPr="005C40E1">
        <w:rPr>
          <w:rFonts w:ascii="Times New Roman" w:hAnsi="Times New Roman" w:cs="Times New Roman"/>
        </w:rPr>
        <w:t>. OECD Publishing. https://doi.org/10.1787/9f5f1d9e-en</w:t>
      </w:r>
    </w:p>
    <w:p w14:paraId="6D9621AD" w14:textId="77777777" w:rsidR="00E9411D" w:rsidRPr="00FB0A5C" w:rsidRDefault="00E9411D" w:rsidP="00FB0A5C">
      <w:pPr>
        <w:spacing w:line="240" w:lineRule="auto"/>
        <w:ind w:left="709" w:hanging="709"/>
        <w:jc w:val="both"/>
        <w:rPr>
          <w:rFonts w:ascii="Times New Roman" w:hAnsi="Times New Roman" w:cs="Times New Roman"/>
        </w:rPr>
      </w:pPr>
      <w:r w:rsidRPr="00FB0A5C">
        <w:rPr>
          <w:rFonts w:ascii="Times New Roman" w:hAnsi="Times New Roman" w:cs="Times New Roman"/>
        </w:rPr>
        <w:t xml:space="preserve">Okafor, R. G., &amp; Ezeani, E. (2022). Corporate governance and firm value: Evidence from listed firms in Nigeria. </w:t>
      </w:r>
      <w:r w:rsidRPr="00FB0A5C">
        <w:rPr>
          <w:rFonts w:ascii="Times New Roman" w:hAnsi="Times New Roman" w:cs="Times New Roman"/>
          <w:i/>
          <w:iCs/>
        </w:rPr>
        <w:t>Journal of African Business, 23</w:t>
      </w:r>
      <w:r w:rsidRPr="00FB0A5C">
        <w:rPr>
          <w:rFonts w:ascii="Times New Roman" w:hAnsi="Times New Roman" w:cs="Times New Roman"/>
        </w:rPr>
        <w:t>(4), 512–530.</w:t>
      </w:r>
    </w:p>
    <w:p w14:paraId="3396E9FA" w14:textId="77777777" w:rsidR="00E9411D" w:rsidRPr="0053192E" w:rsidRDefault="00E9411D" w:rsidP="0053192E">
      <w:pPr>
        <w:spacing w:line="240" w:lineRule="auto"/>
        <w:ind w:left="709" w:hanging="709"/>
        <w:jc w:val="both"/>
        <w:rPr>
          <w:rFonts w:ascii="Times New Roman" w:hAnsi="Times New Roman" w:cs="Times New Roman"/>
        </w:rPr>
      </w:pPr>
      <w:r w:rsidRPr="0053192E">
        <w:rPr>
          <w:rFonts w:ascii="Times New Roman" w:hAnsi="Times New Roman" w:cs="Times New Roman"/>
        </w:rPr>
        <w:t xml:space="preserve">Okafor, R. G., &amp; Ibadin, P. O. (2025). Board characteristics and firm value in Nigeria. </w:t>
      </w:r>
      <w:r w:rsidRPr="0053192E">
        <w:rPr>
          <w:rFonts w:ascii="Times New Roman" w:hAnsi="Times New Roman" w:cs="Times New Roman"/>
          <w:i/>
          <w:iCs/>
        </w:rPr>
        <w:t>Cogent Economics &amp; Finance, 13</w:t>
      </w:r>
      <w:r w:rsidRPr="0053192E">
        <w:rPr>
          <w:rFonts w:ascii="Times New Roman" w:hAnsi="Times New Roman" w:cs="Times New Roman"/>
        </w:rPr>
        <w:t>(1), 2389012.</w:t>
      </w:r>
    </w:p>
    <w:p w14:paraId="3F9AE6AD" w14:textId="77777777" w:rsidR="00E9411D" w:rsidRPr="00F759F4" w:rsidRDefault="00E9411D" w:rsidP="006C0A99">
      <w:pPr>
        <w:spacing w:line="240" w:lineRule="auto"/>
        <w:ind w:left="720" w:hanging="720"/>
        <w:jc w:val="both"/>
        <w:rPr>
          <w:rFonts w:ascii="Times New Roman" w:hAnsi="Times New Roman" w:cs="Times New Roman"/>
        </w:rPr>
      </w:pPr>
      <w:r w:rsidRPr="00F759F4">
        <w:rPr>
          <w:rFonts w:ascii="Times New Roman" w:hAnsi="Times New Roman" w:cs="Times New Roman"/>
        </w:rPr>
        <w:t xml:space="preserve">Okoye, P. V. C., &amp; Eze, K. T. (2023). Training investment and organizational performance in Nigeria. </w:t>
      </w:r>
      <w:r w:rsidRPr="00F759F4">
        <w:rPr>
          <w:rFonts w:ascii="Times New Roman" w:hAnsi="Times New Roman" w:cs="Times New Roman"/>
          <w:i/>
          <w:iCs/>
        </w:rPr>
        <w:t>International Journal of Business and Management Review, 11</w:t>
      </w:r>
      <w:r w:rsidRPr="00F759F4">
        <w:rPr>
          <w:rFonts w:ascii="Times New Roman" w:hAnsi="Times New Roman" w:cs="Times New Roman"/>
        </w:rPr>
        <w:t>(4), 55–70.</w:t>
      </w:r>
    </w:p>
    <w:p w14:paraId="34903FEF" w14:textId="77777777" w:rsidR="00E9411D" w:rsidRPr="00E3318A" w:rsidRDefault="00E9411D" w:rsidP="00E3318A">
      <w:pPr>
        <w:spacing w:line="240" w:lineRule="auto"/>
        <w:ind w:left="720" w:hanging="720"/>
        <w:jc w:val="both"/>
        <w:rPr>
          <w:rFonts w:ascii="Times New Roman" w:hAnsi="Times New Roman" w:cs="Times New Roman"/>
        </w:rPr>
      </w:pPr>
      <w:r w:rsidRPr="00E3318A">
        <w:rPr>
          <w:rFonts w:ascii="Times New Roman" w:hAnsi="Times New Roman" w:cs="Times New Roman"/>
        </w:rPr>
        <w:lastRenderedPageBreak/>
        <w:t xml:space="preserve">Olabode, O., &amp; Ayoboye, S. (2023). Human capital expenditure and financial performance of manufacturing firms. </w:t>
      </w:r>
      <w:r w:rsidRPr="00E3318A">
        <w:rPr>
          <w:rFonts w:ascii="Times New Roman" w:hAnsi="Times New Roman" w:cs="Times New Roman"/>
          <w:i/>
          <w:iCs/>
        </w:rPr>
        <w:t>African Journal of Accounting, Finance and Marketing, 6</w:t>
      </w:r>
      <w:r w:rsidRPr="00E3318A">
        <w:rPr>
          <w:rFonts w:ascii="Times New Roman" w:hAnsi="Times New Roman" w:cs="Times New Roman"/>
        </w:rPr>
        <w:t>(2), 55–70.</w:t>
      </w:r>
    </w:p>
    <w:p w14:paraId="1CF1796F" w14:textId="77777777" w:rsidR="00E9411D" w:rsidRDefault="00E9411D" w:rsidP="006C0A99">
      <w:pPr>
        <w:spacing w:line="240" w:lineRule="auto"/>
        <w:ind w:left="720" w:hanging="720"/>
        <w:jc w:val="both"/>
        <w:rPr>
          <w:rFonts w:ascii="Times New Roman" w:hAnsi="Times New Roman" w:cs="Times New Roman"/>
        </w:rPr>
      </w:pPr>
      <w:r w:rsidRPr="001059B3">
        <w:rPr>
          <w:rFonts w:ascii="Times New Roman" w:hAnsi="Times New Roman" w:cs="Times New Roman"/>
        </w:rPr>
        <w:t xml:space="preserve">Onipe, A. Y. (2024). Corporate governance mechanisms and firm value in Nigeria. </w:t>
      </w:r>
      <w:r w:rsidRPr="001059B3">
        <w:rPr>
          <w:rFonts w:ascii="Times New Roman" w:hAnsi="Times New Roman" w:cs="Times New Roman"/>
          <w:i/>
          <w:iCs/>
        </w:rPr>
        <w:t>International Journal of Accounting and Finance, 13</w:t>
      </w:r>
      <w:r w:rsidRPr="001059B3">
        <w:rPr>
          <w:rFonts w:ascii="Times New Roman" w:hAnsi="Times New Roman" w:cs="Times New Roman"/>
        </w:rPr>
        <w:t>(1), 65–82.</w:t>
      </w:r>
    </w:p>
    <w:p w14:paraId="76CC6758"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Rodríguez Valencia, L. (2025). Financial performance and corporate governance on firm value: Evidence from SMEs. </w:t>
      </w:r>
      <w:r w:rsidRPr="004A4249">
        <w:rPr>
          <w:rFonts w:ascii="Times New Roman" w:hAnsi="Times New Roman" w:cs="Times New Roman"/>
          <w:i/>
          <w:iCs/>
        </w:rPr>
        <w:t>Journal of Risk and Financial Management, 13</w:t>
      </w:r>
      <w:r w:rsidRPr="004A4249">
        <w:rPr>
          <w:rFonts w:ascii="Times New Roman" w:hAnsi="Times New Roman" w:cs="Times New Roman"/>
        </w:rPr>
        <w:t>(3), 123. https://doi.org/10.3390/jrfm13030123</w:t>
      </w:r>
    </w:p>
    <w:p w14:paraId="1AA59AE0"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Salisu, A. A., &amp; Mohammed, S. (2024). Workforce training and firm value: Evidence from listed firms in Nigeria. </w:t>
      </w:r>
      <w:r w:rsidRPr="004A4249">
        <w:rPr>
          <w:rFonts w:ascii="Times New Roman" w:hAnsi="Times New Roman" w:cs="Times New Roman"/>
          <w:i/>
          <w:iCs/>
        </w:rPr>
        <w:t>Nigerian Journal of Management Sciences, 25</w:t>
      </w:r>
      <w:r w:rsidRPr="004A4249">
        <w:rPr>
          <w:rFonts w:ascii="Times New Roman" w:hAnsi="Times New Roman" w:cs="Times New Roman"/>
        </w:rPr>
        <w:t>(1), 112–125.</w:t>
      </w:r>
    </w:p>
    <w:p w14:paraId="6E2816BA" w14:textId="77777777" w:rsidR="00E9411D" w:rsidRPr="007E328C" w:rsidRDefault="00E9411D" w:rsidP="006C0A99">
      <w:pPr>
        <w:spacing w:line="240" w:lineRule="auto"/>
        <w:ind w:left="720" w:hanging="720"/>
        <w:jc w:val="both"/>
        <w:rPr>
          <w:rFonts w:ascii="Times New Roman" w:hAnsi="Times New Roman" w:cs="Times New Roman"/>
        </w:rPr>
      </w:pPr>
      <w:r w:rsidRPr="007E328C">
        <w:rPr>
          <w:rFonts w:ascii="Times New Roman" w:hAnsi="Times New Roman" w:cs="Times New Roman"/>
        </w:rPr>
        <w:t xml:space="preserve">Scientific Research Publishing. (2025). Corporate governance and ESG principles as strategic drivers of firm value. </w:t>
      </w:r>
      <w:r w:rsidRPr="007E328C">
        <w:rPr>
          <w:rFonts w:ascii="Times New Roman" w:hAnsi="Times New Roman" w:cs="Times New Roman"/>
          <w:i/>
          <w:iCs/>
        </w:rPr>
        <w:t>Open Journal of Business and Management, 13</w:t>
      </w:r>
      <w:r w:rsidRPr="007E328C">
        <w:rPr>
          <w:rFonts w:ascii="Times New Roman" w:hAnsi="Times New Roman" w:cs="Times New Roman"/>
        </w:rPr>
        <w:t>(1), 85–102.</w:t>
      </w:r>
    </w:p>
    <w:p w14:paraId="12FCCC8B"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Sinebe, M. T. (2026). Board shared traits and integrated financial disclosure information in listed industrial goods firms in Nigeria. </w:t>
      </w:r>
      <w:r w:rsidRPr="004A4249">
        <w:rPr>
          <w:rFonts w:ascii="Times New Roman" w:hAnsi="Times New Roman" w:cs="Times New Roman"/>
          <w:i/>
          <w:iCs/>
        </w:rPr>
        <w:t>Journal of Accounting and Financial Management, 12</w:t>
      </w:r>
      <w:r w:rsidRPr="004A4249">
        <w:rPr>
          <w:rFonts w:ascii="Times New Roman" w:hAnsi="Times New Roman" w:cs="Times New Roman"/>
        </w:rPr>
        <w:t>(2), 202–217.</w:t>
      </w:r>
    </w:p>
    <w:p w14:paraId="073FA46D"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Soomro, R. M. (2026). Corporate governance and firm value: The role of board independence in PSX firms. </w:t>
      </w:r>
      <w:r w:rsidRPr="004A4249">
        <w:rPr>
          <w:rFonts w:ascii="Times New Roman" w:hAnsi="Times New Roman" w:cs="Times New Roman"/>
          <w:i/>
          <w:iCs/>
        </w:rPr>
        <w:t>ResearchGate</w:t>
      </w:r>
      <w:r w:rsidRPr="004A4249">
        <w:rPr>
          <w:rFonts w:ascii="Times New Roman" w:hAnsi="Times New Roman" w:cs="Times New Roman"/>
        </w:rPr>
        <w:t>.</w:t>
      </w:r>
    </w:p>
    <w:p w14:paraId="2F93985B" w14:textId="77777777" w:rsidR="00E9411D" w:rsidRPr="00B24D60" w:rsidRDefault="00E9411D" w:rsidP="00B24D60">
      <w:pPr>
        <w:spacing w:line="240" w:lineRule="auto"/>
        <w:ind w:left="709" w:hanging="709"/>
        <w:jc w:val="both"/>
        <w:rPr>
          <w:rFonts w:ascii="Times New Roman" w:hAnsi="Times New Roman" w:cs="Times New Roman"/>
        </w:rPr>
      </w:pPr>
      <w:r w:rsidRPr="00B24D60">
        <w:rPr>
          <w:rFonts w:ascii="Times New Roman" w:hAnsi="Times New Roman" w:cs="Times New Roman"/>
        </w:rPr>
        <w:t xml:space="preserve">Spence, M. (1973). Job market signaling. </w:t>
      </w:r>
      <w:r w:rsidRPr="00B24D60">
        <w:rPr>
          <w:rFonts w:ascii="Times New Roman" w:hAnsi="Times New Roman" w:cs="Times New Roman"/>
          <w:i/>
          <w:iCs/>
        </w:rPr>
        <w:t>Quarterly Journal of Economics, 87</w:t>
      </w:r>
      <w:r w:rsidRPr="00B24D60">
        <w:rPr>
          <w:rFonts w:ascii="Times New Roman" w:hAnsi="Times New Roman" w:cs="Times New Roman"/>
        </w:rPr>
        <w:t>(3), 355–374.</w:t>
      </w:r>
    </w:p>
    <w:p w14:paraId="21A76833" w14:textId="77777777" w:rsidR="00E9411D" w:rsidRPr="00F2692F" w:rsidRDefault="00E9411D" w:rsidP="00F2692F">
      <w:pPr>
        <w:spacing w:line="240" w:lineRule="auto"/>
        <w:ind w:left="709" w:hanging="709"/>
        <w:jc w:val="both"/>
        <w:rPr>
          <w:rFonts w:ascii="Times New Roman" w:hAnsi="Times New Roman" w:cs="Times New Roman"/>
        </w:rPr>
      </w:pPr>
      <w:r w:rsidRPr="00F2692F">
        <w:rPr>
          <w:rFonts w:ascii="Times New Roman" w:hAnsi="Times New Roman" w:cs="Times New Roman"/>
        </w:rPr>
        <w:t xml:space="preserve">Svetek, M. (2022). Signaling in early-stage equity financing. </w:t>
      </w:r>
      <w:r w:rsidRPr="00F2692F">
        <w:rPr>
          <w:rFonts w:ascii="Times New Roman" w:hAnsi="Times New Roman" w:cs="Times New Roman"/>
          <w:i/>
          <w:iCs/>
        </w:rPr>
        <w:t>Venture Capital, 24</w:t>
      </w:r>
      <w:r w:rsidRPr="00F2692F">
        <w:rPr>
          <w:rFonts w:ascii="Times New Roman" w:hAnsi="Times New Roman" w:cs="Times New Roman"/>
        </w:rPr>
        <w:t xml:space="preserve">(3), 1–20. </w:t>
      </w:r>
      <w:hyperlink r:id="rId10" w:tgtFrame="_new" w:history="1">
        <w:r w:rsidRPr="00F2692F">
          <w:rPr>
            <w:rStyle w:val="Hyperlink"/>
            <w:rFonts w:ascii="Times New Roman" w:hAnsi="Times New Roman" w:cs="Times New Roman"/>
          </w:rPr>
          <w:t>https://doi.org/10.1080/13691066.2022.2063092</w:t>
        </w:r>
      </w:hyperlink>
    </w:p>
    <w:p w14:paraId="2E552FF7"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Tanveer, B., Hunjra, A. I., &amp; Corbet, S. (2025). The impact of corporate governance on firm value: Understanding the role of strategic change. </w:t>
      </w:r>
      <w:r w:rsidRPr="004A4249">
        <w:rPr>
          <w:rFonts w:ascii="Times New Roman" w:hAnsi="Times New Roman" w:cs="Times New Roman"/>
          <w:i/>
          <w:iCs/>
        </w:rPr>
        <w:t>International Review of Economics &amp; Finance</w:t>
      </w:r>
      <w:r w:rsidRPr="004A4249">
        <w:rPr>
          <w:rFonts w:ascii="Times New Roman" w:hAnsi="Times New Roman" w:cs="Times New Roman"/>
        </w:rPr>
        <w:t>. Advance online publication. https://doi.org/10.1016/j.iref.2025.03.012</w:t>
      </w:r>
    </w:p>
    <w:p w14:paraId="35A0855F" w14:textId="77777777" w:rsidR="00E9411D" w:rsidRPr="00E3318A" w:rsidRDefault="00E9411D" w:rsidP="00E3318A">
      <w:pPr>
        <w:spacing w:line="240" w:lineRule="auto"/>
        <w:ind w:left="720" w:hanging="720"/>
        <w:jc w:val="both"/>
        <w:rPr>
          <w:rFonts w:ascii="Times New Roman" w:hAnsi="Times New Roman" w:cs="Times New Roman"/>
        </w:rPr>
      </w:pPr>
      <w:r w:rsidRPr="00E3318A">
        <w:rPr>
          <w:rFonts w:ascii="Times New Roman" w:hAnsi="Times New Roman" w:cs="Times New Roman"/>
        </w:rPr>
        <w:t xml:space="preserve">Tuamyil, R. B. (2024). Role of human capital development on firm performance and innovation. </w:t>
      </w:r>
      <w:r w:rsidRPr="00E3318A">
        <w:rPr>
          <w:rFonts w:ascii="Times New Roman" w:hAnsi="Times New Roman" w:cs="Times New Roman"/>
          <w:i/>
          <w:iCs/>
        </w:rPr>
        <w:t>Journal of African Business, 25</w:t>
      </w:r>
      <w:r w:rsidRPr="00E3318A">
        <w:rPr>
          <w:rFonts w:ascii="Times New Roman" w:hAnsi="Times New Roman" w:cs="Times New Roman"/>
        </w:rPr>
        <w:t>(1), 89–105.</w:t>
      </w:r>
    </w:p>
    <w:p w14:paraId="5027081C" w14:textId="77777777" w:rsidR="00E9411D" w:rsidRPr="004A4249" w:rsidRDefault="00E9411D" w:rsidP="004A4249">
      <w:pPr>
        <w:spacing w:line="240" w:lineRule="auto"/>
        <w:ind w:left="709" w:hanging="709"/>
        <w:jc w:val="both"/>
        <w:rPr>
          <w:rFonts w:ascii="Times New Roman" w:hAnsi="Times New Roman" w:cs="Times New Roman"/>
        </w:rPr>
      </w:pPr>
      <w:r w:rsidRPr="004A4249">
        <w:rPr>
          <w:rFonts w:ascii="Times New Roman" w:hAnsi="Times New Roman" w:cs="Times New Roman"/>
        </w:rPr>
        <w:t xml:space="preserve">Uwuigbe, U., Uwuigbe, O. R., &amp; Oyeniyi, A. (2023). Board independence and financial performance of listed firms in Nigeria. </w:t>
      </w:r>
      <w:r w:rsidRPr="004A4249">
        <w:rPr>
          <w:rFonts w:ascii="Times New Roman" w:hAnsi="Times New Roman" w:cs="Times New Roman"/>
          <w:i/>
          <w:iCs/>
        </w:rPr>
        <w:t>Journal of Accounting and Taxation, 15</w:t>
      </w:r>
      <w:r w:rsidRPr="004A4249">
        <w:rPr>
          <w:rFonts w:ascii="Times New Roman" w:hAnsi="Times New Roman" w:cs="Times New Roman"/>
        </w:rPr>
        <w:t>(1), 12–25.</w:t>
      </w:r>
    </w:p>
    <w:p w14:paraId="046EFD02" w14:textId="77777777" w:rsidR="00E9411D" w:rsidRPr="00F2692F" w:rsidRDefault="00E9411D" w:rsidP="00F2692F">
      <w:pPr>
        <w:spacing w:line="240" w:lineRule="auto"/>
        <w:ind w:left="709" w:hanging="709"/>
        <w:jc w:val="both"/>
        <w:rPr>
          <w:rFonts w:ascii="Times New Roman" w:hAnsi="Times New Roman" w:cs="Times New Roman"/>
        </w:rPr>
      </w:pPr>
      <w:r w:rsidRPr="00F2692F">
        <w:rPr>
          <w:rFonts w:ascii="Times New Roman" w:hAnsi="Times New Roman" w:cs="Times New Roman"/>
        </w:rPr>
        <w:t xml:space="preserve">Valero-Gil, J. N. (2024). Information asymmetry and signaling in corporate investments. </w:t>
      </w:r>
      <w:r w:rsidRPr="00F2692F">
        <w:rPr>
          <w:rFonts w:ascii="Times New Roman" w:hAnsi="Times New Roman" w:cs="Times New Roman"/>
          <w:i/>
          <w:iCs/>
        </w:rPr>
        <w:t>Journal of Financial Economics, 152</w:t>
      </w:r>
      <w:r w:rsidRPr="00F2692F">
        <w:rPr>
          <w:rFonts w:ascii="Times New Roman" w:hAnsi="Times New Roman" w:cs="Times New Roman"/>
        </w:rPr>
        <w:t>(1), 89–107. https://doi.org/10.1016/j.jfineco.2023.10.005</w:t>
      </w:r>
    </w:p>
    <w:p w14:paraId="485BAE6D" w14:textId="77777777" w:rsidR="00E9411D" w:rsidRPr="007F335E" w:rsidRDefault="00E9411D" w:rsidP="0012786E">
      <w:pPr>
        <w:spacing w:line="240" w:lineRule="auto"/>
        <w:ind w:left="709" w:hanging="709"/>
        <w:jc w:val="both"/>
        <w:rPr>
          <w:rFonts w:ascii="Times New Roman" w:hAnsi="Times New Roman" w:cs="Times New Roman"/>
        </w:rPr>
      </w:pPr>
      <w:r w:rsidRPr="007F335E">
        <w:rPr>
          <w:rFonts w:ascii="Times New Roman" w:hAnsi="Times New Roman" w:cs="Times New Roman"/>
        </w:rPr>
        <w:t xml:space="preserve">World Bank. (2023). </w:t>
      </w:r>
      <w:r w:rsidRPr="007F335E">
        <w:rPr>
          <w:rFonts w:ascii="Times New Roman" w:hAnsi="Times New Roman" w:cs="Times New Roman"/>
          <w:i/>
          <w:iCs/>
        </w:rPr>
        <w:t>Innovation for development: Evidence, policy, and measurement</w:t>
      </w:r>
      <w:r w:rsidRPr="007F335E">
        <w:rPr>
          <w:rFonts w:ascii="Times New Roman" w:hAnsi="Times New Roman" w:cs="Times New Roman"/>
        </w:rPr>
        <w:t>. World Bank Publications. https://doi.org/10.1596/978-1-4648-1974-0</w:t>
      </w:r>
    </w:p>
    <w:p w14:paraId="1C345F13" w14:textId="77777777" w:rsidR="00E9411D" w:rsidRPr="0053192E" w:rsidRDefault="00E9411D" w:rsidP="0053192E">
      <w:pPr>
        <w:spacing w:line="240" w:lineRule="auto"/>
        <w:ind w:left="709" w:hanging="709"/>
        <w:jc w:val="both"/>
        <w:rPr>
          <w:rFonts w:ascii="Times New Roman" w:hAnsi="Times New Roman" w:cs="Times New Roman"/>
        </w:rPr>
      </w:pPr>
      <w:r w:rsidRPr="0053192E">
        <w:rPr>
          <w:rFonts w:ascii="Times New Roman" w:hAnsi="Times New Roman" w:cs="Times New Roman"/>
        </w:rPr>
        <w:t xml:space="preserve">Yahaya, O. A. (2024). Corporate governance mechanisms and firm value in Nigeria. </w:t>
      </w:r>
      <w:r w:rsidRPr="0053192E">
        <w:rPr>
          <w:rFonts w:ascii="Times New Roman" w:hAnsi="Times New Roman" w:cs="Times New Roman"/>
          <w:i/>
          <w:iCs/>
        </w:rPr>
        <w:t>International Journal of Accounting and Finance, 13</w:t>
      </w:r>
      <w:r w:rsidRPr="0053192E">
        <w:rPr>
          <w:rFonts w:ascii="Times New Roman" w:hAnsi="Times New Roman" w:cs="Times New Roman"/>
        </w:rPr>
        <w:t>(1), 65–82.</w:t>
      </w:r>
    </w:p>
    <w:p w14:paraId="734B886F" w14:textId="77777777" w:rsidR="00E9411D" w:rsidRPr="00F759F4" w:rsidRDefault="00E9411D" w:rsidP="006C0A99">
      <w:pPr>
        <w:spacing w:line="240" w:lineRule="auto"/>
        <w:ind w:left="720" w:hanging="720"/>
        <w:jc w:val="both"/>
        <w:rPr>
          <w:rFonts w:ascii="Times New Roman" w:hAnsi="Times New Roman" w:cs="Times New Roman"/>
        </w:rPr>
      </w:pPr>
      <w:r w:rsidRPr="00F759F4">
        <w:rPr>
          <w:rFonts w:ascii="Times New Roman" w:hAnsi="Times New Roman" w:cs="Times New Roman"/>
        </w:rPr>
        <w:t xml:space="preserve">Yahaya, O. A., &amp; Bello, A. (2026). Human capital efficiency and firm value in Sub Saharan Africa. </w:t>
      </w:r>
      <w:r w:rsidRPr="00F759F4">
        <w:rPr>
          <w:rFonts w:ascii="Times New Roman" w:hAnsi="Times New Roman" w:cs="Times New Roman"/>
          <w:i/>
          <w:iCs/>
        </w:rPr>
        <w:t>International Journal of Accounting and Finance, 15</w:t>
      </w:r>
      <w:r w:rsidRPr="00F759F4">
        <w:rPr>
          <w:rFonts w:ascii="Times New Roman" w:hAnsi="Times New Roman" w:cs="Times New Roman"/>
        </w:rPr>
        <w:t>(1), 88–104.</w:t>
      </w:r>
    </w:p>
    <w:p w14:paraId="33BE025C" w14:textId="77777777" w:rsidR="00E9411D" w:rsidRDefault="00E9411D" w:rsidP="006C0A99">
      <w:pPr>
        <w:spacing w:line="240" w:lineRule="auto"/>
        <w:ind w:left="720" w:hanging="720"/>
        <w:jc w:val="both"/>
        <w:rPr>
          <w:rFonts w:ascii="Times New Roman" w:hAnsi="Times New Roman" w:cs="Times New Roman"/>
        </w:rPr>
      </w:pPr>
      <w:r w:rsidRPr="00E9391F">
        <w:rPr>
          <w:rFonts w:ascii="Times New Roman" w:hAnsi="Times New Roman" w:cs="Times New Roman"/>
        </w:rPr>
        <w:t xml:space="preserve">Yahaya, O. A., &amp; Yusuf, A. (2026). Sustainability reporting and firm value: Evidence from listed firms in Nigeria. </w:t>
      </w:r>
      <w:r w:rsidRPr="00E9391F">
        <w:rPr>
          <w:rFonts w:ascii="Times New Roman" w:hAnsi="Times New Roman" w:cs="Times New Roman"/>
          <w:i/>
          <w:iCs/>
        </w:rPr>
        <w:t>International Journal of Sustainability in Business and Economics, 21</w:t>
      </w:r>
      <w:r w:rsidRPr="00E9391F">
        <w:rPr>
          <w:rFonts w:ascii="Times New Roman" w:hAnsi="Times New Roman" w:cs="Times New Roman"/>
        </w:rPr>
        <w:t xml:space="preserve">(2), 171–204. </w:t>
      </w:r>
    </w:p>
    <w:p w14:paraId="4D942587" w14:textId="77777777" w:rsidR="00E9411D" w:rsidRPr="00F759F4" w:rsidRDefault="00E9411D" w:rsidP="006C0A99">
      <w:pPr>
        <w:spacing w:line="240" w:lineRule="auto"/>
        <w:ind w:left="720" w:hanging="720"/>
        <w:jc w:val="both"/>
        <w:rPr>
          <w:rFonts w:ascii="Times New Roman" w:hAnsi="Times New Roman" w:cs="Times New Roman"/>
        </w:rPr>
      </w:pPr>
      <w:r w:rsidRPr="00F759F4">
        <w:rPr>
          <w:rFonts w:ascii="Times New Roman" w:hAnsi="Times New Roman" w:cs="Times New Roman"/>
        </w:rPr>
        <w:lastRenderedPageBreak/>
        <w:t xml:space="preserve">Yusuf, A. (2025). Skill acquisition and firm performance in emerging markets. </w:t>
      </w:r>
      <w:r w:rsidRPr="00F759F4">
        <w:rPr>
          <w:rFonts w:ascii="Times New Roman" w:hAnsi="Times New Roman" w:cs="Times New Roman"/>
          <w:i/>
          <w:iCs/>
        </w:rPr>
        <w:t>Journal of Management and Sustainability, 13</w:t>
      </w:r>
      <w:r w:rsidRPr="00F759F4">
        <w:rPr>
          <w:rFonts w:ascii="Times New Roman" w:hAnsi="Times New Roman" w:cs="Times New Roman"/>
        </w:rPr>
        <w:t>(2), 140–155.</w:t>
      </w:r>
    </w:p>
    <w:p w14:paraId="57097468" w14:textId="77777777" w:rsidR="00E9411D" w:rsidRDefault="00E9411D" w:rsidP="00B9459D">
      <w:pPr>
        <w:spacing w:line="240" w:lineRule="auto"/>
        <w:ind w:left="720" w:hanging="720"/>
        <w:jc w:val="both"/>
      </w:pPr>
      <w:r w:rsidRPr="00B9459D">
        <w:rPr>
          <w:rFonts w:ascii="Times New Roman" w:hAnsi="Times New Roman" w:cs="Times New Roman"/>
        </w:rPr>
        <w:t xml:space="preserve">Zouari-Hadiji R., R., &amp; Khlif H., H. (2022). Human capital investment, corporate governance and market valuation: Evidence from listed firms. </w:t>
      </w:r>
      <w:r w:rsidRPr="00B9459D">
        <w:rPr>
          <w:rFonts w:ascii="Times New Roman" w:hAnsi="Times New Roman" w:cs="Times New Roman"/>
          <w:i/>
          <w:iCs/>
        </w:rPr>
        <w:t>Journal of Intellectual Capital, 23</w:t>
      </w:r>
      <w:r w:rsidRPr="00B9459D">
        <w:rPr>
          <w:rFonts w:ascii="Times New Roman" w:hAnsi="Times New Roman" w:cs="Times New Roman"/>
        </w:rPr>
        <w:t xml:space="preserve">(4), 889–908. </w:t>
      </w:r>
      <w:hyperlink r:id="rId11" w:tgtFrame="_new" w:history="1">
        <w:r w:rsidRPr="00B9459D">
          <w:rPr>
            <w:rStyle w:val="Hyperlink"/>
            <w:rFonts w:ascii="Times New Roman" w:hAnsi="Times New Roman" w:cs="Times New Roman"/>
          </w:rPr>
          <w:t>https://doi.org/10.1108/JIC-06-2021-0159</w:t>
        </w:r>
      </w:hyperlink>
    </w:p>
    <w:p w14:paraId="3968B16C" w14:textId="1F3D0085" w:rsidR="007B5850" w:rsidRDefault="007B5850" w:rsidP="00B9459D">
      <w:pPr>
        <w:spacing w:line="240" w:lineRule="auto"/>
        <w:ind w:left="720" w:hanging="720"/>
        <w:jc w:val="both"/>
        <w:rPr>
          <w:rFonts w:ascii="Times New Roman" w:hAnsi="Times New Roman" w:cs="Times New Roman"/>
        </w:rPr>
      </w:pPr>
      <w:r w:rsidRPr="007B5850">
        <w:rPr>
          <w:rFonts w:ascii="Times New Roman" w:hAnsi="Times New Roman" w:cs="Times New Roman"/>
          <w:highlight w:val="yellow"/>
        </w:rPr>
        <w:t>Yimam, M. H. (2022). Impact of training on employees performance: A case study of Bahir Dar university, Ethiopia. Cogent Education, 9(1), 2107301.</w:t>
      </w:r>
      <w:r w:rsidR="00CF2B3A" w:rsidRPr="00CF2B3A">
        <w:t xml:space="preserve"> </w:t>
      </w:r>
      <w:hyperlink r:id="rId12" w:history="1">
        <w:r w:rsidR="00CF2B3A" w:rsidRPr="008C733B">
          <w:rPr>
            <w:rStyle w:val="Hyperlink"/>
            <w:rFonts w:ascii="Times New Roman" w:hAnsi="Times New Roman" w:cs="Times New Roman"/>
          </w:rPr>
          <w:t>https://doi.org/10.1080/2331186X.2022.2107301</w:t>
        </w:r>
      </w:hyperlink>
      <w:r w:rsidR="00CF2B3A">
        <w:rPr>
          <w:rFonts w:ascii="Times New Roman" w:hAnsi="Times New Roman" w:cs="Times New Roman"/>
        </w:rPr>
        <w:t xml:space="preserve"> </w:t>
      </w:r>
    </w:p>
    <w:p w14:paraId="7F0F4B6F" w14:textId="3E612150" w:rsidR="00723A8F" w:rsidRDefault="00723A8F" w:rsidP="00B9459D">
      <w:pPr>
        <w:spacing w:line="240" w:lineRule="auto"/>
        <w:ind w:left="720" w:hanging="720"/>
        <w:jc w:val="both"/>
        <w:rPr>
          <w:rFonts w:ascii="Times New Roman" w:hAnsi="Times New Roman" w:cs="Times New Roman"/>
        </w:rPr>
      </w:pPr>
      <w:r w:rsidRPr="00E37FC4">
        <w:rPr>
          <w:rFonts w:ascii="Times New Roman" w:hAnsi="Times New Roman" w:cs="Times New Roman"/>
          <w:highlight w:val="yellow"/>
        </w:rPr>
        <w:t xml:space="preserve">Shekwolo, A., &amp; Peters, G. T. (2025). Employee training cost and shareholder value of listed oil and gas companies in Nigeria. International Journal of Research and Innovation in Social Science, 8(12), 731–740. </w:t>
      </w:r>
      <w:hyperlink r:id="rId13" w:history="1">
        <w:r w:rsidR="00E37FC4" w:rsidRPr="008C733B">
          <w:rPr>
            <w:rStyle w:val="Hyperlink"/>
            <w:rFonts w:ascii="Times New Roman" w:hAnsi="Times New Roman" w:cs="Times New Roman"/>
            <w:highlight w:val="yellow"/>
          </w:rPr>
          <w:t>https://doi.org/10.47772/IJRISS.2024.8120060</w:t>
        </w:r>
      </w:hyperlink>
      <w:r w:rsidR="00E37FC4">
        <w:rPr>
          <w:rFonts w:ascii="Times New Roman" w:hAnsi="Times New Roman" w:cs="Times New Roman"/>
        </w:rPr>
        <w:t xml:space="preserve"> </w:t>
      </w:r>
    </w:p>
    <w:p w14:paraId="4C5AE715" w14:textId="2D805777" w:rsidR="00D82043" w:rsidRDefault="00D82043" w:rsidP="00B9459D">
      <w:pPr>
        <w:spacing w:line="240" w:lineRule="auto"/>
        <w:ind w:left="720" w:hanging="720"/>
        <w:jc w:val="both"/>
        <w:rPr>
          <w:rFonts w:ascii="Times New Roman" w:hAnsi="Times New Roman" w:cs="Times New Roman"/>
        </w:rPr>
      </w:pPr>
      <w:r w:rsidRPr="00CB5B68">
        <w:rPr>
          <w:rFonts w:ascii="Times New Roman" w:hAnsi="Times New Roman" w:cs="Times New Roman"/>
          <w:highlight w:val="yellow"/>
        </w:rPr>
        <w:t>Onoh, U. A., Biradawa, K., &amp; Ndubuisi, O. C. (2022). Sustainability reporting and firm value of listed oil and gas companies in Nigeria. Indian Journal of Applied Business and Economic Research, 3(2), 277-322.</w:t>
      </w:r>
    </w:p>
    <w:sectPr w:rsidR="00D82043" w:rsidSect="00335C39">
      <w:headerReference w:type="even" r:id="rId14"/>
      <w:headerReference w:type="default" r:id="rId15"/>
      <w:footerReference w:type="even" r:id="rId16"/>
      <w:footerReference w:type="default" r:id="rId17"/>
      <w:headerReference w:type="first" r:id="rId18"/>
      <w:footerReference w:type="first" r:id="rId19"/>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A81E" w14:textId="77777777" w:rsidR="000F71E0" w:rsidRDefault="000F71E0" w:rsidP="00900013">
      <w:pPr>
        <w:spacing w:after="0" w:line="240" w:lineRule="auto"/>
      </w:pPr>
      <w:r>
        <w:separator/>
      </w:r>
    </w:p>
  </w:endnote>
  <w:endnote w:type="continuationSeparator" w:id="0">
    <w:p w14:paraId="56C6CC68" w14:textId="77777777" w:rsidR="000F71E0" w:rsidRDefault="000F71E0" w:rsidP="009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CEAB" w14:textId="77777777" w:rsidR="00D2041B" w:rsidRDefault="00D20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7BDA" w14:textId="77777777" w:rsidR="00D2041B" w:rsidRDefault="00D20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D091" w14:textId="77777777" w:rsidR="00D2041B" w:rsidRDefault="00D20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36D37" w14:textId="77777777" w:rsidR="000F71E0" w:rsidRDefault="000F71E0" w:rsidP="00900013">
      <w:pPr>
        <w:spacing w:after="0" w:line="240" w:lineRule="auto"/>
      </w:pPr>
      <w:r>
        <w:separator/>
      </w:r>
    </w:p>
  </w:footnote>
  <w:footnote w:type="continuationSeparator" w:id="0">
    <w:p w14:paraId="3E4AE956" w14:textId="77777777" w:rsidR="000F71E0" w:rsidRDefault="000F71E0" w:rsidP="009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057A" w14:textId="432D15ED" w:rsidR="00D2041B" w:rsidRDefault="00000000">
    <w:pPr>
      <w:pStyle w:val="Header"/>
    </w:pPr>
    <w:r>
      <w:rPr>
        <w:noProof/>
      </w:rPr>
      <w:pict w14:anchorId="08B5D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47" o:spid="_x0000_s1026" type="#_x0000_t136" style="position:absolute;margin-left:0;margin-top:0;width:561.9pt;height:105.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C969" w14:textId="1C65894D" w:rsidR="00D2041B" w:rsidRDefault="00000000">
    <w:pPr>
      <w:pStyle w:val="Header"/>
    </w:pPr>
    <w:r>
      <w:rPr>
        <w:noProof/>
      </w:rPr>
      <w:pict w14:anchorId="3792F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48" o:spid="_x0000_s1027" type="#_x0000_t136" style="position:absolute;margin-left:0;margin-top:0;width:561.9pt;height:105.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0C5" w14:textId="3DD9F1D4" w:rsidR="00D2041B" w:rsidRDefault="00000000">
    <w:pPr>
      <w:pStyle w:val="Header"/>
    </w:pPr>
    <w:r>
      <w:rPr>
        <w:noProof/>
      </w:rPr>
      <w:pict w14:anchorId="4037F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546" o:spid="_x0000_s1025" type="#_x0000_t136" style="position:absolute;margin-left:0;margin-top:0;width:561.9pt;height:105.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B86"/>
    <w:multiLevelType w:val="hybridMultilevel"/>
    <w:tmpl w:val="C2F2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05EF"/>
    <w:multiLevelType w:val="hybridMultilevel"/>
    <w:tmpl w:val="5B52E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815F4"/>
    <w:multiLevelType w:val="multilevel"/>
    <w:tmpl w:val="BBC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97FA4"/>
    <w:multiLevelType w:val="multilevel"/>
    <w:tmpl w:val="09CC5B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705DA9"/>
    <w:multiLevelType w:val="multilevel"/>
    <w:tmpl w:val="DD4A1B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AF3549"/>
    <w:multiLevelType w:val="multilevel"/>
    <w:tmpl w:val="523AD388"/>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BA15B5"/>
    <w:multiLevelType w:val="multilevel"/>
    <w:tmpl w:val="8E9A57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0D5C90"/>
    <w:multiLevelType w:val="multilevel"/>
    <w:tmpl w:val="A6B634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3E34EC"/>
    <w:multiLevelType w:val="multilevel"/>
    <w:tmpl w:val="F45607C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A87057B"/>
    <w:multiLevelType w:val="multilevel"/>
    <w:tmpl w:val="E9D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D5D2B"/>
    <w:multiLevelType w:val="hybridMultilevel"/>
    <w:tmpl w:val="DB143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299417">
    <w:abstractNumId w:val="9"/>
  </w:num>
  <w:num w:numId="2" w16cid:durableId="1975525286">
    <w:abstractNumId w:val="0"/>
  </w:num>
  <w:num w:numId="3" w16cid:durableId="1870293663">
    <w:abstractNumId w:val="6"/>
  </w:num>
  <w:num w:numId="4" w16cid:durableId="393160445">
    <w:abstractNumId w:val="5"/>
  </w:num>
  <w:num w:numId="5" w16cid:durableId="1591700021">
    <w:abstractNumId w:val="1"/>
  </w:num>
  <w:num w:numId="6" w16cid:durableId="1178348990">
    <w:abstractNumId w:val="4"/>
  </w:num>
  <w:num w:numId="7" w16cid:durableId="899511168">
    <w:abstractNumId w:val="8"/>
  </w:num>
  <w:num w:numId="8" w16cid:durableId="112021080">
    <w:abstractNumId w:val="3"/>
  </w:num>
  <w:num w:numId="9" w16cid:durableId="968314858">
    <w:abstractNumId w:val="2"/>
  </w:num>
  <w:num w:numId="10" w16cid:durableId="1354837889">
    <w:abstractNumId w:val="7"/>
  </w:num>
  <w:num w:numId="11" w16cid:durableId="1296720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G3sLA0MjM2NrI0MDBR0lEKTi0uzszPAykwrAUAAeSJ4SwAAAA="/>
  </w:docVars>
  <w:rsids>
    <w:rsidRoot w:val="00BC6E94"/>
    <w:rsid w:val="000061C5"/>
    <w:rsid w:val="00006F9A"/>
    <w:rsid w:val="00021D1D"/>
    <w:rsid w:val="00023A18"/>
    <w:rsid w:val="000332AB"/>
    <w:rsid w:val="00041650"/>
    <w:rsid w:val="00042486"/>
    <w:rsid w:val="00045F1C"/>
    <w:rsid w:val="00074750"/>
    <w:rsid w:val="00076B0B"/>
    <w:rsid w:val="00076D51"/>
    <w:rsid w:val="00084683"/>
    <w:rsid w:val="00090B70"/>
    <w:rsid w:val="00097242"/>
    <w:rsid w:val="000A580A"/>
    <w:rsid w:val="000A791E"/>
    <w:rsid w:val="000B533C"/>
    <w:rsid w:val="000C10EE"/>
    <w:rsid w:val="000C3B42"/>
    <w:rsid w:val="000E426F"/>
    <w:rsid w:val="000E7655"/>
    <w:rsid w:val="000F1B8A"/>
    <w:rsid w:val="000F71E0"/>
    <w:rsid w:val="001160AB"/>
    <w:rsid w:val="0012786E"/>
    <w:rsid w:val="00127904"/>
    <w:rsid w:val="00127BA5"/>
    <w:rsid w:val="00132111"/>
    <w:rsid w:val="00134574"/>
    <w:rsid w:val="0013518A"/>
    <w:rsid w:val="00144045"/>
    <w:rsid w:val="001443B0"/>
    <w:rsid w:val="001458A7"/>
    <w:rsid w:val="00160745"/>
    <w:rsid w:val="001655E1"/>
    <w:rsid w:val="00166419"/>
    <w:rsid w:val="00170320"/>
    <w:rsid w:val="00183AAA"/>
    <w:rsid w:val="001910A9"/>
    <w:rsid w:val="0019341A"/>
    <w:rsid w:val="00197993"/>
    <w:rsid w:val="001B132A"/>
    <w:rsid w:val="001B1470"/>
    <w:rsid w:val="001B16C4"/>
    <w:rsid w:val="001B5FC8"/>
    <w:rsid w:val="001B77C3"/>
    <w:rsid w:val="001B7A07"/>
    <w:rsid w:val="001C00D2"/>
    <w:rsid w:val="001C3694"/>
    <w:rsid w:val="001C69E5"/>
    <w:rsid w:val="001D7C91"/>
    <w:rsid w:val="001E55B9"/>
    <w:rsid w:val="001F39F9"/>
    <w:rsid w:val="002079D7"/>
    <w:rsid w:val="0021527B"/>
    <w:rsid w:val="00216B01"/>
    <w:rsid w:val="002246EB"/>
    <w:rsid w:val="002322A6"/>
    <w:rsid w:val="0024257D"/>
    <w:rsid w:val="00246496"/>
    <w:rsid w:val="0024694C"/>
    <w:rsid w:val="0024799A"/>
    <w:rsid w:val="00250586"/>
    <w:rsid w:val="00251B8A"/>
    <w:rsid w:val="00252926"/>
    <w:rsid w:val="00254CC0"/>
    <w:rsid w:val="0025519F"/>
    <w:rsid w:val="00256EA2"/>
    <w:rsid w:val="00261DAF"/>
    <w:rsid w:val="0029610A"/>
    <w:rsid w:val="00297245"/>
    <w:rsid w:val="002A3EDF"/>
    <w:rsid w:val="002A54DE"/>
    <w:rsid w:val="002B6A34"/>
    <w:rsid w:val="002C5C73"/>
    <w:rsid w:val="002C5EA9"/>
    <w:rsid w:val="002D6639"/>
    <w:rsid w:val="002E43C0"/>
    <w:rsid w:val="002E4C28"/>
    <w:rsid w:val="002E727E"/>
    <w:rsid w:val="00303686"/>
    <w:rsid w:val="00303EE1"/>
    <w:rsid w:val="00316230"/>
    <w:rsid w:val="003166DC"/>
    <w:rsid w:val="00317B71"/>
    <w:rsid w:val="0032011C"/>
    <w:rsid w:val="003220E4"/>
    <w:rsid w:val="00335C39"/>
    <w:rsid w:val="00341B77"/>
    <w:rsid w:val="003422F2"/>
    <w:rsid w:val="003515FA"/>
    <w:rsid w:val="00352D3A"/>
    <w:rsid w:val="003705A8"/>
    <w:rsid w:val="00370610"/>
    <w:rsid w:val="00370CC2"/>
    <w:rsid w:val="00377275"/>
    <w:rsid w:val="00381E8B"/>
    <w:rsid w:val="003A54F8"/>
    <w:rsid w:val="003B34E0"/>
    <w:rsid w:val="003C0704"/>
    <w:rsid w:val="003C0CC7"/>
    <w:rsid w:val="003D7DB2"/>
    <w:rsid w:val="003F2E9B"/>
    <w:rsid w:val="003F352A"/>
    <w:rsid w:val="004040D3"/>
    <w:rsid w:val="004102D8"/>
    <w:rsid w:val="00417A7E"/>
    <w:rsid w:val="00424CFB"/>
    <w:rsid w:val="00426A14"/>
    <w:rsid w:val="0043734C"/>
    <w:rsid w:val="00450492"/>
    <w:rsid w:val="00453237"/>
    <w:rsid w:val="00456DAF"/>
    <w:rsid w:val="0046093B"/>
    <w:rsid w:val="00471B52"/>
    <w:rsid w:val="00491374"/>
    <w:rsid w:val="004A4249"/>
    <w:rsid w:val="004B4575"/>
    <w:rsid w:val="004C2961"/>
    <w:rsid w:val="004C60EF"/>
    <w:rsid w:val="004D7572"/>
    <w:rsid w:val="004E44CF"/>
    <w:rsid w:val="004F3CF7"/>
    <w:rsid w:val="004F407A"/>
    <w:rsid w:val="004F49B2"/>
    <w:rsid w:val="004F641D"/>
    <w:rsid w:val="00513195"/>
    <w:rsid w:val="00525893"/>
    <w:rsid w:val="0053192E"/>
    <w:rsid w:val="00542CCC"/>
    <w:rsid w:val="00544ED4"/>
    <w:rsid w:val="0055178F"/>
    <w:rsid w:val="005543E4"/>
    <w:rsid w:val="005567DF"/>
    <w:rsid w:val="005629D8"/>
    <w:rsid w:val="00563D6C"/>
    <w:rsid w:val="00564CCE"/>
    <w:rsid w:val="00574296"/>
    <w:rsid w:val="00575543"/>
    <w:rsid w:val="0057632B"/>
    <w:rsid w:val="0057724C"/>
    <w:rsid w:val="00577F47"/>
    <w:rsid w:val="0058447B"/>
    <w:rsid w:val="00585B43"/>
    <w:rsid w:val="005A3AF9"/>
    <w:rsid w:val="005A6BFB"/>
    <w:rsid w:val="005A796A"/>
    <w:rsid w:val="005B688E"/>
    <w:rsid w:val="005C00A0"/>
    <w:rsid w:val="005C1847"/>
    <w:rsid w:val="005C40E1"/>
    <w:rsid w:val="005D488F"/>
    <w:rsid w:val="005E134B"/>
    <w:rsid w:val="005E3F68"/>
    <w:rsid w:val="005E6846"/>
    <w:rsid w:val="005F06B5"/>
    <w:rsid w:val="005F09EA"/>
    <w:rsid w:val="0060226D"/>
    <w:rsid w:val="00606482"/>
    <w:rsid w:val="00606509"/>
    <w:rsid w:val="0061231C"/>
    <w:rsid w:val="00615DEC"/>
    <w:rsid w:val="00625AAA"/>
    <w:rsid w:val="00633BA7"/>
    <w:rsid w:val="0064765F"/>
    <w:rsid w:val="006525CC"/>
    <w:rsid w:val="0065400A"/>
    <w:rsid w:val="00660F58"/>
    <w:rsid w:val="00665900"/>
    <w:rsid w:val="00675CE5"/>
    <w:rsid w:val="00686025"/>
    <w:rsid w:val="00693232"/>
    <w:rsid w:val="00695A68"/>
    <w:rsid w:val="00696CD1"/>
    <w:rsid w:val="006A21F2"/>
    <w:rsid w:val="006A35D7"/>
    <w:rsid w:val="006A7F4E"/>
    <w:rsid w:val="006B4DD6"/>
    <w:rsid w:val="006C04CE"/>
    <w:rsid w:val="006C0A99"/>
    <w:rsid w:val="006C537D"/>
    <w:rsid w:val="006D2C71"/>
    <w:rsid w:val="006E10D7"/>
    <w:rsid w:val="006E28EF"/>
    <w:rsid w:val="006E66CE"/>
    <w:rsid w:val="006F1283"/>
    <w:rsid w:val="006F4203"/>
    <w:rsid w:val="00704AF0"/>
    <w:rsid w:val="00706828"/>
    <w:rsid w:val="00706850"/>
    <w:rsid w:val="00710EA2"/>
    <w:rsid w:val="00713266"/>
    <w:rsid w:val="00723A8F"/>
    <w:rsid w:val="007359FB"/>
    <w:rsid w:val="00735AA4"/>
    <w:rsid w:val="0073725A"/>
    <w:rsid w:val="0075156C"/>
    <w:rsid w:val="00773252"/>
    <w:rsid w:val="00781068"/>
    <w:rsid w:val="00782D0E"/>
    <w:rsid w:val="00790F4E"/>
    <w:rsid w:val="007A23A7"/>
    <w:rsid w:val="007A2832"/>
    <w:rsid w:val="007B2AFD"/>
    <w:rsid w:val="007B5850"/>
    <w:rsid w:val="007C50FC"/>
    <w:rsid w:val="007D08FC"/>
    <w:rsid w:val="007D243B"/>
    <w:rsid w:val="007D27BA"/>
    <w:rsid w:val="007E1135"/>
    <w:rsid w:val="007E7F60"/>
    <w:rsid w:val="007F2668"/>
    <w:rsid w:val="007F335E"/>
    <w:rsid w:val="0080214F"/>
    <w:rsid w:val="00833792"/>
    <w:rsid w:val="00845282"/>
    <w:rsid w:val="00862B85"/>
    <w:rsid w:val="008738FB"/>
    <w:rsid w:val="00881173"/>
    <w:rsid w:val="00881733"/>
    <w:rsid w:val="00883A60"/>
    <w:rsid w:val="008840FC"/>
    <w:rsid w:val="00887E1A"/>
    <w:rsid w:val="00894F0A"/>
    <w:rsid w:val="00895663"/>
    <w:rsid w:val="008A3564"/>
    <w:rsid w:val="008B1362"/>
    <w:rsid w:val="008C30AD"/>
    <w:rsid w:val="008C52F1"/>
    <w:rsid w:val="008D10F1"/>
    <w:rsid w:val="008E2D06"/>
    <w:rsid w:val="008F066C"/>
    <w:rsid w:val="00900013"/>
    <w:rsid w:val="00912E40"/>
    <w:rsid w:val="00914130"/>
    <w:rsid w:val="009143F0"/>
    <w:rsid w:val="0092246D"/>
    <w:rsid w:val="00923129"/>
    <w:rsid w:val="009313AD"/>
    <w:rsid w:val="0093288F"/>
    <w:rsid w:val="00940819"/>
    <w:rsid w:val="009450C5"/>
    <w:rsid w:val="00947419"/>
    <w:rsid w:val="00951D1E"/>
    <w:rsid w:val="0095284A"/>
    <w:rsid w:val="00953C66"/>
    <w:rsid w:val="0096751F"/>
    <w:rsid w:val="0097004B"/>
    <w:rsid w:val="00973F22"/>
    <w:rsid w:val="00975BBA"/>
    <w:rsid w:val="0098076B"/>
    <w:rsid w:val="009811D2"/>
    <w:rsid w:val="00990D21"/>
    <w:rsid w:val="009975F5"/>
    <w:rsid w:val="009A32E1"/>
    <w:rsid w:val="009A7EA1"/>
    <w:rsid w:val="009B2045"/>
    <w:rsid w:val="00A06B9D"/>
    <w:rsid w:val="00A1772B"/>
    <w:rsid w:val="00A31B0B"/>
    <w:rsid w:val="00A375FC"/>
    <w:rsid w:val="00A37A5F"/>
    <w:rsid w:val="00A52D66"/>
    <w:rsid w:val="00A566B1"/>
    <w:rsid w:val="00A56A0A"/>
    <w:rsid w:val="00A656A2"/>
    <w:rsid w:val="00A65B7D"/>
    <w:rsid w:val="00A77055"/>
    <w:rsid w:val="00A92128"/>
    <w:rsid w:val="00AA0D06"/>
    <w:rsid w:val="00AA12E6"/>
    <w:rsid w:val="00AA13DE"/>
    <w:rsid w:val="00AB70A6"/>
    <w:rsid w:val="00AD0F11"/>
    <w:rsid w:val="00AD7164"/>
    <w:rsid w:val="00AF7395"/>
    <w:rsid w:val="00B06CFC"/>
    <w:rsid w:val="00B16793"/>
    <w:rsid w:val="00B17009"/>
    <w:rsid w:val="00B2430B"/>
    <w:rsid w:val="00B24D60"/>
    <w:rsid w:val="00B25C3F"/>
    <w:rsid w:val="00B27191"/>
    <w:rsid w:val="00B366E1"/>
    <w:rsid w:val="00B42671"/>
    <w:rsid w:val="00B42B61"/>
    <w:rsid w:val="00B47E99"/>
    <w:rsid w:val="00B609EF"/>
    <w:rsid w:val="00B707C8"/>
    <w:rsid w:val="00B73522"/>
    <w:rsid w:val="00B80FE6"/>
    <w:rsid w:val="00B93858"/>
    <w:rsid w:val="00B93FD3"/>
    <w:rsid w:val="00B9459D"/>
    <w:rsid w:val="00B95BA9"/>
    <w:rsid w:val="00B97995"/>
    <w:rsid w:val="00BA5888"/>
    <w:rsid w:val="00BB000C"/>
    <w:rsid w:val="00BB0DEE"/>
    <w:rsid w:val="00BB1241"/>
    <w:rsid w:val="00BB6FDC"/>
    <w:rsid w:val="00BC26A8"/>
    <w:rsid w:val="00BC671B"/>
    <w:rsid w:val="00BC6E94"/>
    <w:rsid w:val="00BD6D07"/>
    <w:rsid w:val="00BE2E0B"/>
    <w:rsid w:val="00BF3F72"/>
    <w:rsid w:val="00BF7D93"/>
    <w:rsid w:val="00C01B0D"/>
    <w:rsid w:val="00C10E3B"/>
    <w:rsid w:val="00C141D0"/>
    <w:rsid w:val="00C250CB"/>
    <w:rsid w:val="00C251DA"/>
    <w:rsid w:val="00C263EA"/>
    <w:rsid w:val="00C3289B"/>
    <w:rsid w:val="00C376B8"/>
    <w:rsid w:val="00C37ABB"/>
    <w:rsid w:val="00C464F8"/>
    <w:rsid w:val="00C63BC6"/>
    <w:rsid w:val="00C64D67"/>
    <w:rsid w:val="00C66F64"/>
    <w:rsid w:val="00CA0F1C"/>
    <w:rsid w:val="00CA3725"/>
    <w:rsid w:val="00CA5C0C"/>
    <w:rsid w:val="00CB03BD"/>
    <w:rsid w:val="00CB0B9C"/>
    <w:rsid w:val="00CB1F8E"/>
    <w:rsid w:val="00CB5B68"/>
    <w:rsid w:val="00CC065D"/>
    <w:rsid w:val="00CC1BCB"/>
    <w:rsid w:val="00CC4DCF"/>
    <w:rsid w:val="00CD51C1"/>
    <w:rsid w:val="00CD6BC1"/>
    <w:rsid w:val="00CD6C08"/>
    <w:rsid w:val="00CE36CA"/>
    <w:rsid w:val="00CE6322"/>
    <w:rsid w:val="00CF1C11"/>
    <w:rsid w:val="00CF1ED3"/>
    <w:rsid w:val="00CF272B"/>
    <w:rsid w:val="00CF2B3A"/>
    <w:rsid w:val="00D019F6"/>
    <w:rsid w:val="00D037BB"/>
    <w:rsid w:val="00D05A4A"/>
    <w:rsid w:val="00D12431"/>
    <w:rsid w:val="00D2041B"/>
    <w:rsid w:val="00D22772"/>
    <w:rsid w:val="00D26741"/>
    <w:rsid w:val="00D33503"/>
    <w:rsid w:val="00D519FD"/>
    <w:rsid w:val="00D533FD"/>
    <w:rsid w:val="00D5684B"/>
    <w:rsid w:val="00D6043E"/>
    <w:rsid w:val="00D700AE"/>
    <w:rsid w:val="00D70D09"/>
    <w:rsid w:val="00D7596B"/>
    <w:rsid w:val="00D75FF6"/>
    <w:rsid w:val="00D80DD5"/>
    <w:rsid w:val="00D8143B"/>
    <w:rsid w:val="00D82043"/>
    <w:rsid w:val="00D8696D"/>
    <w:rsid w:val="00D86E88"/>
    <w:rsid w:val="00D93FF5"/>
    <w:rsid w:val="00DB5B93"/>
    <w:rsid w:val="00DB5C8E"/>
    <w:rsid w:val="00DC5D91"/>
    <w:rsid w:val="00DE1F87"/>
    <w:rsid w:val="00DE7CB3"/>
    <w:rsid w:val="00DF3D2D"/>
    <w:rsid w:val="00DF5450"/>
    <w:rsid w:val="00E11B6E"/>
    <w:rsid w:val="00E149BE"/>
    <w:rsid w:val="00E31BEA"/>
    <w:rsid w:val="00E3318A"/>
    <w:rsid w:val="00E34F38"/>
    <w:rsid w:val="00E361B7"/>
    <w:rsid w:val="00E37FC4"/>
    <w:rsid w:val="00E417F6"/>
    <w:rsid w:val="00E41F85"/>
    <w:rsid w:val="00E62496"/>
    <w:rsid w:val="00E64CF5"/>
    <w:rsid w:val="00E81409"/>
    <w:rsid w:val="00E85567"/>
    <w:rsid w:val="00E93F51"/>
    <w:rsid w:val="00E9411D"/>
    <w:rsid w:val="00EA6AE8"/>
    <w:rsid w:val="00EA769E"/>
    <w:rsid w:val="00EB096B"/>
    <w:rsid w:val="00EB2511"/>
    <w:rsid w:val="00EC5687"/>
    <w:rsid w:val="00ED6E11"/>
    <w:rsid w:val="00EE097B"/>
    <w:rsid w:val="00F10DD6"/>
    <w:rsid w:val="00F11978"/>
    <w:rsid w:val="00F132CD"/>
    <w:rsid w:val="00F215E9"/>
    <w:rsid w:val="00F21ACF"/>
    <w:rsid w:val="00F2692F"/>
    <w:rsid w:val="00F3035D"/>
    <w:rsid w:val="00F30E35"/>
    <w:rsid w:val="00F31389"/>
    <w:rsid w:val="00F32D64"/>
    <w:rsid w:val="00F501CD"/>
    <w:rsid w:val="00F502FE"/>
    <w:rsid w:val="00F779F1"/>
    <w:rsid w:val="00F86A85"/>
    <w:rsid w:val="00F9057D"/>
    <w:rsid w:val="00F968DB"/>
    <w:rsid w:val="00F96F46"/>
    <w:rsid w:val="00FA0B88"/>
    <w:rsid w:val="00FB0A5C"/>
    <w:rsid w:val="00FC3FF3"/>
    <w:rsid w:val="00FC4309"/>
    <w:rsid w:val="00FF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5813C"/>
  <w15:chartTrackingRefBased/>
  <w15:docId w15:val="{9AB62DBF-11D2-4BA9-82A2-503A2A5B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6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6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6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6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E94"/>
    <w:rPr>
      <w:rFonts w:eastAsiaTheme="majorEastAsia" w:cstheme="majorBidi"/>
      <w:color w:val="272727" w:themeColor="text1" w:themeTint="D8"/>
    </w:rPr>
  </w:style>
  <w:style w:type="paragraph" w:styleId="Title">
    <w:name w:val="Title"/>
    <w:basedOn w:val="Normal"/>
    <w:next w:val="Normal"/>
    <w:link w:val="TitleChar"/>
    <w:uiPriority w:val="10"/>
    <w:qFormat/>
    <w:rsid w:val="00BC6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E94"/>
    <w:pPr>
      <w:spacing w:before="160"/>
      <w:jc w:val="center"/>
    </w:pPr>
    <w:rPr>
      <w:i/>
      <w:iCs/>
      <w:color w:val="404040" w:themeColor="text1" w:themeTint="BF"/>
    </w:rPr>
  </w:style>
  <w:style w:type="character" w:customStyle="1" w:styleId="QuoteChar">
    <w:name w:val="Quote Char"/>
    <w:basedOn w:val="DefaultParagraphFont"/>
    <w:link w:val="Quote"/>
    <w:uiPriority w:val="29"/>
    <w:rsid w:val="00BC6E94"/>
    <w:rPr>
      <w:i/>
      <w:iCs/>
      <w:color w:val="404040" w:themeColor="text1" w:themeTint="BF"/>
    </w:rPr>
  </w:style>
  <w:style w:type="paragraph" w:styleId="ListParagraph">
    <w:name w:val="List Paragraph"/>
    <w:basedOn w:val="Normal"/>
    <w:uiPriority w:val="34"/>
    <w:qFormat/>
    <w:rsid w:val="00BC6E94"/>
    <w:pPr>
      <w:ind w:left="720"/>
      <w:contextualSpacing/>
    </w:pPr>
  </w:style>
  <w:style w:type="character" w:styleId="IntenseEmphasis">
    <w:name w:val="Intense Emphasis"/>
    <w:basedOn w:val="DefaultParagraphFont"/>
    <w:uiPriority w:val="21"/>
    <w:qFormat/>
    <w:rsid w:val="00BC6E94"/>
    <w:rPr>
      <w:i/>
      <w:iCs/>
      <w:color w:val="2F5496" w:themeColor="accent1" w:themeShade="BF"/>
    </w:rPr>
  </w:style>
  <w:style w:type="paragraph" w:styleId="IntenseQuote">
    <w:name w:val="Intense Quote"/>
    <w:basedOn w:val="Normal"/>
    <w:next w:val="Normal"/>
    <w:link w:val="IntenseQuoteChar"/>
    <w:uiPriority w:val="30"/>
    <w:qFormat/>
    <w:rsid w:val="00BC6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E94"/>
    <w:rPr>
      <w:i/>
      <w:iCs/>
      <w:color w:val="2F5496" w:themeColor="accent1" w:themeShade="BF"/>
    </w:rPr>
  </w:style>
  <w:style w:type="character" w:styleId="IntenseReference">
    <w:name w:val="Intense Reference"/>
    <w:basedOn w:val="DefaultParagraphFont"/>
    <w:uiPriority w:val="32"/>
    <w:qFormat/>
    <w:rsid w:val="00BC6E94"/>
    <w:rPr>
      <w:b/>
      <w:bCs/>
      <w:smallCaps/>
      <w:color w:val="2F5496" w:themeColor="accent1" w:themeShade="BF"/>
      <w:spacing w:val="5"/>
    </w:rPr>
  </w:style>
  <w:style w:type="character" w:styleId="Hyperlink">
    <w:name w:val="Hyperlink"/>
    <w:basedOn w:val="DefaultParagraphFont"/>
    <w:uiPriority w:val="99"/>
    <w:unhideWhenUsed/>
    <w:rsid w:val="00D22772"/>
    <w:rPr>
      <w:color w:val="0563C1" w:themeColor="hyperlink"/>
      <w:u w:val="single"/>
    </w:rPr>
  </w:style>
  <w:style w:type="character" w:styleId="UnresolvedMention">
    <w:name w:val="Unresolved Mention"/>
    <w:basedOn w:val="DefaultParagraphFont"/>
    <w:uiPriority w:val="99"/>
    <w:semiHidden/>
    <w:unhideWhenUsed/>
    <w:rsid w:val="00D22772"/>
    <w:rPr>
      <w:color w:val="605E5C"/>
      <w:shd w:val="clear" w:color="auto" w:fill="E1DFDD"/>
    </w:rPr>
  </w:style>
  <w:style w:type="paragraph" w:styleId="Header">
    <w:name w:val="header"/>
    <w:basedOn w:val="Normal"/>
    <w:link w:val="HeaderChar"/>
    <w:uiPriority w:val="99"/>
    <w:unhideWhenUsed/>
    <w:rsid w:val="00900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013"/>
  </w:style>
  <w:style w:type="paragraph" w:styleId="Footer">
    <w:name w:val="footer"/>
    <w:basedOn w:val="Normal"/>
    <w:link w:val="FooterChar"/>
    <w:uiPriority w:val="99"/>
    <w:unhideWhenUsed/>
    <w:rsid w:val="00900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013"/>
  </w:style>
  <w:style w:type="table" w:styleId="PlainTable2">
    <w:name w:val="Plain Table 2"/>
    <w:basedOn w:val="TableNormal"/>
    <w:uiPriority w:val="42"/>
    <w:rsid w:val="00E149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345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3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6A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47772/IJRISS.2024.812006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2331186X.2022.21073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JIC-06-2021-015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80/13691066.2022.206309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techfore.2024.12378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79C25-6141-4524-A43F-D4B10D32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26</Pages>
  <Words>9636</Words>
  <Characters>54929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1020</cp:lastModifiedBy>
  <cp:revision>127</cp:revision>
  <dcterms:created xsi:type="dcterms:W3CDTF">2026-04-08T06:35:00Z</dcterms:created>
  <dcterms:modified xsi:type="dcterms:W3CDTF">2026-06-01T12:08:00Z</dcterms:modified>
</cp:coreProperties>
</file>