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B348F" w14:textId="77777777" w:rsidR="00EF5758" w:rsidRPr="00EF5758" w:rsidRDefault="00EF5758" w:rsidP="00EF5758">
      <w:pPr>
        <w:spacing w:after="0" w:line="240" w:lineRule="auto"/>
        <w:jc w:val="center"/>
        <w:rPr>
          <w:rFonts w:ascii="Times New Roman" w:eastAsia="Times New Roman" w:hAnsi="Times New Roman" w:cs="Times New Roman"/>
          <w:color w:val="000000"/>
          <w:kern w:val="0"/>
          <w:sz w:val="20"/>
          <w:lang w:eastAsia="en-IN" w:bidi="ar-SA"/>
          <w14:ligatures w14:val="none"/>
        </w:rPr>
      </w:pPr>
      <w:r w:rsidRPr="00EF5758">
        <w:rPr>
          <w:rFonts w:ascii="Times New Roman" w:eastAsia="Times New Roman" w:hAnsi="Times New Roman" w:cs="Times New Roman"/>
          <w:color w:val="000000"/>
          <w:kern w:val="0"/>
          <w:sz w:val="20"/>
          <w:lang w:eastAsia="en-IN" w:bidi="ar-SA"/>
          <w14:ligatures w14:val="none"/>
        </w:rPr>
        <w:t>Original Research Article</w:t>
      </w:r>
    </w:p>
    <w:p w14:paraId="158E865A" w14:textId="77777777" w:rsidR="00EF5758" w:rsidRDefault="00EF5758" w:rsidP="0064701D">
      <w:pPr>
        <w:spacing w:after="0"/>
        <w:jc w:val="center"/>
        <w:rPr>
          <w:rFonts w:ascii="Times New Roman" w:hAnsi="Times New Roman" w:cs="Times New Roman"/>
          <w:b/>
          <w:bCs/>
          <w:sz w:val="24"/>
          <w:szCs w:val="24"/>
        </w:rPr>
      </w:pPr>
    </w:p>
    <w:p w14:paraId="68BC2638" w14:textId="3D0C2259" w:rsidR="0064701D" w:rsidRDefault="0064701D" w:rsidP="0064701D">
      <w:pPr>
        <w:spacing w:after="0"/>
        <w:jc w:val="center"/>
        <w:rPr>
          <w:rFonts w:ascii="Times New Roman" w:hAnsi="Times New Roman" w:cs="Times New Roman"/>
          <w:b/>
          <w:bCs/>
          <w:sz w:val="24"/>
          <w:szCs w:val="24"/>
        </w:rPr>
      </w:pPr>
      <w:r w:rsidRPr="00AF3FAE">
        <w:rPr>
          <w:rFonts w:ascii="Times New Roman" w:hAnsi="Times New Roman" w:cs="Times New Roman"/>
          <w:b/>
          <w:bCs/>
          <w:sz w:val="24"/>
          <w:szCs w:val="24"/>
        </w:rPr>
        <w:t>Effect of Arka Microbial Consortium Enriched Coco Peat on Germination and Seedling Growth of Tomato</w:t>
      </w:r>
    </w:p>
    <w:p w14:paraId="4F526E1F" w14:textId="77777777" w:rsidR="0081144E" w:rsidRPr="00AF3FAE" w:rsidRDefault="0081144E" w:rsidP="0064701D">
      <w:pPr>
        <w:spacing w:after="0"/>
        <w:jc w:val="center"/>
        <w:rPr>
          <w:rFonts w:ascii="Times New Roman" w:hAnsi="Times New Roman" w:cs="Times New Roman"/>
          <w:b/>
          <w:bCs/>
          <w:sz w:val="24"/>
          <w:szCs w:val="24"/>
        </w:rPr>
      </w:pPr>
    </w:p>
    <w:p w14:paraId="509D3BA4" w14:textId="7DB7364D" w:rsidR="0081144E" w:rsidRDefault="00E864F0" w:rsidP="0081144E">
      <w:pPr>
        <w:pStyle w:val="Ttulo3"/>
        <w:shd w:val="clear" w:color="auto" w:fill="FFFFFF"/>
        <w:spacing w:line="300" w:lineRule="atLeast"/>
        <w:rPr>
          <w:rFonts w:ascii="Roboto" w:hAnsi="Roboto" w:cs="Times New Roman"/>
          <w:color w:val="5F6368"/>
        </w:rPr>
      </w:pPr>
      <w:r>
        <w:rPr>
          <w:rFonts w:ascii="Roboto" w:hAnsi="Roboto" w:cs="Times New Roman"/>
          <w:color w:val="5F6368"/>
        </w:rPr>
        <w:t>.</w:t>
      </w:r>
    </w:p>
    <w:p w14:paraId="5AF463B7" w14:textId="77777777" w:rsidR="00E864F0" w:rsidRPr="00E864F0" w:rsidRDefault="00E864F0" w:rsidP="00E864F0"/>
    <w:p w14:paraId="41CEEE9B" w14:textId="3B05EB67" w:rsidR="0081144E" w:rsidRDefault="0081144E" w:rsidP="0036555D">
      <w:pPr>
        <w:pBdr>
          <w:bottom w:val="single" w:sz="4" w:space="1" w:color="auto"/>
        </w:pBdr>
        <w:spacing w:after="0"/>
        <w:jc w:val="center"/>
        <w:rPr>
          <w:rFonts w:ascii="Times New Roman" w:hAnsi="Times New Roman" w:cs="Times New Roman"/>
          <w:sz w:val="24"/>
          <w:szCs w:val="24"/>
        </w:rPr>
      </w:pPr>
    </w:p>
    <w:p w14:paraId="6D24ACAD" w14:textId="77777777" w:rsidR="0081144E" w:rsidRDefault="0081144E" w:rsidP="0036555D">
      <w:pPr>
        <w:pBdr>
          <w:bottom w:val="single" w:sz="4" w:space="1" w:color="auto"/>
        </w:pBdr>
        <w:spacing w:after="0"/>
        <w:jc w:val="center"/>
        <w:rPr>
          <w:rFonts w:ascii="Times New Roman" w:hAnsi="Times New Roman" w:cs="Times New Roman"/>
          <w:sz w:val="24"/>
          <w:szCs w:val="24"/>
        </w:rPr>
      </w:pPr>
    </w:p>
    <w:p w14:paraId="3DB16070" w14:textId="77777777" w:rsidR="0036555D" w:rsidRDefault="0036555D" w:rsidP="0036555D">
      <w:pPr>
        <w:spacing w:after="0"/>
        <w:rPr>
          <w:rFonts w:ascii="Times New Roman" w:hAnsi="Times New Roman" w:cs="Times New Roman"/>
          <w:sz w:val="24"/>
          <w:szCs w:val="24"/>
        </w:rPr>
      </w:pPr>
    </w:p>
    <w:p w14:paraId="5E2E5F14" w14:textId="5FF0828E" w:rsidR="0064701D" w:rsidRPr="0064701D" w:rsidRDefault="0064701D" w:rsidP="0064701D">
      <w:pPr>
        <w:spacing w:after="0"/>
        <w:jc w:val="center"/>
        <w:rPr>
          <w:rFonts w:ascii="Times New Roman" w:hAnsi="Times New Roman" w:cs="Times New Roman"/>
          <w:b/>
          <w:bCs/>
          <w:sz w:val="24"/>
          <w:szCs w:val="24"/>
        </w:rPr>
      </w:pPr>
      <w:r w:rsidRPr="0064701D">
        <w:rPr>
          <w:rFonts w:ascii="Times New Roman" w:hAnsi="Times New Roman" w:cs="Times New Roman"/>
          <w:b/>
          <w:bCs/>
          <w:sz w:val="24"/>
          <w:szCs w:val="24"/>
        </w:rPr>
        <w:t>ABSTRACT</w:t>
      </w:r>
    </w:p>
    <w:p w14:paraId="3F0AC771" w14:textId="6375C49F" w:rsidR="00E12435" w:rsidRPr="00E12435" w:rsidRDefault="0001461E" w:rsidP="00F33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1461E">
        <w:rPr>
          <w:rFonts w:ascii="Times New Roman" w:hAnsi="Times New Roman" w:cs="Times New Roman"/>
          <w:sz w:val="24"/>
          <w:szCs w:val="24"/>
        </w:rPr>
        <w:t xml:space="preserve">On-Farm Trials were conducted by Krishi Vigyan Kendra, </w:t>
      </w:r>
      <w:proofErr w:type="spellStart"/>
      <w:r w:rsidRPr="0001461E">
        <w:rPr>
          <w:rFonts w:ascii="Times New Roman" w:hAnsi="Times New Roman" w:cs="Times New Roman"/>
          <w:sz w:val="24"/>
          <w:szCs w:val="24"/>
        </w:rPr>
        <w:t>Maulasar</w:t>
      </w:r>
      <w:proofErr w:type="spellEnd"/>
      <w:r w:rsidRPr="0001461E">
        <w:rPr>
          <w:rFonts w:ascii="Times New Roman" w:hAnsi="Times New Roman" w:cs="Times New Roman"/>
          <w:sz w:val="24"/>
          <w:szCs w:val="24"/>
        </w:rPr>
        <w:t xml:space="preserve">, </w:t>
      </w:r>
      <w:proofErr w:type="spellStart"/>
      <w:r w:rsidRPr="0001461E">
        <w:rPr>
          <w:rFonts w:ascii="Times New Roman" w:hAnsi="Times New Roman" w:cs="Times New Roman"/>
          <w:sz w:val="24"/>
          <w:szCs w:val="24"/>
        </w:rPr>
        <w:t>Didwana-Kuchaman</w:t>
      </w:r>
      <w:proofErr w:type="spellEnd"/>
      <w:r w:rsidRPr="0001461E">
        <w:rPr>
          <w:rFonts w:ascii="Times New Roman" w:hAnsi="Times New Roman" w:cs="Times New Roman"/>
          <w:sz w:val="24"/>
          <w:szCs w:val="24"/>
        </w:rPr>
        <w:t xml:space="preserve"> to evaluate the effect of Arka Microbial Consortium (AMC) on tomato seedling production under pro-tray nursery conditions. The trials were carried out during two consecutive Rabi seasons, 2021–22 and 2022–23, at 20 farmers’ fields across five villages of the </w:t>
      </w:r>
      <w:proofErr w:type="spellStart"/>
      <w:r w:rsidRPr="0001461E">
        <w:rPr>
          <w:rFonts w:ascii="Times New Roman" w:hAnsi="Times New Roman" w:cs="Times New Roman"/>
          <w:sz w:val="24"/>
          <w:szCs w:val="24"/>
        </w:rPr>
        <w:t>Kuchaman</w:t>
      </w:r>
      <w:proofErr w:type="spellEnd"/>
      <w:r w:rsidRPr="0001461E">
        <w:rPr>
          <w:rFonts w:ascii="Times New Roman" w:hAnsi="Times New Roman" w:cs="Times New Roman"/>
          <w:sz w:val="24"/>
          <w:szCs w:val="24"/>
        </w:rPr>
        <w:t xml:space="preserve"> and </w:t>
      </w:r>
      <w:proofErr w:type="spellStart"/>
      <w:r w:rsidRPr="0001461E">
        <w:rPr>
          <w:rFonts w:ascii="Times New Roman" w:hAnsi="Times New Roman" w:cs="Times New Roman"/>
          <w:sz w:val="24"/>
          <w:szCs w:val="24"/>
        </w:rPr>
        <w:t>Maulasar</w:t>
      </w:r>
      <w:proofErr w:type="spellEnd"/>
      <w:r w:rsidRPr="0001461E">
        <w:rPr>
          <w:rFonts w:ascii="Times New Roman" w:hAnsi="Times New Roman" w:cs="Times New Roman"/>
          <w:sz w:val="24"/>
          <w:szCs w:val="24"/>
        </w:rPr>
        <w:t xml:space="preserve"> blocks in </w:t>
      </w:r>
      <w:proofErr w:type="spellStart"/>
      <w:r w:rsidRPr="0001461E">
        <w:rPr>
          <w:rFonts w:ascii="Times New Roman" w:hAnsi="Times New Roman" w:cs="Times New Roman"/>
          <w:sz w:val="24"/>
          <w:szCs w:val="24"/>
        </w:rPr>
        <w:t>Didwana-Kuchaman</w:t>
      </w:r>
      <w:proofErr w:type="spellEnd"/>
      <w:r w:rsidRPr="0001461E">
        <w:rPr>
          <w:rFonts w:ascii="Times New Roman" w:hAnsi="Times New Roman" w:cs="Times New Roman"/>
          <w:sz w:val="24"/>
          <w:szCs w:val="24"/>
        </w:rPr>
        <w:t xml:space="preserve"> district of Rajasthan.</w:t>
      </w:r>
      <w:r w:rsidR="00FE4719">
        <w:rPr>
          <w:rFonts w:ascii="Times New Roman" w:hAnsi="Times New Roman" w:cs="Times New Roman"/>
          <w:sz w:val="24"/>
          <w:szCs w:val="24"/>
        </w:rPr>
        <w:t xml:space="preserve"> </w:t>
      </w:r>
      <w:r w:rsidR="00FE4719" w:rsidRPr="00FE4719">
        <w:rPr>
          <w:rFonts w:ascii="Times New Roman" w:hAnsi="Times New Roman" w:cs="Times New Roman"/>
          <w:sz w:val="24"/>
          <w:szCs w:val="24"/>
        </w:rPr>
        <w:t xml:space="preserve">In this experiment, three treatments, </w:t>
      </w:r>
      <w:r w:rsidR="00FE4719" w:rsidRPr="00FE4719">
        <w:rPr>
          <w:rFonts w:ascii="Times New Roman" w:hAnsi="Times New Roman" w:cs="Times New Roman"/>
          <w:i/>
          <w:iCs/>
          <w:sz w:val="24"/>
          <w:szCs w:val="24"/>
        </w:rPr>
        <w:t>viz</w:t>
      </w:r>
      <w:r w:rsidR="00FE4719" w:rsidRPr="00FE4719">
        <w:rPr>
          <w:rFonts w:ascii="Times New Roman" w:hAnsi="Times New Roman" w:cs="Times New Roman"/>
          <w:sz w:val="24"/>
          <w:szCs w:val="24"/>
        </w:rPr>
        <w:t>., T₁ – Farmers’ practice (control), T₂ – AMC @ 4 g kg⁻¹ coco peat, and T₃ – AMC @ 6 g kg⁻¹ coco peat, were evaluated.</w:t>
      </w:r>
      <w:r w:rsidR="009F0A11">
        <w:rPr>
          <w:rFonts w:ascii="Times New Roman" w:hAnsi="Times New Roman" w:cs="Times New Roman"/>
          <w:sz w:val="24"/>
          <w:szCs w:val="24"/>
        </w:rPr>
        <w:t xml:space="preserve"> </w:t>
      </w:r>
      <w:r w:rsidR="00DB44F3" w:rsidRPr="00DB44F3">
        <w:rPr>
          <w:rFonts w:ascii="Times New Roman" w:hAnsi="Times New Roman" w:cs="Times New Roman"/>
          <w:sz w:val="24"/>
          <w:szCs w:val="24"/>
        </w:rPr>
        <w:t xml:space="preserve">Application of AMC significantly influenced the germination and seedling growth parameters of tomato. The results revealed that among the </w:t>
      </w:r>
      <w:r w:rsidR="00A504E2">
        <w:rPr>
          <w:rFonts w:ascii="Times New Roman" w:hAnsi="Times New Roman" w:cs="Times New Roman"/>
          <w:sz w:val="24"/>
          <w:szCs w:val="24"/>
        </w:rPr>
        <w:t>various</w:t>
      </w:r>
      <w:r w:rsidR="00DB44F3" w:rsidRPr="00DB44F3">
        <w:rPr>
          <w:rFonts w:ascii="Times New Roman" w:hAnsi="Times New Roman" w:cs="Times New Roman"/>
          <w:sz w:val="24"/>
          <w:szCs w:val="24"/>
        </w:rPr>
        <w:t xml:space="preserve"> treatments, </w:t>
      </w:r>
      <w:r w:rsidR="009F0A11" w:rsidRPr="00FE4719">
        <w:rPr>
          <w:rFonts w:ascii="Times New Roman" w:hAnsi="Times New Roman" w:cs="Times New Roman"/>
          <w:sz w:val="24"/>
          <w:szCs w:val="24"/>
        </w:rPr>
        <w:t>T₃</w:t>
      </w:r>
      <w:r w:rsidR="009F0A11">
        <w:rPr>
          <w:rFonts w:ascii="Times New Roman" w:hAnsi="Times New Roman" w:cs="Times New Roman"/>
          <w:sz w:val="24"/>
          <w:szCs w:val="24"/>
        </w:rPr>
        <w:t>-</w:t>
      </w:r>
      <w:r w:rsidR="00DB44F3" w:rsidRPr="00DB44F3">
        <w:rPr>
          <w:rFonts w:ascii="Times New Roman" w:hAnsi="Times New Roman" w:cs="Times New Roman"/>
          <w:sz w:val="24"/>
          <w:szCs w:val="24"/>
        </w:rPr>
        <w:t>AMC @ 6 g kg⁻¹ coco peat resulted in minimum days to germination (4.20 days) and days required to attain the transplantable stage (23.80 days).</w:t>
      </w:r>
      <w:r w:rsidR="00A504E2">
        <w:rPr>
          <w:rFonts w:ascii="Times New Roman" w:hAnsi="Times New Roman" w:cs="Times New Roman"/>
          <w:sz w:val="24"/>
          <w:szCs w:val="24"/>
        </w:rPr>
        <w:t xml:space="preserve"> </w:t>
      </w:r>
      <w:r w:rsidR="0064701D" w:rsidRPr="0064701D">
        <w:rPr>
          <w:rFonts w:ascii="Times New Roman" w:hAnsi="Times New Roman" w:cs="Times New Roman"/>
          <w:sz w:val="24"/>
          <w:szCs w:val="24"/>
        </w:rPr>
        <w:t xml:space="preserve">The same treatment also </w:t>
      </w:r>
      <w:r w:rsidR="00A504E2">
        <w:rPr>
          <w:rFonts w:ascii="Times New Roman" w:hAnsi="Times New Roman" w:cs="Times New Roman"/>
          <w:sz w:val="24"/>
          <w:szCs w:val="24"/>
        </w:rPr>
        <w:t>observed</w:t>
      </w:r>
      <w:r w:rsidR="0064701D" w:rsidRPr="0064701D">
        <w:rPr>
          <w:rFonts w:ascii="Times New Roman" w:hAnsi="Times New Roman" w:cs="Times New Roman"/>
          <w:sz w:val="24"/>
          <w:szCs w:val="24"/>
        </w:rPr>
        <w:t xml:space="preserve"> maximum germination percentage (94.50</w:t>
      </w:r>
      <w:commentRangeStart w:id="0"/>
      <w:r w:rsidR="0064701D" w:rsidRPr="0064701D">
        <w:rPr>
          <w:rFonts w:ascii="Times New Roman" w:hAnsi="Times New Roman" w:cs="Times New Roman"/>
          <w:sz w:val="24"/>
          <w:szCs w:val="24"/>
        </w:rPr>
        <w:t>%</w:t>
      </w:r>
      <w:commentRangeEnd w:id="0"/>
      <w:r w:rsidR="000F54F5">
        <w:rPr>
          <w:rStyle w:val="Refdecomentario"/>
        </w:rPr>
        <w:commentReference w:id="0"/>
      </w:r>
      <w:r w:rsidR="0064701D" w:rsidRPr="0064701D">
        <w:rPr>
          <w:rFonts w:ascii="Times New Roman" w:hAnsi="Times New Roman" w:cs="Times New Roman"/>
          <w:sz w:val="24"/>
          <w:szCs w:val="24"/>
        </w:rPr>
        <w:t>), seedling height (15.11 cm), root length (4.36 cm), number of leaves</w:t>
      </w:r>
      <w:r w:rsidR="00A504E2">
        <w:rPr>
          <w:rFonts w:ascii="Times New Roman" w:hAnsi="Times New Roman" w:cs="Times New Roman"/>
          <w:sz w:val="24"/>
          <w:szCs w:val="24"/>
        </w:rPr>
        <w:t>/</w:t>
      </w:r>
      <w:r w:rsidR="0064701D" w:rsidRPr="0064701D">
        <w:rPr>
          <w:rFonts w:ascii="Times New Roman" w:hAnsi="Times New Roman" w:cs="Times New Roman"/>
          <w:sz w:val="24"/>
          <w:szCs w:val="24"/>
        </w:rPr>
        <w:t>seedling (3.88), seedling vigour index (1427.05) and vigour improvement over control (66.35</w:t>
      </w:r>
      <w:commentRangeStart w:id="1"/>
      <w:r w:rsidR="0064701D" w:rsidRPr="0064701D">
        <w:rPr>
          <w:rFonts w:ascii="Times New Roman" w:hAnsi="Times New Roman" w:cs="Times New Roman"/>
          <w:sz w:val="24"/>
          <w:szCs w:val="24"/>
        </w:rPr>
        <w:t>%</w:t>
      </w:r>
      <w:commentRangeEnd w:id="1"/>
      <w:r w:rsidR="0036249E">
        <w:rPr>
          <w:rStyle w:val="Refdecomentario"/>
        </w:rPr>
        <w:commentReference w:id="1"/>
      </w:r>
      <w:r w:rsidR="0064701D" w:rsidRPr="0064701D">
        <w:rPr>
          <w:rFonts w:ascii="Times New Roman" w:hAnsi="Times New Roman" w:cs="Times New Roman"/>
          <w:sz w:val="24"/>
          <w:szCs w:val="24"/>
        </w:rPr>
        <w:t xml:space="preserve">). </w:t>
      </w:r>
      <w:r w:rsidR="009F0A11" w:rsidRPr="009F0A11">
        <w:rPr>
          <w:rFonts w:ascii="Times New Roman" w:hAnsi="Times New Roman" w:cs="Times New Roman"/>
          <w:sz w:val="24"/>
          <w:szCs w:val="24"/>
        </w:rPr>
        <w:t xml:space="preserve">Whereas, </w:t>
      </w:r>
      <w:r w:rsidR="009F0A11">
        <w:rPr>
          <w:rFonts w:ascii="Times New Roman" w:hAnsi="Times New Roman" w:cs="Times New Roman"/>
          <w:sz w:val="24"/>
          <w:szCs w:val="24"/>
        </w:rPr>
        <w:t xml:space="preserve">in </w:t>
      </w:r>
      <w:r w:rsidR="009F0A11" w:rsidRPr="009F0A11">
        <w:rPr>
          <w:rFonts w:ascii="Times New Roman" w:hAnsi="Times New Roman" w:cs="Times New Roman"/>
          <w:sz w:val="24"/>
          <w:szCs w:val="24"/>
        </w:rPr>
        <w:t>the farmer</w:t>
      </w:r>
      <w:r w:rsidR="009F0A11">
        <w:rPr>
          <w:rFonts w:ascii="Times New Roman" w:hAnsi="Times New Roman" w:cs="Times New Roman"/>
          <w:sz w:val="24"/>
          <w:szCs w:val="24"/>
        </w:rPr>
        <w:t>’</w:t>
      </w:r>
      <w:r w:rsidR="009F0A11" w:rsidRPr="009F0A11">
        <w:rPr>
          <w:rFonts w:ascii="Times New Roman" w:hAnsi="Times New Roman" w:cs="Times New Roman"/>
          <w:sz w:val="24"/>
          <w:szCs w:val="24"/>
        </w:rPr>
        <w:t>s practice (control) recorded the least values for all the observed parameters.</w:t>
      </w:r>
      <w:r w:rsidR="00E12435">
        <w:rPr>
          <w:rFonts w:ascii="Times New Roman" w:hAnsi="Times New Roman" w:cs="Times New Roman"/>
          <w:sz w:val="24"/>
          <w:szCs w:val="24"/>
        </w:rPr>
        <w:t xml:space="preserve"> </w:t>
      </w:r>
      <w:r w:rsidR="00E12435" w:rsidRPr="00E12435">
        <w:rPr>
          <w:rFonts w:ascii="Times New Roman" w:hAnsi="Times New Roman" w:cs="Times New Roman"/>
          <w:sz w:val="24"/>
          <w:szCs w:val="24"/>
        </w:rPr>
        <w:t>The findings of the study indicated that coco peat treated with Arka Microbial Consortium @ 6 g kg⁻¹ significantly improved seedling vigour and nursery performance of tomato seedlings.</w:t>
      </w:r>
    </w:p>
    <w:p w14:paraId="0638BAE9" w14:textId="16129A12" w:rsidR="0064701D" w:rsidRDefault="0064701D" w:rsidP="00F331F9">
      <w:pPr>
        <w:spacing w:after="0" w:line="480" w:lineRule="auto"/>
        <w:jc w:val="both"/>
        <w:rPr>
          <w:rFonts w:ascii="Times New Roman" w:hAnsi="Times New Roman" w:cs="Times New Roman"/>
          <w:sz w:val="24"/>
          <w:szCs w:val="24"/>
        </w:rPr>
      </w:pPr>
      <w:r w:rsidRPr="0064701D">
        <w:rPr>
          <w:rFonts w:ascii="Times New Roman" w:hAnsi="Times New Roman" w:cs="Times New Roman"/>
          <w:b/>
          <w:bCs/>
          <w:sz w:val="24"/>
          <w:szCs w:val="24"/>
        </w:rPr>
        <w:t>Keywords</w:t>
      </w:r>
      <w:r>
        <w:rPr>
          <w:rFonts w:ascii="Times New Roman" w:hAnsi="Times New Roman" w:cs="Times New Roman"/>
          <w:b/>
          <w:bCs/>
          <w:sz w:val="24"/>
          <w:szCs w:val="24"/>
        </w:rPr>
        <w:t xml:space="preserve">: </w:t>
      </w:r>
      <w:commentRangeStart w:id="2"/>
      <w:r w:rsidR="00E12435">
        <w:rPr>
          <w:rFonts w:ascii="Times New Roman" w:hAnsi="Times New Roman" w:cs="Times New Roman"/>
          <w:sz w:val="24"/>
          <w:szCs w:val="24"/>
        </w:rPr>
        <w:t>AMC</w:t>
      </w:r>
      <w:commentRangeEnd w:id="2"/>
      <w:r w:rsidR="00F300AC">
        <w:rPr>
          <w:rStyle w:val="Refdecomentario"/>
        </w:rPr>
        <w:commentReference w:id="2"/>
      </w:r>
      <w:r w:rsidRPr="0064701D">
        <w:rPr>
          <w:rFonts w:ascii="Times New Roman" w:hAnsi="Times New Roman" w:cs="Times New Roman"/>
          <w:sz w:val="24"/>
          <w:szCs w:val="24"/>
        </w:rPr>
        <w:t xml:space="preserve">, </w:t>
      </w:r>
      <w:r w:rsidR="00E12435" w:rsidRPr="0064701D">
        <w:rPr>
          <w:rFonts w:ascii="Times New Roman" w:hAnsi="Times New Roman" w:cs="Times New Roman"/>
          <w:sz w:val="24"/>
          <w:szCs w:val="24"/>
        </w:rPr>
        <w:t>Coco peat</w:t>
      </w:r>
      <w:r w:rsidR="00E12435">
        <w:rPr>
          <w:rFonts w:ascii="Times New Roman" w:hAnsi="Times New Roman" w:cs="Times New Roman"/>
          <w:sz w:val="24"/>
          <w:szCs w:val="24"/>
        </w:rPr>
        <w:t>,</w:t>
      </w:r>
      <w:r w:rsidR="00E12435" w:rsidRPr="0064701D">
        <w:rPr>
          <w:rFonts w:ascii="Times New Roman" w:hAnsi="Times New Roman" w:cs="Times New Roman"/>
          <w:sz w:val="24"/>
          <w:szCs w:val="24"/>
        </w:rPr>
        <w:t xml:space="preserve"> Germination</w:t>
      </w:r>
      <w:r w:rsidR="00E12435">
        <w:rPr>
          <w:rFonts w:ascii="Times New Roman" w:hAnsi="Times New Roman" w:cs="Times New Roman"/>
          <w:sz w:val="24"/>
          <w:szCs w:val="24"/>
        </w:rPr>
        <w:t>, N</w:t>
      </w:r>
      <w:r w:rsidR="00E12435" w:rsidRPr="0064701D">
        <w:rPr>
          <w:rFonts w:ascii="Times New Roman" w:hAnsi="Times New Roman" w:cs="Times New Roman"/>
          <w:sz w:val="24"/>
          <w:szCs w:val="24"/>
        </w:rPr>
        <w:t>ursery</w:t>
      </w:r>
      <w:r w:rsidR="00E12435">
        <w:rPr>
          <w:rFonts w:ascii="Times New Roman" w:hAnsi="Times New Roman" w:cs="Times New Roman"/>
          <w:sz w:val="24"/>
          <w:szCs w:val="24"/>
        </w:rPr>
        <w:t xml:space="preserve">, </w:t>
      </w:r>
      <w:r w:rsidR="00E12435" w:rsidRPr="0064701D">
        <w:rPr>
          <w:rFonts w:ascii="Times New Roman" w:hAnsi="Times New Roman" w:cs="Times New Roman"/>
          <w:sz w:val="24"/>
          <w:szCs w:val="24"/>
        </w:rPr>
        <w:t xml:space="preserve">Pro tray, </w:t>
      </w:r>
      <w:r w:rsidRPr="0064701D">
        <w:rPr>
          <w:rFonts w:ascii="Times New Roman" w:hAnsi="Times New Roman" w:cs="Times New Roman"/>
          <w:sz w:val="24"/>
          <w:szCs w:val="24"/>
        </w:rPr>
        <w:t>Tomato, Seedling vigour</w:t>
      </w:r>
      <w:r w:rsidR="00E12435">
        <w:rPr>
          <w:rFonts w:ascii="Times New Roman" w:hAnsi="Times New Roman" w:cs="Times New Roman"/>
          <w:sz w:val="24"/>
          <w:szCs w:val="24"/>
        </w:rPr>
        <w:t>.</w:t>
      </w:r>
    </w:p>
    <w:p w14:paraId="012475B4" w14:textId="77777777" w:rsidR="0064701D" w:rsidRPr="0064701D" w:rsidRDefault="0064701D" w:rsidP="00F331F9">
      <w:pPr>
        <w:spacing w:after="0" w:line="480" w:lineRule="auto"/>
        <w:jc w:val="both"/>
        <w:rPr>
          <w:rFonts w:ascii="Times New Roman" w:hAnsi="Times New Roman" w:cs="Times New Roman"/>
          <w:sz w:val="24"/>
          <w:szCs w:val="24"/>
        </w:rPr>
      </w:pPr>
    </w:p>
    <w:p w14:paraId="275DDF05" w14:textId="489D459C" w:rsidR="0064701D" w:rsidRPr="0064701D" w:rsidRDefault="0064701D" w:rsidP="00F331F9">
      <w:pPr>
        <w:spacing w:after="0" w:line="480" w:lineRule="auto"/>
        <w:jc w:val="center"/>
        <w:rPr>
          <w:rFonts w:ascii="Times New Roman" w:hAnsi="Times New Roman" w:cs="Times New Roman"/>
          <w:b/>
          <w:bCs/>
          <w:sz w:val="24"/>
          <w:szCs w:val="24"/>
        </w:rPr>
      </w:pPr>
      <w:r w:rsidRPr="0064701D">
        <w:rPr>
          <w:rFonts w:ascii="Times New Roman" w:hAnsi="Times New Roman" w:cs="Times New Roman"/>
          <w:b/>
          <w:bCs/>
          <w:sz w:val="24"/>
          <w:szCs w:val="24"/>
        </w:rPr>
        <w:t>INTRODUCTION</w:t>
      </w:r>
    </w:p>
    <w:p w14:paraId="235511AC" w14:textId="2FE6B09F" w:rsidR="0017632B" w:rsidRDefault="00C57B71" w:rsidP="00F331F9">
      <w:pPr>
        <w:spacing w:after="120" w:line="480" w:lineRule="auto"/>
        <w:jc w:val="both"/>
        <w:rPr>
          <w:rFonts w:ascii="Times New Roman" w:hAnsi="Times New Roman" w:cs="Times New Roman"/>
          <w:sz w:val="24"/>
          <w:szCs w:val="24"/>
        </w:rPr>
      </w:pPr>
      <w:r w:rsidRPr="00C57B71">
        <w:rPr>
          <w:rFonts w:ascii="Times New Roman" w:hAnsi="Times New Roman" w:cs="Times New Roman"/>
          <w:sz w:val="24"/>
          <w:szCs w:val="24"/>
        </w:rPr>
        <w:lastRenderedPageBreak/>
        <w:t>Tomato (</w:t>
      </w:r>
      <w:r w:rsidRPr="00C57B71">
        <w:rPr>
          <w:rFonts w:ascii="Times New Roman" w:hAnsi="Times New Roman" w:cs="Times New Roman"/>
          <w:i/>
          <w:iCs/>
          <w:sz w:val="24"/>
          <w:szCs w:val="24"/>
        </w:rPr>
        <w:t>Solanum</w:t>
      </w:r>
      <w:r w:rsidRPr="00C57B71">
        <w:rPr>
          <w:rFonts w:ascii="Times New Roman" w:hAnsi="Times New Roman" w:cs="Times New Roman"/>
          <w:sz w:val="24"/>
          <w:szCs w:val="24"/>
        </w:rPr>
        <w:t xml:space="preserve"> </w:t>
      </w:r>
      <w:proofErr w:type="spellStart"/>
      <w:r w:rsidRPr="00C57B71">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L.</w:t>
      </w:r>
      <w:r w:rsidRPr="00C57B71">
        <w:rPr>
          <w:rFonts w:ascii="Times New Roman" w:hAnsi="Times New Roman" w:cs="Times New Roman"/>
          <w:sz w:val="24"/>
          <w:szCs w:val="24"/>
        </w:rPr>
        <w:t>) is recognized as one of the most extensively cultivated vegetable</w:t>
      </w:r>
      <w:r>
        <w:rPr>
          <w:rFonts w:ascii="Times New Roman" w:hAnsi="Times New Roman" w:cs="Times New Roman"/>
          <w:sz w:val="24"/>
          <w:szCs w:val="24"/>
        </w:rPr>
        <w:t xml:space="preserve"> </w:t>
      </w:r>
      <w:r w:rsidRPr="00C57B71">
        <w:rPr>
          <w:rFonts w:ascii="Times New Roman" w:hAnsi="Times New Roman" w:cs="Times New Roman"/>
          <w:sz w:val="24"/>
          <w:szCs w:val="24"/>
        </w:rPr>
        <w:t>crops</w:t>
      </w:r>
      <w:r>
        <w:rPr>
          <w:rFonts w:ascii="Times New Roman" w:hAnsi="Times New Roman" w:cs="Times New Roman"/>
          <w:sz w:val="24"/>
          <w:szCs w:val="24"/>
        </w:rPr>
        <w:t xml:space="preserve"> </w:t>
      </w:r>
      <w:r w:rsidRPr="00C57B71">
        <w:rPr>
          <w:rFonts w:ascii="Times New Roman" w:hAnsi="Times New Roman" w:cs="Times New Roman"/>
          <w:sz w:val="24"/>
          <w:szCs w:val="24"/>
        </w:rPr>
        <w:t>worldwide,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belonging to the family Solanaceae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crop is valued for its nutritional importance as fruits are rich in vitamins, minerals and antioxidants such as lycopene and β-carotene. </w:t>
      </w:r>
      <w:r w:rsidR="00337E17" w:rsidRPr="00337E17">
        <w:rPr>
          <w:rFonts w:ascii="Times New Roman" w:hAnsi="Times New Roman" w:cs="Times New Roman"/>
          <w:sz w:val="24"/>
          <w:szCs w:val="24"/>
        </w:rPr>
        <w:t>It is commonly known as a “protective food” due to its rich phytonutrient content.</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Tomato cultivation also provides good economic returns to small and marginal farmers.</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Healthy and vigorous seedlings are essential for better crop establishment and higher productivity in tomato.</w:t>
      </w:r>
      <w:r w:rsidR="00337E17">
        <w:rPr>
          <w:rFonts w:ascii="Times New Roman" w:hAnsi="Times New Roman" w:cs="Times New Roman"/>
          <w:sz w:val="24"/>
          <w:szCs w:val="24"/>
        </w:rPr>
        <w:t xml:space="preserve"> </w:t>
      </w:r>
      <w:r w:rsidR="00DE1354" w:rsidRPr="00DE1354">
        <w:rPr>
          <w:rFonts w:ascii="Times New Roman" w:hAnsi="Times New Roman" w:cs="Times New Roman"/>
          <w:sz w:val="24"/>
          <w:szCs w:val="24"/>
        </w:rPr>
        <w:t>Germination of the seed is a critical stage, because the rest of the plant life is directly dependent upon the rate of its</w:t>
      </w:r>
      <w:r w:rsidR="00DE1354">
        <w:rPr>
          <w:rFonts w:ascii="Times New Roman" w:hAnsi="Times New Roman" w:cs="Times New Roman"/>
          <w:sz w:val="24"/>
          <w:szCs w:val="24"/>
        </w:rPr>
        <w:t xml:space="preserve"> (</w:t>
      </w:r>
      <w:r w:rsidR="00DE1354" w:rsidRPr="00DE1354">
        <w:rPr>
          <w:rFonts w:ascii="Times New Roman" w:hAnsi="Times New Roman" w:cs="Times New Roman"/>
          <w:sz w:val="24"/>
          <w:szCs w:val="24"/>
        </w:rPr>
        <w:t>Mahala</w:t>
      </w:r>
      <w:r w:rsidR="00DE1354">
        <w:rPr>
          <w:rFonts w:ascii="Times New Roman" w:hAnsi="Times New Roman" w:cs="Times New Roman"/>
          <w:sz w:val="24"/>
          <w:szCs w:val="24"/>
        </w:rPr>
        <w:t xml:space="preserve"> </w:t>
      </w:r>
      <w:commentRangeStart w:id="3"/>
      <w:r w:rsidR="00DE1354">
        <w:rPr>
          <w:rFonts w:ascii="Times New Roman" w:hAnsi="Times New Roman" w:cs="Times New Roman"/>
          <w:sz w:val="24"/>
          <w:szCs w:val="24"/>
        </w:rPr>
        <w:t>and</w:t>
      </w:r>
      <w:commentRangeEnd w:id="3"/>
      <w:r w:rsidR="00832A01">
        <w:rPr>
          <w:rStyle w:val="Refdecomentario"/>
        </w:rPr>
        <w:commentReference w:id="3"/>
      </w:r>
      <w:r w:rsidR="00DE1354">
        <w:rPr>
          <w:rFonts w:ascii="Times New Roman" w:hAnsi="Times New Roman" w:cs="Times New Roman"/>
          <w:sz w:val="24"/>
          <w:szCs w:val="24"/>
        </w:rPr>
        <w:t xml:space="preserve"> Sharma, 2020)</w:t>
      </w:r>
      <w:r w:rsidR="00DE1354" w:rsidRPr="00DE1354">
        <w:rPr>
          <w:rFonts w:ascii="Times New Roman" w:hAnsi="Times New Roman" w:cs="Times New Roman"/>
          <w:sz w:val="24"/>
          <w:szCs w:val="24"/>
        </w:rPr>
        <w:t>.</w:t>
      </w:r>
      <w:r w:rsidR="00337E17">
        <w:rPr>
          <w:rFonts w:ascii="Times New Roman" w:hAnsi="Times New Roman" w:cs="Times New Roman"/>
          <w:sz w:val="24"/>
          <w:szCs w:val="24"/>
        </w:rPr>
        <w:t xml:space="preserve"> </w:t>
      </w:r>
      <w:r w:rsidR="00746443" w:rsidRPr="00746443">
        <w:rPr>
          <w:rFonts w:ascii="Times New Roman" w:hAnsi="Times New Roman" w:cs="Times New Roman"/>
          <w:sz w:val="24"/>
          <w:szCs w:val="24"/>
        </w:rPr>
        <w:t>Traditionally, tomato seedlings are raised in open-field nurseries, where they encounter several challenges such as uneven seed germination, competition for nutrients, light, and water, and increased susceptibility to soil-borne pests and pathogens, ultimately resulting in poor and non-uniform seedling quality</w:t>
      </w:r>
      <w:r w:rsidR="00746443">
        <w:rPr>
          <w:rFonts w:ascii="Times New Roman" w:hAnsi="Times New Roman" w:cs="Times New Roman"/>
          <w:sz w:val="24"/>
          <w:szCs w:val="24"/>
        </w:rPr>
        <w:t xml:space="preserve"> (</w:t>
      </w:r>
      <w:r w:rsidR="00337E17" w:rsidRPr="00337E17">
        <w:rPr>
          <w:rFonts w:ascii="Times New Roman" w:hAnsi="Times New Roman" w:cs="Times New Roman"/>
          <w:sz w:val="24"/>
          <w:szCs w:val="24"/>
        </w:rPr>
        <w:t>Hazarika</w:t>
      </w:r>
      <w:commentRangeStart w:id="4"/>
      <w:r w:rsidR="00337E17">
        <w:rPr>
          <w:rFonts w:ascii="Times New Roman" w:hAnsi="Times New Roman" w:cs="Times New Roman"/>
          <w:sz w:val="24"/>
          <w:szCs w:val="24"/>
        </w:rPr>
        <w:t>,</w:t>
      </w:r>
      <w:commentRangeEnd w:id="4"/>
      <w:r w:rsidR="00ED5F9A">
        <w:rPr>
          <w:rStyle w:val="Refdecomentario"/>
        </w:rPr>
        <w:commentReference w:id="4"/>
      </w:r>
      <w:r w:rsid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337E17" w:rsidRPr="001F4890">
        <w:rPr>
          <w:rFonts w:ascii="Times New Roman" w:hAnsi="Times New Roman" w:cs="Times New Roman"/>
          <w:i/>
          <w:iCs/>
          <w:sz w:val="24"/>
          <w:szCs w:val="24"/>
        </w:rPr>
        <w:t>a</w:t>
      </w:r>
      <w:r w:rsidR="001F4890" w:rsidRPr="001F4890">
        <w:rPr>
          <w:rFonts w:ascii="Times New Roman" w:hAnsi="Times New Roman" w:cs="Times New Roman"/>
          <w:i/>
          <w:iCs/>
          <w:sz w:val="24"/>
          <w:szCs w:val="24"/>
        </w:rPr>
        <w:t>l</w:t>
      </w:r>
      <w:r w:rsidR="00337E17">
        <w:rPr>
          <w:rFonts w:ascii="Times New Roman" w:hAnsi="Times New Roman" w:cs="Times New Roman"/>
          <w:sz w:val="24"/>
          <w:szCs w:val="24"/>
        </w:rPr>
        <w:t>.,2023)</w:t>
      </w:r>
      <w:r w:rsidR="00746443" w:rsidRPr="00746443">
        <w:rPr>
          <w:rFonts w:ascii="Times New Roman" w:hAnsi="Times New Roman" w:cs="Times New Roman"/>
          <w:sz w:val="24"/>
          <w:szCs w:val="24"/>
        </w:rPr>
        <w:t>.</w:t>
      </w:r>
      <w:r w:rsidR="00EB3B84">
        <w:rPr>
          <w:rFonts w:ascii="Times New Roman" w:hAnsi="Times New Roman" w:cs="Times New Roman"/>
          <w:sz w:val="24"/>
          <w:szCs w:val="24"/>
        </w:rPr>
        <w:t xml:space="preserve"> </w:t>
      </w:r>
      <w:r w:rsidR="00337E17" w:rsidRPr="00337E17">
        <w:rPr>
          <w:rFonts w:ascii="Times New Roman" w:hAnsi="Times New Roman" w:cs="Times New Roman"/>
          <w:sz w:val="24"/>
          <w:szCs w:val="24"/>
        </w:rPr>
        <w:t>The seedling raising medium is a major factor influencing seed germination/emergence, as well as seedling growth and quality (</w:t>
      </w:r>
      <w:proofErr w:type="spellStart"/>
      <w:r w:rsidR="00337E17" w:rsidRPr="00337E17">
        <w:rPr>
          <w:rFonts w:ascii="Times New Roman" w:hAnsi="Times New Roman" w:cs="Times New Roman"/>
          <w:sz w:val="24"/>
          <w:szCs w:val="24"/>
        </w:rPr>
        <w:t>Aklibasinda</w:t>
      </w:r>
      <w:proofErr w:type="spellEnd"/>
      <w:r w:rsidR="00337E17" w:rsidRP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 al</w:t>
      </w:r>
      <w:r w:rsidR="00337E17" w:rsidRPr="00337E17">
        <w:rPr>
          <w:rFonts w:ascii="Times New Roman" w:hAnsi="Times New Roman" w:cs="Times New Roman"/>
          <w:sz w:val="24"/>
          <w:szCs w:val="24"/>
        </w:rPr>
        <w:t xml:space="preserve">., 2011). Seedlings raised in plug trays have been reported to exhibit earlier germination and better root development, resulting in more vigorous seedlings. Moreover, </w:t>
      </w:r>
      <w:r w:rsidR="00EB3B84">
        <w:rPr>
          <w:rFonts w:ascii="Times New Roman" w:hAnsi="Times New Roman" w:cs="Times New Roman"/>
          <w:sz w:val="24"/>
          <w:szCs w:val="24"/>
        </w:rPr>
        <w:t xml:space="preserve">plug </w:t>
      </w:r>
      <w:r w:rsidR="00337E17" w:rsidRPr="00337E17">
        <w:rPr>
          <w:rFonts w:ascii="Times New Roman" w:hAnsi="Times New Roman" w:cs="Times New Roman"/>
          <w:sz w:val="24"/>
          <w:szCs w:val="24"/>
        </w:rPr>
        <w:t>tray-grown nurseries ensure higher transplanting efficiency and help in maintaining a regular supply of quality seedlings, particularly in vegetable crops</w:t>
      </w:r>
      <w:r w:rsidR="00EB3B84">
        <w:rPr>
          <w:rFonts w:ascii="Times New Roman" w:hAnsi="Times New Roman" w:cs="Times New Roman"/>
          <w:sz w:val="24"/>
          <w:szCs w:val="24"/>
        </w:rPr>
        <w:t xml:space="preserve"> (</w:t>
      </w:r>
      <w:proofErr w:type="spellStart"/>
      <w:r w:rsidR="00EB3B84" w:rsidRPr="00EB3B84">
        <w:rPr>
          <w:rFonts w:ascii="Times New Roman" w:hAnsi="Times New Roman" w:cs="Times New Roman"/>
          <w:sz w:val="24"/>
          <w:szCs w:val="24"/>
        </w:rPr>
        <w:t>Parween</w:t>
      </w:r>
      <w:commentRangeStart w:id="5"/>
      <w:proofErr w:type="spellEnd"/>
      <w:r w:rsidR="00EB3B84">
        <w:rPr>
          <w:rFonts w:ascii="Times New Roman" w:hAnsi="Times New Roman" w:cs="Times New Roman"/>
          <w:sz w:val="24"/>
          <w:szCs w:val="24"/>
        </w:rPr>
        <w:t>,</w:t>
      </w:r>
      <w:commentRangeEnd w:id="5"/>
      <w:r w:rsidR="00E82E34">
        <w:rPr>
          <w:rStyle w:val="Refdecomentario"/>
        </w:rPr>
        <w:commentReference w:id="5"/>
      </w:r>
      <w:r w:rsidR="00EB3B84">
        <w:rPr>
          <w:rFonts w:ascii="Times New Roman" w:hAnsi="Times New Roman" w:cs="Times New Roman"/>
          <w:sz w:val="24"/>
          <w:szCs w:val="24"/>
        </w:rPr>
        <w:t xml:space="preserve"> </w:t>
      </w:r>
      <w:r w:rsidR="00EB3B84"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EB3B84" w:rsidRPr="001F4890">
        <w:rPr>
          <w:rFonts w:ascii="Times New Roman" w:hAnsi="Times New Roman" w:cs="Times New Roman"/>
          <w:i/>
          <w:iCs/>
          <w:sz w:val="24"/>
          <w:szCs w:val="24"/>
        </w:rPr>
        <w:t>al</w:t>
      </w:r>
      <w:r w:rsidR="00EB3B84">
        <w:rPr>
          <w:rFonts w:ascii="Times New Roman" w:hAnsi="Times New Roman" w:cs="Times New Roman"/>
          <w:sz w:val="24"/>
          <w:szCs w:val="24"/>
        </w:rPr>
        <w:t>.</w:t>
      </w:r>
      <w:r w:rsidR="001F4890">
        <w:rPr>
          <w:rFonts w:ascii="Times New Roman" w:hAnsi="Times New Roman" w:cs="Times New Roman"/>
          <w:sz w:val="24"/>
          <w:szCs w:val="24"/>
        </w:rPr>
        <w:t>,</w:t>
      </w:r>
      <w:r w:rsidR="00EB3B84">
        <w:rPr>
          <w:rFonts w:ascii="Times New Roman" w:hAnsi="Times New Roman" w:cs="Times New Roman"/>
          <w:sz w:val="24"/>
          <w:szCs w:val="24"/>
        </w:rPr>
        <w:t xml:space="preserve"> 2025). </w:t>
      </w:r>
      <w:r w:rsidR="00005970" w:rsidRPr="00005970">
        <w:rPr>
          <w:rFonts w:ascii="Times New Roman" w:hAnsi="Times New Roman" w:cs="Times New Roman"/>
          <w:sz w:val="24"/>
          <w:szCs w:val="24"/>
        </w:rPr>
        <w:t xml:space="preserve">Excessive use of chemical fertilizers not only increases production costs but also adversely affects soil health. </w:t>
      </w:r>
    </w:p>
    <w:p w14:paraId="6B4A7C93" w14:textId="77777777" w:rsidR="0017632B" w:rsidRDefault="0017632B" w:rsidP="00F331F9">
      <w:pPr>
        <w:spacing w:after="120" w:line="480" w:lineRule="auto"/>
        <w:jc w:val="both"/>
        <w:rPr>
          <w:rFonts w:ascii="Times New Roman" w:hAnsi="Times New Roman" w:cs="Times New Roman"/>
          <w:sz w:val="24"/>
          <w:szCs w:val="24"/>
        </w:rPr>
      </w:pPr>
    </w:p>
    <w:p w14:paraId="6E3486C3" w14:textId="250CB06E" w:rsidR="00005970" w:rsidRPr="00005970" w:rsidRDefault="00005970" w:rsidP="00F331F9">
      <w:pPr>
        <w:spacing w:after="120" w:line="480" w:lineRule="auto"/>
        <w:jc w:val="both"/>
        <w:rPr>
          <w:rFonts w:ascii="Times New Roman" w:hAnsi="Times New Roman" w:cs="Times New Roman"/>
          <w:sz w:val="24"/>
          <w:szCs w:val="24"/>
        </w:rPr>
      </w:pPr>
      <w:r w:rsidRPr="00005970">
        <w:rPr>
          <w:rFonts w:ascii="Times New Roman" w:hAnsi="Times New Roman" w:cs="Times New Roman"/>
          <w:sz w:val="24"/>
          <w:szCs w:val="24"/>
        </w:rPr>
        <w:t xml:space="preserve">In this context, microbial consortia are gaining importance as sustainable nutrient management options. </w:t>
      </w:r>
      <w:r w:rsidR="007F3D7A">
        <w:rPr>
          <w:rFonts w:ascii="Times New Roman" w:hAnsi="Times New Roman" w:cs="Times New Roman"/>
          <w:sz w:val="24"/>
          <w:szCs w:val="24"/>
        </w:rPr>
        <w:t>It</w:t>
      </w:r>
      <w:r w:rsidR="007F3D7A" w:rsidRPr="0017632B">
        <w:rPr>
          <w:rFonts w:ascii="Times New Roman" w:hAnsi="Times New Roman" w:cs="Times New Roman"/>
          <w:sz w:val="24"/>
          <w:szCs w:val="24"/>
        </w:rPr>
        <w:t xml:space="preserve"> plays a positive role in supporting plant growth by containing beneficial microorganisms capable of mobilizing nutrients from unavailable to available forms through various biological processes. Furthermore, microbial consortia provide an economically viable and ecologically sustainable approach to reducing external inputs while improving the quality and yield of vegetable crops</w:t>
      </w:r>
      <w:r w:rsidR="007F3D7A">
        <w:rPr>
          <w:rFonts w:ascii="Times New Roman" w:hAnsi="Times New Roman" w:cs="Times New Roman"/>
          <w:sz w:val="24"/>
          <w:szCs w:val="24"/>
        </w:rPr>
        <w:t xml:space="preserve"> (</w:t>
      </w:r>
      <w:proofErr w:type="spellStart"/>
      <w:r w:rsidR="007F3D7A" w:rsidRPr="007F3D7A">
        <w:rPr>
          <w:rFonts w:ascii="Times New Roman" w:hAnsi="Times New Roman" w:cs="Times New Roman"/>
          <w:sz w:val="24"/>
          <w:szCs w:val="24"/>
        </w:rPr>
        <w:t>Saste</w:t>
      </w:r>
      <w:commentRangeStart w:id="6"/>
      <w:proofErr w:type="spellEnd"/>
      <w:r w:rsidR="007F3D7A">
        <w:rPr>
          <w:rFonts w:ascii="Times New Roman" w:hAnsi="Times New Roman" w:cs="Times New Roman"/>
          <w:sz w:val="24"/>
          <w:szCs w:val="24"/>
        </w:rPr>
        <w:t>,</w:t>
      </w:r>
      <w:commentRangeEnd w:id="6"/>
      <w:r w:rsidR="00E82E34">
        <w:rPr>
          <w:rStyle w:val="Refdecomentario"/>
        </w:rPr>
        <w:commentReference w:id="6"/>
      </w:r>
      <w:r w:rsidR="007F3D7A">
        <w:rPr>
          <w:rFonts w:ascii="Times New Roman" w:hAnsi="Times New Roman" w:cs="Times New Roman"/>
          <w:sz w:val="24"/>
          <w:szCs w:val="24"/>
        </w:rPr>
        <w:t xml:space="preserve"> </w:t>
      </w:r>
      <w:r w:rsidR="007F3D7A" w:rsidRPr="001A579A">
        <w:rPr>
          <w:rFonts w:ascii="Times New Roman" w:hAnsi="Times New Roman" w:cs="Times New Roman"/>
          <w:i/>
          <w:iCs/>
          <w:sz w:val="24"/>
          <w:szCs w:val="24"/>
        </w:rPr>
        <w:t>et</w:t>
      </w:r>
      <w:r w:rsidR="001A579A" w:rsidRPr="001A579A">
        <w:rPr>
          <w:rFonts w:ascii="Times New Roman" w:hAnsi="Times New Roman" w:cs="Times New Roman"/>
          <w:i/>
          <w:iCs/>
          <w:sz w:val="24"/>
          <w:szCs w:val="24"/>
        </w:rPr>
        <w:t xml:space="preserve"> </w:t>
      </w:r>
      <w:r w:rsidR="007F3D7A" w:rsidRPr="001A579A">
        <w:rPr>
          <w:rFonts w:ascii="Times New Roman" w:hAnsi="Times New Roman" w:cs="Times New Roman"/>
          <w:i/>
          <w:iCs/>
          <w:sz w:val="24"/>
          <w:szCs w:val="24"/>
        </w:rPr>
        <w:t>al</w:t>
      </w:r>
      <w:r w:rsidR="007F3D7A">
        <w:rPr>
          <w:rFonts w:ascii="Times New Roman" w:hAnsi="Times New Roman" w:cs="Times New Roman"/>
          <w:sz w:val="24"/>
          <w:szCs w:val="24"/>
        </w:rPr>
        <w:t>., 2024)</w:t>
      </w:r>
      <w:r w:rsidR="007F3D7A" w:rsidRPr="0017632B">
        <w:rPr>
          <w:rFonts w:ascii="Times New Roman" w:hAnsi="Times New Roman" w:cs="Times New Roman"/>
          <w:sz w:val="24"/>
          <w:szCs w:val="24"/>
        </w:rPr>
        <w:t>.</w:t>
      </w:r>
      <w:r w:rsidR="007F3D7A">
        <w:rPr>
          <w:rFonts w:ascii="Times New Roman" w:hAnsi="Times New Roman" w:cs="Times New Roman"/>
          <w:sz w:val="24"/>
          <w:szCs w:val="24"/>
        </w:rPr>
        <w:t xml:space="preserve"> </w:t>
      </w:r>
      <w:r w:rsidRPr="00005970">
        <w:rPr>
          <w:rFonts w:ascii="Times New Roman" w:hAnsi="Times New Roman" w:cs="Times New Roman"/>
          <w:sz w:val="24"/>
          <w:szCs w:val="24"/>
        </w:rPr>
        <w:t xml:space="preserve">Arka Microbial Consortium, developed by </w:t>
      </w:r>
      <w:r w:rsidRPr="00005970">
        <w:rPr>
          <w:rFonts w:ascii="Times New Roman" w:hAnsi="Times New Roman" w:cs="Times New Roman"/>
          <w:sz w:val="24"/>
          <w:szCs w:val="24"/>
        </w:rPr>
        <w:lastRenderedPageBreak/>
        <w:t xml:space="preserve">ICAR-IIHR, contains beneficial microorganisms such as </w:t>
      </w:r>
      <w:r w:rsidRPr="00005970">
        <w:rPr>
          <w:rFonts w:ascii="Times New Roman" w:hAnsi="Times New Roman" w:cs="Times New Roman"/>
          <w:i/>
          <w:iCs/>
          <w:sz w:val="24"/>
          <w:szCs w:val="24"/>
        </w:rPr>
        <w:t>Bacillus</w:t>
      </w:r>
      <w:r w:rsidRPr="00005970">
        <w:rPr>
          <w:rFonts w:ascii="Times New Roman" w:hAnsi="Times New Roman" w:cs="Times New Roman"/>
          <w:sz w:val="24"/>
          <w:szCs w:val="24"/>
        </w:rPr>
        <w:t xml:space="preserve">, </w:t>
      </w:r>
      <w:r w:rsidRPr="00005970">
        <w:rPr>
          <w:rFonts w:ascii="Times New Roman" w:hAnsi="Times New Roman" w:cs="Times New Roman"/>
          <w:i/>
          <w:iCs/>
          <w:sz w:val="24"/>
          <w:szCs w:val="24"/>
        </w:rPr>
        <w:t>Pseudomonas</w:t>
      </w:r>
      <w:r w:rsidRPr="00005970">
        <w:rPr>
          <w:rFonts w:ascii="Times New Roman" w:hAnsi="Times New Roman" w:cs="Times New Roman"/>
          <w:sz w:val="24"/>
          <w:szCs w:val="24"/>
        </w:rPr>
        <w:t xml:space="preserve">, and </w:t>
      </w:r>
      <w:r w:rsidRPr="00005970">
        <w:rPr>
          <w:rFonts w:ascii="Times New Roman" w:hAnsi="Times New Roman" w:cs="Times New Roman"/>
          <w:i/>
          <w:iCs/>
          <w:sz w:val="24"/>
          <w:szCs w:val="24"/>
        </w:rPr>
        <w:t>Azotobacter</w:t>
      </w:r>
      <w:r w:rsidRPr="00005970">
        <w:rPr>
          <w:rFonts w:ascii="Times New Roman" w:hAnsi="Times New Roman" w:cs="Times New Roman"/>
          <w:sz w:val="24"/>
          <w:szCs w:val="24"/>
        </w:rPr>
        <w:t>, which aid in nutrient solubilization, nitrogen fixation, and plant growth promotion. In the study area, farmers generally raise tomato seedlings under conventional nursery conditions, resulting in uneven germination and poor seedling growth. Therefore, the present study was undertaken to evaluate the role of AMC on the germination, growth, and vigour of tomato seedlings under pro</w:t>
      </w:r>
      <w:r>
        <w:rPr>
          <w:rFonts w:ascii="Times New Roman" w:hAnsi="Times New Roman" w:cs="Times New Roman"/>
          <w:sz w:val="24"/>
          <w:szCs w:val="24"/>
        </w:rPr>
        <w:t xml:space="preserve"> </w:t>
      </w:r>
      <w:r w:rsidRPr="00005970">
        <w:rPr>
          <w:rFonts w:ascii="Times New Roman" w:hAnsi="Times New Roman" w:cs="Times New Roman"/>
          <w:sz w:val="24"/>
          <w:szCs w:val="24"/>
        </w:rPr>
        <w:t>tray nursery conditions.</w:t>
      </w:r>
    </w:p>
    <w:p w14:paraId="7539F1A3" w14:textId="01E63779"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MATERIALS AND METHODS</w:t>
      </w:r>
    </w:p>
    <w:p w14:paraId="45EFE7A8" w14:textId="30A4D9BE" w:rsidR="00896A48" w:rsidRPr="005B759F" w:rsidRDefault="00005970" w:rsidP="00F331F9">
      <w:pPr>
        <w:spacing w:after="0" w:line="480" w:lineRule="auto"/>
        <w:jc w:val="both"/>
        <w:rPr>
          <w:rFonts w:cs="Times New Roman"/>
          <w:szCs w:val="24"/>
        </w:rPr>
      </w:pPr>
      <w:r>
        <w:rPr>
          <w:rFonts w:ascii="Times New Roman" w:hAnsi="Times New Roman" w:cs="Times New Roman"/>
          <w:sz w:val="24"/>
          <w:szCs w:val="24"/>
        </w:rPr>
        <w:t xml:space="preserve">The present study </w:t>
      </w:r>
      <w:r w:rsidR="00896A48" w:rsidRPr="00896A48">
        <w:rPr>
          <w:rFonts w:ascii="Times New Roman" w:hAnsi="Times New Roman" w:cs="Times New Roman"/>
          <w:sz w:val="24"/>
          <w:szCs w:val="24"/>
        </w:rPr>
        <w:t xml:space="preserve">was conducted by Krishi Vigyan Kendra,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during </w:t>
      </w:r>
      <w:r>
        <w:rPr>
          <w:rFonts w:ascii="Times New Roman" w:hAnsi="Times New Roman" w:cs="Times New Roman"/>
          <w:sz w:val="24"/>
          <w:szCs w:val="24"/>
        </w:rPr>
        <w:t xml:space="preserve">the year </w:t>
      </w:r>
      <w:r w:rsidR="00896A48" w:rsidRPr="00896A48">
        <w:rPr>
          <w:rFonts w:ascii="Times New Roman" w:hAnsi="Times New Roman" w:cs="Times New Roman"/>
          <w:sz w:val="24"/>
          <w:szCs w:val="24"/>
        </w:rPr>
        <w:t xml:space="preserve">2021-22 and 2022-23 to evaluate the effect of Arka </w:t>
      </w:r>
      <w:r>
        <w:rPr>
          <w:rFonts w:ascii="Times New Roman" w:hAnsi="Times New Roman" w:cs="Times New Roman"/>
          <w:sz w:val="24"/>
          <w:szCs w:val="24"/>
        </w:rPr>
        <w:t>m</w:t>
      </w:r>
      <w:r w:rsidR="00896A48" w:rsidRPr="00896A48">
        <w:rPr>
          <w:rFonts w:ascii="Times New Roman" w:hAnsi="Times New Roman" w:cs="Times New Roman"/>
          <w:sz w:val="24"/>
          <w:szCs w:val="24"/>
        </w:rPr>
        <w:t xml:space="preserve">icrobial </w:t>
      </w:r>
      <w:r>
        <w:rPr>
          <w:rFonts w:ascii="Times New Roman" w:hAnsi="Times New Roman" w:cs="Times New Roman"/>
          <w:sz w:val="24"/>
          <w:szCs w:val="24"/>
        </w:rPr>
        <w:t>c</w:t>
      </w:r>
      <w:r w:rsidR="00896A48" w:rsidRPr="00896A48">
        <w:rPr>
          <w:rFonts w:ascii="Times New Roman" w:hAnsi="Times New Roman" w:cs="Times New Roman"/>
          <w:sz w:val="24"/>
          <w:szCs w:val="24"/>
        </w:rPr>
        <w:t>onsortium on germination, growth and vigour of tomato seedlings under pro tray nursery conditions. The trial</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w:t>
      </w:r>
      <w:r>
        <w:rPr>
          <w:rFonts w:ascii="Times New Roman" w:hAnsi="Times New Roman" w:cs="Times New Roman"/>
          <w:sz w:val="24"/>
          <w:szCs w:val="24"/>
        </w:rPr>
        <w:t>were</w:t>
      </w:r>
      <w:r w:rsidR="00896A48" w:rsidRPr="00896A48">
        <w:rPr>
          <w:rFonts w:ascii="Times New Roman" w:hAnsi="Times New Roman" w:cs="Times New Roman"/>
          <w:sz w:val="24"/>
          <w:szCs w:val="24"/>
        </w:rPr>
        <w:t xml:space="preserve"> conducted at 20 farmer</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fields covering five villages of </w:t>
      </w:r>
      <w:proofErr w:type="spellStart"/>
      <w:r w:rsidR="00896A48" w:rsidRPr="00896A48">
        <w:rPr>
          <w:rFonts w:ascii="Times New Roman" w:hAnsi="Times New Roman" w:cs="Times New Roman"/>
          <w:sz w:val="24"/>
          <w:szCs w:val="24"/>
        </w:rPr>
        <w:t>Kuchaman</w:t>
      </w:r>
      <w:proofErr w:type="spellEnd"/>
      <w:r w:rsidR="00896A48" w:rsidRPr="00896A48">
        <w:rPr>
          <w:rFonts w:ascii="Times New Roman" w:hAnsi="Times New Roman" w:cs="Times New Roman"/>
          <w:sz w:val="24"/>
          <w:szCs w:val="24"/>
        </w:rPr>
        <w:t xml:space="preserve"> and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blocks in </w:t>
      </w:r>
      <w:proofErr w:type="spellStart"/>
      <w:r w:rsidR="00896A48" w:rsidRPr="00896A48">
        <w:rPr>
          <w:rFonts w:ascii="Times New Roman" w:hAnsi="Times New Roman" w:cs="Times New Roman"/>
          <w:sz w:val="24"/>
          <w:szCs w:val="24"/>
        </w:rPr>
        <w:t>Didwana-Kuchaman</w:t>
      </w:r>
      <w:proofErr w:type="spellEnd"/>
      <w:r w:rsidR="00896A48" w:rsidRPr="00896A48">
        <w:rPr>
          <w:rFonts w:ascii="Times New Roman" w:hAnsi="Times New Roman" w:cs="Times New Roman"/>
          <w:sz w:val="24"/>
          <w:szCs w:val="24"/>
        </w:rPr>
        <w:t xml:space="preserve"> district, Rajasthan. The </w:t>
      </w:r>
      <w:r w:rsidR="005B759F">
        <w:rPr>
          <w:rFonts w:ascii="Times New Roman" w:hAnsi="Times New Roman" w:cs="Times New Roman"/>
          <w:sz w:val="24"/>
          <w:szCs w:val="24"/>
        </w:rPr>
        <w:t xml:space="preserve">trials were </w:t>
      </w:r>
      <w:r w:rsidR="00896A48" w:rsidRPr="00896A48">
        <w:rPr>
          <w:rFonts w:ascii="Times New Roman" w:hAnsi="Times New Roman" w:cs="Times New Roman"/>
          <w:sz w:val="24"/>
          <w:szCs w:val="24"/>
        </w:rPr>
        <w:t>laid out in Randomized Block Design (RBD) with three treatments and twenty replications (farmers’ fields). The treatments comprised: T₁ – Farmer</w:t>
      </w:r>
      <w:r w:rsidR="005B759F">
        <w:rPr>
          <w:rFonts w:ascii="Times New Roman" w:hAnsi="Times New Roman" w:cs="Times New Roman"/>
          <w:sz w:val="24"/>
          <w:szCs w:val="24"/>
        </w:rPr>
        <w:t>’</w:t>
      </w:r>
      <w:r w:rsidR="00896A48" w:rsidRPr="00896A48">
        <w:rPr>
          <w:rFonts w:ascii="Times New Roman" w:hAnsi="Times New Roman" w:cs="Times New Roman"/>
          <w:sz w:val="24"/>
          <w:szCs w:val="24"/>
        </w:rPr>
        <w:t>s practice (control), T₂ – AMC @ 4 g kg⁻¹ coco peat and T₃ – AMC @ 6 g kg⁻¹ coco peat.</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The nursery media consisted of coco peat, vermicompost and sand mixed in the ratio of 3:1:1. Arka Microbial Consortium was thoroughly mixed in the nursery media as per treatment before sowing.</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A single tomato seed was sown in each cell of the pro tray and lightly covered with vermicompost. Irrigation was provided daily using a rose can during the initial stage and later adjusted according to moisture requirement of seedlings. Observations on days to germination, germination percentage, seedling height, root length, number of </w:t>
      </w:r>
      <w:r w:rsidR="005B759F" w:rsidRPr="00896A48">
        <w:rPr>
          <w:rFonts w:ascii="Times New Roman" w:hAnsi="Times New Roman" w:cs="Times New Roman"/>
          <w:sz w:val="24"/>
          <w:szCs w:val="24"/>
        </w:rPr>
        <w:t>leaves</w:t>
      </w:r>
      <w:r w:rsidR="005B759F">
        <w:rPr>
          <w:rFonts w:ascii="Times New Roman" w:hAnsi="Times New Roman" w:cs="Times New Roman"/>
          <w:sz w:val="24"/>
          <w:szCs w:val="24"/>
        </w:rPr>
        <w:t>/</w:t>
      </w:r>
      <w:r w:rsidR="005B759F" w:rsidRPr="00896A48">
        <w:rPr>
          <w:rFonts w:ascii="Times New Roman" w:hAnsi="Times New Roman" w:cs="Times New Roman"/>
          <w:sz w:val="24"/>
          <w:szCs w:val="24"/>
        </w:rPr>
        <w:t>seedlings</w:t>
      </w:r>
      <w:r w:rsidR="00896A48" w:rsidRPr="00896A48">
        <w:rPr>
          <w:rFonts w:ascii="Times New Roman" w:hAnsi="Times New Roman" w:cs="Times New Roman"/>
          <w:sz w:val="24"/>
          <w:szCs w:val="24"/>
        </w:rPr>
        <w:t>, days to attain transplantable stage and seedling vigour index were recorded from randomly selected seedlings. Seedling Vigour Index (SVI) was calculated by multiplying germination percentage with seedling height. Roo</w:t>
      </w:r>
      <w:r w:rsidR="00896A48">
        <w:rPr>
          <w:rFonts w:ascii="Times New Roman" w:hAnsi="Times New Roman" w:cs="Times New Roman"/>
          <w:sz w:val="24"/>
          <w:szCs w:val="24"/>
        </w:rPr>
        <w:t>t</w:t>
      </w:r>
      <w:r w:rsidR="00896A48" w:rsidRPr="00896A48">
        <w:rPr>
          <w:rFonts w:ascii="Times New Roman" w:hAnsi="Times New Roman" w:cs="Times New Roman"/>
          <w:sz w:val="24"/>
          <w:szCs w:val="24"/>
        </w:rPr>
        <w:t>: shoot ratio and vigour improvement over control were also computed using standard formulae.</w:t>
      </w:r>
      <w:r w:rsidR="00896A48">
        <w:rPr>
          <w:rFonts w:ascii="Times New Roman" w:hAnsi="Times New Roman" w:cs="Times New Roman"/>
          <w:sz w:val="24"/>
          <w:szCs w:val="24"/>
        </w:rPr>
        <w:t xml:space="preserve"> </w:t>
      </w:r>
      <w:r w:rsidR="005B759F" w:rsidRPr="005B759F">
        <w:rPr>
          <w:rFonts w:ascii="Times New Roman" w:hAnsi="Times New Roman" w:cs="Times New Roman"/>
          <w:sz w:val="24"/>
          <w:szCs w:val="24"/>
        </w:rPr>
        <w:t xml:space="preserve">The pooled data of both years were statistically </w:t>
      </w:r>
      <w:r w:rsidR="005B759F" w:rsidRPr="005B759F">
        <w:rPr>
          <w:rFonts w:ascii="Times New Roman" w:hAnsi="Times New Roman" w:cs="Times New Roman"/>
          <w:sz w:val="24"/>
          <w:szCs w:val="24"/>
        </w:rPr>
        <w:lastRenderedPageBreak/>
        <w:t>analysed using the online OPSTAT software (</w:t>
      </w:r>
      <w:proofErr w:type="spellStart"/>
      <w:r w:rsidR="005B759F" w:rsidRPr="005B759F">
        <w:rPr>
          <w:rFonts w:ascii="Times New Roman" w:hAnsi="Times New Roman" w:cs="Times New Roman"/>
          <w:sz w:val="24"/>
          <w:szCs w:val="24"/>
        </w:rPr>
        <w:t>Sheoran</w:t>
      </w:r>
      <w:proofErr w:type="spellEnd"/>
      <w:r w:rsidR="005B759F" w:rsidRPr="005B759F">
        <w:rPr>
          <w:rFonts w:ascii="Times New Roman" w:hAnsi="Times New Roman" w:cs="Times New Roman"/>
          <w:sz w:val="24"/>
          <w:szCs w:val="24"/>
        </w:rPr>
        <w:t xml:space="preserve"> </w:t>
      </w:r>
      <w:r w:rsidR="005B759F" w:rsidRPr="001A579A">
        <w:rPr>
          <w:rFonts w:ascii="Times New Roman" w:hAnsi="Times New Roman" w:cs="Times New Roman"/>
          <w:i/>
          <w:iCs/>
          <w:sz w:val="24"/>
          <w:szCs w:val="24"/>
        </w:rPr>
        <w:t>et al</w:t>
      </w:r>
      <w:r w:rsidR="005B759F" w:rsidRPr="005B759F">
        <w:rPr>
          <w:rFonts w:ascii="Times New Roman" w:hAnsi="Times New Roman" w:cs="Times New Roman"/>
          <w:sz w:val="24"/>
          <w:szCs w:val="24"/>
        </w:rPr>
        <w:t>., 1998).</w:t>
      </w:r>
      <w:r w:rsidR="005B759F">
        <w:rPr>
          <w:rFonts w:cs="Times New Roman"/>
          <w:szCs w:val="24"/>
        </w:rPr>
        <w:t xml:space="preserve"> </w:t>
      </w:r>
      <w:r w:rsidR="00896A48" w:rsidRPr="00896A48">
        <w:rPr>
          <w:rFonts w:ascii="Times New Roman" w:hAnsi="Times New Roman" w:cs="Times New Roman"/>
          <w:sz w:val="24"/>
          <w:szCs w:val="24"/>
        </w:rPr>
        <w:t>Treatment means were compared using critical difference (CD) at 5 per cent level of significance.</w:t>
      </w:r>
    </w:p>
    <w:p w14:paraId="1075ED0F" w14:textId="77777777" w:rsidR="005B759F" w:rsidRPr="00896A48" w:rsidRDefault="005B759F" w:rsidP="00F331F9">
      <w:pPr>
        <w:spacing w:after="0" w:line="480" w:lineRule="auto"/>
        <w:jc w:val="both"/>
        <w:rPr>
          <w:rFonts w:ascii="Times New Roman" w:hAnsi="Times New Roman" w:cs="Times New Roman"/>
          <w:sz w:val="24"/>
          <w:szCs w:val="24"/>
        </w:rPr>
      </w:pPr>
    </w:p>
    <w:p w14:paraId="024A6F25" w14:textId="0A1FA24E"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RESULTS AND DISCUSSION</w:t>
      </w:r>
    </w:p>
    <w:p w14:paraId="3D6B3044" w14:textId="3309CC2C" w:rsidR="007F3D7A" w:rsidRPr="007F3D7A" w:rsidRDefault="00896A48" w:rsidP="00F331F9">
      <w:pPr>
        <w:spacing w:after="0" w:line="480" w:lineRule="auto"/>
        <w:jc w:val="both"/>
        <w:rPr>
          <w:rFonts w:ascii="Times New Roman" w:hAnsi="Times New Roman" w:cs="Times New Roman"/>
          <w:sz w:val="24"/>
          <w:szCs w:val="24"/>
        </w:rPr>
      </w:pPr>
      <w:r w:rsidRPr="00896A48">
        <w:rPr>
          <w:rFonts w:ascii="Times New Roman" w:hAnsi="Times New Roman" w:cs="Times New Roman"/>
          <w:sz w:val="24"/>
          <w:szCs w:val="24"/>
        </w:rPr>
        <w:t xml:space="preserve">The results presented in Table 1 revealed that application of Arka </w:t>
      </w:r>
      <w:r w:rsidR="009B11D6">
        <w:rPr>
          <w:rFonts w:ascii="Times New Roman" w:hAnsi="Times New Roman" w:cs="Times New Roman"/>
          <w:sz w:val="24"/>
          <w:szCs w:val="24"/>
        </w:rPr>
        <w:t>m</w:t>
      </w:r>
      <w:r w:rsidRPr="00896A48">
        <w:rPr>
          <w:rFonts w:ascii="Times New Roman" w:hAnsi="Times New Roman" w:cs="Times New Roman"/>
          <w:sz w:val="24"/>
          <w:szCs w:val="24"/>
        </w:rPr>
        <w:t xml:space="preserve">icrobial </w:t>
      </w:r>
      <w:r w:rsidR="009B11D6">
        <w:rPr>
          <w:rFonts w:ascii="Times New Roman" w:hAnsi="Times New Roman" w:cs="Times New Roman"/>
          <w:sz w:val="24"/>
          <w:szCs w:val="24"/>
        </w:rPr>
        <w:t>c</w:t>
      </w:r>
      <w:r w:rsidRPr="00896A48">
        <w:rPr>
          <w:rFonts w:ascii="Times New Roman" w:hAnsi="Times New Roman" w:cs="Times New Roman"/>
          <w:sz w:val="24"/>
          <w:szCs w:val="24"/>
        </w:rPr>
        <w:t xml:space="preserve">onsortium significantly influenced </w:t>
      </w:r>
      <w:r w:rsidR="009B11D6">
        <w:rPr>
          <w:rFonts w:ascii="Times New Roman" w:hAnsi="Times New Roman" w:cs="Times New Roman"/>
          <w:sz w:val="24"/>
          <w:szCs w:val="24"/>
        </w:rPr>
        <w:t xml:space="preserve">all </w:t>
      </w:r>
      <w:r w:rsidRPr="00896A48">
        <w:rPr>
          <w:rFonts w:ascii="Times New Roman" w:hAnsi="Times New Roman" w:cs="Times New Roman"/>
          <w:sz w:val="24"/>
          <w:szCs w:val="24"/>
        </w:rPr>
        <w:t>parameters of tomato seedlings under pro tray nursery conditions.</w:t>
      </w:r>
      <w:r>
        <w:rPr>
          <w:rFonts w:ascii="Times New Roman" w:hAnsi="Times New Roman" w:cs="Times New Roman"/>
          <w:sz w:val="24"/>
          <w:szCs w:val="24"/>
        </w:rPr>
        <w:t xml:space="preserve"> </w:t>
      </w:r>
      <w:r w:rsidRPr="00896A48">
        <w:rPr>
          <w:rFonts w:ascii="Times New Roman" w:hAnsi="Times New Roman" w:cs="Times New Roman"/>
          <w:sz w:val="24"/>
          <w:szCs w:val="24"/>
        </w:rPr>
        <w:t xml:space="preserve">Among different </w:t>
      </w:r>
      <w:r w:rsidR="009B11D6" w:rsidRPr="00896A48">
        <w:rPr>
          <w:rFonts w:ascii="Times New Roman" w:hAnsi="Times New Roman" w:cs="Times New Roman"/>
          <w:sz w:val="24"/>
          <w:szCs w:val="24"/>
        </w:rPr>
        <w:t>treatments, minimum days to germination (4.20 days)</w:t>
      </w:r>
      <w:r w:rsidR="009B11D6">
        <w:rPr>
          <w:rFonts w:ascii="Times New Roman" w:hAnsi="Times New Roman" w:cs="Times New Roman"/>
          <w:sz w:val="24"/>
          <w:szCs w:val="24"/>
        </w:rPr>
        <w:t xml:space="preserve"> was recorded in </w:t>
      </w:r>
      <w:r w:rsidR="009B11D6" w:rsidRPr="00896A48">
        <w:rPr>
          <w:rFonts w:ascii="Times New Roman" w:hAnsi="Times New Roman" w:cs="Times New Roman"/>
          <w:sz w:val="24"/>
          <w:szCs w:val="24"/>
        </w:rPr>
        <w:t>T₃</w:t>
      </w:r>
      <w:r w:rsidR="009B11D6" w:rsidRPr="009B11D6">
        <w:rPr>
          <w:rFonts w:ascii="Times New Roman" w:hAnsi="Times New Roman" w:cs="Times New Roman"/>
          <w:sz w:val="24"/>
          <w:szCs w:val="24"/>
        </w:rPr>
        <w:t>-</w:t>
      </w:r>
      <w:r w:rsidR="009B11D6">
        <w:rPr>
          <w:rFonts w:ascii="Times New Roman" w:hAnsi="Times New Roman" w:cs="Times New Roman"/>
          <w:sz w:val="24"/>
          <w:szCs w:val="24"/>
        </w:rPr>
        <w:t xml:space="preserve"> </w:t>
      </w:r>
      <w:r w:rsidR="009B11D6" w:rsidRPr="00896A48">
        <w:rPr>
          <w:rFonts w:ascii="Times New Roman" w:hAnsi="Times New Roman" w:cs="Times New Roman"/>
          <w:sz w:val="24"/>
          <w:szCs w:val="24"/>
        </w:rPr>
        <w:t>AMC @ 6 g kg⁻¹ coco peat</w:t>
      </w:r>
      <w:r w:rsidRPr="00896A48">
        <w:rPr>
          <w:rFonts w:ascii="Times New Roman" w:hAnsi="Times New Roman" w:cs="Times New Roman"/>
          <w:sz w:val="24"/>
          <w:szCs w:val="24"/>
        </w:rPr>
        <w:t xml:space="preserve">, which was significantly superior over farmers’ practice (6.40 days). </w:t>
      </w:r>
      <w:r w:rsidR="009B11D6" w:rsidRPr="00896A48">
        <w:rPr>
          <w:rFonts w:ascii="Times New Roman" w:hAnsi="Times New Roman" w:cs="Times New Roman"/>
          <w:sz w:val="24"/>
          <w:szCs w:val="24"/>
        </w:rPr>
        <w:t>Earlier</w:t>
      </w:r>
      <w:r w:rsidRPr="00896A48">
        <w:rPr>
          <w:rFonts w:ascii="Times New Roman" w:hAnsi="Times New Roman" w:cs="Times New Roman"/>
          <w:sz w:val="24"/>
          <w:szCs w:val="24"/>
        </w:rPr>
        <w:t xml:space="preserve"> germination under AMC treatment might be due to enhanced microbial activity and better nutrient availability in the nursery media. </w:t>
      </w:r>
      <w:r w:rsidR="003A31B8" w:rsidRPr="003A31B8">
        <w:rPr>
          <w:rFonts w:ascii="Times New Roman" w:hAnsi="Times New Roman" w:cs="Times New Roman"/>
          <w:sz w:val="24"/>
          <w:szCs w:val="24"/>
        </w:rPr>
        <w:t xml:space="preserve">The present study was also supported by the findings of Venkata Subbaiah (2018) in brinjal; Priyadarshini </w:t>
      </w:r>
      <w:r w:rsidR="003A31B8" w:rsidRPr="001A579A">
        <w:rPr>
          <w:rFonts w:ascii="Times New Roman" w:hAnsi="Times New Roman" w:cs="Times New Roman"/>
          <w:i/>
          <w:iCs/>
          <w:sz w:val="24"/>
          <w:szCs w:val="24"/>
        </w:rPr>
        <w:t>et al</w:t>
      </w:r>
      <w:r w:rsidR="003A31B8" w:rsidRPr="003A31B8">
        <w:rPr>
          <w:rFonts w:ascii="Times New Roman" w:hAnsi="Times New Roman" w:cs="Times New Roman"/>
          <w:sz w:val="24"/>
          <w:szCs w:val="24"/>
        </w:rPr>
        <w:t xml:space="preserve">. (2020) in French bean and </w:t>
      </w:r>
      <w:r w:rsidR="003A31B8">
        <w:rPr>
          <w:rFonts w:ascii="Times New Roman" w:hAnsi="Times New Roman" w:cs="Times New Roman"/>
          <w:sz w:val="24"/>
          <w:szCs w:val="24"/>
        </w:rPr>
        <w:t>A</w:t>
      </w:r>
      <w:r w:rsidR="003A31B8" w:rsidRPr="003A31B8">
        <w:rPr>
          <w:rFonts w:ascii="Times New Roman" w:hAnsi="Times New Roman" w:cs="Times New Roman"/>
          <w:sz w:val="24"/>
          <w:szCs w:val="24"/>
        </w:rPr>
        <w:t xml:space="preserve">maranthus; and Choudhary and Kumari (2025) in chilli, who reported a significant positive influence on </w:t>
      </w:r>
      <w:r w:rsidR="003A31B8">
        <w:rPr>
          <w:rFonts w:ascii="Times New Roman" w:hAnsi="Times New Roman" w:cs="Times New Roman"/>
          <w:sz w:val="24"/>
          <w:szCs w:val="24"/>
        </w:rPr>
        <w:t>seed</w:t>
      </w:r>
      <w:r w:rsidR="003A31B8" w:rsidRPr="003A31B8">
        <w:rPr>
          <w:rFonts w:ascii="Times New Roman" w:hAnsi="Times New Roman" w:cs="Times New Roman"/>
          <w:sz w:val="24"/>
          <w:szCs w:val="24"/>
        </w:rPr>
        <w:t xml:space="preserve"> germination.</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 xml:space="preserve">Germination percentage was significantly improved with the application of </w:t>
      </w:r>
      <w:r w:rsidR="003A31B8">
        <w:rPr>
          <w:rFonts w:ascii="Times New Roman" w:hAnsi="Times New Roman" w:cs="Times New Roman"/>
          <w:sz w:val="24"/>
          <w:szCs w:val="24"/>
        </w:rPr>
        <w:t>microbial consortia</w:t>
      </w:r>
      <w:r w:rsidRPr="00896A48">
        <w:rPr>
          <w:rFonts w:ascii="Times New Roman" w:hAnsi="Times New Roman" w:cs="Times New Roman"/>
          <w:sz w:val="24"/>
          <w:szCs w:val="24"/>
        </w:rPr>
        <w:t xml:space="preserve">. The highest germination (94.50%) was observed under T₃ </w:t>
      </w:r>
      <w:r w:rsidR="003A31B8">
        <w:rPr>
          <w:rFonts w:ascii="Times New Roman" w:hAnsi="Times New Roman" w:cs="Times New Roman"/>
          <w:sz w:val="24"/>
          <w:szCs w:val="24"/>
        </w:rPr>
        <w:t>(</w:t>
      </w:r>
      <w:r w:rsidR="003A31B8" w:rsidRPr="00896A48">
        <w:rPr>
          <w:rFonts w:ascii="Times New Roman" w:hAnsi="Times New Roman" w:cs="Times New Roman"/>
          <w:sz w:val="24"/>
          <w:szCs w:val="24"/>
        </w:rPr>
        <w:t>AMC @ 6 g kg⁻¹ coco peat</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followed by T₂ (90.90%), whereas the lowest germination percentage (84.60%) was recorded under farmer</w:t>
      </w:r>
      <w:r w:rsidR="003A31B8">
        <w:rPr>
          <w:rFonts w:ascii="Times New Roman" w:hAnsi="Times New Roman" w:cs="Times New Roman"/>
          <w:sz w:val="24"/>
          <w:szCs w:val="24"/>
        </w:rPr>
        <w:t>’s</w:t>
      </w:r>
      <w:r w:rsidRPr="00896A48">
        <w:rPr>
          <w:rFonts w:ascii="Times New Roman" w:hAnsi="Times New Roman" w:cs="Times New Roman"/>
          <w:sz w:val="24"/>
          <w:szCs w:val="24"/>
        </w:rPr>
        <w:t xml:space="preserve"> practice. Improved </w:t>
      </w:r>
      <w:r w:rsidR="003A31B8">
        <w:rPr>
          <w:rFonts w:ascii="Times New Roman" w:hAnsi="Times New Roman" w:cs="Times New Roman"/>
          <w:sz w:val="24"/>
          <w:szCs w:val="24"/>
        </w:rPr>
        <w:t xml:space="preserve">percentage of seed </w:t>
      </w:r>
      <w:r w:rsidRPr="00896A48">
        <w:rPr>
          <w:rFonts w:ascii="Times New Roman" w:hAnsi="Times New Roman" w:cs="Times New Roman"/>
          <w:sz w:val="24"/>
          <w:szCs w:val="24"/>
        </w:rPr>
        <w:t>germination under microbial consortium treatments may be attributed to production of growth-promoting substances and enhanced nutrient solubilization by beneficial microorganism</w:t>
      </w:r>
      <w:r w:rsidR="003A31B8">
        <w:rPr>
          <w:rFonts w:ascii="Times New Roman" w:hAnsi="Times New Roman" w:cs="Times New Roman"/>
          <w:sz w:val="24"/>
          <w:szCs w:val="24"/>
        </w:rPr>
        <w:t xml:space="preserve">. </w:t>
      </w:r>
      <w:r w:rsidR="007F3D7A" w:rsidRPr="007F3D7A">
        <w:rPr>
          <w:rFonts w:ascii="Times New Roman" w:hAnsi="Times New Roman" w:cs="Times New Roman"/>
          <w:sz w:val="24"/>
          <w:szCs w:val="24"/>
        </w:rPr>
        <w:t xml:space="preserve">Supporting evidence was provided by previous researchers, namely Venkata Subbaiah </w:t>
      </w:r>
      <w:r w:rsidR="007F3D7A" w:rsidRPr="001A579A">
        <w:rPr>
          <w:rFonts w:ascii="Times New Roman" w:hAnsi="Times New Roman" w:cs="Times New Roman"/>
          <w:i/>
          <w:iCs/>
          <w:sz w:val="24"/>
          <w:szCs w:val="24"/>
        </w:rPr>
        <w:t>et al</w:t>
      </w:r>
      <w:r w:rsidR="007F3D7A" w:rsidRPr="007F3D7A">
        <w:rPr>
          <w:rFonts w:ascii="Times New Roman" w:hAnsi="Times New Roman" w:cs="Times New Roman"/>
          <w:sz w:val="24"/>
          <w:szCs w:val="24"/>
        </w:rPr>
        <w:t xml:space="preserve">. (2018) in brinjal, Rajendra </w:t>
      </w:r>
      <w:r w:rsidR="007F3D7A" w:rsidRPr="007F3D7A">
        <w:rPr>
          <w:rFonts w:ascii="Times New Roman" w:hAnsi="Times New Roman" w:cs="Times New Roman"/>
          <w:i/>
          <w:iCs/>
          <w:sz w:val="24"/>
          <w:szCs w:val="24"/>
        </w:rPr>
        <w:t>et al</w:t>
      </w:r>
      <w:r w:rsidR="007F3D7A" w:rsidRPr="007F3D7A">
        <w:rPr>
          <w:rFonts w:ascii="Times New Roman" w:hAnsi="Times New Roman" w:cs="Times New Roman"/>
          <w:sz w:val="24"/>
          <w:szCs w:val="24"/>
        </w:rPr>
        <w:t>. (2024) in mangosteen, and Choudhary and Kumari (2025) in chilli.</w:t>
      </w:r>
    </w:p>
    <w:p w14:paraId="36E0D3D6" w14:textId="77777777" w:rsidR="00A34E18" w:rsidRPr="00A75091" w:rsidRDefault="00A34E18" w:rsidP="00A34E18">
      <w:pPr>
        <w:spacing w:after="0"/>
        <w:ind w:left="993" w:hanging="993"/>
        <w:jc w:val="both"/>
        <w:rPr>
          <w:rFonts w:ascii="Times New Roman" w:hAnsi="Times New Roman" w:cs="Times New Roman"/>
          <w:b/>
          <w:bCs/>
          <w:szCs w:val="22"/>
        </w:rPr>
      </w:pPr>
      <w:r w:rsidRPr="00A75091">
        <w:rPr>
          <w:rFonts w:ascii="Times New Roman" w:hAnsi="Times New Roman" w:cs="Times New Roman"/>
          <w:b/>
          <w:bCs/>
          <w:szCs w:val="22"/>
        </w:rPr>
        <w:t>Table 1. Effect of Arka Microbial Consortium on Germination, Growth and Vigour of Tomato Seedlings under Pro Tray Nursery Conditions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4"/>
        <w:gridCol w:w="866"/>
        <w:gridCol w:w="910"/>
        <w:gridCol w:w="661"/>
        <w:gridCol w:w="709"/>
        <w:gridCol w:w="1035"/>
        <w:gridCol w:w="1026"/>
        <w:gridCol w:w="989"/>
        <w:gridCol w:w="709"/>
        <w:gridCol w:w="992"/>
      </w:tblGrid>
      <w:tr w:rsidR="00A34E18" w:rsidRPr="00A34E18" w14:paraId="6C2ED4A7" w14:textId="77777777" w:rsidTr="00FB4974">
        <w:trPr>
          <w:tblHeader/>
        </w:trPr>
        <w:tc>
          <w:tcPr>
            <w:tcW w:w="0" w:type="auto"/>
            <w:hideMark/>
          </w:tcPr>
          <w:p w14:paraId="6A2B9B32"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Treatments</w:t>
            </w:r>
          </w:p>
        </w:tc>
        <w:tc>
          <w:tcPr>
            <w:tcW w:w="866" w:type="dxa"/>
          </w:tcPr>
          <w:p w14:paraId="25EDC0EE"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germination</w:t>
            </w:r>
          </w:p>
        </w:tc>
        <w:tc>
          <w:tcPr>
            <w:tcW w:w="910" w:type="dxa"/>
          </w:tcPr>
          <w:p w14:paraId="2D0F364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Germination (%)</w:t>
            </w:r>
          </w:p>
        </w:tc>
        <w:tc>
          <w:tcPr>
            <w:tcW w:w="661" w:type="dxa"/>
          </w:tcPr>
          <w:p w14:paraId="3BA287D4"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height (cm)</w:t>
            </w:r>
          </w:p>
        </w:tc>
        <w:tc>
          <w:tcPr>
            <w:tcW w:w="709" w:type="dxa"/>
            <w:hideMark/>
          </w:tcPr>
          <w:p w14:paraId="6541ACC6"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length (cm)</w:t>
            </w:r>
          </w:p>
        </w:tc>
        <w:tc>
          <w:tcPr>
            <w:tcW w:w="1035" w:type="dxa"/>
          </w:tcPr>
          <w:p w14:paraId="238E233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No. of leaves/seedling</w:t>
            </w:r>
          </w:p>
        </w:tc>
        <w:tc>
          <w:tcPr>
            <w:tcW w:w="1026" w:type="dxa"/>
            <w:hideMark/>
          </w:tcPr>
          <w:p w14:paraId="1EE8BA9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attain transplantable stage</w:t>
            </w:r>
          </w:p>
        </w:tc>
        <w:tc>
          <w:tcPr>
            <w:tcW w:w="989" w:type="dxa"/>
            <w:hideMark/>
          </w:tcPr>
          <w:p w14:paraId="6149DCC9"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Vigour Index</w:t>
            </w:r>
          </w:p>
        </w:tc>
        <w:tc>
          <w:tcPr>
            <w:tcW w:w="709" w:type="dxa"/>
          </w:tcPr>
          <w:p w14:paraId="69A7E6E1"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Shoot ratio</w:t>
            </w:r>
          </w:p>
        </w:tc>
        <w:tc>
          <w:tcPr>
            <w:tcW w:w="992" w:type="dxa"/>
          </w:tcPr>
          <w:p w14:paraId="69513A1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Vigour improvement over control (%)</w:t>
            </w:r>
          </w:p>
        </w:tc>
      </w:tr>
      <w:tr w:rsidR="00A34E18" w:rsidRPr="00A34E18" w14:paraId="2370F0CE" w14:textId="77777777" w:rsidTr="00FB4974">
        <w:tc>
          <w:tcPr>
            <w:tcW w:w="0" w:type="auto"/>
            <w:vAlign w:val="center"/>
            <w:hideMark/>
          </w:tcPr>
          <w:p w14:paraId="5BA1095F" w14:textId="77777777" w:rsidR="00A34E18" w:rsidRPr="00A34E18" w:rsidRDefault="00A34E18" w:rsidP="00FB4974">
            <w:pPr>
              <w:spacing w:after="0" w:line="240" w:lineRule="auto"/>
              <w:ind w:left="118" w:right="77"/>
              <w:rPr>
                <w:rFonts w:ascii="Times New Roman" w:hAnsi="Times New Roman" w:cs="Times New Roman"/>
                <w:sz w:val="16"/>
                <w:szCs w:val="16"/>
              </w:rPr>
            </w:pPr>
            <w:r w:rsidRPr="00A34E18">
              <w:rPr>
                <w:rFonts w:ascii="Times New Roman" w:hAnsi="Times New Roman" w:cs="Times New Roman"/>
                <w:sz w:val="16"/>
                <w:szCs w:val="16"/>
              </w:rPr>
              <w:t>T</w:t>
            </w:r>
            <w:r w:rsidRPr="00A34E18">
              <w:rPr>
                <w:rFonts w:ascii="Times New Roman" w:hAnsi="Times New Roman" w:cs="Times New Roman"/>
                <w:sz w:val="16"/>
                <w:szCs w:val="16"/>
                <w:vertAlign w:val="subscript"/>
              </w:rPr>
              <w:t>1</w:t>
            </w:r>
            <w:r w:rsidRPr="00A34E18">
              <w:rPr>
                <w:rFonts w:ascii="Times New Roman" w:hAnsi="Times New Roman" w:cs="Times New Roman"/>
                <w:sz w:val="16"/>
                <w:szCs w:val="16"/>
              </w:rPr>
              <w:t>- Farmers Practices (Control)</w:t>
            </w:r>
          </w:p>
        </w:tc>
        <w:tc>
          <w:tcPr>
            <w:tcW w:w="866" w:type="dxa"/>
            <w:vAlign w:val="center"/>
          </w:tcPr>
          <w:p w14:paraId="4BF1615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6.40</w:t>
            </w:r>
          </w:p>
        </w:tc>
        <w:tc>
          <w:tcPr>
            <w:tcW w:w="910" w:type="dxa"/>
            <w:vAlign w:val="center"/>
          </w:tcPr>
          <w:p w14:paraId="0630530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84.60</w:t>
            </w:r>
          </w:p>
        </w:tc>
        <w:tc>
          <w:tcPr>
            <w:tcW w:w="661" w:type="dxa"/>
            <w:vAlign w:val="center"/>
          </w:tcPr>
          <w:p w14:paraId="06EDCFC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10.12</w:t>
            </w:r>
          </w:p>
        </w:tc>
        <w:tc>
          <w:tcPr>
            <w:tcW w:w="709" w:type="dxa"/>
            <w:vAlign w:val="center"/>
          </w:tcPr>
          <w:p w14:paraId="6C49649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2.84</w:t>
            </w:r>
          </w:p>
        </w:tc>
        <w:tc>
          <w:tcPr>
            <w:tcW w:w="1035" w:type="dxa"/>
            <w:vAlign w:val="center"/>
          </w:tcPr>
          <w:p w14:paraId="56A4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2.78</w:t>
            </w:r>
          </w:p>
        </w:tc>
        <w:tc>
          <w:tcPr>
            <w:tcW w:w="1026" w:type="dxa"/>
            <w:vAlign w:val="center"/>
            <w:hideMark/>
          </w:tcPr>
          <w:p w14:paraId="7C0487E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27.20</w:t>
            </w:r>
          </w:p>
        </w:tc>
        <w:tc>
          <w:tcPr>
            <w:tcW w:w="989" w:type="dxa"/>
            <w:vAlign w:val="center"/>
          </w:tcPr>
          <w:p w14:paraId="54DF004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857.88</w:t>
            </w:r>
          </w:p>
        </w:tc>
        <w:tc>
          <w:tcPr>
            <w:tcW w:w="709" w:type="dxa"/>
            <w:vAlign w:val="center"/>
          </w:tcPr>
          <w:p w14:paraId="0A19E5A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0.284</w:t>
            </w:r>
          </w:p>
        </w:tc>
        <w:tc>
          <w:tcPr>
            <w:tcW w:w="992" w:type="dxa"/>
            <w:vAlign w:val="center"/>
          </w:tcPr>
          <w:p w14:paraId="1E8D07C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0.00</w:t>
            </w:r>
          </w:p>
        </w:tc>
      </w:tr>
      <w:tr w:rsidR="00A34E18" w:rsidRPr="00A34E18" w14:paraId="1E25D1D5" w14:textId="77777777" w:rsidTr="00FB4974">
        <w:tc>
          <w:tcPr>
            <w:tcW w:w="0" w:type="auto"/>
            <w:vAlign w:val="center"/>
            <w:hideMark/>
          </w:tcPr>
          <w:p w14:paraId="3ED2E48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T₂ - 4 g AMC/kg coco peat</w:t>
            </w:r>
          </w:p>
        </w:tc>
        <w:tc>
          <w:tcPr>
            <w:tcW w:w="866" w:type="dxa"/>
            <w:vAlign w:val="center"/>
          </w:tcPr>
          <w:p w14:paraId="3B96EDA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5.40</w:t>
            </w:r>
          </w:p>
        </w:tc>
        <w:tc>
          <w:tcPr>
            <w:tcW w:w="910" w:type="dxa"/>
            <w:vAlign w:val="center"/>
          </w:tcPr>
          <w:p w14:paraId="282735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90.90</w:t>
            </w:r>
          </w:p>
        </w:tc>
        <w:tc>
          <w:tcPr>
            <w:tcW w:w="661" w:type="dxa"/>
            <w:vAlign w:val="center"/>
          </w:tcPr>
          <w:p w14:paraId="0344B3D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13.27</w:t>
            </w:r>
          </w:p>
        </w:tc>
        <w:tc>
          <w:tcPr>
            <w:tcW w:w="709" w:type="dxa"/>
            <w:vAlign w:val="center"/>
          </w:tcPr>
          <w:p w14:paraId="7DB399A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3.27</w:t>
            </w:r>
          </w:p>
        </w:tc>
        <w:tc>
          <w:tcPr>
            <w:tcW w:w="1035" w:type="dxa"/>
            <w:vAlign w:val="center"/>
          </w:tcPr>
          <w:p w14:paraId="6E1A094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3.52</w:t>
            </w:r>
          </w:p>
        </w:tc>
        <w:tc>
          <w:tcPr>
            <w:tcW w:w="1026" w:type="dxa"/>
            <w:vAlign w:val="center"/>
            <w:hideMark/>
          </w:tcPr>
          <w:p w14:paraId="77E41FA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25.60</w:t>
            </w:r>
          </w:p>
        </w:tc>
        <w:tc>
          <w:tcPr>
            <w:tcW w:w="989" w:type="dxa"/>
            <w:vAlign w:val="center"/>
          </w:tcPr>
          <w:p w14:paraId="059EF83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1207.54</w:t>
            </w:r>
          </w:p>
        </w:tc>
        <w:tc>
          <w:tcPr>
            <w:tcW w:w="709" w:type="dxa"/>
            <w:vAlign w:val="center"/>
          </w:tcPr>
          <w:p w14:paraId="3EA48E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0.248</w:t>
            </w:r>
          </w:p>
        </w:tc>
        <w:tc>
          <w:tcPr>
            <w:tcW w:w="992" w:type="dxa"/>
            <w:vAlign w:val="center"/>
          </w:tcPr>
          <w:p w14:paraId="4A04330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40.76</w:t>
            </w:r>
          </w:p>
        </w:tc>
      </w:tr>
      <w:tr w:rsidR="00A34E18" w:rsidRPr="00A34E18" w14:paraId="11110838" w14:textId="77777777" w:rsidTr="00FB4974">
        <w:tc>
          <w:tcPr>
            <w:tcW w:w="0" w:type="auto"/>
            <w:vAlign w:val="center"/>
            <w:hideMark/>
          </w:tcPr>
          <w:p w14:paraId="2BEFA6C1"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lastRenderedPageBreak/>
              <w:t>T₃ - 6 g AMC/kg coco peat</w:t>
            </w:r>
          </w:p>
        </w:tc>
        <w:tc>
          <w:tcPr>
            <w:tcW w:w="866" w:type="dxa"/>
            <w:vAlign w:val="center"/>
          </w:tcPr>
          <w:p w14:paraId="23DD13C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4.20</w:t>
            </w:r>
          </w:p>
        </w:tc>
        <w:tc>
          <w:tcPr>
            <w:tcW w:w="910" w:type="dxa"/>
            <w:vAlign w:val="center"/>
          </w:tcPr>
          <w:p w14:paraId="734D89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94.50</w:t>
            </w:r>
          </w:p>
        </w:tc>
        <w:tc>
          <w:tcPr>
            <w:tcW w:w="661" w:type="dxa"/>
            <w:vAlign w:val="center"/>
          </w:tcPr>
          <w:p w14:paraId="00A387A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15.11</w:t>
            </w:r>
          </w:p>
        </w:tc>
        <w:tc>
          <w:tcPr>
            <w:tcW w:w="709" w:type="dxa"/>
            <w:vAlign w:val="center"/>
          </w:tcPr>
          <w:p w14:paraId="1C989F0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4.36</w:t>
            </w:r>
          </w:p>
        </w:tc>
        <w:tc>
          <w:tcPr>
            <w:tcW w:w="1035" w:type="dxa"/>
            <w:vAlign w:val="center"/>
          </w:tcPr>
          <w:p w14:paraId="2619F60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3.88</w:t>
            </w:r>
          </w:p>
        </w:tc>
        <w:tc>
          <w:tcPr>
            <w:tcW w:w="1026" w:type="dxa"/>
            <w:vAlign w:val="center"/>
            <w:hideMark/>
          </w:tcPr>
          <w:p w14:paraId="4D008D7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23.80</w:t>
            </w:r>
          </w:p>
        </w:tc>
        <w:tc>
          <w:tcPr>
            <w:tcW w:w="989" w:type="dxa"/>
            <w:vAlign w:val="center"/>
          </w:tcPr>
          <w:p w14:paraId="2940471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1427.05</w:t>
            </w:r>
          </w:p>
        </w:tc>
        <w:tc>
          <w:tcPr>
            <w:tcW w:w="709" w:type="dxa"/>
            <w:vAlign w:val="center"/>
          </w:tcPr>
          <w:p w14:paraId="21F51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0.292</w:t>
            </w:r>
          </w:p>
        </w:tc>
        <w:tc>
          <w:tcPr>
            <w:tcW w:w="992" w:type="dxa"/>
            <w:vAlign w:val="center"/>
          </w:tcPr>
          <w:p w14:paraId="52AB4F6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66.35</w:t>
            </w:r>
          </w:p>
        </w:tc>
      </w:tr>
      <w:tr w:rsidR="00A34E18" w:rsidRPr="00A34E18" w14:paraId="5FFF3C8C" w14:textId="77777777" w:rsidTr="00FB4974">
        <w:tc>
          <w:tcPr>
            <w:tcW w:w="0" w:type="auto"/>
            <w:vAlign w:val="center"/>
            <w:hideMark/>
          </w:tcPr>
          <w:p w14:paraId="557506DD"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CD at 5%</w:t>
            </w:r>
          </w:p>
        </w:tc>
        <w:tc>
          <w:tcPr>
            <w:tcW w:w="866" w:type="dxa"/>
            <w:vAlign w:val="center"/>
          </w:tcPr>
          <w:p w14:paraId="059520C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0.62</w:t>
            </w:r>
          </w:p>
        </w:tc>
        <w:tc>
          <w:tcPr>
            <w:tcW w:w="910" w:type="dxa"/>
            <w:vAlign w:val="center"/>
          </w:tcPr>
          <w:p w14:paraId="4518547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5.54</w:t>
            </w:r>
          </w:p>
        </w:tc>
        <w:tc>
          <w:tcPr>
            <w:tcW w:w="661" w:type="dxa"/>
            <w:vAlign w:val="center"/>
          </w:tcPr>
          <w:p w14:paraId="516DBDC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1.44</w:t>
            </w:r>
          </w:p>
        </w:tc>
        <w:tc>
          <w:tcPr>
            <w:tcW w:w="709" w:type="dxa"/>
            <w:vAlign w:val="center"/>
          </w:tcPr>
          <w:p w14:paraId="7A15BBD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1035" w:type="dxa"/>
            <w:vAlign w:val="center"/>
          </w:tcPr>
          <w:p w14:paraId="2ED393A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0.35</w:t>
            </w:r>
          </w:p>
        </w:tc>
        <w:tc>
          <w:tcPr>
            <w:tcW w:w="1026" w:type="dxa"/>
            <w:vAlign w:val="center"/>
            <w:hideMark/>
          </w:tcPr>
          <w:p w14:paraId="05D3324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2.60</w:t>
            </w:r>
          </w:p>
        </w:tc>
        <w:tc>
          <w:tcPr>
            <w:tcW w:w="989" w:type="dxa"/>
            <w:vAlign w:val="center"/>
          </w:tcPr>
          <w:p w14:paraId="123C766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154.45</w:t>
            </w:r>
          </w:p>
        </w:tc>
        <w:tc>
          <w:tcPr>
            <w:tcW w:w="709" w:type="dxa"/>
            <w:vAlign w:val="center"/>
          </w:tcPr>
          <w:p w14:paraId="3497387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0.031</w:t>
            </w:r>
          </w:p>
        </w:tc>
        <w:tc>
          <w:tcPr>
            <w:tcW w:w="992" w:type="dxa"/>
            <w:vAlign w:val="center"/>
          </w:tcPr>
          <w:p w14:paraId="285F02E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0518DF73" w14:textId="77777777" w:rsidTr="00FB4974">
        <w:tc>
          <w:tcPr>
            <w:tcW w:w="0" w:type="auto"/>
            <w:vAlign w:val="center"/>
            <w:hideMark/>
          </w:tcPr>
          <w:p w14:paraId="5DC29E86"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SE(m) ±</w:t>
            </w:r>
          </w:p>
        </w:tc>
        <w:tc>
          <w:tcPr>
            <w:tcW w:w="866" w:type="dxa"/>
            <w:vAlign w:val="center"/>
          </w:tcPr>
          <w:p w14:paraId="0E48687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910" w:type="dxa"/>
            <w:vAlign w:val="center"/>
          </w:tcPr>
          <w:p w14:paraId="0ADBE19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1.85</w:t>
            </w:r>
          </w:p>
        </w:tc>
        <w:tc>
          <w:tcPr>
            <w:tcW w:w="661" w:type="dxa"/>
            <w:vAlign w:val="center"/>
          </w:tcPr>
          <w:p w14:paraId="306A213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0.48</w:t>
            </w:r>
          </w:p>
        </w:tc>
        <w:tc>
          <w:tcPr>
            <w:tcW w:w="709" w:type="dxa"/>
            <w:vAlign w:val="center"/>
          </w:tcPr>
          <w:p w14:paraId="7289202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0.07</w:t>
            </w:r>
          </w:p>
        </w:tc>
        <w:tc>
          <w:tcPr>
            <w:tcW w:w="1035" w:type="dxa"/>
            <w:vAlign w:val="center"/>
          </w:tcPr>
          <w:p w14:paraId="11A29A7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0.12</w:t>
            </w:r>
          </w:p>
        </w:tc>
        <w:tc>
          <w:tcPr>
            <w:tcW w:w="1026" w:type="dxa"/>
            <w:vAlign w:val="center"/>
            <w:hideMark/>
          </w:tcPr>
          <w:p w14:paraId="260B655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0.87</w:t>
            </w:r>
          </w:p>
        </w:tc>
        <w:tc>
          <w:tcPr>
            <w:tcW w:w="989" w:type="dxa"/>
            <w:vAlign w:val="center"/>
          </w:tcPr>
          <w:p w14:paraId="1E3AE23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51.98</w:t>
            </w:r>
          </w:p>
        </w:tc>
        <w:tc>
          <w:tcPr>
            <w:tcW w:w="709" w:type="dxa"/>
            <w:vAlign w:val="center"/>
          </w:tcPr>
          <w:p w14:paraId="54043EC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0.011</w:t>
            </w:r>
          </w:p>
        </w:tc>
        <w:tc>
          <w:tcPr>
            <w:tcW w:w="992" w:type="dxa"/>
            <w:vAlign w:val="center"/>
          </w:tcPr>
          <w:p w14:paraId="41E83A7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61A07B8D" w14:textId="77777777" w:rsidTr="00FB4974">
        <w:tc>
          <w:tcPr>
            <w:tcW w:w="0" w:type="auto"/>
            <w:vAlign w:val="center"/>
            <w:hideMark/>
          </w:tcPr>
          <w:p w14:paraId="2640F2E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SE(d) ±</w:t>
            </w:r>
          </w:p>
        </w:tc>
        <w:tc>
          <w:tcPr>
            <w:tcW w:w="866" w:type="dxa"/>
            <w:vAlign w:val="center"/>
          </w:tcPr>
          <w:p w14:paraId="24B45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w:t>
            </w:r>
          </w:p>
        </w:tc>
        <w:tc>
          <w:tcPr>
            <w:tcW w:w="910" w:type="dxa"/>
            <w:vAlign w:val="center"/>
          </w:tcPr>
          <w:p w14:paraId="35A577E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2.62</w:t>
            </w:r>
          </w:p>
        </w:tc>
        <w:tc>
          <w:tcPr>
            <w:tcW w:w="661" w:type="dxa"/>
            <w:vAlign w:val="center"/>
          </w:tcPr>
          <w:p w14:paraId="27F690B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0.68</w:t>
            </w:r>
          </w:p>
        </w:tc>
        <w:tc>
          <w:tcPr>
            <w:tcW w:w="709" w:type="dxa"/>
            <w:vAlign w:val="center"/>
          </w:tcPr>
          <w:p w14:paraId="3919CF1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w:t>
            </w:r>
          </w:p>
        </w:tc>
        <w:tc>
          <w:tcPr>
            <w:tcW w:w="1035" w:type="dxa"/>
            <w:vAlign w:val="center"/>
          </w:tcPr>
          <w:p w14:paraId="2E2A515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0.17</w:t>
            </w:r>
          </w:p>
        </w:tc>
        <w:tc>
          <w:tcPr>
            <w:tcW w:w="1026" w:type="dxa"/>
            <w:vAlign w:val="center"/>
            <w:hideMark/>
          </w:tcPr>
          <w:p w14:paraId="287F41F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1.23</w:t>
            </w:r>
          </w:p>
        </w:tc>
        <w:tc>
          <w:tcPr>
            <w:tcW w:w="989" w:type="dxa"/>
            <w:vAlign w:val="center"/>
          </w:tcPr>
          <w:p w14:paraId="3513300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73.52</w:t>
            </w:r>
          </w:p>
        </w:tc>
        <w:tc>
          <w:tcPr>
            <w:tcW w:w="709" w:type="dxa"/>
            <w:vAlign w:val="center"/>
          </w:tcPr>
          <w:p w14:paraId="3C270B7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0.015</w:t>
            </w:r>
          </w:p>
        </w:tc>
        <w:tc>
          <w:tcPr>
            <w:tcW w:w="992" w:type="dxa"/>
            <w:vAlign w:val="center"/>
          </w:tcPr>
          <w:p w14:paraId="40F0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58E9C658" w14:textId="77777777" w:rsidTr="00FB4974">
        <w:tc>
          <w:tcPr>
            <w:tcW w:w="0" w:type="auto"/>
            <w:vAlign w:val="center"/>
            <w:hideMark/>
          </w:tcPr>
          <w:p w14:paraId="64B0B599" w14:textId="77777777" w:rsidR="00A34E18" w:rsidRPr="00A34E18" w:rsidRDefault="00A34E18" w:rsidP="00FB4974">
            <w:pPr>
              <w:spacing w:after="0" w:line="240" w:lineRule="auto"/>
              <w:rPr>
                <w:rFonts w:ascii="Times New Roman" w:hAnsi="Times New Roman" w:cs="Times New Roman"/>
                <w:sz w:val="16"/>
                <w:szCs w:val="16"/>
              </w:rPr>
            </w:pPr>
            <w:commentRangeStart w:id="7"/>
            <w:r w:rsidRPr="00A34E18">
              <w:rPr>
                <w:rFonts w:ascii="Times New Roman" w:hAnsi="Times New Roman" w:cs="Times New Roman"/>
                <w:sz w:val="16"/>
                <w:szCs w:val="16"/>
              </w:rPr>
              <w:t>CV (%)</w:t>
            </w:r>
          </w:p>
        </w:tc>
        <w:tc>
          <w:tcPr>
            <w:tcW w:w="866" w:type="dxa"/>
            <w:vAlign w:val="center"/>
          </w:tcPr>
          <w:p w14:paraId="6A33A5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12.29</w:t>
            </w:r>
          </w:p>
        </w:tc>
        <w:tc>
          <w:tcPr>
            <w:tcW w:w="910" w:type="dxa"/>
            <w:vAlign w:val="center"/>
          </w:tcPr>
          <w:p w14:paraId="5A6396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6.50</w:t>
            </w:r>
          </w:p>
        </w:tc>
        <w:tc>
          <w:tcPr>
            <w:tcW w:w="661" w:type="dxa"/>
            <w:vAlign w:val="center"/>
          </w:tcPr>
          <w:p w14:paraId="39954D2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11.85</w:t>
            </w:r>
          </w:p>
        </w:tc>
        <w:tc>
          <w:tcPr>
            <w:tcW w:w="709" w:type="dxa"/>
            <w:vAlign w:val="center"/>
          </w:tcPr>
          <w:p w14:paraId="2FBD249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6.27</w:t>
            </w:r>
          </w:p>
        </w:tc>
        <w:tc>
          <w:tcPr>
            <w:tcW w:w="1035" w:type="dxa"/>
            <w:vAlign w:val="center"/>
          </w:tcPr>
          <w:p w14:paraId="0631656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10.92</w:t>
            </w:r>
          </w:p>
        </w:tc>
        <w:tc>
          <w:tcPr>
            <w:tcW w:w="1026" w:type="dxa"/>
            <w:vAlign w:val="center"/>
            <w:hideMark/>
          </w:tcPr>
          <w:p w14:paraId="300C3B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10.77</w:t>
            </w:r>
          </w:p>
        </w:tc>
        <w:tc>
          <w:tcPr>
            <w:tcW w:w="989" w:type="dxa"/>
            <w:vAlign w:val="center"/>
          </w:tcPr>
          <w:p w14:paraId="605716E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14.12</w:t>
            </w:r>
          </w:p>
        </w:tc>
        <w:tc>
          <w:tcPr>
            <w:tcW w:w="709" w:type="dxa"/>
          </w:tcPr>
          <w:p w14:paraId="0815755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12.11</w:t>
            </w:r>
          </w:p>
        </w:tc>
        <w:tc>
          <w:tcPr>
            <w:tcW w:w="992" w:type="dxa"/>
          </w:tcPr>
          <w:p w14:paraId="3A43DFB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commentRangeEnd w:id="7"/>
            <w:r w:rsidR="00C462B8">
              <w:rPr>
                <w:rStyle w:val="Refdecomentario"/>
              </w:rPr>
              <w:commentReference w:id="7"/>
            </w:r>
          </w:p>
        </w:tc>
      </w:tr>
    </w:tbl>
    <w:p w14:paraId="3D78B4FE" w14:textId="2E70FB29" w:rsidR="00A34E18" w:rsidRPr="00A34E18" w:rsidRDefault="00A34E18" w:rsidP="00F331F9">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96A48" w:rsidRPr="00896A48">
        <w:rPr>
          <w:rFonts w:ascii="Times New Roman" w:hAnsi="Times New Roman" w:cs="Times New Roman"/>
          <w:sz w:val="24"/>
          <w:szCs w:val="24"/>
        </w:rPr>
        <w:t xml:space="preserve">Significant differences were also observed for seedling growth parameters. Maximum seedling height (15.11 cm), root length (4.36 cm) and number of leaves per seedling (3.88) were recorded with AMC @ 6 g kg⁻¹ coco peat, while minimum values were observed under control treatment. </w:t>
      </w:r>
      <w:r w:rsidR="007F3D7A" w:rsidRPr="007F3D7A">
        <w:rPr>
          <w:rFonts w:ascii="Times New Roman" w:hAnsi="Times New Roman" w:cs="Times New Roman"/>
          <w:sz w:val="24"/>
          <w:szCs w:val="24"/>
        </w:rPr>
        <w:t xml:space="preserve">These results may be attributed to the production of plant growth-promoting substances by beneficial microorganisms, which enhanced cell division, nitrogen fixation, and phosphorus and zinc </w:t>
      </w:r>
      <w:r w:rsidR="007F3D7A" w:rsidRPr="001A579A">
        <w:rPr>
          <w:rFonts w:ascii="Times New Roman" w:hAnsi="Times New Roman" w:cs="Times New Roman"/>
          <w:sz w:val="24"/>
          <w:szCs w:val="24"/>
        </w:rPr>
        <w:t xml:space="preserve">solubilization. Consequently, longest seedling height, root length and a higher number of leaves were observed. The findings of the present study are also in agreement with those reported by Aswathi </w:t>
      </w:r>
      <w:r w:rsidR="007F3D7A" w:rsidRPr="001A579A">
        <w:rPr>
          <w:rFonts w:ascii="Times New Roman" w:hAnsi="Times New Roman" w:cs="Times New Roman"/>
          <w:i/>
          <w:iCs/>
          <w:sz w:val="24"/>
          <w:szCs w:val="24"/>
        </w:rPr>
        <w:t>et al</w:t>
      </w:r>
      <w:r w:rsidR="007F3D7A" w:rsidRPr="001A579A">
        <w:rPr>
          <w:rFonts w:ascii="Times New Roman" w:hAnsi="Times New Roman" w:cs="Times New Roman"/>
          <w:sz w:val="24"/>
          <w:szCs w:val="24"/>
        </w:rPr>
        <w:t>. (202</w:t>
      </w:r>
      <w:r w:rsidR="00691536" w:rsidRPr="001A579A">
        <w:rPr>
          <w:rFonts w:ascii="Times New Roman" w:hAnsi="Times New Roman" w:cs="Times New Roman"/>
          <w:sz w:val="24"/>
          <w:szCs w:val="24"/>
        </w:rPr>
        <w:t>0</w:t>
      </w:r>
      <w:r w:rsidR="007F3D7A" w:rsidRPr="001A579A">
        <w:rPr>
          <w:rFonts w:ascii="Times New Roman" w:hAnsi="Times New Roman" w:cs="Times New Roman"/>
          <w:sz w:val="24"/>
          <w:szCs w:val="24"/>
        </w:rPr>
        <w:t>)</w:t>
      </w:r>
      <w:r w:rsidR="001F4890" w:rsidRPr="001A579A">
        <w:rPr>
          <w:rFonts w:ascii="Times New Roman" w:hAnsi="Times New Roman" w:cs="Times New Roman"/>
          <w:sz w:val="24"/>
          <w:szCs w:val="24"/>
        </w:rPr>
        <w:t xml:space="preserve"> in lettuce</w:t>
      </w:r>
      <w:r w:rsidR="00691536" w:rsidRPr="001A579A">
        <w:rPr>
          <w:rFonts w:ascii="Times New Roman" w:hAnsi="Times New Roman" w:cs="Times New Roman"/>
          <w:sz w:val="24"/>
          <w:szCs w:val="24"/>
        </w:rPr>
        <w:t>; Bindu</w:t>
      </w:r>
      <w:r w:rsidR="00691536" w:rsidRPr="001A579A">
        <w:rPr>
          <w:rFonts w:ascii="Times New Roman" w:hAnsi="Times New Roman" w:cs="Times New Roman"/>
          <w:i/>
          <w:iCs/>
          <w:sz w:val="24"/>
          <w:szCs w:val="24"/>
        </w:rPr>
        <w:t xml:space="preserve"> et al</w:t>
      </w:r>
      <w:r w:rsidR="00691536" w:rsidRPr="001A579A">
        <w:rPr>
          <w:rFonts w:ascii="Times New Roman" w:hAnsi="Times New Roman" w:cs="Times New Roman"/>
          <w:sz w:val="24"/>
          <w:szCs w:val="24"/>
        </w:rPr>
        <w:t>. (2024)</w:t>
      </w:r>
      <w:r w:rsidR="001F4890" w:rsidRPr="001A579A">
        <w:rPr>
          <w:rFonts w:ascii="Times New Roman" w:hAnsi="Times New Roman" w:cs="Times New Roman"/>
          <w:sz w:val="24"/>
          <w:szCs w:val="24"/>
        </w:rPr>
        <w:t xml:space="preserve"> in palak</w:t>
      </w:r>
      <w:r w:rsidR="00691536" w:rsidRPr="001A579A">
        <w:rPr>
          <w:rFonts w:ascii="Times New Roman" w:hAnsi="Times New Roman" w:cs="Times New Roman"/>
          <w:sz w:val="24"/>
          <w:szCs w:val="24"/>
        </w:rPr>
        <w:t xml:space="preserve"> and Venkata Subbaiah </w:t>
      </w:r>
      <w:r w:rsidR="00691536" w:rsidRPr="001A579A">
        <w:rPr>
          <w:rFonts w:ascii="Times New Roman" w:hAnsi="Times New Roman" w:cs="Times New Roman"/>
          <w:i/>
          <w:iCs/>
          <w:sz w:val="24"/>
          <w:szCs w:val="24"/>
        </w:rPr>
        <w:t>et al</w:t>
      </w:r>
      <w:r w:rsidR="00691536"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00691536"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 </w:t>
      </w:r>
      <w:r w:rsidR="00896A48" w:rsidRPr="001A579A">
        <w:rPr>
          <w:rFonts w:ascii="Times New Roman" w:hAnsi="Times New Roman" w:cs="Times New Roman"/>
          <w:sz w:val="24"/>
          <w:szCs w:val="24"/>
        </w:rPr>
        <w:t xml:space="preserve">Application of AMC also reduced the number of days required to attain transplantable stage. The </w:t>
      </w:r>
      <w:r w:rsidR="00896A48" w:rsidRPr="00896A48">
        <w:rPr>
          <w:rFonts w:ascii="Times New Roman" w:hAnsi="Times New Roman" w:cs="Times New Roman"/>
          <w:sz w:val="24"/>
          <w:szCs w:val="24"/>
        </w:rPr>
        <w:t>minimum duration (23.80 days) was recorded under T₃, whereas seedlings under farmers’ practice required 27.20 days to attain transplantable stage</w:t>
      </w:r>
      <w:r w:rsidR="00691536">
        <w:rPr>
          <w:rFonts w:ascii="Times New Roman" w:hAnsi="Times New Roman" w:cs="Times New Roman"/>
          <w:sz w:val="24"/>
          <w:szCs w:val="24"/>
        </w:rPr>
        <w:t xml:space="preserve"> </w:t>
      </w:r>
      <w:r w:rsidR="00896A48" w:rsidRPr="00896A48">
        <w:rPr>
          <w:rFonts w:ascii="Times New Roman" w:hAnsi="Times New Roman" w:cs="Times New Roman"/>
          <w:sz w:val="24"/>
          <w:szCs w:val="24"/>
        </w:rPr>
        <w:t>Early attainment of transplantable stage under AMC treatment indicates better seedling vigour and rapid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Seedling Vigour Index (SVI) was significantly influenced by AMC application. The highest SVI (1427.05) was recorded under T₃ followed by T₂ (1207.54), while the lowest value (857.88) was observed under control. The higher vigour index under AMC treatment indicated production of healthy and vigorous seedlings. Similarly, maximum root: shoot ratio (0.292) was observed under T₃, indicating better root development and balanced seedling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treatment T₃ also showed 66.35 per cent improvement in vigour over control, highlighting the beneficial effect of Arka Microbial Consortium in enhancing nursery performance of tomato seedlings. Overall, the study indicated that enrichment of coco peat with AMC @ 6 g kg⁻¹ significantly improved germination, seedling growth and vigour under </w:t>
      </w:r>
      <w:r w:rsidR="00896A48" w:rsidRPr="00896A48">
        <w:rPr>
          <w:rFonts w:ascii="Times New Roman" w:hAnsi="Times New Roman" w:cs="Times New Roman"/>
          <w:sz w:val="24"/>
          <w:szCs w:val="24"/>
        </w:rPr>
        <w:lastRenderedPageBreak/>
        <w:t>pro tray nursery conditions</w:t>
      </w:r>
      <w:r>
        <w:rPr>
          <w:rFonts w:ascii="Times New Roman" w:hAnsi="Times New Roman" w:cs="Times New Roman"/>
          <w:sz w:val="24"/>
          <w:szCs w:val="24"/>
        </w:rPr>
        <w:t xml:space="preserve">. </w:t>
      </w:r>
      <w:r w:rsidRPr="00A34E18">
        <w:rPr>
          <w:rFonts w:ascii="Times New Roman" w:hAnsi="Times New Roman" w:cs="Times New Roman"/>
          <w:sz w:val="24"/>
          <w:szCs w:val="24"/>
        </w:rPr>
        <w:t xml:space="preserve">The results of the present study were also corroborated by the findings of </w:t>
      </w:r>
      <w:r w:rsidRPr="001A579A">
        <w:rPr>
          <w:rFonts w:ascii="Times New Roman" w:hAnsi="Times New Roman" w:cs="Times New Roman"/>
          <w:sz w:val="24"/>
          <w:szCs w:val="24"/>
        </w:rPr>
        <w:t xml:space="preserve">Venkata Subbaiah </w:t>
      </w:r>
      <w:r w:rsidRPr="001A579A">
        <w:rPr>
          <w:rFonts w:ascii="Times New Roman" w:hAnsi="Times New Roman" w:cs="Times New Roman"/>
          <w:i/>
          <w:iCs/>
          <w:sz w:val="24"/>
          <w:szCs w:val="24"/>
        </w:rPr>
        <w:t>et al</w:t>
      </w:r>
      <w:r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Pr="001A579A">
        <w:rPr>
          <w:rFonts w:ascii="Times New Roman" w:hAnsi="Times New Roman" w:cs="Times New Roman"/>
          <w:sz w:val="24"/>
          <w:szCs w:val="24"/>
        </w:rPr>
        <w:t xml:space="preserve"> </w:t>
      </w:r>
      <w:r w:rsidRPr="00A34E18">
        <w:rPr>
          <w:rFonts w:ascii="Times New Roman" w:hAnsi="Times New Roman" w:cs="Times New Roman"/>
          <w:sz w:val="24"/>
          <w:szCs w:val="24"/>
        </w:rPr>
        <w:t>and Choudhary and Kumari (2025)</w:t>
      </w:r>
      <w:r w:rsidR="001F4890">
        <w:rPr>
          <w:rFonts w:ascii="Times New Roman" w:hAnsi="Times New Roman" w:cs="Times New Roman"/>
          <w:sz w:val="24"/>
          <w:szCs w:val="24"/>
        </w:rPr>
        <w:t xml:space="preserve"> in chilli</w:t>
      </w:r>
      <w:r w:rsidRPr="00A34E18">
        <w:rPr>
          <w:rFonts w:ascii="Times New Roman" w:hAnsi="Times New Roman" w:cs="Times New Roman"/>
          <w:sz w:val="24"/>
          <w:szCs w:val="24"/>
        </w:rPr>
        <w:t>, who reported similar observations with respect to fewer days required for transplanting in seedlings raised in coco peat treated with AMC @ 6 g kg⁻¹.</w:t>
      </w:r>
    </w:p>
    <w:p w14:paraId="1E0354E7" w14:textId="1BDFD8A9" w:rsidR="00B54750" w:rsidRPr="00704142" w:rsidRDefault="00704142" w:rsidP="00F331F9">
      <w:pPr>
        <w:spacing w:after="0" w:line="480" w:lineRule="auto"/>
        <w:jc w:val="center"/>
        <w:rPr>
          <w:rFonts w:ascii="Times New Roman" w:hAnsi="Times New Roman" w:cs="Times New Roman"/>
          <w:b/>
          <w:bCs/>
          <w:sz w:val="24"/>
          <w:szCs w:val="24"/>
        </w:rPr>
      </w:pPr>
      <w:r w:rsidRPr="00704142">
        <w:rPr>
          <w:rFonts w:ascii="Times New Roman" w:hAnsi="Times New Roman" w:cs="Times New Roman"/>
          <w:b/>
          <w:bCs/>
          <w:sz w:val="24"/>
          <w:szCs w:val="24"/>
        </w:rPr>
        <w:t>CONCLUSION</w:t>
      </w:r>
    </w:p>
    <w:p w14:paraId="5C2F3871" w14:textId="65BB56DC" w:rsidR="00704142" w:rsidRDefault="00704142" w:rsidP="00F331F9">
      <w:pPr>
        <w:spacing w:after="0" w:line="480" w:lineRule="auto"/>
        <w:jc w:val="both"/>
        <w:rPr>
          <w:rFonts w:ascii="Times New Roman" w:hAnsi="Times New Roman" w:cs="Times New Roman"/>
          <w:sz w:val="24"/>
          <w:szCs w:val="24"/>
        </w:rPr>
      </w:pPr>
      <w:r w:rsidRPr="00704142">
        <w:rPr>
          <w:rFonts w:ascii="Times New Roman" w:hAnsi="Times New Roman" w:cs="Times New Roman"/>
          <w:sz w:val="24"/>
          <w:szCs w:val="24"/>
        </w:rPr>
        <w:t xml:space="preserve">In conclusion, Arka </w:t>
      </w:r>
      <w:r w:rsidR="001A579A">
        <w:rPr>
          <w:rFonts w:ascii="Times New Roman" w:hAnsi="Times New Roman" w:cs="Times New Roman"/>
          <w:sz w:val="24"/>
          <w:szCs w:val="24"/>
        </w:rPr>
        <w:t>m</w:t>
      </w:r>
      <w:r w:rsidRPr="00704142">
        <w:rPr>
          <w:rFonts w:ascii="Times New Roman" w:hAnsi="Times New Roman" w:cs="Times New Roman"/>
          <w:sz w:val="24"/>
          <w:szCs w:val="24"/>
        </w:rPr>
        <w:t xml:space="preserve">icrobial </w:t>
      </w:r>
      <w:r w:rsidR="001A579A">
        <w:rPr>
          <w:rFonts w:ascii="Times New Roman" w:hAnsi="Times New Roman" w:cs="Times New Roman"/>
          <w:sz w:val="24"/>
          <w:szCs w:val="24"/>
        </w:rPr>
        <w:t>c</w:t>
      </w:r>
      <w:r w:rsidRPr="00704142">
        <w:rPr>
          <w:rFonts w:ascii="Times New Roman" w:hAnsi="Times New Roman" w:cs="Times New Roman"/>
          <w:sz w:val="24"/>
          <w:szCs w:val="24"/>
        </w:rPr>
        <w:t xml:space="preserve">onsortium significantly improved </w:t>
      </w:r>
      <w:r w:rsidR="00252CC4" w:rsidRPr="00252CC4">
        <w:rPr>
          <w:rFonts w:ascii="Times New Roman" w:hAnsi="Times New Roman" w:cs="Times New Roman"/>
          <w:sz w:val="24"/>
          <w:szCs w:val="24"/>
        </w:rPr>
        <w:t xml:space="preserve">days to germination, </w:t>
      </w:r>
      <w:r w:rsidRPr="00252CC4">
        <w:rPr>
          <w:rFonts w:ascii="Times New Roman" w:hAnsi="Times New Roman" w:cs="Times New Roman"/>
          <w:sz w:val="24"/>
          <w:szCs w:val="24"/>
        </w:rPr>
        <w:t>germination</w:t>
      </w:r>
      <w:r w:rsidR="00252CC4" w:rsidRPr="00252CC4">
        <w:rPr>
          <w:rFonts w:ascii="Times New Roman" w:hAnsi="Times New Roman" w:cs="Times New Roman"/>
          <w:sz w:val="24"/>
          <w:szCs w:val="24"/>
        </w:rPr>
        <w:t xml:space="preserve"> percentage</w:t>
      </w:r>
      <w:r w:rsidRPr="00252CC4">
        <w:rPr>
          <w:rFonts w:ascii="Times New Roman" w:hAnsi="Times New Roman" w:cs="Times New Roman"/>
          <w:sz w:val="24"/>
          <w:szCs w:val="24"/>
        </w:rPr>
        <w:t xml:space="preserve">, </w:t>
      </w:r>
      <w:r w:rsidR="001A579A">
        <w:rPr>
          <w:rFonts w:ascii="Times New Roman" w:hAnsi="Times New Roman" w:cs="Times New Roman"/>
          <w:sz w:val="24"/>
          <w:szCs w:val="24"/>
        </w:rPr>
        <w:t>s</w:t>
      </w:r>
      <w:r w:rsidRPr="00252CC4">
        <w:rPr>
          <w:rFonts w:ascii="Times New Roman" w:hAnsi="Times New Roman" w:cs="Times New Roman"/>
          <w:sz w:val="24"/>
          <w:szCs w:val="24"/>
        </w:rPr>
        <w:t xml:space="preserve">eedling height, </w:t>
      </w:r>
      <w:r w:rsidR="001A579A">
        <w:rPr>
          <w:rFonts w:ascii="Times New Roman" w:hAnsi="Times New Roman" w:cs="Times New Roman"/>
          <w:sz w:val="24"/>
          <w:szCs w:val="24"/>
        </w:rPr>
        <w:t>r</w:t>
      </w:r>
      <w:r w:rsidRPr="00252CC4">
        <w:rPr>
          <w:rFonts w:ascii="Times New Roman" w:hAnsi="Times New Roman" w:cs="Times New Roman"/>
          <w:sz w:val="24"/>
          <w:szCs w:val="24"/>
        </w:rPr>
        <w:t xml:space="preserve">oot length, </w:t>
      </w:r>
      <w:r w:rsidR="001A579A">
        <w:rPr>
          <w:rFonts w:ascii="Times New Roman" w:hAnsi="Times New Roman" w:cs="Times New Roman"/>
          <w:sz w:val="24"/>
          <w:szCs w:val="24"/>
        </w:rPr>
        <w:t>n</w:t>
      </w:r>
      <w:r w:rsidRPr="00252CC4">
        <w:rPr>
          <w:rFonts w:ascii="Times New Roman" w:hAnsi="Times New Roman" w:cs="Times New Roman"/>
          <w:sz w:val="24"/>
          <w:szCs w:val="24"/>
        </w:rPr>
        <w:t xml:space="preserve">o. of leaves/seedling and </w:t>
      </w:r>
      <w:r w:rsidR="00252CC4" w:rsidRPr="00252CC4">
        <w:rPr>
          <w:rFonts w:ascii="Times New Roman" w:hAnsi="Times New Roman" w:cs="Times New Roman"/>
          <w:sz w:val="24"/>
          <w:szCs w:val="24"/>
        </w:rPr>
        <w:t>d</w:t>
      </w:r>
      <w:r w:rsidRPr="00252CC4">
        <w:rPr>
          <w:rFonts w:ascii="Times New Roman" w:hAnsi="Times New Roman" w:cs="Times New Roman"/>
          <w:sz w:val="24"/>
          <w:szCs w:val="24"/>
        </w:rPr>
        <w:t>ays to attain transplantable stage</w:t>
      </w:r>
      <w:r w:rsidR="00252CC4" w:rsidRPr="00252CC4">
        <w:rPr>
          <w:rFonts w:ascii="Times New Roman" w:hAnsi="Times New Roman" w:cs="Times New Roman"/>
          <w:sz w:val="24"/>
          <w:szCs w:val="24"/>
        </w:rPr>
        <w:t>.</w:t>
      </w:r>
      <w:r w:rsidRPr="00704142">
        <w:rPr>
          <w:rFonts w:ascii="Times New Roman" w:hAnsi="Times New Roman" w:cs="Times New Roman"/>
          <w:sz w:val="24"/>
          <w:szCs w:val="24"/>
        </w:rPr>
        <w:t xml:space="preserve"> The results highlight the importance of microbial consortium as a potential biocontrol agent and plant growth promoter in chilli cultivation, offering promising prospects for sustainable agriculture and enhanced crop productivity.</w:t>
      </w:r>
    </w:p>
    <w:p w14:paraId="1EB78731" w14:textId="30E2262E" w:rsidR="00DB701A" w:rsidRPr="00DB701A" w:rsidRDefault="00DB701A" w:rsidP="00DB701A">
      <w:pPr>
        <w:spacing w:after="0" w:line="24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Disclaimer (Artificial Intelligence)</w:t>
      </w:r>
    </w:p>
    <w:p w14:paraId="5D37F2D1" w14:textId="7FC09CB6" w:rsidR="00704142"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ChatGPT (OpenAI, GPT-5.5) was used solely for language editing, grammar correction, and improvement of sentence structure. All scientific content, data analysis, interpretation of results, and conclusions were developed and verified by the authors, who take full responsibility for the manuscript.</w:t>
      </w:r>
    </w:p>
    <w:p w14:paraId="33D9A2C9" w14:textId="77777777" w:rsidR="00DB701A" w:rsidRPr="00DB701A" w:rsidRDefault="00DB701A" w:rsidP="00DB701A">
      <w:pPr>
        <w:spacing w:after="0" w:line="36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 xml:space="preserve">Competing Interests </w:t>
      </w:r>
    </w:p>
    <w:p w14:paraId="0CB9B9DA" w14:textId="3FEE4BAB" w:rsidR="00DB701A" w:rsidRPr="00252CC4"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Authors have declared that no competing interests exist.</w:t>
      </w:r>
    </w:p>
    <w:p w14:paraId="06735202" w14:textId="77777777" w:rsidR="00B54750" w:rsidRDefault="00B54750" w:rsidP="004441BA">
      <w:pPr>
        <w:spacing w:after="0"/>
        <w:rPr>
          <w:rFonts w:ascii="Times New Roman" w:hAnsi="Times New Roman" w:cs="Times New Roman"/>
          <w:sz w:val="24"/>
          <w:szCs w:val="24"/>
        </w:rPr>
      </w:pPr>
    </w:p>
    <w:p w14:paraId="2D96D32B" w14:textId="0E2FE31A" w:rsidR="00B54750" w:rsidRDefault="00B54750" w:rsidP="00A75091">
      <w:pPr>
        <w:jc w:val="center"/>
        <w:rPr>
          <w:rFonts w:ascii="Times New Roman" w:hAnsi="Times New Roman" w:cs="Times New Roman"/>
          <w:b/>
          <w:bCs/>
          <w:sz w:val="24"/>
          <w:szCs w:val="24"/>
        </w:rPr>
      </w:pPr>
      <w:r w:rsidRPr="00A75091">
        <w:rPr>
          <w:rFonts w:ascii="Times New Roman" w:hAnsi="Times New Roman" w:cs="Times New Roman"/>
          <w:b/>
          <w:bCs/>
          <w:sz w:val="24"/>
          <w:szCs w:val="24"/>
        </w:rPr>
        <w:t>REFERENCES</w:t>
      </w:r>
    </w:p>
    <w:p w14:paraId="50038DA0" w14:textId="14B7E5E1"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Aklibasinda</w:t>
      </w:r>
      <w:proofErr w:type="spellEnd"/>
      <w:r w:rsidRPr="001A579A">
        <w:rPr>
          <w:rFonts w:ascii="Times New Roman" w:hAnsi="Times New Roman" w:cs="Times New Roman"/>
          <w:sz w:val="24"/>
          <w:szCs w:val="24"/>
        </w:rPr>
        <w:t xml:space="preserve">, M., Tunc, T., Bulut, Y., &amp; Sahin, U. (2011). Effects of different growing media on Scotch pine (Pinus sylvestris) production. </w:t>
      </w:r>
      <w:r w:rsidRPr="001A579A">
        <w:rPr>
          <w:rFonts w:ascii="Times New Roman" w:hAnsi="Times New Roman" w:cs="Times New Roman"/>
          <w:i/>
          <w:iCs/>
          <w:sz w:val="24"/>
          <w:szCs w:val="24"/>
        </w:rPr>
        <w:t>Journal of Animal and Plant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21</w:t>
      </w:r>
      <w:r w:rsidRPr="001A579A">
        <w:rPr>
          <w:rFonts w:ascii="Times New Roman" w:hAnsi="Times New Roman" w:cs="Times New Roman"/>
          <w:sz w:val="24"/>
          <w:szCs w:val="24"/>
        </w:rPr>
        <w:t>(3)</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w:t>
      </w:r>
      <w:commentRangeStart w:id="8"/>
      <w:r w:rsidRPr="001A579A">
        <w:rPr>
          <w:rFonts w:ascii="Times New Roman" w:hAnsi="Times New Roman" w:cs="Times New Roman"/>
          <w:sz w:val="24"/>
          <w:szCs w:val="24"/>
        </w:rPr>
        <w:t>535</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541.</w:t>
      </w:r>
      <w:commentRangeEnd w:id="8"/>
      <w:r w:rsidR="00C462B8">
        <w:rPr>
          <w:rStyle w:val="Refdecomentario"/>
        </w:rPr>
        <w:commentReference w:id="8"/>
      </w:r>
    </w:p>
    <w:p w14:paraId="639E2EEF" w14:textId="1744F87A" w:rsidR="001F4890" w:rsidRPr="001A579A" w:rsidRDefault="001F4890"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Aswathi, N.C., Prasad, V.M. and Sreekumar, G. (2020). Effect of different concentration of </w:t>
      </w:r>
      <w:proofErr w:type="spellStart"/>
      <w:r w:rsidRPr="001A579A">
        <w:rPr>
          <w:rFonts w:ascii="Times New Roman" w:hAnsi="Times New Roman" w:cs="Times New Roman"/>
          <w:sz w:val="24"/>
          <w:szCs w:val="24"/>
        </w:rPr>
        <w:t>arka</w:t>
      </w:r>
      <w:proofErr w:type="spellEnd"/>
      <w:r w:rsidRPr="001A579A">
        <w:rPr>
          <w:rFonts w:ascii="Times New Roman" w:hAnsi="Times New Roman" w:cs="Times New Roman"/>
          <w:sz w:val="24"/>
          <w:szCs w:val="24"/>
        </w:rPr>
        <w:t xml:space="preserve"> microbial consortium on the growth yield and quality of lettuce (Lactuca sativa) cv. Grand Rapid under poly house in Prayagraj agroclimatic condition. </w:t>
      </w:r>
      <w:r w:rsidRPr="001A579A">
        <w:rPr>
          <w:rFonts w:ascii="Times New Roman" w:hAnsi="Times New Roman" w:cs="Times New Roman"/>
          <w:i/>
          <w:iCs/>
          <w:sz w:val="24"/>
          <w:szCs w:val="24"/>
        </w:rPr>
        <w:t>International Journal of Current Microbiology and Applied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9</w:t>
      </w:r>
      <w:r w:rsidRPr="001A579A">
        <w:rPr>
          <w:rFonts w:ascii="Times New Roman" w:hAnsi="Times New Roman" w:cs="Times New Roman"/>
          <w:sz w:val="24"/>
          <w:szCs w:val="24"/>
        </w:rPr>
        <w:t>(12): 1135-1143.</w:t>
      </w:r>
      <w:r w:rsidR="00F331F9">
        <w:rPr>
          <w:rFonts w:ascii="Times New Roman" w:hAnsi="Times New Roman" w:cs="Times New Roman"/>
          <w:sz w:val="24"/>
          <w:szCs w:val="24"/>
        </w:rPr>
        <w:t xml:space="preserve"> </w:t>
      </w:r>
      <w:hyperlink r:id="rId10" w:history="1">
        <w:r w:rsidR="00F331F9" w:rsidRPr="00B0504F">
          <w:rPr>
            <w:rStyle w:val="Hipervnculo"/>
            <w:rFonts w:ascii="Times New Roman" w:hAnsi="Times New Roman" w:cs="Times New Roman"/>
            <w:sz w:val="24"/>
            <w:szCs w:val="24"/>
          </w:rPr>
          <w:t>https://doi.org/10.20546/ijcmas.2020.912.137</w:t>
        </w:r>
      </w:hyperlink>
      <w:r w:rsidR="00F331F9">
        <w:rPr>
          <w:rFonts w:ascii="Times New Roman" w:hAnsi="Times New Roman" w:cs="Times New Roman"/>
          <w:sz w:val="24"/>
          <w:szCs w:val="24"/>
        </w:rPr>
        <w:t xml:space="preserve">. </w:t>
      </w:r>
    </w:p>
    <w:p w14:paraId="335D15BB" w14:textId="0B6F859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Bindu, S. H., Nayak, M. H., Prasanth, P., Mamatha, A., and Kumar, S. P. (2024). </w:t>
      </w:r>
      <w:r w:rsidRPr="001A579A">
        <w:rPr>
          <w:rFonts w:ascii="Times New Roman" w:hAnsi="Times New Roman" w:cs="Times New Roman"/>
          <w:i/>
          <w:iCs/>
          <w:sz w:val="24"/>
          <w:szCs w:val="24"/>
        </w:rPr>
        <w:t>Effective combination of nutrient application on growth and yield of Palak</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International Journal of Advanced Biochemistry Research</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8</w:t>
      </w:r>
      <w:r w:rsidRPr="001A579A">
        <w:rPr>
          <w:rFonts w:ascii="Times New Roman" w:hAnsi="Times New Roman" w:cs="Times New Roman"/>
          <w:sz w:val="24"/>
          <w:szCs w:val="24"/>
        </w:rPr>
        <w:t>(SP-7)</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01</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06</w:t>
      </w:r>
      <w:r w:rsidR="00252CC4" w:rsidRPr="001A579A">
        <w:rPr>
          <w:rFonts w:ascii="Times New Roman" w:hAnsi="Times New Roman" w:cs="Times New Roman"/>
          <w:sz w:val="24"/>
          <w:szCs w:val="24"/>
        </w:rPr>
        <w:t>.</w:t>
      </w:r>
      <w:r w:rsidR="00F331F9">
        <w:rPr>
          <w:rFonts w:ascii="Times New Roman" w:hAnsi="Times New Roman" w:cs="Times New Roman"/>
          <w:sz w:val="24"/>
          <w:szCs w:val="24"/>
        </w:rPr>
        <w:t xml:space="preserve"> </w:t>
      </w:r>
      <w:hyperlink r:id="rId11" w:history="1">
        <w:r w:rsidR="00F331F9" w:rsidRPr="00B0504F">
          <w:rPr>
            <w:rStyle w:val="Hipervnculo"/>
            <w:rFonts w:ascii="Times New Roman" w:hAnsi="Times New Roman" w:cs="Times New Roman"/>
            <w:sz w:val="24"/>
            <w:szCs w:val="24"/>
          </w:rPr>
          <w:t>https://doi.org/10.33545/26174693.2024.v8.i7Sa.1420</w:t>
        </w:r>
      </w:hyperlink>
      <w:r w:rsidR="00F331F9">
        <w:rPr>
          <w:rFonts w:ascii="Times New Roman" w:hAnsi="Times New Roman" w:cs="Times New Roman"/>
          <w:sz w:val="24"/>
          <w:szCs w:val="24"/>
        </w:rPr>
        <w:t xml:space="preserve">. </w:t>
      </w:r>
    </w:p>
    <w:p w14:paraId="15178246" w14:textId="291D4F9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Choudhary, M., </w:t>
      </w:r>
      <w:commentRangeStart w:id="9"/>
      <w:r w:rsidRPr="001A579A">
        <w:rPr>
          <w:rFonts w:ascii="Times New Roman" w:hAnsi="Times New Roman" w:cs="Times New Roman"/>
          <w:sz w:val="24"/>
          <w:szCs w:val="24"/>
        </w:rPr>
        <w:t>and</w:t>
      </w:r>
      <w:commentRangeEnd w:id="9"/>
      <w:r w:rsidR="0029511B">
        <w:rPr>
          <w:rStyle w:val="Refdecomentario"/>
        </w:rPr>
        <w:commentReference w:id="9"/>
      </w:r>
      <w:r w:rsidRPr="001A579A">
        <w:rPr>
          <w:rFonts w:ascii="Times New Roman" w:hAnsi="Times New Roman" w:cs="Times New Roman"/>
          <w:sz w:val="24"/>
          <w:szCs w:val="24"/>
        </w:rPr>
        <w:t xml:space="preserve"> Kumari, A. (2025). </w:t>
      </w:r>
      <w:r w:rsidRPr="001A579A">
        <w:rPr>
          <w:rFonts w:ascii="Times New Roman" w:hAnsi="Times New Roman" w:cs="Times New Roman"/>
          <w:i/>
          <w:iCs/>
          <w:sz w:val="24"/>
          <w:szCs w:val="24"/>
        </w:rPr>
        <w:t xml:space="preserve">Effect of different levels of Arka Microbial Consortium on germination and seedling performance of chilli (Capsicum annuum L.) cv. Arka </w:t>
      </w:r>
      <w:r w:rsidRPr="001A579A">
        <w:rPr>
          <w:rFonts w:ascii="Times New Roman" w:hAnsi="Times New Roman" w:cs="Times New Roman"/>
          <w:i/>
          <w:iCs/>
          <w:sz w:val="24"/>
          <w:szCs w:val="24"/>
        </w:rPr>
        <w:lastRenderedPageBreak/>
        <w:t>Saanvi</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Journal of Advances in Microbiology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25</w:t>
      </w:r>
      <w:r w:rsidRPr="001A579A">
        <w:rPr>
          <w:rFonts w:ascii="Times New Roman" w:hAnsi="Times New Roman" w:cs="Times New Roman"/>
          <w:sz w:val="24"/>
          <w:szCs w:val="24"/>
        </w:rPr>
        <w:t>(6)</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1–6. </w:t>
      </w:r>
      <w:hyperlink r:id="rId12" w:history="1">
        <w:r w:rsidR="002D1C4A" w:rsidRPr="00517A93">
          <w:rPr>
            <w:rStyle w:val="Hipervnculo"/>
            <w:rFonts w:ascii="Times New Roman" w:hAnsi="Times New Roman" w:cs="Times New Roman"/>
            <w:sz w:val="24"/>
            <w:szCs w:val="24"/>
          </w:rPr>
          <w:t>https://doi.org/10.9734/jamb/2025/v25i6943</w:t>
        </w:r>
      </w:hyperlink>
      <w:r w:rsidR="002D1C4A">
        <w:rPr>
          <w:rFonts w:ascii="Times New Roman" w:hAnsi="Times New Roman" w:cs="Times New Roman"/>
          <w:sz w:val="24"/>
          <w:szCs w:val="24"/>
        </w:rPr>
        <w:t xml:space="preserve">. </w:t>
      </w:r>
    </w:p>
    <w:p w14:paraId="4E951C26" w14:textId="018EAC95"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Hazarika, M., Saikia, J., Gogoi, S., Kumar, P., </w:t>
      </w:r>
      <w:proofErr w:type="spellStart"/>
      <w:r w:rsidRPr="001A579A">
        <w:rPr>
          <w:rFonts w:ascii="Times New Roman" w:hAnsi="Times New Roman" w:cs="Times New Roman"/>
          <w:sz w:val="24"/>
          <w:szCs w:val="24"/>
        </w:rPr>
        <w:t>Handique</w:t>
      </w:r>
      <w:proofErr w:type="spellEnd"/>
      <w:r w:rsidRPr="001A579A">
        <w:rPr>
          <w:rFonts w:ascii="Times New Roman" w:hAnsi="Times New Roman" w:cs="Times New Roman"/>
          <w:sz w:val="24"/>
          <w:szCs w:val="24"/>
        </w:rPr>
        <w:t xml:space="preserve">, K., Patel, S. S., &amp; Barooah, L. (2023). Effect of different seedling growing media on tomato and cabbage seedling.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35</w:t>
      </w:r>
      <w:r w:rsidRPr="001A579A">
        <w:rPr>
          <w:rFonts w:ascii="Times New Roman" w:hAnsi="Times New Roman" w:cs="Times New Roman"/>
          <w:sz w:val="24"/>
          <w:szCs w:val="24"/>
        </w:rPr>
        <w:t>(22)</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359–372. </w:t>
      </w:r>
      <w:hyperlink r:id="rId13" w:history="1">
        <w:r w:rsidR="002D1C4A" w:rsidRPr="00B0504F">
          <w:rPr>
            <w:rStyle w:val="Hipervnculo"/>
            <w:rFonts w:ascii="Times New Roman" w:hAnsi="Times New Roman" w:cs="Times New Roman"/>
            <w:sz w:val="24"/>
            <w:szCs w:val="24"/>
          </w:rPr>
          <w:t>https://doi.org/10.9734/IJPSS/2023/v35i224144</w:t>
        </w:r>
      </w:hyperlink>
      <w:r w:rsidR="002D1C4A">
        <w:rPr>
          <w:rFonts w:ascii="Times New Roman" w:hAnsi="Times New Roman" w:cs="Times New Roman"/>
          <w:sz w:val="24"/>
          <w:szCs w:val="24"/>
        </w:rPr>
        <w:t xml:space="preserve">.  </w:t>
      </w:r>
    </w:p>
    <w:p w14:paraId="4965B386" w14:textId="2C337C6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Mahala, P. </w:t>
      </w:r>
      <w:commentRangeStart w:id="10"/>
      <w:r w:rsidRPr="001A579A">
        <w:rPr>
          <w:rFonts w:ascii="Times New Roman" w:hAnsi="Times New Roman" w:cs="Times New Roman"/>
          <w:sz w:val="24"/>
          <w:szCs w:val="24"/>
        </w:rPr>
        <w:t>and</w:t>
      </w:r>
      <w:commentRangeEnd w:id="10"/>
      <w:r w:rsidR="0029511B">
        <w:rPr>
          <w:rStyle w:val="Refdecomentario"/>
        </w:rPr>
        <w:commentReference w:id="10"/>
      </w:r>
      <w:r w:rsidRPr="001A579A">
        <w:rPr>
          <w:rFonts w:ascii="Times New Roman" w:hAnsi="Times New Roman" w:cs="Times New Roman"/>
          <w:sz w:val="24"/>
          <w:szCs w:val="24"/>
        </w:rPr>
        <w:t xml:space="preserve"> Sharma, R.K. (2020). Evaluation of different growing media for tomato nursery. </w:t>
      </w:r>
      <w:r w:rsidRPr="001A579A">
        <w:rPr>
          <w:rFonts w:ascii="Times New Roman" w:hAnsi="Times New Roman" w:cs="Times New Roman"/>
          <w:i/>
          <w:iCs/>
          <w:sz w:val="24"/>
          <w:szCs w:val="24"/>
        </w:rPr>
        <w:t>Vegetable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47</w:t>
      </w:r>
      <w:r w:rsidRPr="001A579A">
        <w:rPr>
          <w:rFonts w:ascii="Times New Roman" w:hAnsi="Times New Roman" w:cs="Times New Roman"/>
          <w:sz w:val="24"/>
          <w:szCs w:val="24"/>
        </w:rPr>
        <w:t>(1): 146-149.</w:t>
      </w:r>
    </w:p>
    <w:p w14:paraId="5DA4EDBA" w14:textId="65C3BBFC"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Parween, A., Akhtar, S., Verma, R. B., &amp; Das, A. (2025). Role of growing media on seedling </w:t>
      </w:r>
      <w:proofErr w:type="spellStart"/>
      <w:r w:rsidRPr="001A579A">
        <w:rPr>
          <w:rFonts w:ascii="Times New Roman" w:hAnsi="Times New Roman" w:cs="Times New Roman"/>
          <w:sz w:val="24"/>
          <w:szCs w:val="24"/>
        </w:rPr>
        <w:t>vigor</w:t>
      </w:r>
      <w:proofErr w:type="spellEnd"/>
      <w:r w:rsidRPr="001A579A">
        <w:rPr>
          <w:rFonts w:ascii="Times New Roman" w:hAnsi="Times New Roman" w:cs="Times New Roman"/>
          <w:sz w:val="24"/>
          <w:szCs w:val="24"/>
        </w:rPr>
        <w:t xml:space="preserve"> of tomato. </w:t>
      </w:r>
      <w:r w:rsidRPr="001A579A">
        <w:rPr>
          <w:rFonts w:ascii="Times New Roman" w:hAnsi="Times New Roman" w:cs="Times New Roman"/>
          <w:i/>
          <w:iCs/>
          <w:sz w:val="24"/>
          <w:szCs w:val="24"/>
        </w:rPr>
        <w:t>Environment and Ecology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43</w:t>
      </w:r>
      <w:r w:rsidRPr="001A579A">
        <w:rPr>
          <w:rFonts w:ascii="Times New Roman" w:hAnsi="Times New Roman" w:cs="Times New Roman"/>
          <w:sz w:val="24"/>
          <w:szCs w:val="24"/>
        </w:rPr>
        <w:t>(4)</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1035–1040. </w:t>
      </w:r>
      <w:hyperlink r:id="rId14" w:history="1">
        <w:r w:rsidR="00F331F9" w:rsidRPr="00B0504F">
          <w:rPr>
            <w:rStyle w:val="Hipervnculo"/>
            <w:rFonts w:ascii="Times New Roman" w:hAnsi="Times New Roman" w:cs="Times New Roman"/>
            <w:sz w:val="24"/>
            <w:szCs w:val="24"/>
          </w:rPr>
          <w:t>https://doi.org/10.60151/envec/HEMO9392</w:t>
        </w:r>
      </w:hyperlink>
      <w:r w:rsidR="00F331F9">
        <w:rPr>
          <w:rFonts w:ascii="Times New Roman" w:hAnsi="Times New Roman" w:cs="Times New Roman"/>
          <w:sz w:val="24"/>
          <w:szCs w:val="24"/>
        </w:rPr>
        <w:t xml:space="preserve">. </w:t>
      </w:r>
    </w:p>
    <w:p w14:paraId="1B40CE71" w14:textId="052BAEA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Rajendra, B. N., Jyothi Bhaskar, Surendra Gopal, K., Anu G. Krishnan, Krishna Kumar, G., </w:t>
      </w:r>
      <w:commentRangeStart w:id="11"/>
      <w:r w:rsidRPr="001A579A">
        <w:rPr>
          <w:rFonts w:ascii="Times New Roman" w:hAnsi="Times New Roman" w:cs="Times New Roman"/>
          <w:sz w:val="24"/>
          <w:szCs w:val="24"/>
        </w:rPr>
        <w:t>and</w:t>
      </w:r>
      <w:commentRangeEnd w:id="11"/>
      <w:r w:rsidR="0029511B">
        <w:rPr>
          <w:rStyle w:val="Refdecomentario"/>
        </w:rPr>
        <w:commentReference w:id="11"/>
      </w:r>
      <w:r w:rsidRPr="001A579A">
        <w:rPr>
          <w:rFonts w:ascii="Times New Roman" w:hAnsi="Times New Roman" w:cs="Times New Roman"/>
          <w:sz w:val="24"/>
          <w:szCs w:val="24"/>
        </w:rPr>
        <w:t xml:space="preserve"> </w:t>
      </w:r>
      <w:proofErr w:type="spellStart"/>
      <w:r w:rsidRPr="001A579A">
        <w:rPr>
          <w:rFonts w:ascii="Times New Roman" w:hAnsi="Times New Roman" w:cs="Times New Roman"/>
          <w:sz w:val="24"/>
          <w:szCs w:val="24"/>
        </w:rPr>
        <w:t>Rajalekshmi</w:t>
      </w:r>
      <w:proofErr w:type="spellEnd"/>
      <w:r w:rsidRPr="001A579A">
        <w:rPr>
          <w:rFonts w:ascii="Times New Roman" w:hAnsi="Times New Roman" w:cs="Times New Roman"/>
          <w:sz w:val="24"/>
          <w:szCs w:val="24"/>
        </w:rPr>
        <w:t xml:space="preserve">, K. (2024). Effect of microbial consortiums on germination and initial growth attributes of mangosteen.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36</w:t>
      </w:r>
      <w:r w:rsidRPr="001A579A">
        <w:rPr>
          <w:rFonts w:ascii="Times New Roman" w:hAnsi="Times New Roman" w:cs="Times New Roman"/>
          <w:sz w:val="24"/>
          <w:szCs w:val="24"/>
        </w:rPr>
        <w:t>(8)</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136–143.</w:t>
      </w:r>
      <w:r w:rsidR="002D1C4A">
        <w:rPr>
          <w:rFonts w:ascii="Times New Roman" w:hAnsi="Times New Roman" w:cs="Times New Roman"/>
          <w:sz w:val="24"/>
          <w:szCs w:val="24"/>
        </w:rPr>
        <w:t xml:space="preserve"> </w:t>
      </w:r>
      <w:hyperlink r:id="rId15" w:history="1">
        <w:r w:rsidR="002D1C4A" w:rsidRPr="00517A93">
          <w:rPr>
            <w:rStyle w:val="Hipervnculo"/>
            <w:rFonts w:ascii="Times New Roman" w:hAnsi="Times New Roman" w:cs="Times New Roman"/>
            <w:sz w:val="24"/>
            <w:szCs w:val="24"/>
          </w:rPr>
          <w:t>https://doi.org/10.9734/ijpss/2024/v36i84844</w:t>
        </w:r>
      </w:hyperlink>
      <w:r w:rsidR="002D1C4A">
        <w:rPr>
          <w:rFonts w:ascii="Times New Roman" w:hAnsi="Times New Roman" w:cs="Times New Roman"/>
          <w:sz w:val="24"/>
          <w:szCs w:val="24"/>
        </w:rPr>
        <w:t xml:space="preserve">. </w:t>
      </w:r>
    </w:p>
    <w:p w14:paraId="203C7EAC" w14:textId="236A1C93"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Saste</w:t>
      </w:r>
      <w:proofErr w:type="spellEnd"/>
      <w:r w:rsidRPr="001A579A">
        <w:rPr>
          <w:rFonts w:ascii="Times New Roman" w:hAnsi="Times New Roman" w:cs="Times New Roman"/>
          <w:sz w:val="24"/>
          <w:szCs w:val="24"/>
        </w:rPr>
        <w:t xml:space="preserve">, D. N., </w:t>
      </w:r>
      <w:proofErr w:type="spellStart"/>
      <w:r w:rsidRPr="001A579A">
        <w:rPr>
          <w:rFonts w:ascii="Times New Roman" w:hAnsi="Times New Roman" w:cs="Times New Roman"/>
          <w:sz w:val="24"/>
          <w:szCs w:val="24"/>
        </w:rPr>
        <w:t>Danawale</w:t>
      </w:r>
      <w:proofErr w:type="spellEnd"/>
      <w:r w:rsidRPr="001A579A">
        <w:rPr>
          <w:rFonts w:ascii="Times New Roman" w:hAnsi="Times New Roman" w:cs="Times New Roman"/>
          <w:sz w:val="24"/>
          <w:szCs w:val="24"/>
        </w:rPr>
        <w:t xml:space="preserve">, N. J., Mane, M. S., Khedkar, D. D., </w:t>
      </w:r>
      <w:commentRangeStart w:id="12"/>
      <w:r w:rsidRPr="001A579A">
        <w:rPr>
          <w:rFonts w:ascii="Times New Roman" w:hAnsi="Times New Roman" w:cs="Times New Roman"/>
          <w:sz w:val="24"/>
          <w:szCs w:val="24"/>
        </w:rPr>
        <w:t>and</w:t>
      </w:r>
      <w:commentRangeEnd w:id="12"/>
      <w:r w:rsidR="001C490F">
        <w:rPr>
          <w:rStyle w:val="Refdecomentario"/>
        </w:rPr>
        <w:commentReference w:id="12"/>
      </w:r>
      <w:r w:rsidRPr="001A579A">
        <w:rPr>
          <w:rFonts w:ascii="Times New Roman" w:hAnsi="Times New Roman" w:cs="Times New Roman"/>
          <w:sz w:val="24"/>
          <w:szCs w:val="24"/>
        </w:rPr>
        <w:t xml:space="preserve"> Kale, K. D. (2024). Effect of different fertigation levels and microbial consortia on yield and economics of broccoli (</w:t>
      </w:r>
      <w:r w:rsidRPr="001A579A">
        <w:rPr>
          <w:rFonts w:ascii="Times New Roman" w:hAnsi="Times New Roman" w:cs="Times New Roman"/>
          <w:i/>
          <w:iCs/>
          <w:sz w:val="24"/>
          <w:szCs w:val="24"/>
        </w:rPr>
        <w:t>Brassica oleracea</w:t>
      </w:r>
      <w:r w:rsidRPr="001A579A">
        <w:rPr>
          <w:rFonts w:ascii="Times New Roman" w:hAnsi="Times New Roman" w:cs="Times New Roman"/>
          <w:sz w:val="24"/>
          <w:szCs w:val="24"/>
        </w:rPr>
        <w:t xml:space="preserve"> L. var. italica) under drip irrigation and plastic mulch. </w:t>
      </w:r>
      <w:r w:rsidRPr="001A579A">
        <w:rPr>
          <w:rFonts w:ascii="Times New Roman" w:hAnsi="Times New Roman" w:cs="Times New Roman"/>
          <w:i/>
          <w:iCs/>
          <w:sz w:val="24"/>
          <w:szCs w:val="24"/>
        </w:rPr>
        <w:t>Journal of Agricultural Research and Technology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49</w:t>
      </w:r>
      <w:r w:rsidRPr="001A579A">
        <w:rPr>
          <w:rFonts w:ascii="Times New Roman" w:hAnsi="Times New Roman" w:cs="Times New Roman"/>
          <w:sz w:val="24"/>
          <w:szCs w:val="24"/>
        </w:rPr>
        <w:t xml:space="preserve">(2), 357–362. </w:t>
      </w:r>
      <w:hyperlink r:id="rId16" w:history="1">
        <w:r w:rsidR="00F331F9" w:rsidRPr="00B0504F">
          <w:rPr>
            <w:rStyle w:val="Hipervnculo"/>
            <w:rFonts w:ascii="Times New Roman" w:hAnsi="Times New Roman" w:cs="Times New Roman"/>
            <w:sz w:val="24"/>
            <w:szCs w:val="24"/>
          </w:rPr>
          <w:t>https://doi.org/10.56228/JART.2024.49221</w:t>
        </w:r>
      </w:hyperlink>
      <w:r w:rsidR="00F331F9">
        <w:rPr>
          <w:rFonts w:ascii="Times New Roman" w:hAnsi="Times New Roman" w:cs="Times New Roman"/>
          <w:sz w:val="24"/>
          <w:szCs w:val="24"/>
        </w:rPr>
        <w:t xml:space="preserve">. </w:t>
      </w:r>
    </w:p>
    <w:p w14:paraId="3AAF919B" w14:textId="7C71B5AE" w:rsidR="001F4890" w:rsidRPr="001A579A" w:rsidRDefault="00A34E18" w:rsidP="001F4890">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Sheoran</w:t>
      </w:r>
      <w:proofErr w:type="spellEnd"/>
      <w:r w:rsidRPr="001A579A">
        <w:rPr>
          <w:rFonts w:ascii="Times New Roman" w:hAnsi="Times New Roman" w:cs="Times New Roman"/>
          <w:sz w:val="24"/>
          <w:szCs w:val="24"/>
        </w:rPr>
        <w:t xml:space="preserve">, O.P; </w:t>
      </w:r>
      <w:proofErr w:type="spellStart"/>
      <w:r w:rsidRPr="001A579A">
        <w:rPr>
          <w:rFonts w:ascii="Times New Roman" w:hAnsi="Times New Roman" w:cs="Times New Roman"/>
          <w:sz w:val="24"/>
          <w:szCs w:val="24"/>
        </w:rPr>
        <w:t>Tonk</w:t>
      </w:r>
      <w:proofErr w:type="spellEnd"/>
      <w:r w:rsidRPr="001A579A">
        <w:rPr>
          <w:rFonts w:ascii="Times New Roman" w:hAnsi="Times New Roman" w:cs="Times New Roman"/>
          <w:sz w:val="24"/>
          <w:szCs w:val="24"/>
        </w:rPr>
        <w:t xml:space="preserve">, D.S; Kaushik, L.S; </w:t>
      </w:r>
      <w:proofErr w:type="spellStart"/>
      <w:r w:rsidRPr="001A579A">
        <w:rPr>
          <w:rFonts w:ascii="Times New Roman" w:hAnsi="Times New Roman" w:cs="Times New Roman"/>
          <w:sz w:val="24"/>
          <w:szCs w:val="24"/>
        </w:rPr>
        <w:t>Hasija</w:t>
      </w:r>
      <w:proofErr w:type="spellEnd"/>
      <w:r w:rsidRPr="001A579A">
        <w:rPr>
          <w:rFonts w:ascii="Times New Roman" w:hAnsi="Times New Roman" w:cs="Times New Roman"/>
          <w:sz w:val="24"/>
          <w:szCs w:val="24"/>
        </w:rPr>
        <w:t xml:space="preserve">, R.C </w:t>
      </w:r>
      <w:commentRangeStart w:id="13"/>
      <w:r w:rsidRPr="001A579A">
        <w:rPr>
          <w:rFonts w:ascii="Times New Roman" w:hAnsi="Times New Roman" w:cs="Times New Roman"/>
          <w:sz w:val="24"/>
          <w:szCs w:val="24"/>
        </w:rPr>
        <w:t>and</w:t>
      </w:r>
      <w:commentRangeEnd w:id="13"/>
      <w:r w:rsidR="001C490F">
        <w:rPr>
          <w:rStyle w:val="Refdecomentario"/>
        </w:rPr>
        <w:commentReference w:id="13"/>
      </w:r>
      <w:r w:rsidRPr="001A579A">
        <w:rPr>
          <w:rFonts w:ascii="Times New Roman" w:hAnsi="Times New Roman" w:cs="Times New Roman"/>
          <w:sz w:val="24"/>
          <w:szCs w:val="24"/>
        </w:rPr>
        <w:t xml:space="preserve"> </w:t>
      </w:r>
      <w:proofErr w:type="spellStart"/>
      <w:r w:rsidRPr="001A579A">
        <w:rPr>
          <w:rFonts w:ascii="Times New Roman" w:hAnsi="Times New Roman" w:cs="Times New Roman"/>
          <w:sz w:val="24"/>
          <w:szCs w:val="24"/>
        </w:rPr>
        <w:t>Pannu</w:t>
      </w:r>
      <w:proofErr w:type="spellEnd"/>
      <w:r w:rsidRPr="001A579A">
        <w:rPr>
          <w:rFonts w:ascii="Times New Roman" w:hAnsi="Times New Roman" w:cs="Times New Roman"/>
          <w:sz w:val="24"/>
          <w:szCs w:val="24"/>
        </w:rPr>
        <w:t xml:space="preserve">, </w:t>
      </w:r>
      <w:proofErr w:type="gramStart"/>
      <w:r w:rsidRPr="001A579A">
        <w:rPr>
          <w:rFonts w:ascii="Times New Roman" w:hAnsi="Times New Roman" w:cs="Times New Roman"/>
          <w:sz w:val="24"/>
          <w:szCs w:val="24"/>
        </w:rPr>
        <w:t>R.</w:t>
      </w:r>
      <w:commentRangeStart w:id="14"/>
      <w:r w:rsidRPr="001A579A">
        <w:rPr>
          <w:rFonts w:ascii="Times New Roman" w:hAnsi="Times New Roman" w:cs="Times New Roman"/>
          <w:sz w:val="24"/>
          <w:szCs w:val="24"/>
        </w:rPr>
        <w:t>S</w:t>
      </w:r>
      <w:commentRangeEnd w:id="14"/>
      <w:proofErr w:type="gramEnd"/>
      <w:r w:rsidR="001C490F">
        <w:rPr>
          <w:rStyle w:val="Refdecomentario"/>
        </w:rPr>
        <w:commentReference w:id="14"/>
      </w:r>
      <w:r w:rsidRPr="001A579A">
        <w:rPr>
          <w:rFonts w:ascii="Times New Roman" w:hAnsi="Times New Roman" w:cs="Times New Roman"/>
          <w:sz w:val="24"/>
          <w:szCs w:val="24"/>
        </w:rPr>
        <w:t xml:space="preserve"> (1998). </w:t>
      </w:r>
      <w:r w:rsidRPr="001A579A">
        <w:rPr>
          <w:rFonts w:ascii="Times New Roman" w:hAnsi="Times New Roman" w:cs="Times New Roman"/>
          <w:i/>
          <w:iCs/>
          <w:sz w:val="24"/>
          <w:szCs w:val="24"/>
        </w:rPr>
        <w:t>Statistical Software Package for Agricultural Research Workers</w:t>
      </w:r>
      <w:r w:rsidRPr="001A579A">
        <w:rPr>
          <w:rFonts w:ascii="Times New Roman" w:hAnsi="Times New Roman" w:cs="Times New Roman"/>
          <w:sz w:val="24"/>
          <w:szCs w:val="24"/>
        </w:rPr>
        <w:t>. Recent Advances in information theory, Statistics &amp; Computer Applications by D.S. Hooda &amp; R.C. Hasija Department of Mathematics Statistics, CCS HAU, Hisar (139-143)</w:t>
      </w:r>
      <w:r w:rsidR="00252CC4" w:rsidRPr="001A579A">
        <w:rPr>
          <w:rFonts w:ascii="Times New Roman" w:hAnsi="Times New Roman" w:cs="Times New Roman"/>
          <w:sz w:val="24"/>
          <w:szCs w:val="24"/>
        </w:rPr>
        <w:t>.</w:t>
      </w:r>
    </w:p>
    <w:p w14:paraId="7802F883" w14:textId="1D7EB0AF" w:rsidR="001F4890" w:rsidRPr="001A579A" w:rsidRDefault="001F4890" w:rsidP="001F4890">
      <w:pPr>
        <w:spacing w:after="120"/>
        <w:ind w:left="1134" w:hanging="1134"/>
        <w:jc w:val="both"/>
        <w:rPr>
          <w:rFonts w:ascii="Times New Roman" w:hAnsi="Times New Roman" w:cs="Times New Roman"/>
          <w:sz w:val="24"/>
          <w:szCs w:val="24"/>
        </w:rPr>
      </w:pPr>
      <w:commentRangeStart w:id="15"/>
      <w:r w:rsidRPr="001A579A">
        <w:rPr>
          <w:rFonts w:ascii="Times New Roman" w:hAnsi="Times New Roman" w:cs="Times New Roman"/>
          <w:sz w:val="24"/>
          <w:szCs w:val="24"/>
        </w:rPr>
        <w:t xml:space="preserve">Venkata Subbaiah, K., R.V.S.K. Reddy, G. Shali Raju, E. Karunasree, V. Sekhar, T. Vijaya Nirmala, A. </w:t>
      </w:r>
      <w:proofErr w:type="spellStart"/>
      <w:r w:rsidRPr="001A579A">
        <w:rPr>
          <w:rFonts w:ascii="Times New Roman" w:hAnsi="Times New Roman" w:cs="Times New Roman"/>
          <w:sz w:val="24"/>
          <w:szCs w:val="24"/>
        </w:rPr>
        <w:t>Devivaraprasad</w:t>
      </w:r>
      <w:proofErr w:type="spellEnd"/>
      <w:r w:rsidRPr="001A579A">
        <w:rPr>
          <w:rFonts w:ascii="Times New Roman" w:hAnsi="Times New Roman" w:cs="Times New Roman"/>
          <w:sz w:val="24"/>
          <w:szCs w:val="24"/>
        </w:rPr>
        <w:t xml:space="preserve"> Reddy </w:t>
      </w:r>
      <w:commentRangeStart w:id="16"/>
      <w:commentRangeStart w:id="17"/>
      <w:r w:rsidRPr="001A579A">
        <w:rPr>
          <w:rFonts w:ascii="Times New Roman" w:hAnsi="Times New Roman" w:cs="Times New Roman"/>
          <w:sz w:val="24"/>
          <w:szCs w:val="24"/>
        </w:rPr>
        <w:t>and</w:t>
      </w:r>
      <w:commentRangeEnd w:id="16"/>
      <w:r w:rsidR="001C490F">
        <w:rPr>
          <w:rStyle w:val="Refdecomentario"/>
        </w:rPr>
        <w:commentReference w:id="16"/>
      </w:r>
      <w:commentRangeEnd w:id="17"/>
      <w:r w:rsidR="001C490F">
        <w:rPr>
          <w:rStyle w:val="Refdecomentario"/>
        </w:rPr>
        <w:commentReference w:id="17"/>
      </w:r>
      <w:r w:rsidRPr="001A579A">
        <w:rPr>
          <w:rFonts w:ascii="Times New Roman" w:hAnsi="Times New Roman" w:cs="Times New Roman"/>
          <w:sz w:val="24"/>
          <w:szCs w:val="24"/>
        </w:rPr>
        <w:t xml:space="preserve"> Deepthi, V. (2018). </w:t>
      </w:r>
      <w:commentRangeEnd w:id="15"/>
      <w:r w:rsidR="001C490F">
        <w:rPr>
          <w:rStyle w:val="Refdecomentario"/>
        </w:rPr>
        <w:commentReference w:id="15"/>
      </w:r>
      <w:r w:rsidRPr="001A579A">
        <w:rPr>
          <w:rFonts w:ascii="Times New Roman" w:hAnsi="Times New Roman" w:cs="Times New Roman"/>
          <w:sz w:val="24"/>
          <w:szCs w:val="24"/>
        </w:rPr>
        <w:t xml:space="preserve">Effect of different levels of </w:t>
      </w:r>
      <w:proofErr w:type="spellStart"/>
      <w:r w:rsidRPr="001A579A">
        <w:rPr>
          <w:rFonts w:ascii="Times New Roman" w:hAnsi="Times New Roman" w:cs="Times New Roman"/>
          <w:sz w:val="24"/>
          <w:szCs w:val="24"/>
        </w:rPr>
        <w:t>arka</w:t>
      </w:r>
      <w:proofErr w:type="spellEnd"/>
      <w:r w:rsidRPr="001A579A">
        <w:rPr>
          <w:rFonts w:ascii="Times New Roman" w:hAnsi="Times New Roman" w:cs="Times New Roman"/>
          <w:sz w:val="24"/>
          <w:szCs w:val="24"/>
        </w:rPr>
        <w:t xml:space="preserve"> microbial consortium on seed germination and survival rate in brinjal cv. </w:t>
      </w:r>
      <w:proofErr w:type="spellStart"/>
      <w:r w:rsidRPr="001A579A">
        <w:rPr>
          <w:rFonts w:ascii="Times New Roman" w:hAnsi="Times New Roman" w:cs="Times New Roman"/>
          <w:sz w:val="24"/>
          <w:szCs w:val="24"/>
        </w:rPr>
        <w:t>Dommeru</w:t>
      </w:r>
      <w:proofErr w:type="spellEnd"/>
      <w:r w:rsidRPr="001A579A">
        <w:rPr>
          <w:rFonts w:ascii="Times New Roman" w:hAnsi="Times New Roman" w:cs="Times New Roman"/>
          <w:sz w:val="24"/>
          <w:szCs w:val="24"/>
        </w:rPr>
        <w:t xml:space="preserve"> Local. International Journal of Current Microbiology and Sciences, 7(06): 2821-2825.</w:t>
      </w:r>
      <w:r w:rsidR="002D1C4A">
        <w:rPr>
          <w:rFonts w:ascii="Times New Roman" w:hAnsi="Times New Roman" w:cs="Times New Roman"/>
          <w:sz w:val="24"/>
          <w:szCs w:val="24"/>
        </w:rPr>
        <w:t xml:space="preserve"> </w:t>
      </w:r>
      <w:hyperlink r:id="rId17" w:history="1">
        <w:r w:rsidR="002D1C4A" w:rsidRPr="00517A93">
          <w:rPr>
            <w:rStyle w:val="Hipervnculo"/>
            <w:rFonts w:ascii="Times New Roman" w:hAnsi="Times New Roman" w:cs="Times New Roman"/>
            <w:sz w:val="24"/>
            <w:szCs w:val="24"/>
          </w:rPr>
          <w:t>https://doi.org/10.20546/ijcmas.2018.706.331</w:t>
        </w:r>
      </w:hyperlink>
      <w:r w:rsidR="002D1C4A">
        <w:rPr>
          <w:rFonts w:ascii="Times New Roman" w:hAnsi="Times New Roman" w:cs="Times New Roman"/>
          <w:sz w:val="24"/>
          <w:szCs w:val="24"/>
        </w:rPr>
        <w:t xml:space="preserve">. </w:t>
      </w:r>
    </w:p>
    <w:sectPr w:rsidR="001F4890" w:rsidRPr="001A579A" w:rsidSect="0064701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jandro" w:date="2026-06-04T17:03:00Z" w:initials="A">
    <w:p w14:paraId="7B415FBA" w14:textId="6AB3802C" w:rsidR="000F54F5" w:rsidRDefault="000F54F5">
      <w:pPr>
        <w:pStyle w:val="Textocomentario"/>
      </w:pPr>
      <w:r>
        <w:rPr>
          <w:rStyle w:val="Refdecomentario"/>
        </w:rPr>
        <w:annotationRef/>
      </w:r>
      <w:r w:rsidR="0036249E">
        <w:rPr>
          <w:rStyle w:val="rynqvb"/>
          <w:lang w:val="en"/>
        </w:rPr>
        <w:t>Separate the % from the numeric value</w:t>
      </w:r>
    </w:p>
  </w:comment>
  <w:comment w:id="1" w:author="Alejandro" w:date="2026-06-04T17:05:00Z" w:initials="A">
    <w:p w14:paraId="29DC5684" w14:textId="7E02479A" w:rsidR="0036249E" w:rsidRDefault="0036249E">
      <w:pPr>
        <w:pStyle w:val="Textocomentario"/>
      </w:pPr>
      <w:r>
        <w:rPr>
          <w:rStyle w:val="Refdecomentario"/>
        </w:rPr>
        <w:annotationRef/>
      </w:r>
      <w:r>
        <w:rPr>
          <w:rStyle w:val="rynqvb"/>
          <w:lang w:val="en"/>
        </w:rPr>
        <w:t>Separate the % from the numeric value</w:t>
      </w:r>
    </w:p>
  </w:comment>
  <w:comment w:id="2" w:author="Alejandro" w:date="2026-06-04T17:01:00Z" w:initials="A">
    <w:p w14:paraId="13AEE32C" w14:textId="75FBA54A" w:rsidR="00F300AC" w:rsidRDefault="00F300AC">
      <w:pPr>
        <w:pStyle w:val="Textocomentario"/>
      </w:pPr>
      <w:r>
        <w:rPr>
          <w:rStyle w:val="Refdecomentario"/>
        </w:rPr>
        <w:annotationRef/>
      </w:r>
      <w:r>
        <w:rPr>
          <w:rStyle w:val="rynqvb"/>
          <w:lang w:val="en"/>
        </w:rPr>
        <w:t>Keywords should not include abbreviations; the number of keywords can be reduced to five words.</w:t>
      </w:r>
    </w:p>
  </w:comment>
  <w:comment w:id="3" w:author="Alejandro" w:date="2026-06-04T17:06:00Z" w:initials="A">
    <w:p w14:paraId="66B6E165" w14:textId="1AAFCD8C" w:rsidR="00832A01" w:rsidRDefault="00832A01">
      <w:pPr>
        <w:pStyle w:val="Textocomentario"/>
      </w:pPr>
      <w:r>
        <w:rPr>
          <w:rStyle w:val="Refdecomentario"/>
        </w:rPr>
        <w:annotationRef/>
      </w:r>
      <w:r>
        <w:rPr>
          <w:rStyle w:val="rynqvb"/>
          <w:lang w:val="en"/>
        </w:rPr>
        <w:t>Here it should be replaced by the symbol</w:t>
      </w:r>
      <w:r>
        <w:rPr>
          <w:rStyle w:val="rynqvb"/>
          <w:lang w:val="en"/>
        </w:rPr>
        <w:t xml:space="preserve"> (&amp;)</w:t>
      </w:r>
    </w:p>
  </w:comment>
  <w:comment w:id="4" w:author="Alejandro" w:date="2026-06-04T17:08:00Z" w:initials="A">
    <w:p w14:paraId="6622D9CE" w14:textId="6C500F9B" w:rsidR="00ED5F9A" w:rsidRDefault="00ED5F9A">
      <w:pPr>
        <w:pStyle w:val="Textocomentario"/>
      </w:pPr>
      <w:r>
        <w:rPr>
          <w:rStyle w:val="Refdecomentario"/>
        </w:rPr>
        <w:annotationRef/>
      </w:r>
      <w:r>
        <w:rPr>
          <w:rStyle w:val="rynqvb"/>
          <w:lang w:val="en"/>
        </w:rPr>
        <w:t>With the update of the APA style to the 7th edition, the comma (,) after the last name is not used</w:t>
      </w:r>
    </w:p>
  </w:comment>
  <w:comment w:id="5" w:author="Alejandro" w:date="2026-06-04T17:09:00Z" w:initials="A">
    <w:p w14:paraId="4B972105" w14:textId="0BDC31EF" w:rsidR="00E82E34" w:rsidRDefault="00E82E34">
      <w:pPr>
        <w:pStyle w:val="Textocomentario"/>
      </w:pPr>
      <w:r>
        <w:rPr>
          <w:rStyle w:val="Refdecomentario"/>
        </w:rPr>
        <w:annotationRef/>
      </w:r>
      <w:r>
        <w:rPr>
          <w:rStyle w:val="rynqvb"/>
          <w:lang w:val="en"/>
        </w:rPr>
        <w:t>Here, just like before</w:t>
      </w:r>
    </w:p>
  </w:comment>
  <w:comment w:id="6" w:author="Alejandro" w:date="2026-06-04T17:10:00Z" w:initials="A">
    <w:p w14:paraId="19745AE5" w14:textId="5D4F142C" w:rsidR="00E82E34" w:rsidRDefault="00E82E34">
      <w:pPr>
        <w:pStyle w:val="Textocomentario"/>
      </w:pPr>
      <w:r>
        <w:rPr>
          <w:rStyle w:val="Refdecomentario"/>
        </w:rPr>
        <w:annotationRef/>
      </w:r>
      <w:r>
        <w:rPr>
          <w:rStyle w:val="rynqvb"/>
          <w:lang w:val="en"/>
        </w:rPr>
        <w:t>Here, just like before</w:t>
      </w:r>
    </w:p>
  </w:comment>
  <w:comment w:id="7" w:author="Alejandro" w:date="2026-06-04T17:12:00Z" w:initials="A">
    <w:p w14:paraId="77614C7E" w14:textId="6E5E03A4" w:rsidR="00C462B8" w:rsidRDefault="00C462B8">
      <w:pPr>
        <w:pStyle w:val="Textocomentario"/>
      </w:pPr>
      <w:r>
        <w:rPr>
          <w:rStyle w:val="Refdecomentario"/>
        </w:rPr>
        <w:annotationRef/>
      </w:r>
      <w:r>
        <w:rPr>
          <w:rStyle w:val="rynqvb"/>
          <w:lang w:val="en"/>
        </w:rPr>
        <w:t>Unify the decimal separators to (,) or (.)</w:t>
      </w:r>
    </w:p>
  </w:comment>
  <w:comment w:id="8" w:author="Alejandro" w:date="2026-06-04T17:21:00Z" w:initials="A">
    <w:p w14:paraId="68DE8D66" w14:textId="7B778696" w:rsidR="00C462B8" w:rsidRDefault="00C462B8">
      <w:pPr>
        <w:pStyle w:val="Textocomentario"/>
      </w:pPr>
      <w:r>
        <w:rPr>
          <w:rStyle w:val="Refdecomentario"/>
        </w:rPr>
        <w:annotationRef/>
      </w:r>
      <w:r>
        <w:rPr>
          <w:rStyle w:val="rynqvb"/>
          <w:lang w:val="en"/>
        </w:rPr>
        <w:t>Enter the URL of the reference https://www.cabidigitallibrary.org/doi/full/10.5555/20113405537</w:t>
      </w:r>
    </w:p>
  </w:comment>
  <w:comment w:id="9" w:author="Alejandro" w:date="2026-06-04T17:21:00Z" w:initials="A">
    <w:p w14:paraId="3A5215C8" w14:textId="11B3351F" w:rsidR="0029511B" w:rsidRDefault="0029511B">
      <w:pPr>
        <w:pStyle w:val="Textocomentario"/>
      </w:pPr>
      <w:r>
        <w:rPr>
          <w:rStyle w:val="Refdecomentario"/>
        </w:rPr>
        <w:annotationRef/>
      </w:r>
      <w:r>
        <w:rPr>
          <w:rStyle w:val="rynqvb"/>
          <w:lang w:val="en"/>
        </w:rPr>
        <w:t>Here it should be replaced by the symbol (&amp;)</w:t>
      </w:r>
    </w:p>
  </w:comment>
  <w:comment w:id="10" w:author="Alejandro" w:date="2026-06-04T17:22:00Z" w:initials="A">
    <w:p w14:paraId="23099ED6" w14:textId="1E95EBD6" w:rsidR="0029511B" w:rsidRDefault="0029511B">
      <w:pPr>
        <w:pStyle w:val="Textocomentario"/>
      </w:pPr>
      <w:r>
        <w:rPr>
          <w:rStyle w:val="Refdecomentario"/>
        </w:rPr>
        <w:annotationRef/>
      </w:r>
      <w:r>
        <w:rPr>
          <w:rStyle w:val="rynqvb"/>
          <w:lang w:val="en"/>
        </w:rPr>
        <w:t>Here it should be replaced by the symbol (&amp;)</w:t>
      </w:r>
    </w:p>
  </w:comment>
  <w:comment w:id="11" w:author="Alejandro" w:date="2026-06-04T17:22:00Z" w:initials="A">
    <w:p w14:paraId="78853214" w14:textId="10C5DAB2" w:rsidR="0029511B" w:rsidRDefault="0029511B">
      <w:pPr>
        <w:pStyle w:val="Textocomentario"/>
      </w:pPr>
      <w:r>
        <w:rPr>
          <w:rStyle w:val="Refdecomentario"/>
        </w:rPr>
        <w:annotationRef/>
      </w:r>
      <w:r>
        <w:rPr>
          <w:rStyle w:val="rynqvb"/>
          <w:lang w:val="en"/>
        </w:rPr>
        <w:t>Here it should be replaced by the symbol (&amp;)</w:t>
      </w:r>
    </w:p>
  </w:comment>
  <w:comment w:id="12" w:author="Alejandro" w:date="2026-06-04T17:22:00Z" w:initials="A">
    <w:p w14:paraId="045D39A4" w14:textId="48420D0F" w:rsidR="001C490F" w:rsidRDefault="001C490F">
      <w:pPr>
        <w:pStyle w:val="Textocomentario"/>
      </w:pPr>
      <w:r>
        <w:rPr>
          <w:rStyle w:val="Refdecomentario"/>
        </w:rPr>
        <w:annotationRef/>
      </w:r>
      <w:r>
        <w:rPr>
          <w:rStyle w:val="rynqvb"/>
          <w:lang w:val="en"/>
        </w:rPr>
        <w:t>Here it should be replaced by the symbol (&amp;)</w:t>
      </w:r>
    </w:p>
  </w:comment>
  <w:comment w:id="13" w:author="Alejandro" w:date="2026-06-04T17:22:00Z" w:initials="A">
    <w:p w14:paraId="28FBCFAB" w14:textId="3162D0CE" w:rsidR="001C490F" w:rsidRDefault="001C490F">
      <w:pPr>
        <w:pStyle w:val="Textocomentario"/>
      </w:pPr>
      <w:r>
        <w:rPr>
          <w:rStyle w:val="Refdecomentario"/>
        </w:rPr>
        <w:annotationRef/>
      </w:r>
      <w:r>
        <w:rPr>
          <w:rStyle w:val="rynqvb"/>
          <w:lang w:val="en"/>
        </w:rPr>
        <w:t>Here it should be replaced by the symbol (&amp;)</w:t>
      </w:r>
    </w:p>
  </w:comment>
  <w:comment w:id="14" w:author="Alejandro" w:date="2026-06-04T17:23:00Z" w:initials="A">
    <w:p w14:paraId="2BE26C11" w14:textId="0B81E007" w:rsidR="001C490F" w:rsidRDefault="001C490F">
      <w:pPr>
        <w:pStyle w:val="Textocomentario"/>
      </w:pPr>
      <w:r>
        <w:rPr>
          <w:rStyle w:val="Refdecomentario"/>
        </w:rPr>
        <w:annotationRef/>
      </w:r>
      <w:r>
        <w:rPr>
          <w:rStyle w:val="rynqvb"/>
          <w:lang w:val="en"/>
        </w:rPr>
        <w:t>Place the (.) after the letter S</w:t>
      </w:r>
    </w:p>
  </w:comment>
  <w:comment w:id="16" w:author="Alejandro" w:date="2026-06-04T17:23:00Z" w:initials="A">
    <w:p w14:paraId="36F12FF3" w14:textId="0F3CD5CA" w:rsidR="001C490F" w:rsidRDefault="001C490F">
      <w:pPr>
        <w:pStyle w:val="Textocomentario"/>
      </w:pPr>
      <w:r>
        <w:rPr>
          <w:rStyle w:val="Refdecomentario"/>
        </w:rPr>
        <w:annotationRef/>
      </w:r>
      <w:r>
        <w:rPr>
          <w:rStyle w:val="rynqvb"/>
          <w:lang w:val="en"/>
        </w:rPr>
        <w:t>Here it should be replaced by the symbol (&amp;)</w:t>
      </w:r>
    </w:p>
  </w:comment>
  <w:comment w:id="17" w:author="Alejandro" w:date="2026-06-04T17:24:00Z" w:initials="A">
    <w:p w14:paraId="6C719DAB" w14:textId="5ADF5F6A" w:rsidR="001C490F" w:rsidRDefault="001C490F">
      <w:pPr>
        <w:pStyle w:val="Textocomentario"/>
      </w:pPr>
      <w:r>
        <w:rPr>
          <w:rStyle w:val="Refdecomentario"/>
        </w:rPr>
        <w:annotationRef/>
      </w:r>
      <w:r>
        <w:rPr>
          <w:rStyle w:val="rynqvb"/>
          <w:lang w:val="en"/>
        </w:rPr>
        <w:t>Here it should be replaced by the symbol (&amp;)</w:t>
      </w:r>
    </w:p>
  </w:comment>
  <w:comment w:id="15" w:author="Alejandro" w:date="2026-06-04T17:24:00Z" w:initials="A">
    <w:p w14:paraId="465C5873" w14:textId="3BF0913E" w:rsidR="001C490F" w:rsidRDefault="001C490F">
      <w:pPr>
        <w:pStyle w:val="Textocomentario"/>
      </w:pPr>
      <w:r>
        <w:rPr>
          <w:rStyle w:val="Refdecomentario"/>
        </w:rPr>
        <w:annotationRef/>
      </w:r>
      <w:r>
        <w:rPr>
          <w:rStyle w:val="rynqvb"/>
          <w:lang w:val="en"/>
        </w:rPr>
        <w:t>The authors' surnames should be standardized; either both surnames should be used, or only one, to ensure uniformity.</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15FBA" w15:done="0"/>
  <w15:commentEx w15:paraId="29DC5684" w15:done="0"/>
  <w15:commentEx w15:paraId="13AEE32C" w15:done="0"/>
  <w15:commentEx w15:paraId="66B6E165" w15:done="0"/>
  <w15:commentEx w15:paraId="6622D9CE" w15:done="0"/>
  <w15:commentEx w15:paraId="4B972105" w15:done="0"/>
  <w15:commentEx w15:paraId="19745AE5" w15:done="0"/>
  <w15:commentEx w15:paraId="77614C7E" w15:done="0"/>
  <w15:commentEx w15:paraId="68DE8D66" w15:done="0"/>
  <w15:commentEx w15:paraId="3A5215C8" w15:done="0"/>
  <w15:commentEx w15:paraId="23099ED6" w15:done="0"/>
  <w15:commentEx w15:paraId="78853214" w15:done="0"/>
  <w15:commentEx w15:paraId="045D39A4" w15:done="0"/>
  <w15:commentEx w15:paraId="28FBCFAB" w15:done="0"/>
  <w15:commentEx w15:paraId="2BE26C11" w15:done="0"/>
  <w15:commentEx w15:paraId="36F12FF3" w15:done="0"/>
  <w15:commentEx w15:paraId="6C719DAB" w15:done="0"/>
  <w15:commentEx w15:paraId="465C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15FBA" w16cid:durableId="2DCC2E6E"/>
  <w16cid:commentId w16cid:paraId="29DC5684" w16cid:durableId="2DCC2EDA"/>
  <w16cid:commentId w16cid:paraId="13AEE32C" w16cid:durableId="2DCC2DEF"/>
  <w16cid:commentId w16cid:paraId="66B6E165" w16cid:durableId="2DCC2F24"/>
  <w16cid:commentId w16cid:paraId="6622D9CE" w16cid:durableId="2DCC2F7E"/>
  <w16cid:commentId w16cid:paraId="4B972105" w16cid:durableId="2DCC2FD3"/>
  <w16cid:commentId w16cid:paraId="19745AE5" w16cid:durableId="2DCC2FF9"/>
  <w16cid:commentId w16cid:paraId="77614C7E" w16cid:durableId="2DCC3083"/>
  <w16cid:commentId w16cid:paraId="68DE8D66" w16cid:durableId="2DCC327C"/>
  <w16cid:commentId w16cid:paraId="3A5215C8" w16cid:durableId="2DCC3295"/>
  <w16cid:commentId w16cid:paraId="23099ED6" w16cid:durableId="2DCC32C2"/>
  <w16cid:commentId w16cid:paraId="78853214" w16cid:durableId="2DCC32CF"/>
  <w16cid:commentId w16cid:paraId="045D39A4" w16cid:durableId="2DCC32DB"/>
  <w16cid:commentId w16cid:paraId="28FBCFAB" w16cid:durableId="2DCC32F2"/>
  <w16cid:commentId w16cid:paraId="2BE26C11" w16cid:durableId="2DCC3307"/>
  <w16cid:commentId w16cid:paraId="36F12FF3" w16cid:durableId="2DCC32FD"/>
  <w16cid:commentId w16cid:paraId="6C719DAB" w16cid:durableId="2DCC3341"/>
  <w16cid:commentId w16cid:paraId="465C5873" w16cid:durableId="2DCC33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81C45" w14:textId="77777777" w:rsidR="00795EBD" w:rsidRDefault="00795EBD" w:rsidP="00E864F0">
      <w:pPr>
        <w:spacing w:after="0" w:line="240" w:lineRule="auto"/>
      </w:pPr>
      <w:r>
        <w:separator/>
      </w:r>
    </w:p>
  </w:endnote>
  <w:endnote w:type="continuationSeparator" w:id="0">
    <w:p w14:paraId="080FF159" w14:textId="77777777" w:rsidR="00795EBD" w:rsidRDefault="00795EBD" w:rsidP="00E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E84A" w14:textId="77777777" w:rsidR="00E864F0" w:rsidRDefault="00E86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6BAD" w14:textId="77777777" w:rsidR="00E864F0" w:rsidRDefault="00E864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8EA3" w14:textId="77777777" w:rsidR="00E864F0" w:rsidRDefault="00E8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CF869" w14:textId="77777777" w:rsidR="00795EBD" w:rsidRDefault="00795EBD" w:rsidP="00E864F0">
      <w:pPr>
        <w:spacing w:after="0" w:line="240" w:lineRule="auto"/>
      </w:pPr>
      <w:r>
        <w:separator/>
      </w:r>
    </w:p>
  </w:footnote>
  <w:footnote w:type="continuationSeparator" w:id="0">
    <w:p w14:paraId="1871C75E" w14:textId="77777777" w:rsidR="00795EBD" w:rsidRDefault="00795EBD" w:rsidP="00E8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6EF5" w14:textId="5650D5C4" w:rsidR="00E864F0" w:rsidRDefault="00795EBD">
    <w:pPr>
      <w:pStyle w:val="Encabezado"/>
    </w:pPr>
    <w:r>
      <w:rPr>
        <w:noProof/>
      </w:rPr>
      <w:pict w14:anchorId="3769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0049" w14:textId="035F9F59" w:rsidR="00E864F0" w:rsidRDefault="00795EBD">
    <w:pPr>
      <w:pStyle w:val="Encabezado"/>
    </w:pPr>
    <w:r>
      <w:rPr>
        <w:noProof/>
      </w:rPr>
      <w:pict w14:anchorId="282A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F916D" w14:textId="40DA6C9E" w:rsidR="00E864F0" w:rsidRDefault="00795EBD">
    <w:pPr>
      <w:pStyle w:val="Encabezado"/>
    </w:pPr>
    <w:r>
      <w:rPr>
        <w:noProof/>
      </w:rPr>
      <w:pict w14:anchorId="2CB54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8B2"/>
    <w:multiLevelType w:val="hybridMultilevel"/>
    <w:tmpl w:val="676E42EC"/>
    <w:lvl w:ilvl="0" w:tplc="42D0A19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jandro">
    <w15:presenceInfo w15:providerId="Windows Live" w15:userId="9e2132eeefc6b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D"/>
    <w:rsid w:val="00005970"/>
    <w:rsid w:val="0001324C"/>
    <w:rsid w:val="0001461E"/>
    <w:rsid w:val="00031FED"/>
    <w:rsid w:val="00037A4F"/>
    <w:rsid w:val="00056098"/>
    <w:rsid w:val="000747B6"/>
    <w:rsid w:val="00085344"/>
    <w:rsid w:val="000C3878"/>
    <w:rsid w:val="000C71A2"/>
    <w:rsid w:val="000F54F5"/>
    <w:rsid w:val="0017470C"/>
    <w:rsid w:val="0017632B"/>
    <w:rsid w:val="001A579A"/>
    <w:rsid w:val="001C490F"/>
    <w:rsid w:val="001F4890"/>
    <w:rsid w:val="00252CC4"/>
    <w:rsid w:val="00287418"/>
    <w:rsid w:val="0029511B"/>
    <w:rsid w:val="002D1C4A"/>
    <w:rsid w:val="002D5F45"/>
    <w:rsid w:val="003072EE"/>
    <w:rsid w:val="00337E17"/>
    <w:rsid w:val="0036249E"/>
    <w:rsid w:val="0036555D"/>
    <w:rsid w:val="00393E94"/>
    <w:rsid w:val="003A31B8"/>
    <w:rsid w:val="003D6785"/>
    <w:rsid w:val="003E4C4D"/>
    <w:rsid w:val="004367F4"/>
    <w:rsid w:val="004441BA"/>
    <w:rsid w:val="004538A9"/>
    <w:rsid w:val="00467373"/>
    <w:rsid w:val="004F3943"/>
    <w:rsid w:val="00512303"/>
    <w:rsid w:val="00533609"/>
    <w:rsid w:val="005B759F"/>
    <w:rsid w:val="0064701D"/>
    <w:rsid w:val="00657C2D"/>
    <w:rsid w:val="0067099D"/>
    <w:rsid w:val="00691536"/>
    <w:rsid w:val="006B42E0"/>
    <w:rsid w:val="00704142"/>
    <w:rsid w:val="00711184"/>
    <w:rsid w:val="007135F3"/>
    <w:rsid w:val="00746443"/>
    <w:rsid w:val="0078632B"/>
    <w:rsid w:val="007901D3"/>
    <w:rsid w:val="00795EBD"/>
    <w:rsid w:val="007C0A24"/>
    <w:rsid w:val="007F3D7A"/>
    <w:rsid w:val="0081144E"/>
    <w:rsid w:val="00832A01"/>
    <w:rsid w:val="00896A48"/>
    <w:rsid w:val="008B243A"/>
    <w:rsid w:val="008E147A"/>
    <w:rsid w:val="00946DFB"/>
    <w:rsid w:val="009B11D6"/>
    <w:rsid w:val="009F0A11"/>
    <w:rsid w:val="00A34E18"/>
    <w:rsid w:val="00A504E2"/>
    <w:rsid w:val="00A75091"/>
    <w:rsid w:val="00AB4666"/>
    <w:rsid w:val="00AC497F"/>
    <w:rsid w:val="00AE11DA"/>
    <w:rsid w:val="00AE7646"/>
    <w:rsid w:val="00AF3FAE"/>
    <w:rsid w:val="00B54240"/>
    <w:rsid w:val="00B54750"/>
    <w:rsid w:val="00B84A38"/>
    <w:rsid w:val="00BC40C8"/>
    <w:rsid w:val="00C462B8"/>
    <w:rsid w:val="00C53587"/>
    <w:rsid w:val="00C57B71"/>
    <w:rsid w:val="00CA5E1A"/>
    <w:rsid w:val="00CF3194"/>
    <w:rsid w:val="00D207B2"/>
    <w:rsid w:val="00D275E1"/>
    <w:rsid w:val="00DB44F3"/>
    <w:rsid w:val="00DB701A"/>
    <w:rsid w:val="00DE1354"/>
    <w:rsid w:val="00E12435"/>
    <w:rsid w:val="00E80A0A"/>
    <w:rsid w:val="00E82E34"/>
    <w:rsid w:val="00E864F0"/>
    <w:rsid w:val="00EB3B84"/>
    <w:rsid w:val="00ED5F9A"/>
    <w:rsid w:val="00EF5758"/>
    <w:rsid w:val="00F0729E"/>
    <w:rsid w:val="00F300AC"/>
    <w:rsid w:val="00F331F9"/>
    <w:rsid w:val="00F73E0D"/>
    <w:rsid w:val="00F97BAA"/>
    <w:rsid w:val="00FE4719"/>
    <w:rsid w:val="00FE6C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695AD"/>
  <w15:chartTrackingRefBased/>
  <w15:docId w15:val="{6081E5D7-9BA2-4845-868D-5409C035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Ttulo1">
    <w:name w:val="heading 1"/>
    <w:basedOn w:val="Normal"/>
    <w:next w:val="Normal"/>
    <w:link w:val="Ttulo1Car"/>
    <w:uiPriority w:val="9"/>
    <w:qFormat/>
    <w:rsid w:val="00657C2D"/>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Ttulo2">
    <w:name w:val="heading 2"/>
    <w:basedOn w:val="Normal"/>
    <w:next w:val="Normal"/>
    <w:link w:val="Ttulo2Car"/>
    <w:uiPriority w:val="9"/>
    <w:semiHidden/>
    <w:unhideWhenUsed/>
    <w:qFormat/>
    <w:rsid w:val="00657C2D"/>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Ttulo3">
    <w:name w:val="heading 3"/>
    <w:basedOn w:val="Normal"/>
    <w:next w:val="Normal"/>
    <w:link w:val="Ttulo3Car"/>
    <w:uiPriority w:val="9"/>
    <w:semiHidden/>
    <w:unhideWhenUsed/>
    <w:qFormat/>
    <w:rsid w:val="00657C2D"/>
    <w:pPr>
      <w:keepNext/>
      <w:keepLines/>
      <w:spacing w:before="160" w:after="80"/>
      <w:outlineLvl w:val="2"/>
    </w:pPr>
    <w:rPr>
      <w:rFonts w:eastAsiaTheme="majorEastAsia" w:cstheme="majorBidi"/>
      <w:color w:val="2E74B5" w:themeColor="accent1" w:themeShade="BF"/>
      <w:sz w:val="28"/>
      <w:szCs w:val="25"/>
    </w:rPr>
  </w:style>
  <w:style w:type="paragraph" w:styleId="Ttulo4">
    <w:name w:val="heading 4"/>
    <w:basedOn w:val="Normal"/>
    <w:next w:val="Normal"/>
    <w:link w:val="Ttulo4Car"/>
    <w:uiPriority w:val="9"/>
    <w:unhideWhenUsed/>
    <w:qFormat/>
    <w:rsid w:val="00657C2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57C2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57C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7C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7C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7C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C2D"/>
    <w:rPr>
      <w:rFonts w:asciiTheme="majorHAnsi" w:eastAsiaTheme="majorEastAsia" w:hAnsiTheme="majorHAnsi" w:cstheme="majorBidi"/>
      <w:color w:val="2E74B5" w:themeColor="accent1" w:themeShade="BF"/>
      <w:sz w:val="40"/>
      <w:szCs w:val="36"/>
    </w:rPr>
  </w:style>
  <w:style w:type="character" w:customStyle="1" w:styleId="Ttulo2Car">
    <w:name w:val="Título 2 Car"/>
    <w:basedOn w:val="Fuentedeprrafopredeter"/>
    <w:link w:val="Ttulo2"/>
    <w:uiPriority w:val="9"/>
    <w:semiHidden/>
    <w:rsid w:val="00657C2D"/>
    <w:rPr>
      <w:rFonts w:asciiTheme="majorHAnsi" w:eastAsiaTheme="majorEastAsia" w:hAnsiTheme="majorHAnsi" w:cstheme="majorBidi"/>
      <w:color w:val="2E74B5" w:themeColor="accent1" w:themeShade="BF"/>
      <w:sz w:val="32"/>
      <w:szCs w:val="29"/>
    </w:rPr>
  </w:style>
  <w:style w:type="character" w:customStyle="1" w:styleId="Ttulo3Car">
    <w:name w:val="Título 3 Car"/>
    <w:basedOn w:val="Fuentedeprrafopredeter"/>
    <w:link w:val="Ttulo3"/>
    <w:uiPriority w:val="9"/>
    <w:semiHidden/>
    <w:rsid w:val="00657C2D"/>
    <w:rPr>
      <w:rFonts w:eastAsiaTheme="majorEastAsia" w:cstheme="majorBidi"/>
      <w:color w:val="2E74B5" w:themeColor="accent1" w:themeShade="BF"/>
      <w:sz w:val="28"/>
      <w:szCs w:val="25"/>
    </w:rPr>
  </w:style>
  <w:style w:type="character" w:customStyle="1" w:styleId="Ttulo4Car">
    <w:name w:val="Título 4 Car"/>
    <w:basedOn w:val="Fuentedeprrafopredeter"/>
    <w:link w:val="Ttulo4"/>
    <w:uiPriority w:val="9"/>
    <w:rsid w:val="00657C2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57C2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57C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7C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7C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7C2D"/>
    <w:rPr>
      <w:rFonts w:eastAsiaTheme="majorEastAsia" w:cstheme="majorBidi"/>
      <w:color w:val="272727" w:themeColor="text1" w:themeTint="D8"/>
    </w:rPr>
  </w:style>
  <w:style w:type="paragraph" w:styleId="Ttulo">
    <w:name w:val="Title"/>
    <w:basedOn w:val="Normal"/>
    <w:next w:val="Normal"/>
    <w:link w:val="TtuloCar"/>
    <w:uiPriority w:val="10"/>
    <w:qFormat/>
    <w:rsid w:val="00657C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657C2D"/>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657C2D"/>
    <w:pPr>
      <w:numPr>
        <w:ilvl w:val="1"/>
      </w:numPr>
    </w:pPr>
    <w:rPr>
      <w:rFonts w:eastAsiaTheme="majorEastAsia" w:cstheme="majorBidi"/>
      <w:color w:val="595959" w:themeColor="text1" w:themeTint="A6"/>
      <w:spacing w:val="15"/>
      <w:sz w:val="28"/>
      <w:szCs w:val="25"/>
    </w:rPr>
  </w:style>
  <w:style w:type="character" w:customStyle="1" w:styleId="SubttuloCar">
    <w:name w:val="Subtítulo Car"/>
    <w:basedOn w:val="Fuentedeprrafopredeter"/>
    <w:link w:val="Subttulo"/>
    <w:uiPriority w:val="11"/>
    <w:rsid w:val="00657C2D"/>
    <w:rPr>
      <w:rFonts w:eastAsiaTheme="majorEastAsia" w:cstheme="majorBidi"/>
      <w:color w:val="595959" w:themeColor="text1" w:themeTint="A6"/>
      <w:spacing w:val="15"/>
      <w:sz w:val="28"/>
      <w:szCs w:val="25"/>
    </w:rPr>
  </w:style>
  <w:style w:type="paragraph" w:styleId="Cita">
    <w:name w:val="Quote"/>
    <w:basedOn w:val="Normal"/>
    <w:next w:val="Normal"/>
    <w:link w:val="CitaCar"/>
    <w:uiPriority w:val="29"/>
    <w:qFormat/>
    <w:rsid w:val="00657C2D"/>
    <w:pPr>
      <w:spacing w:before="160"/>
      <w:jc w:val="center"/>
    </w:pPr>
    <w:rPr>
      <w:i/>
      <w:iCs/>
      <w:color w:val="404040" w:themeColor="text1" w:themeTint="BF"/>
    </w:rPr>
  </w:style>
  <w:style w:type="character" w:customStyle="1" w:styleId="CitaCar">
    <w:name w:val="Cita Car"/>
    <w:basedOn w:val="Fuentedeprrafopredeter"/>
    <w:link w:val="Cita"/>
    <w:uiPriority w:val="29"/>
    <w:rsid w:val="00657C2D"/>
    <w:rPr>
      <w:rFonts w:cs="Mangal"/>
      <w:i/>
      <w:iCs/>
      <w:color w:val="404040" w:themeColor="text1" w:themeTint="BF"/>
    </w:rPr>
  </w:style>
  <w:style w:type="paragraph" w:styleId="Prrafodelista">
    <w:name w:val="List Paragraph"/>
    <w:basedOn w:val="Normal"/>
    <w:uiPriority w:val="34"/>
    <w:qFormat/>
    <w:rsid w:val="00657C2D"/>
    <w:pPr>
      <w:ind w:left="720"/>
      <w:contextualSpacing/>
    </w:pPr>
  </w:style>
  <w:style w:type="character" w:styleId="nfasisintenso">
    <w:name w:val="Intense Emphasis"/>
    <w:basedOn w:val="Fuentedeprrafopredeter"/>
    <w:uiPriority w:val="21"/>
    <w:qFormat/>
    <w:rsid w:val="00657C2D"/>
    <w:rPr>
      <w:i/>
      <w:iCs/>
      <w:color w:val="2E74B5" w:themeColor="accent1" w:themeShade="BF"/>
    </w:rPr>
  </w:style>
  <w:style w:type="paragraph" w:styleId="Citadestacada">
    <w:name w:val="Intense Quote"/>
    <w:basedOn w:val="Normal"/>
    <w:next w:val="Normal"/>
    <w:link w:val="CitadestacadaCar"/>
    <w:uiPriority w:val="30"/>
    <w:qFormat/>
    <w:rsid w:val="00657C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57C2D"/>
    <w:rPr>
      <w:rFonts w:cs="Mangal"/>
      <w:i/>
      <w:iCs/>
      <w:color w:val="2E74B5" w:themeColor="accent1" w:themeShade="BF"/>
    </w:rPr>
  </w:style>
  <w:style w:type="character" w:styleId="Referenciaintensa">
    <w:name w:val="Intense Reference"/>
    <w:basedOn w:val="Fuentedeprrafopredeter"/>
    <w:uiPriority w:val="32"/>
    <w:qFormat/>
    <w:rsid w:val="00657C2D"/>
    <w:rPr>
      <w:b/>
      <w:bCs/>
      <w:smallCaps/>
      <w:color w:val="2E74B5" w:themeColor="accent1" w:themeShade="BF"/>
      <w:spacing w:val="5"/>
    </w:rPr>
  </w:style>
  <w:style w:type="character" w:styleId="Hipervnculo">
    <w:name w:val="Hyperlink"/>
    <w:basedOn w:val="Fuentedeprrafopredeter"/>
    <w:uiPriority w:val="99"/>
    <w:unhideWhenUsed/>
    <w:rsid w:val="0017470C"/>
    <w:rPr>
      <w:color w:val="0563C1" w:themeColor="hyperlink"/>
      <w:u w:val="single"/>
    </w:rPr>
  </w:style>
  <w:style w:type="character" w:styleId="Mencinsinresolver">
    <w:name w:val="Unresolved Mention"/>
    <w:basedOn w:val="Fuentedeprrafopredeter"/>
    <w:uiPriority w:val="99"/>
    <w:semiHidden/>
    <w:unhideWhenUsed/>
    <w:rsid w:val="0017470C"/>
    <w:rPr>
      <w:color w:val="605E5C"/>
      <w:shd w:val="clear" w:color="auto" w:fill="E1DFDD"/>
    </w:rPr>
  </w:style>
  <w:style w:type="paragraph" w:styleId="NormalWeb">
    <w:name w:val="Normal (Web)"/>
    <w:basedOn w:val="Normal"/>
    <w:uiPriority w:val="99"/>
    <w:semiHidden/>
    <w:unhideWhenUsed/>
    <w:rsid w:val="00337E17"/>
    <w:rPr>
      <w:rFonts w:ascii="Times New Roman" w:hAnsi="Times New Roman"/>
      <w:sz w:val="24"/>
      <w:szCs w:val="21"/>
    </w:rPr>
  </w:style>
  <w:style w:type="character" w:customStyle="1" w:styleId="go">
    <w:name w:val="go"/>
    <w:basedOn w:val="Fuentedeprrafopredeter"/>
    <w:rsid w:val="0081144E"/>
  </w:style>
  <w:style w:type="paragraph" w:styleId="Encabezado">
    <w:name w:val="header"/>
    <w:basedOn w:val="Normal"/>
    <w:link w:val="EncabezadoCar"/>
    <w:uiPriority w:val="99"/>
    <w:unhideWhenUsed/>
    <w:rsid w:val="00E864F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64F0"/>
    <w:rPr>
      <w:rFonts w:cs="Mangal"/>
    </w:rPr>
  </w:style>
  <w:style w:type="paragraph" w:styleId="Piedepgina">
    <w:name w:val="footer"/>
    <w:basedOn w:val="Normal"/>
    <w:link w:val="PiedepginaCar"/>
    <w:uiPriority w:val="99"/>
    <w:unhideWhenUsed/>
    <w:rsid w:val="00E864F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64F0"/>
    <w:rPr>
      <w:rFonts w:cs="Mangal"/>
    </w:rPr>
  </w:style>
  <w:style w:type="character" w:styleId="Refdecomentario">
    <w:name w:val="annotation reference"/>
    <w:basedOn w:val="Fuentedeprrafopredeter"/>
    <w:uiPriority w:val="99"/>
    <w:semiHidden/>
    <w:unhideWhenUsed/>
    <w:rsid w:val="00F300AC"/>
    <w:rPr>
      <w:sz w:val="16"/>
      <w:szCs w:val="16"/>
    </w:rPr>
  </w:style>
  <w:style w:type="paragraph" w:styleId="Textocomentario">
    <w:name w:val="annotation text"/>
    <w:basedOn w:val="Normal"/>
    <w:link w:val="TextocomentarioCar"/>
    <w:uiPriority w:val="99"/>
    <w:semiHidden/>
    <w:unhideWhenUsed/>
    <w:rsid w:val="00F300AC"/>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F300AC"/>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F300AC"/>
    <w:rPr>
      <w:b/>
      <w:bCs/>
    </w:rPr>
  </w:style>
  <w:style w:type="character" w:customStyle="1" w:styleId="AsuntodelcomentarioCar">
    <w:name w:val="Asunto del comentario Car"/>
    <w:basedOn w:val="TextocomentarioCar"/>
    <w:link w:val="Asuntodelcomentario"/>
    <w:uiPriority w:val="99"/>
    <w:semiHidden/>
    <w:rsid w:val="00F300AC"/>
    <w:rPr>
      <w:rFonts w:cs="Mangal"/>
      <w:b/>
      <w:bCs/>
      <w:sz w:val="20"/>
      <w:szCs w:val="18"/>
    </w:rPr>
  </w:style>
  <w:style w:type="paragraph" w:styleId="Textodeglobo">
    <w:name w:val="Balloon Text"/>
    <w:basedOn w:val="Normal"/>
    <w:link w:val="TextodegloboCar"/>
    <w:uiPriority w:val="99"/>
    <w:semiHidden/>
    <w:unhideWhenUsed/>
    <w:rsid w:val="00F300AC"/>
    <w:pPr>
      <w:spacing w:after="0" w:line="240" w:lineRule="auto"/>
    </w:pPr>
    <w:rPr>
      <w:rFonts w:ascii="Segoe UI" w:hAnsi="Segoe UI"/>
      <w:sz w:val="18"/>
      <w:szCs w:val="16"/>
    </w:rPr>
  </w:style>
  <w:style w:type="character" w:customStyle="1" w:styleId="TextodegloboCar">
    <w:name w:val="Texto de globo Car"/>
    <w:basedOn w:val="Fuentedeprrafopredeter"/>
    <w:link w:val="Textodeglobo"/>
    <w:uiPriority w:val="99"/>
    <w:semiHidden/>
    <w:rsid w:val="00F300AC"/>
    <w:rPr>
      <w:rFonts w:ascii="Segoe UI" w:hAnsi="Segoe UI" w:cs="Mangal"/>
      <w:sz w:val="18"/>
      <w:szCs w:val="16"/>
    </w:rPr>
  </w:style>
  <w:style w:type="character" w:customStyle="1" w:styleId="rynqvb">
    <w:name w:val="rynqvb"/>
    <w:basedOn w:val="Fuentedeprrafopredeter"/>
    <w:rsid w:val="00F3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2">
      <w:bodyDiv w:val="1"/>
      <w:marLeft w:val="0"/>
      <w:marRight w:val="0"/>
      <w:marTop w:val="0"/>
      <w:marBottom w:val="0"/>
      <w:divBdr>
        <w:top w:val="none" w:sz="0" w:space="0" w:color="auto"/>
        <w:left w:val="none" w:sz="0" w:space="0" w:color="auto"/>
        <w:bottom w:val="none" w:sz="0" w:space="0" w:color="auto"/>
        <w:right w:val="none" w:sz="0" w:space="0" w:color="auto"/>
      </w:divBdr>
    </w:div>
    <w:div w:id="834029391">
      <w:bodyDiv w:val="1"/>
      <w:marLeft w:val="0"/>
      <w:marRight w:val="0"/>
      <w:marTop w:val="0"/>
      <w:marBottom w:val="0"/>
      <w:divBdr>
        <w:top w:val="none" w:sz="0" w:space="0" w:color="auto"/>
        <w:left w:val="none" w:sz="0" w:space="0" w:color="auto"/>
        <w:bottom w:val="none" w:sz="0" w:space="0" w:color="auto"/>
        <w:right w:val="none" w:sz="0" w:space="0" w:color="auto"/>
      </w:divBdr>
    </w:div>
    <w:div w:id="842933752">
      <w:bodyDiv w:val="1"/>
      <w:marLeft w:val="0"/>
      <w:marRight w:val="0"/>
      <w:marTop w:val="0"/>
      <w:marBottom w:val="0"/>
      <w:divBdr>
        <w:top w:val="none" w:sz="0" w:space="0" w:color="auto"/>
        <w:left w:val="none" w:sz="0" w:space="0" w:color="auto"/>
        <w:bottom w:val="none" w:sz="0" w:space="0" w:color="auto"/>
        <w:right w:val="none" w:sz="0" w:space="0" w:color="auto"/>
      </w:divBdr>
    </w:div>
    <w:div w:id="1131171380">
      <w:bodyDiv w:val="1"/>
      <w:marLeft w:val="0"/>
      <w:marRight w:val="0"/>
      <w:marTop w:val="0"/>
      <w:marBottom w:val="0"/>
      <w:divBdr>
        <w:top w:val="none" w:sz="0" w:space="0" w:color="auto"/>
        <w:left w:val="none" w:sz="0" w:space="0" w:color="auto"/>
        <w:bottom w:val="none" w:sz="0" w:space="0" w:color="auto"/>
        <w:right w:val="none" w:sz="0" w:space="0" w:color="auto"/>
      </w:divBdr>
    </w:div>
    <w:div w:id="1468280480">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IJPSS/2023/v35i224144"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9734/jamb/2025/v25i6943" TargetMode="External"/><Relationship Id="rId17" Type="http://schemas.openxmlformats.org/officeDocument/2006/relationships/hyperlink" Target="https://doi.org/10.20546/ijcmas.2018.706.331"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56228/JART.2024.492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74693.2024.v8.i7Sa.14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ijpss/2024/v36i84844" TargetMode="External"/><Relationship Id="rId23" Type="http://schemas.openxmlformats.org/officeDocument/2006/relationships/footer" Target="footer3.xml"/><Relationship Id="rId10" Type="http://schemas.openxmlformats.org/officeDocument/2006/relationships/hyperlink" Target="https://doi.org/10.20546/ijcmas.2020.912.137" TargetMode="Externa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60151/envec/HEMO939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7</Pages>
  <Words>2329</Words>
  <Characters>12814</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Bundi</dc:creator>
  <cp:keywords/>
  <dc:description/>
  <cp:lastModifiedBy>Alejandro</cp:lastModifiedBy>
  <cp:revision>35</cp:revision>
  <dcterms:created xsi:type="dcterms:W3CDTF">2026-05-17T05:01:00Z</dcterms:created>
  <dcterms:modified xsi:type="dcterms:W3CDTF">2026-06-04T21:25:00Z</dcterms:modified>
</cp:coreProperties>
</file>