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B93E" w14:textId="39317431" w:rsidR="00B05A71" w:rsidRDefault="00F13287" w:rsidP="00055D83">
      <w:pPr>
        <w:spacing w:before="0" w:line="240" w:lineRule="auto"/>
        <w:jc w:val="center"/>
        <w:rPr>
          <w:rFonts w:cs="Times New Roman"/>
          <w:b/>
          <w:bCs/>
          <w:color w:val="000000" w:themeColor="text1"/>
          <w:sz w:val="36"/>
          <w:szCs w:val="36"/>
        </w:rPr>
      </w:pPr>
      <w:commentRangeStart w:id="0"/>
      <w:r w:rsidRPr="00F13287">
        <w:rPr>
          <w:rFonts w:cs="Times New Roman"/>
          <w:b/>
          <w:bCs/>
          <w:color w:val="000000" w:themeColor="text1"/>
          <w:sz w:val="36"/>
          <w:szCs w:val="36"/>
        </w:rPr>
        <w:t>RELATIONSHIP BETWEEN INTERNAL CONTROL SYSTEMS ON FINANCIAL PERFORMANCE OF NON-GOVERNMENTAL ORGANISATIONS IN KENYA, NAIROBI</w:t>
      </w:r>
      <w:commentRangeEnd w:id="0"/>
      <w:r w:rsidR="00F4318E">
        <w:rPr>
          <w:rStyle w:val="CommentReference"/>
        </w:rPr>
        <w:commentReference w:id="0"/>
      </w:r>
    </w:p>
    <w:p w14:paraId="6BD2E617" w14:textId="77777777" w:rsidR="00E270A8" w:rsidRPr="007A56B8" w:rsidRDefault="00E270A8"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20C5B92" w14:textId="77777777" w:rsidR="00DD21C0" w:rsidRDefault="00DD21C0" w:rsidP="00055D83">
      <w:pPr>
        <w:spacing w:before="0" w:line="240" w:lineRule="auto"/>
        <w:jc w:val="center"/>
        <w:rPr>
          <w:rFonts w:cs="Times New Roman"/>
          <w:b/>
          <w:color w:val="000000" w:themeColor="text1"/>
          <w:szCs w:val="24"/>
        </w:rPr>
      </w:pPr>
    </w:p>
    <w:p w14:paraId="361760B2" w14:textId="77777777" w:rsidR="0085437C" w:rsidRDefault="0085437C" w:rsidP="00055D83">
      <w:pPr>
        <w:spacing w:before="0" w:line="240" w:lineRule="auto"/>
        <w:jc w:val="center"/>
        <w:rPr>
          <w:rFonts w:cs="Times New Roman"/>
          <w:b/>
          <w:color w:val="000000" w:themeColor="text1"/>
          <w:szCs w:val="24"/>
        </w:rPr>
      </w:pPr>
    </w:p>
    <w:p w14:paraId="302459D7" w14:textId="77777777" w:rsidR="0085437C" w:rsidRPr="007A56B8" w:rsidRDefault="0085437C" w:rsidP="00055D83">
      <w:pPr>
        <w:spacing w:before="0" w:line="240" w:lineRule="auto"/>
        <w:jc w:val="center"/>
        <w:rPr>
          <w:rFonts w:cs="Times New Roman"/>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1" w:name="_Toc488404692"/>
      <w:bookmarkStart w:id="2" w:name="_Toc102409737"/>
      <w:r w:rsidRPr="007A56B8">
        <w:rPr>
          <w:b/>
          <w:sz w:val="28"/>
        </w:rPr>
        <w:t>ABSTRACT</w:t>
      </w:r>
      <w:bookmarkEnd w:id="1"/>
      <w:bookmarkEnd w:id="2"/>
    </w:p>
    <w:p w14:paraId="58C96CC3" w14:textId="77777777" w:rsidR="001A1794" w:rsidRDefault="001A1794" w:rsidP="001A1794">
      <w:pPr>
        <w:pStyle w:val="isselectedend"/>
      </w:pPr>
      <w:commentRangeStart w:id="3"/>
      <w:r>
        <w:t>Non-governmental organizations play an important role in supporting social service delivery and development initiatives in Nairobi County, Kenya. However, many organizations in this sector continue to experience financial sustainability challenges associated with weak governance practices, donor dependence, and inadequate internal control mechanisms. This study examined the relationship between internal control systems and the financial performance of non-governmental organizations in Nairobi County. The study focused on four internal control dimensions: control environment, risk assessment, control procedures, and continuous monitoring. An explanatory cross-sectional research design was adopted. Structured questionnaires were administered to a stratified sample of 372 non-governmental organizations, and the returned responses were analyzed using descriptive statistics, correlation analysis, and multiple regression analysis. Reliability testing showed acceptable internal consistency for all study constructs, with Cronbach’s alpha values above the recommended threshold of 0.70. The correlation results indicated positive and statistically significant associations between all internal control dimensions and financial performance. Regression analysis further showed that the internal control variables jointly explained a substantial proportion of the variation in financial performance, with control procedures and continuous monitoring showing comparatively stronger effects. The findings suggest that well-implemented internal control systems contribute to improved financial accountability, resource utilization, and financial stability among non-governmental organizations. The study concludes that strengthening governance structures, risk assessment practices, documented control procedures, and monitoring mechanisms is important for enhancing financial performance in the NGO sector. The study recommends that NGOs reinforce ethical standards, improve risk management systems, strengthen audit follow-up processes, and invest in staff capacity development to support effective financial management.</w:t>
      </w:r>
      <w:commentRangeEnd w:id="3"/>
      <w:r w:rsidR="00BC4BE0">
        <w:rPr>
          <w:rStyle w:val="CommentReference"/>
          <w:rFonts w:eastAsia="Calibri" w:cs="SimSun"/>
          <w:color w:val="000000"/>
          <w:lang w:bidi="ar-SA"/>
          <w14:ligatures w14:val="standardContextual"/>
        </w:rPr>
        <w:commentReference w:id="3"/>
      </w:r>
    </w:p>
    <w:p w14:paraId="6DA87711" w14:textId="0DAD9F6A" w:rsidR="005E386E" w:rsidRPr="005E386E" w:rsidRDefault="005E386E" w:rsidP="005E386E">
      <w:pPr>
        <w:spacing w:line="240" w:lineRule="auto"/>
        <w:rPr>
          <w:rFonts w:cs="Times New Roman"/>
          <w:color w:val="000000" w:themeColor="text1"/>
          <w:szCs w:val="24"/>
        </w:rPr>
      </w:pPr>
    </w:p>
    <w:p w14:paraId="2C452565" w14:textId="6DD34171" w:rsidR="004261F9" w:rsidRPr="004261F9" w:rsidRDefault="005E386E" w:rsidP="005E386E">
      <w:pPr>
        <w:spacing w:line="240" w:lineRule="auto"/>
        <w:rPr>
          <w:rFonts w:cs="Times New Roman"/>
          <w:color w:val="000000" w:themeColor="text1"/>
          <w:szCs w:val="24"/>
        </w:rPr>
      </w:pPr>
      <w:r w:rsidRPr="005E386E">
        <w:rPr>
          <w:rFonts w:cs="Times New Roman"/>
          <w:b/>
          <w:bCs/>
          <w:color w:val="000000" w:themeColor="text1"/>
          <w:szCs w:val="24"/>
        </w:rPr>
        <w:t>Key words:</w:t>
      </w:r>
      <w:r>
        <w:rPr>
          <w:rFonts w:cs="Times New Roman"/>
          <w:b/>
          <w:bCs/>
          <w:color w:val="000000" w:themeColor="text1"/>
          <w:szCs w:val="24"/>
        </w:rPr>
        <w:t xml:space="preserve"> </w:t>
      </w:r>
      <w:r w:rsidRPr="005E386E">
        <w:rPr>
          <w:rFonts w:cs="Times New Roman"/>
          <w:i/>
          <w:iCs/>
          <w:color w:val="000000" w:themeColor="text1"/>
          <w:szCs w:val="24"/>
        </w:rPr>
        <w:t>Internal control systems; NGOs; financial performance; governance; risk assessment; accountability; financial sustainability</w:t>
      </w:r>
    </w:p>
    <w:p w14:paraId="73B850E8" w14:textId="77777777" w:rsidR="004261F9" w:rsidRPr="004261F9" w:rsidRDefault="004261F9" w:rsidP="004261F9">
      <w:pPr>
        <w:spacing w:line="240" w:lineRule="auto"/>
        <w:rPr>
          <w:rFonts w:cs="Times New Roman"/>
          <w:color w:val="000000" w:themeColor="text1"/>
          <w:szCs w:val="24"/>
        </w:rPr>
      </w:pPr>
    </w:p>
    <w:p w14:paraId="4EE8B371" w14:textId="77777777" w:rsidR="00863107" w:rsidRPr="00863107" w:rsidRDefault="00863107" w:rsidP="00863107">
      <w:pPr>
        <w:spacing w:line="240" w:lineRule="auto"/>
        <w:rPr>
          <w:rFonts w:cs="Times New Roman"/>
          <w:color w:val="000000" w:themeColor="text1"/>
          <w:szCs w:val="24"/>
        </w:rPr>
      </w:pPr>
    </w:p>
    <w:p w14:paraId="3C2E1B6D" w14:textId="77777777" w:rsidR="00500683" w:rsidRDefault="00500683" w:rsidP="00500683">
      <w:pPr>
        <w:spacing w:line="240" w:lineRule="auto"/>
        <w:rPr>
          <w:rFonts w:cs="Times New Roman"/>
          <w:color w:val="000000" w:themeColor="text1"/>
          <w:szCs w:val="24"/>
        </w:rPr>
      </w:pPr>
    </w:p>
    <w:p w14:paraId="3DB2FC4D" w14:textId="77777777" w:rsidR="004261F9" w:rsidRDefault="004261F9" w:rsidP="00500683">
      <w:pPr>
        <w:spacing w:line="240" w:lineRule="auto"/>
        <w:rPr>
          <w:rFonts w:cs="Times New Roman"/>
          <w:color w:val="000000" w:themeColor="text1"/>
          <w:szCs w:val="24"/>
        </w:rPr>
      </w:pPr>
    </w:p>
    <w:p w14:paraId="76684FA8" w14:textId="77777777" w:rsidR="0085437C" w:rsidRDefault="0085437C" w:rsidP="00500683">
      <w:pPr>
        <w:spacing w:line="240" w:lineRule="auto"/>
        <w:rPr>
          <w:rFonts w:cs="Times New Roman"/>
          <w:color w:val="000000" w:themeColor="text1"/>
          <w:szCs w:val="24"/>
        </w:rPr>
      </w:pPr>
    </w:p>
    <w:p w14:paraId="0F1A4144" w14:textId="77777777" w:rsidR="0085437C" w:rsidRDefault="0085437C" w:rsidP="00500683">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1.0 </w:t>
      </w:r>
      <w:commentRangeStart w:id="4"/>
      <w:r w:rsidRPr="007A56B8">
        <w:rPr>
          <w:rFonts w:eastAsia="Times New Roman" w:cs="Times New Roman"/>
          <w:b/>
          <w:bCs/>
          <w:color w:val="000000" w:themeColor="text1"/>
          <w:sz w:val="28"/>
          <w:szCs w:val="28"/>
        </w:rPr>
        <w:t>INTRODUCTION</w:t>
      </w:r>
      <w:commentRangeEnd w:id="4"/>
      <w:r w:rsidR="000334D7">
        <w:rPr>
          <w:rStyle w:val="CommentReference"/>
        </w:rPr>
        <w:commentReference w:id="4"/>
      </w:r>
    </w:p>
    <w:p w14:paraId="7E05533C"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Non-Governmental Organizations (NGOs) have increasingly become central actors in addressing socio-economic challenges, particularly in developing countries such as Kenya. They complement government efforts by implementing programmes in critical sectors including health, education, human rights, and livelihoods. The expansion of NGOs has been largely attributed to limitations within the public sector in effectively delivering services to all populations in need. Makoba (2018) observes that NGOs in low-income economies significantly contribute to community empowerment by mobilizing resources and implementing development projects that enhance self-reliance and promote local economic development.</w:t>
      </w:r>
    </w:p>
    <w:p w14:paraId="7FDAA948"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Recent studies further reinforce this perspective, indicating that the adoption of financial control mechanisms and regulatory monitoring enhances NGO resilience in the face of financial instability and market uncertainty (Dagane &amp; Kihara, 2021; Ghasemi et al., 2022). Despite their increasing importance and operational expansion, many NGOs continue to face persistent sustainability challenges, particularly in financial and operational management. These challenges are often linked to over-reliance on donor funding and weak internal governance structures. As a result, the implementation of robust Internal Control Systems (ICSs) has been widely recommended as a key strategy for improving accountability, optimizing resource utilization, and strengthening stakeholder trust (Etengu &amp; Amony, 2016). In support of this view, Kinyua et al. (2015) argue that strong internal controls help prevent fraud, reduce financial mismanagement risks, and improve the quality of strategic decision-making. Conversely, NGOs with weak internal control systems are more exposed to governance failures, inefficiencies, and financial instability.</w:t>
      </w:r>
    </w:p>
    <w:p w14:paraId="3BCC4242"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This study is conceptually guided by the COSO (2013) framework, which defines internal control as an integrated system of processes, policies, and procedures designed to provide reasonable assurance regarding operational effectiveness, reliable financial reporting, and compliance with laws and regulations. Within NGOs, internal control systems are typically structured around five interrelated components: the control environment (organizational culture and governance), risk assessment, control activities, information and communication systems, and monitoring processes.</w:t>
      </w:r>
    </w:p>
    <w:p w14:paraId="4FC7A7E9"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Kabuye et al. (2019) note that these functions are primarily executed by governance structures such as boards of directors, executive management, and operational staff. Additionally, the International Accounting Standards (IAS) highlight key elements of internal control, including organizational structure, segregation of duties, safeguarding of assets, staff competence, documentation procedures, authorization controls, auditing practices, and monitoring mechanisms.</w:t>
      </w:r>
    </w:p>
    <w:p w14:paraId="34068C16"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Internal control systems, including internal audit functions, are designed to enhance the credibility and accuracy of financial reporting by promoting accountability among personnel responsible for financial information (Nandugga, 2019). Beyond financial reporting, internal controls also serve broader governance functions such as identifying material weaknesses, detecting fraud, managing revenue streams, and ensuring the accuracy of financial computations. Furthermore, internal control systems provide an independent assessment of managerial performance by evaluating compliance and effectiveness in achieving organizational objectives (Beeler, Hunton, &amp; Wier, 2014). Fadzil, Haron, and Jantan (2015) further emphasize that effective internal control frameworks are strongly associated with organizational efficiency and improved revenue performance.</w:t>
      </w:r>
    </w:p>
    <w:p w14:paraId="73ACCC3A"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 xml:space="preserve">Internal control over revenue generation includes continuous verification of financial data accuracy, evaluation of asset protection mechanisms, and assessment of compliance with policies, procedures, laws, and regulations. Organizational effectiveness is increasingly assessed not only in terms of efficiency but also in terms of goal achievement and impact (Rehman, Mohamed &amp; Ayoup, 2018). Internal control systems are generally categorized into preventive, detective, and corrective controls. Preventive controls aim to avoid errors, fraud, and inefficiencies </w:t>
      </w:r>
      <w:r w:rsidRPr="005E386E">
        <w:rPr>
          <w:rFonts w:cs="Times New Roman"/>
          <w:color w:val="000000" w:themeColor="text1"/>
          <w:szCs w:val="24"/>
        </w:rPr>
        <w:lastRenderedPageBreak/>
        <w:t>before they occur. Detective controls identify and report irregularities after they occur, while corrective controls address identified weaknesses and improve systems to prevent recurrence (Singleton, Bologna, Lindquist, &amp; Singleton, 2016). CPA Australia (2018) further notes that these controls are designed to ensure completeness, accuracy, authorization, validity, asset security, error correction, and proper financial disclosure. Both administrative and accounting controls within ICSs have financial implications, such as tracking employee benefits and long-term liabilities.</w:t>
      </w:r>
    </w:p>
    <w:p w14:paraId="6F22B5CA"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Financial performance in NGOs refers to their ability to mobilize, allocate, and manage resources effectively to sustain programmes, meet obligations, and maintain financial stability (Kimathi, 2018). Strong internal controls and risk management practices are generally associated with improved financial outcomes and reduced fraud and resource wastage. However, fraud remains a significant concern across organizations. For instance, a Kroll (2013) survey reported that 70% of organizations experienced fraud, an increase from 61% in the previous year, highlighting the growing importance of effective control systems.</w:t>
      </w:r>
    </w:p>
    <w:p w14:paraId="535955E5"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Kummer, Kishore, and Peter (2014) further argue that even organizations that achieve operational success may still experience financial distress if they lack strong administrative, financial, and strategic planning systems. Therefore, sustainable success requires more than fundraising capability; it demands effective financial management and governance structures.</w:t>
      </w:r>
    </w:p>
    <w:p w14:paraId="4E03E338"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Financial performance is commonly measured using indicators such as Return on Investment (ROI), Return on Sales (ROS), and Return on Equity (ROE) (Mahmood, Hamawandy &amp; Sedeeq, 2020). Improving financial performance requires strengthening internal control systems to minimize fraud and ensure efficient use of resources. Mathenge and Muturi (2017) emphasize that stakeholders must ensure funds are used efficiently to maximize benefits at minimal cost. In NGOs, weak internal controls often lead to misappropriation of donor funds, reduced productivity, and in extreme cases, deregistration due to non-compliance with financial standards.</w:t>
      </w:r>
    </w:p>
    <w:p w14:paraId="191BD5C9"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Financial success can also be assessed using both objective and subjective indicators (Olamide &amp; Anastasia, 2018). Objective measures include revenue growth and returns on investment, while subjective measures encompass innovation, quality of management, and social impact. Ibrahim, Diibuzie, and Abubakari (2017) further highlight the relationship between internal controls and organizational success, reinforcing the importance of governance systems in financial sustainability.</w:t>
      </w:r>
    </w:p>
    <w:p w14:paraId="55E2F79B"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Non-Governmental Organizations vary in scope and structure, with a key distinction existing between International NGOs (INGOs) and domestic civil society organizations (CSOs). INGOs typically operate across multiple countries, often maintaining independent national offices in both OECD and developing economies. They function within global alliances or federations that coordinate development activities across regions. For example, Oxfam operates through a confederation of 18 member organizations, while CARE International consists of 14 affiliated bodies.</w:t>
      </w:r>
    </w:p>
    <w:p w14:paraId="1C472460" w14:textId="77777777" w:rsidR="005E386E" w:rsidRPr="005E386E"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INGOs generally implement large-scale global programmes. While individual offices may operate in specific countries, they contribute to broader international initiatives through funding and technical support. Organizations such as Save the Children operate in over 120 countries, World Vision International in approximately 98 countries, and Oxfam International in more than 90 countries. These organizations often exceed bilateral donor governments in operational scope and reach.</w:t>
      </w:r>
    </w:p>
    <w:p w14:paraId="0B54AE1D" w14:textId="6080BC72" w:rsidR="00533290" w:rsidRPr="00533290" w:rsidRDefault="005E386E" w:rsidP="005E386E">
      <w:pPr>
        <w:shd w:val="clear" w:color="auto" w:fill="FFFFFF"/>
        <w:spacing w:line="240" w:lineRule="auto"/>
        <w:rPr>
          <w:rFonts w:cs="Times New Roman"/>
          <w:color w:val="000000" w:themeColor="text1"/>
          <w:szCs w:val="24"/>
        </w:rPr>
      </w:pPr>
      <w:r w:rsidRPr="005E386E">
        <w:rPr>
          <w:rFonts w:cs="Times New Roman"/>
          <w:color w:val="000000" w:themeColor="text1"/>
          <w:szCs w:val="24"/>
        </w:rPr>
        <w:t>In terms of scale and financial capacity, INGOs are typically larger than national CSOs in donor countries. NGOs operate independently with the goal of improving welfare among marginalized populations. In Kenya, the NGO sector contributes significantly to national development, accounting for approximately 5% of GDP and providing substantial employment opportunities (Kenya National Bureau of Statistics, 2012). The NGO sector is regulated by the NGO Council, a self-regulatory body comprising all registered organizations (NGO Council, 2017).</w:t>
      </w:r>
      <w:r>
        <w:rPr>
          <w:rFonts w:cs="Times New Roman"/>
          <w:color w:val="000000" w:themeColor="text1"/>
          <w:szCs w:val="24"/>
        </w:rPr>
        <w:t xml:space="preserve"> </w:t>
      </w:r>
      <w:r w:rsidRPr="005E386E">
        <w:rPr>
          <w:rFonts w:cs="Times New Roman"/>
          <w:color w:val="000000" w:themeColor="text1"/>
          <w:szCs w:val="24"/>
        </w:rPr>
        <w:t xml:space="preserve">NGOs operate across diverse sectors including agriculture, water, sanitation and hygiene (WASH), human rights, disability </w:t>
      </w:r>
      <w:r w:rsidRPr="005E386E">
        <w:rPr>
          <w:rFonts w:cs="Times New Roman"/>
          <w:color w:val="000000" w:themeColor="text1"/>
          <w:szCs w:val="24"/>
        </w:rPr>
        <w:lastRenderedPageBreak/>
        <w:t>support, and other development areas. The NGO Council plays a central role in coordination and governance within the sector, ensuring compliance and promoting accountability among registered organizations</w:t>
      </w:r>
      <w:r w:rsidR="00533290" w:rsidRPr="00533290">
        <w:rPr>
          <w:rFonts w:cs="Times New Roman"/>
          <w:color w:val="000000" w:themeColor="text1"/>
          <w:szCs w:val="24"/>
        </w:rPr>
        <w:t>.</w:t>
      </w:r>
    </w:p>
    <w:p w14:paraId="48C38FDC" w14:textId="4C473802" w:rsidR="00055D83" w:rsidRPr="007A56B8" w:rsidRDefault="00055D83" w:rsidP="00CE4C91">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1.1 </w:t>
      </w:r>
      <w:commentRangeStart w:id="5"/>
      <w:r w:rsidRPr="007A56B8">
        <w:rPr>
          <w:rFonts w:eastAsia="Times New Roman" w:cs="Times New Roman"/>
          <w:b/>
          <w:bCs/>
          <w:color w:val="000000" w:themeColor="text1"/>
          <w:sz w:val="28"/>
          <w:szCs w:val="28"/>
        </w:rPr>
        <w:t>Research Problem</w:t>
      </w:r>
      <w:commentRangeEnd w:id="5"/>
      <w:r w:rsidR="00DC4508">
        <w:rPr>
          <w:rStyle w:val="CommentReference"/>
        </w:rPr>
        <w:commentReference w:id="5"/>
      </w:r>
    </w:p>
    <w:p w14:paraId="27FDC211" w14:textId="260D329C" w:rsidR="00BD15A0" w:rsidRPr="007A56B8" w:rsidRDefault="005E386E" w:rsidP="003E21E7">
      <w:pPr>
        <w:spacing w:after="240" w:line="240" w:lineRule="auto"/>
        <w:rPr>
          <w:rFonts w:cs="Times New Roman"/>
          <w:b/>
          <w:szCs w:val="24"/>
        </w:rPr>
      </w:pPr>
      <w:r w:rsidRPr="005E386E">
        <w:rPr>
          <w:rFonts w:cs="Times New Roman"/>
          <w:color w:val="000000" w:themeColor="text1"/>
          <w:szCs w:val="24"/>
        </w:rPr>
        <w:t>Despite NGOs’ role in providing basic services in Kenya, many continue to face financial sustainability challenges. Most rely heavily on international donors and lack strong internal control systems, increasing exposure to fraud, mismanagement, and inefficiencies that threaten their mission and sustainability (Orendo &amp; Muturi, 2017). A USAID (2016) report indicates that only 6.2% of Kenyan NGOs are financially self-sustaining, while the majority struggle to secure stable funding. Existing literature has largely focused on corporate and public sectors, leaving limited evidence on NGOs. This study therefore examines NGOs in Nairobi County, assessing how control environment, risk assessment, control activities, and monitoring influence financial performance.</w:t>
      </w:r>
      <w:r w:rsidR="00BD15A0" w:rsidRPr="007A56B8">
        <w:rPr>
          <w:rFonts w:cs="Times New Roman"/>
          <w:b/>
          <w:szCs w:val="24"/>
        </w:rPr>
        <w:t xml:space="preserve"> </w:t>
      </w:r>
    </w:p>
    <w:p w14:paraId="7860FC20" w14:textId="564AFDA6" w:rsidR="00055D83" w:rsidRPr="007A56B8" w:rsidRDefault="00055D83" w:rsidP="00E5141C">
      <w:pPr>
        <w:spacing w:line="240" w:lineRule="auto"/>
        <w:rPr>
          <w:rFonts w:cs="Times New Roman"/>
          <w:b/>
          <w:bCs/>
          <w:color w:val="000000" w:themeColor="text1"/>
          <w:sz w:val="28"/>
          <w:szCs w:val="28"/>
        </w:rPr>
      </w:pPr>
      <w:r w:rsidRPr="007A56B8">
        <w:rPr>
          <w:rFonts w:cs="Times New Roman"/>
          <w:b/>
          <w:bCs/>
          <w:color w:val="000000" w:themeColor="text1"/>
          <w:sz w:val="28"/>
          <w:szCs w:val="28"/>
        </w:rPr>
        <w:t xml:space="preserve">1.2 </w:t>
      </w:r>
      <w:commentRangeStart w:id="6"/>
      <w:r w:rsidRPr="007A56B8">
        <w:rPr>
          <w:rFonts w:cs="Times New Roman"/>
          <w:b/>
          <w:bCs/>
          <w:color w:val="000000" w:themeColor="text1"/>
          <w:sz w:val="28"/>
          <w:szCs w:val="28"/>
        </w:rPr>
        <w:t>Research Objective</w:t>
      </w:r>
      <w:commentRangeEnd w:id="6"/>
      <w:r w:rsidR="002C5A49">
        <w:rPr>
          <w:rStyle w:val="CommentReference"/>
        </w:rPr>
        <w:commentReference w:id="6"/>
      </w:r>
    </w:p>
    <w:p w14:paraId="3A006523" w14:textId="113C8E22"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5E386E" w:rsidRPr="005E386E">
        <w:rPr>
          <w:rFonts w:cs="Times New Roman"/>
          <w:color w:val="000000" w:themeColor="text1"/>
          <w:szCs w:val="24"/>
        </w:rPr>
        <w:t>examine the relationship between the four internal control dimensions and the financial performance of NGOs in Nairobi County</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4D7E30E5" w14:textId="77777777" w:rsidR="005E386E" w:rsidRPr="005E386E"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E386E">
        <w:rPr>
          <w:rFonts w:ascii="Times New Roman" w:hAnsi="Times New Roman"/>
          <w:sz w:val="24"/>
          <w:szCs w:val="24"/>
        </w:rPr>
        <w:t xml:space="preserve">To estimate the association between control environment on the financial performance </w:t>
      </w:r>
    </w:p>
    <w:p w14:paraId="7D26964E" w14:textId="77777777" w:rsidR="005E386E" w:rsidRPr="005E386E"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E386E">
        <w:rPr>
          <w:rFonts w:ascii="Times New Roman" w:hAnsi="Times New Roman"/>
          <w:sz w:val="24"/>
          <w:szCs w:val="24"/>
        </w:rPr>
        <w:t>To evaluate the influence of risk assessment practices on NGO financial performance.</w:t>
      </w:r>
    </w:p>
    <w:p w14:paraId="4C613BBA" w14:textId="77777777" w:rsidR="005E386E" w:rsidRPr="005E386E"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E386E">
        <w:rPr>
          <w:rFonts w:ascii="Times New Roman" w:hAnsi="Times New Roman"/>
          <w:sz w:val="24"/>
          <w:szCs w:val="24"/>
        </w:rPr>
        <w:t>To assess the impact of control procedures on the financial outcomes.</w:t>
      </w:r>
    </w:p>
    <w:p w14:paraId="03DEEE1C" w14:textId="493D1F1E" w:rsidR="002A562C" w:rsidRPr="002A562C"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E386E">
        <w:rPr>
          <w:rFonts w:ascii="Times New Roman" w:hAnsi="Times New Roman"/>
          <w:sz w:val="24"/>
          <w:szCs w:val="24"/>
        </w:rPr>
        <w:t>To analyze the effect of continuous monitoring on NGO financial performance</w:t>
      </w:r>
      <w:r w:rsidR="002A562C" w:rsidRPr="002A562C">
        <w:rPr>
          <w:rFonts w:ascii="Times New Roman" w:hAnsi="Times New Roman"/>
          <w:sz w:val="24"/>
          <w:szCs w:val="24"/>
        </w:rPr>
        <w:t>.</w:t>
      </w: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w:t>
      </w:r>
      <w:commentRangeStart w:id="7"/>
      <w:r w:rsidRPr="007A56B8">
        <w:rPr>
          <w:rFonts w:ascii="Times New Roman" w:hAnsi="Times New Roman"/>
          <w:b/>
          <w:color w:val="000000" w:themeColor="text1"/>
          <w:sz w:val="28"/>
          <w:szCs w:val="28"/>
          <w:lang w:val="en-GB"/>
        </w:rPr>
        <w:t xml:space="preserve">LITERATURE REVIEW  </w:t>
      </w:r>
      <w:commentRangeEnd w:id="7"/>
      <w:r w:rsidR="006E09FE">
        <w:rPr>
          <w:rStyle w:val="CommentReference"/>
          <w:rFonts w:ascii="Times New Roman" w:hAnsi="Times New Roman" w:cs="SimSun"/>
          <w:color w:val="000000"/>
          <w:kern w:val="0"/>
        </w:rPr>
        <w:commentReference w:id="7"/>
      </w:r>
    </w:p>
    <w:p w14:paraId="18375864" w14:textId="56C40F05" w:rsidR="008B0097" w:rsidRPr="008B0097" w:rsidRDefault="008B0097" w:rsidP="008B0097">
      <w:pPr>
        <w:spacing w:before="0" w:after="160" w:line="259" w:lineRule="auto"/>
        <w:rPr>
          <w:rFonts w:cs="Times New Roman"/>
          <w:b/>
          <w:bCs/>
          <w:i/>
          <w:color w:val="000000" w:themeColor="text1"/>
          <w:kern w:val="2"/>
          <w:szCs w:val="24"/>
          <w:lang w:val="en-GB"/>
        </w:rPr>
      </w:pPr>
      <w:r w:rsidRPr="008B0097">
        <w:rPr>
          <w:rFonts w:cs="Times New Roman"/>
          <w:b/>
          <w:bCs/>
          <w:i/>
          <w:color w:val="000000" w:themeColor="text1"/>
          <w:kern w:val="2"/>
          <w:szCs w:val="24"/>
          <w:lang w:val="en-GB"/>
        </w:rPr>
        <w:t>Theoretical Literature</w:t>
      </w:r>
    </w:p>
    <w:p w14:paraId="1B6F22FA" w14:textId="3A1E0F88"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The study adopts three complementary theoretical perspectives</w:t>
      </w:r>
      <w:r w:rsidR="006633DF">
        <w:rPr>
          <w:rFonts w:cs="Times New Roman"/>
          <w:bCs/>
          <w:color w:val="000000" w:themeColor="text1"/>
          <w:kern w:val="2"/>
          <w:szCs w:val="24"/>
          <w:lang w:val="en-GB"/>
        </w:rPr>
        <w:t xml:space="preserve"> </w:t>
      </w:r>
      <w:r w:rsidRPr="005E386E">
        <w:rPr>
          <w:rFonts w:cs="Times New Roman"/>
          <w:bCs/>
          <w:color w:val="000000" w:themeColor="text1"/>
          <w:kern w:val="2"/>
          <w:szCs w:val="24"/>
          <w:lang w:val="en-GB"/>
        </w:rPr>
        <w:t>agency theory, internal control perspective, and stakeholder theory</w:t>
      </w:r>
      <w:r w:rsidR="006633DF">
        <w:rPr>
          <w:rFonts w:cs="Times New Roman"/>
          <w:bCs/>
          <w:color w:val="000000" w:themeColor="text1"/>
          <w:kern w:val="2"/>
          <w:szCs w:val="24"/>
          <w:lang w:val="en-GB"/>
        </w:rPr>
        <w:t xml:space="preserve"> </w:t>
      </w:r>
      <w:r w:rsidRPr="005E386E">
        <w:rPr>
          <w:rFonts w:cs="Times New Roman"/>
          <w:bCs/>
          <w:color w:val="000000" w:themeColor="text1"/>
          <w:kern w:val="2"/>
          <w:szCs w:val="24"/>
          <w:lang w:val="en-GB"/>
        </w:rPr>
        <w:t>to explain the relationship between control practices and financial performance of NGOs. Collectively, these theories provide a multidimensional framework for understanding how governance, accountability, risk management, and stakeholder engagement influence organizational effectiveness and financial outcomes.</w:t>
      </w:r>
    </w:p>
    <w:p w14:paraId="4A437FB4"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Agency theory (Alchian &amp; Demsetz, 1972; Jensen &amp; Meckling, 1976) explains the principal–agent relationship that arises when decision-making authority is delegated by principals (e.g., boards or funders) to agents (managers). In such arrangements, conflicts of interest may emerge because agents do not always act in the best interests of principals (Clarke, 2004). The theory is grounded in the separation of ownership and control, where principals rely on agents to manage organizational resources on their behalf (Bhimani, 2008).</w:t>
      </w:r>
    </w:p>
    <w:p w14:paraId="4550B63D" w14:textId="250A42C4"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A key assumption of agency theory is that agents are self-interested and may prioritize personal utility over organizational goals unless properly incentivized and monitored. Holmstrom and Milgrom (1994) argue that without appropriate incentive structures, agents may engage in high-risk decisions or prioritize personal job security over performance outcomes. Consequently, poorly designed compensation systems</w:t>
      </w:r>
      <w:r w:rsidR="006633DF">
        <w:rPr>
          <w:rFonts w:cs="Times New Roman"/>
          <w:bCs/>
          <w:color w:val="000000" w:themeColor="text1"/>
          <w:kern w:val="2"/>
          <w:szCs w:val="24"/>
          <w:lang w:val="en-GB"/>
        </w:rPr>
        <w:t xml:space="preserve"> </w:t>
      </w:r>
      <w:r w:rsidRPr="005E386E">
        <w:rPr>
          <w:rFonts w:cs="Times New Roman"/>
          <w:bCs/>
          <w:color w:val="000000" w:themeColor="text1"/>
          <w:kern w:val="2"/>
          <w:szCs w:val="24"/>
          <w:lang w:val="en-GB"/>
        </w:rPr>
        <w:t>such as fixed salaries unrelated to performance</w:t>
      </w:r>
      <w:r w:rsidR="006633DF">
        <w:rPr>
          <w:rFonts w:cs="Times New Roman"/>
          <w:bCs/>
          <w:color w:val="000000" w:themeColor="text1"/>
          <w:kern w:val="2"/>
          <w:szCs w:val="24"/>
          <w:lang w:val="en-GB"/>
        </w:rPr>
        <w:t xml:space="preserve"> </w:t>
      </w:r>
      <w:r w:rsidRPr="005E386E">
        <w:rPr>
          <w:rFonts w:cs="Times New Roman"/>
          <w:bCs/>
          <w:color w:val="000000" w:themeColor="text1"/>
          <w:kern w:val="2"/>
          <w:szCs w:val="24"/>
          <w:lang w:val="en-GB"/>
        </w:rPr>
        <w:t>may weaken accountability and reduce organizational efficiency.</w:t>
      </w:r>
    </w:p>
    <w:p w14:paraId="7FEE7B06"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Jensen and Meckling (1976) emphasize that agency problems can be mitigated through well-designed monitoring systems, performance-based incentives, and governance structures that align the interests of agents with those of principals. Clarke (2004) further highlights that agency relationships extend beyond corporations to any organization where delegated authority exists, including NGOs. Eisenhardt (1989) adds that while agency theory often assumes individualistic behavior, its relevance depends on organizational structure, context, and incentive alignment.</w:t>
      </w:r>
    </w:p>
    <w:p w14:paraId="497EA9B9"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In NGOs, agency theory is particularly relevant because donors and governing boards delegate operational responsibilities to management teams. This delegation necessitates strong control systems, including risk assessment, monitoring mechanisms, and supervision structures, to ensure that resources are used efficiently and in line with donor expectations. Effective governance mechanisms are therefore essential in minimizing agency costs and enhancing financial performance.</w:t>
      </w:r>
    </w:p>
    <w:p w14:paraId="551A22CD"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The internal control perspective, informed by frameworks such as IFAC and COSO, conceptualizes internal controls as integrated processes designed to provide reasonable assurance regarding the achievement of organizational objectives. These objectives typically include operational efficiency, reliable financial reporting, and compliance with applicable regulations.</w:t>
      </w:r>
    </w:p>
    <w:p w14:paraId="6E3173F8"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According to Kate Lark (1999), internal control is a continuous process embedded within an organization, implemented by the board, management, and employees to ensure the achievement of operational, reporting, and compliance goals. This perspective views internal control as both preventive and corrective, aimed at identifying risks early, detecting irregularities, and facilitating timely corrective actions.</w:t>
      </w:r>
    </w:p>
    <w:p w14:paraId="42C07CED"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Swanson, Hunson, and Ross (1998) argue that internal control systems are not merely compliance tools but also strategic mechanisms that enhance organizational resilience, protect stakeholder value, and support long-term sustainability. Weak internal control systems often lead to inefficiencies, regulatory non-compliance, and increased operational costs, which may ultimately undermine organizational survival.</w:t>
      </w:r>
    </w:p>
    <w:p w14:paraId="3049C45D"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lastRenderedPageBreak/>
        <w:t>Internal control systems comprise preventive, detective, and corrective measures. Preventive controls, such as segregation of duties, authorization procedures, documentation standards, and asset security, aim to reduce the likelihood of errors and fraud. Detective controls, including reconciliations and approval processes, help identify irregularities after they occur. Corrective controls address root causes of identified weaknesses. Preventive controls are generally considered the most effective due to their ability to reduce risks before they materialize.</w:t>
      </w:r>
    </w:p>
    <w:p w14:paraId="077D4A03"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Baik (2013) emphasizes that internal control systems function as organizational safeguards that support goal attainment while mitigating risks. Effective systems require participation at all organizational levels, not just senior management. In NGOs, robust internal controls are essential for ensuring accountability, financial integrity, and efficient service delivery. However, deficiencies in internal control systems remain a major cause of operational failure and financial mismanagement in many NGOs.</w:t>
      </w:r>
    </w:p>
    <w:p w14:paraId="64EB658C"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Stakeholder theory, as developed by Freeman (1984) and further refined by Donaldson and Preston (1995), posits that organizational success depends on the ability to balance and respond to the interests of multiple stakeholder groups. These stakeholders include donors, beneficiaries, employees, regulators, and local communities, all of whom influence or are affected by organizational activities.</w:t>
      </w:r>
    </w:p>
    <w:p w14:paraId="5F5AFE08"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Freeman (1984) argues that organizations create value not only for shareholders but also for all stakeholders, requiring managers to identify, engage, and balance competing interests. Donaldson and Preston (1995) further distinguish stakeholder theory into descriptive, instrumental, and normative dimensions: describing organizational relationships with stakeholders, explaining how stakeholder management affects outcomes, and justifying why stakeholders have legitimate claims.</w:t>
      </w:r>
    </w:p>
    <w:p w14:paraId="14E90535" w14:textId="77777777" w:rsidR="005E386E" w:rsidRPr="005E386E"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In the NGO context, stakeholder theory is particularly relevant due to the sector’s reliance on donor funding and its strong accountability obligations to beneficiaries and regulators. Effective stakeholder management enhances transparency, trust, and legitimacy, which are critical for sustaining funding and operational support.</w:t>
      </w:r>
    </w:p>
    <w:p w14:paraId="0DBF4C0A" w14:textId="5B40E2FE" w:rsidR="002D6969" w:rsidRPr="002D6969" w:rsidRDefault="005E386E" w:rsidP="005E386E">
      <w:pPr>
        <w:spacing w:before="0" w:after="160" w:line="259" w:lineRule="auto"/>
        <w:rPr>
          <w:rFonts w:cs="Times New Roman"/>
          <w:bCs/>
          <w:color w:val="000000" w:themeColor="text1"/>
          <w:kern w:val="2"/>
          <w:szCs w:val="24"/>
          <w:lang w:val="en-GB"/>
        </w:rPr>
      </w:pPr>
      <w:r w:rsidRPr="005E386E">
        <w:rPr>
          <w:rFonts w:cs="Times New Roman"/>
          <w:bCs/>
          <w:color w:val="000000" w:themeColor="text1"/>
          <w:kern w:val="2"/>
          <w:szCs w:val="24"/>
          <w:lang w:val="en-GB"/>
        </w:rPr>
        <w:t>The theory emphasizes that organizational success depends on the interdependence of stakeholder interests. Managers must identify points of convergence among stakeholders such as donors, employees, communities, and beneficiaries. By balancing these interests, NGOs can enhance legitimacy, improve resource mobilization, and strengthen financial and operational performance</w:t>
      </w:r>
      <w:r w:rsidR="002D6969" w:rsidRPr="002D6969">
        <w:rPr>
          <w:rFonts w:cs="Times New Roman"/>
          <w:bCs/>
          <w:color w:val="000000" w:themeColor="text1"/>
          <w:kern w:val="2"/>
          <w:szCs w:val="24"/>
          <w:lang w:val="en-GB"/>
        </w:rPr>
        <w:t>.</w:t>
      </w:r>
    </w:p>
    <w:p w14:paraId="0236764D" w14:textId="19E3A4FA" w:rsidR="0025635B" w:rsidRPr="007A56B8" w:rsidRDefault="00E0554F" w:rsidP="0025635B">
      <w:pPr>
        <w:spacing w:before="0" w:after="160" w:line="259" w:lineRule="auto"/>
        <w:rPr>
          <w:rFonts w:cs="Times New Roman"/>
          <w:b/>
          <w:bCs/>
          <w:color w:val="000000" w:themeColor="text1"/>
          <w:sz w:val="28"/>
          <w:szCs w:val="28"/>
        </w:rPr>
      </w:pPr>
      <w:r w:rsidRPr="007A56B8">
        <w:rPr>
          <w:rFonts w:cs="Times New Roman"/>
          <w:b/>
          <w:bCs/>
          <w:color w:val="000000" w:themeColor="text1"/>
          <w:sz w:val="28"/>
          <w:szCs w:val="28"/>
        </w:rPr>
        <w:t xml:space="preserve">2.1 </w:t>
      </w:r>
      <w:commentRangeStart w:id="8"/>
      <w:r w:rsidR="00CB6E82" w:rsidRPr="007A56B8">
        <w:rPr>
          <w:rFonts w:cs="Times New Roman"/>
          <w:b/>
          <w:bCs/>
          <w:color w:val="000000" w:themeColor="text1"/>
          <w:sz w:val="28"/>
          <w:szCs w:val="28"/>
        </w:rPr>
        <w:t>Empirical Review</w:t>
      </w:r>
      <w:commentRangeEnd w:id="8"/>
      <w:r w:rsidR="00A134E9">
        <w:rPr>
          <w:rStyle w:val="CommentReference"/>
        </w:rPr>
        <w:commentReference w:id="8"/>
      </w:r>
    </w:p>
    <w:p w14:paraId="182E7FFF"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A substantial body of empirical literature consistently emphasizes the critical role of internal control systems in influencing organizational financial performance. However, despite this general agreement, most existing studies are context-specific, focusing on profit-oriented firms, public institutions, or banking sectors, thereby limiting their direct applicability to non-governmental organizations (NGOs), particularly within the Kenyan context.</w:t>
      </w:r>
    </w:p>
    <w:p w14:paraId="1DFDF2C9"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Kinyua et al. (2015) examined the influence of the internal control environment on firms listed at the Nairobi Securities Exchange (NSE) using both descriptive and inferential statistical techniques. Their findings revealed a positive and statistically significant relationship between a credible control environment and financial performance. However, because the study focused on listed corporate firms, its applicability to NGOs is limited due to differences in governance structures, funding mechanisms, and accountability frameworks.</w:t>
      </w:r>
    </w:p>
    <w:p w14:paraId="6CE3EEEA"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 xml:space="preserve">Similarly, Julie (2019), in a correlational study of an agro-processing company in Kisumu, found that strong internal control systems enhance financial performance. Although this study provides useful insights into operational controls within private sector firms, the agro-industrial context differs significantly from NGOs, which rely heavily on donor funding and non-profit accountability systems. Bett and Memba (2017), studying Menengai Oil Company, </w:t>
      </w:r>
      <w:r w:rsidRPr="00AF0AC2">
        <w:rPr>
          <w:rFonts w:cs="Times New Roman"/>
          <w:color w:val="000000" w:themeColor="text1"/>
          <w:szCs w:val="24"/>
        </w:rPr>
        <w:lastRenderedPageBreak/>
        <w:t>also established that an effective control environment positively influences financial outcomes. Nonetheless, their firm-specific approach highlights the limitation of generalizing findings across sectors.</w:t>
      </w:r>
    </w:p>
    <w:p w14:paraId="7597961E"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In the public and quasi-public sector, Muhunyo and Jagongo (2018) assessed internal control dimensions in Kenyan public universities and found that a strong control environment significantly influences financial performance. While relevant to public institutions, the educational sector’s funding structure and regulatory environment differ from those of NGOs, again revealing a contextual gap.</w:t>
      </w:r>
    </w:p>
    <w:p w14:paraId="2F98B0BF"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In the risk assessment domain, Olalere and Wan (2016) established that weak risk management practices significantly contribute to declining profitability in Nigerian banks. Similarly, Mariam and Onyiego (2018) found that credit, liquidity, and operational risk management significantly determine the financial stability of Kenyan commercial banks. Although these studies reinforce the importance of risk management, their focus on banking institutions limits their direct relevance to NGOs, which face different risk exposure patterns, particularly donor dependency and compliance risks.</w:t>
      </w:r>
    </w:p>
    <w:p w14:paraId="0978CD0C"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Further supporting the importance of internal controls, Dagane and Kihara (2021) found that Kenyan NGOs with strong financial monitoring systems, regular audits, and robust reporting mechanisms demonstrate higher financial resilience. In addition, Ghasemi et al. (2022) established that effective internal control systems in Cameroonian NGOs enhance accountability and service delivery. These studies are particularly relevant to the current research as they directly focus on NGOs, though their geographic and contextual differences suggest the need for localized evidence in Nairobi County.</w:t>
      </w:r>
    </w:p>
    <w:p w14:paraId="23BF2069"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Kinyua et al. (2015) further demonstrated that the control environment significantly influences financial outcomes in NSE-listed firms. However, their reliance on listed companies limits generalizability to NGOs. Julie (2019) similarly confirmed a positive relationship between control environment and financial performance in agro-processing firms, while Bett and Memba (2017) found strong statistical evidence supporting the role of control systems in improving financial indicators in Menengai Oil Company. Muhunyo and Jagongo (2018) extended this understanding to public universities, establishing that governance and control systems strongly shape financial outcomes, though still within a public institutional context.</w:t>
      </w:r>
    </w:p>
    <w:p w14:paraId="21D8098F"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Olalere and Wan (2016) concluded that ineffective risk management reduces profitability in banks, emphasizing the importance of structured risk frameworks. Mariam and Onyiego (2018) reinforced this by identifying credit, liquidity, and operational risk management as critical determinants of financial performance in Kenyan banks. Muthusi (2017) also examined internal controls in Kenyan banks, using a census approach across 43 institutions, and highlighted the importance of structured financial oversight. While these studies strengthen the theoretical foundation of risk management, their banking focus limits direct relevance to NGOs.</w:t>
      </w:r>
    </w:p>
    <w:p w14:paraId="49AA1130"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Abiodun (2020) examined internal control measures in Nigerian businesses and found that effective control procedures enhance organizational performance. However, the Nigerian business context limits applicability to Kenyan NGOs. Gatea and Khalaf (2021) demonstrated that strong internal control systems improve the accuracy and reliability of financial reporting in Iraq, influencing investment decisions. Ejoh and Ejom (2016), focusing on Nigerian educational institutions, found that segregation of duties, auditing systems, and budgetary controls significantly enhance financial accountability. However, they also identified risks such as unauthorized access to financial information, indicating gaps in control effectiveness.</w:t>
      </w:r>
    </w:p>
    <w:p w14:paraId="7A67400B" w14:textId="77777777" w:rsidR="00AF0AC2" w:rsidRPr="00AF0AC2" w:rsidRDefault="00AF0AC2" w:rsidP="00AF0AC2">
      <w:pPr>
        <w:spacing w:before="0" w:after="160" w:line="259" w:lineRule="auto"/>
        <w:rPr>
          <w:rFonts w:cs="Times New Roman"/>
          <w:color w:val="000000" w:themeColor="text1"/>
          <w:szCs w:val="24"/>
        </w:rPr>
      </w:pPr>
      <w:r w:rsidRPr="00AF0AC2">
        <w:rPr>
          <w:rFonts w:cs="Times New Roman"/>
          <w:color w:val="000000" w:themeColor="text1"/>
          <w:szCs w:val="24"/>
        </w:rPr>
        <w:t xml:space="preserve">Emilly, Muganda, and Singoro (2018) established that budgetary participation and communication positively influence financial stability in Kenyan state-owned sugar companies, though their sector-specific focus limits broader applicability. Kisanyanya (2018) found a strong relationship between supervision practices and financial performance in Kenyan public higher learning institutions, but noted limited generalizability due to the study’s </w:t>
      </w:r>
      <w:r w:rsidRPr="00AF0AC2">
        <w:rPr>
          <w:rFonts w:cs="Times New Roman"/>
          <w:color w:val="000000" w:themeColor="text1"/>
          <w:szCs w:val="24"/>
        </w:rPr>
        <w:lastRenderedPageBreak/>
        <w:t>narrow geographic and sectoral scope. Kalemeera (2018), studying Uganda Management Institute, confirmed a strong positive relationship between internal controls and financial outcomes, while also emphasizing that poor staff understanding undermines implementation effectiveness.</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 xml:space="preserve">3.0 </w:t>
      </w:r>
      <w:commentRangeStart w:id="9"/>
      <w:r w:rsidRPr="007A56B8">
        <w:rPr>
          <w:rFonts w:cs="Times New Roman"/>
          <w:b/>
          <w:bCs/>
          <w:color w:val="000000" w:themeColor="text1"/>
          <w:sz w:val="28"/>
          <w:szCs w:val="28"/>
        </w:rPr>
        <w:t>RESEARCH METHODOLOGY</w:t>
      </w:r>
      <w:commentRangeEnd w:id="9"/>
      <w:r w:rsidR="00127493">
        <w:rPr>
          <w:rStyle w:val="CommentReference"/>
        </w:rPr>
        <w:commentReference w:id="9"/>
      </w:r>
    </w:p>
    <w:p w14:paraId="3B4FA468"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This study adopted an explanatory research design to examine the association between four internal control dimensions and the financial performance of NGOs. The design was considered appropriate because it facilitates the determination of causal relationships between internal control systems and financial outcomes, while allowing the integration of both descriptive and inferential statistical approaches. Data were collected using structured questionnaires administered to NGO operations managers. Descriptive statistics were used to summarize the characteristics of the study variables, while inferential statistics were employed to test the hypothesized relationships. All statistical analyses were conducted at a 95% confidence level (α = 0.05), and standard diagnostic checks were performed to ensure robustness of the results (Field, 2018; Hair, Babin, Anderson, &amp; Black, 2019).</w:t>
      </w:r>
    </w:p>
    <w:p w14:paraId="6A55DCA2"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The target population comprised all non-governmental organizations (NGOs) operating in Nairobi City County. According to the NGO Coordination Board (2020), there were 5,354 registered NGOs in Nairobi, forming the unit of analysis for the study. The unit of observation was operations managers drawn from these NGOs due to their direct involvement in daily organizational processes and their ability to provide informed insights on internal control practices and financial performance. The population was distributed across key sectors including health, agriculture, poverty eradication, human rights, and other thematic areas.</w:t>
      </w:r>
    </w:p>
    <w:p w14:paraId="5B8BB7D0"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The study employed probability sampling to ensure that every NGO had an equal chance of selection. This approach was adopted to enhance representativeness and minimize sampling bias (Alvi, 2016). Sampling is defined as the selection of a subset of a population for analysis (Mugenda &amp; Mugenda, 1999).</w:t>
      </w:r>
    </w:p>
    <w:p w14:paraId="1E62D131"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The sample size was determined using Yamane’s formula for finite populations, with a population size of 5,354 and an error margin of 0.05, resulting in a sample size of 372 respondents. Proportionate stratified sampling was then used to allocate the sample across sectors to ensure representativeness. Health sector NGOs accounted for 160 respondents (43%), agriculture 48 (13%), poverty eradication 78 (21%), human rights 41 (11%), and other sectors 45 (12%).</w:t>
      </w:r>
    </w:p>
    <w:p w14:paraId="51515C65"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Primary data were collected using structured questionnaires. The instrument consisted of closed-ended questions designed in line with study objectives to ensure uniformity of responses. The questionnaire was divided into two sections: demographic information and research variables, with the latter further segmented according to the study constructs. Data collection was conducted through in-person administration and a scheduled pick-up system to improve response rates.</w:t>
      </w:r>
    </w:p>
    <w:p w14:paraId="32B4CA63"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A pilot test involving 10% of the sample was conducted to identify and correct potential weaknesses in the research instrument. Participants in the pilot study were excluded from the main study to avoid bias. According to William et al. (2011), a pilot sample of 5–10% is adequate for instrument testing. Validity was assessed in terms of content and construct validity. Content validity was ensured through expert review by the supervisor, while construct validity was achieved through logical structuring of questionnaire sections. Reliability was tested using Cronbach’s alpha (α), which measures internal consistency of the instrument (Rousson, Gasser, &amp; Seifer, 2002; Mitchell, 1996). Reliability ensures consistency of results when the instrument is applied repeatedly (Mugenda &amp; Mugenda, 2003; Orodho, 2005).</w:t>
      </w:r>
    </w:p>
    <w:p w14:paraId="0C87AEBA"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lastRenderedPageBreak/>
        <w:t>Prior to data collection, an introductory letter from the university and ethical clearance from NACOSTI were obtained. Questionnaires were administered by trained research assistants under supervision. Respondents were informed of the study objectives, and timelines were strictly followed to ensure systematic data collection.</w:t>
      </w:r>
    </w:p>
    <w:p w14:paraId="00FC419D"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Data were cleaned, coded, and analyzed using SPSS version 23. Descriptive statistics were used to summarize variables, while correlation and multiple regression analyses were applied to test relationships between variables. Results were presented using tables and graphs. The regression model used was:</w:t>
      </w:r>
    </w:p>
    <w:p w14:paraId="588A12EB"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Y = β0 + β1X1 + β2X2 + β3X3 + β4X4 + ε</w:t>
      </w:r>
    </w:p>
    <w:p w14:paraId="3D9533AD"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Diagnostic tests were conducted to ensure validity of regression assumptions (Field, 2018; Wooldridge, 2020). These included multicollinearity, normality, linearity, and heteroscedasticity tests.</w:t>
      </w:r>
    </w:p>
    <w:p w14:paraId="45972FB7" w14:textId="77777777" w:rsidR="0018246F" w:rsidRPr="0018246F"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Multicollinearity was assessed using Variance Inflation Factor (VIF), where values above 5 indicated concern and above 10 indicated serious multicollinearity (Montgomery, Peck &amp; Vining, 2021/2022). Normality of residuals was tested using the Shapiro–Wilk test and Q–Q plots, with p-values above 0.05 indicating normal distribution (Arnastauskaitė et al., 2021). Linearity was assessed using residuals-versus-fitted plots (Christodoulou-Volos &amp; Tserkezos, 2023). Heteroscedasticity was tested using the Breusch–Pagan/Cook–Weisberg test (Breusch &amp; Pagan, 1979), complemented by visual inspection; where present, corrective measures such as weighted least squares were considered.</w:t>
      </w:r>
    </w:p>
    <w:p w14:paraId="68ECED9B" w14:textId="7E3E8BD6" w:rsidR="009B3203" w:rsidRPr="007A56B8" w:rsidRDefault="0018246F" w:rsidP="0018246F">
      <w:pPr>
        <w:spacing w:after="160" w:line="259" w:lineRule="auto"/>
        <w:rPr>
          <w:rFonts w:cs="Times New Roman"/>
          <w:color w:val="000000" w:themeColor="text1"/>
          <w:szCs w:val="24"/>
        </w:rPr>
      </w:pPr>
      <w:r w:rsidRPr="0018246F">
        <w:rPr>
          <w:rFonts w:cs="Times New Roman"/>
          <w:color w:val="000000" w:themeColor="text1"/>
          <w:szCs w:val="24"/>
        </w:rPr>
        <w:t>Ethical approval was obtained from Kenyatta University and the NGO Coordination Board. Participants were informed of the study purpose and assured of confidentiality and anonymity. Data integrity was maintained by avoiding manipulation or misrepresentation of findings. Proper acknowledgment of all secondary sources was observed to uphold academic integrity</w:t>
      </w:r>
      <w:r w:rsidR="00B14085" w:rsidRPr="00B14085">
        <w:rPr>
          <w:rFonts w:cs="Times New Roman"/>
          <w:color w:val="000000" w:themeColor="text1"/>
          <w:szCs w:val="24"/>
        </w:rPr>
        <w:t>.</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1B94B9A" w:rsidR="00055D83" w:rsidRPr="007A56B8" w:rsidRDefault="002B2D3C" w:rsidP="002B2D3C">
      <w:pPr>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RESULTS AND DISCUSSION</w:t>
      </w:r>
    </w:p>
    <w:p w14:paraId="35E4007D" w14:textId="518C41F8" w:rsidR="00096C2E" w:rsidRPr="00096C2E" w:rsidRDefault="00096C2E" w:rsidP="00096C2E">
      <w:pPr>
        <w:shd w:val="clear" w:color="auto" w:fill="FFFFFF"/>
        <w:spacing w:before="0" w:line="240" w:lineRule="auto"/>
        <w:rPr>
          <w:rFonts w:eastAsia="Times New Roman" w:cs="Times New Roman"/>
          <w:b/>
          <w:bCs/>
          <w:color w:val="auto"/>
          <w14:ligatures w14:val="none"/>
        </w:rPr>
      </w:pPr>
      <w:r w:rsidRPr="00096C2E">
        <w:rPr>
          <w:rFonts w:eastAsia="Times New Roman" w:cs="Times New Roman"/>
          <w:b/>
          <w:bCs/>
          <w:color w:val="auto"/>
          <w14:ligatures w14:val="none"/>
        </w:rPr>
        <w:t xml:space="preserve">Response Rate </w:t>
      </w:r>
    </w:p>
    <w:p w14:paraId="06F390E8" w14:textId="35F7E4FB" w:rsidR="00096C2E" w:rsidRPr="00096C2E" w:rsidRDefault="00096C2E" w:rsidP="00096C2E">
      <w:pPr>
        <w:shd w:val="clear" w:color="auto" w:fill="FFFFFF"/>
        <w:spacing w:line="240" w:lineRule="auto"/>
        <w:rPr>
          <w:rFonts w:eastAsia="Times New Roman" w:cs="Times New Roman"/>
          <w:color w:val="auto"/>
          <w:szCs w:val="24"/>
          <w14:ligatures w14:val="none"/>
        </w:rPr>
      </w:pPr>
      <w:r w:rsidRPr="00096C2E">
        <w:rPr>
          <w:rFonts w:eastAsia="Times New Roman" w:cs="Times New Roman"/>
          <w:color w:val="auto"/>
          <w:szCs w:val="24"/>
          <w14:ligatures w14:val="none"/>
        </w:rPr>
        <w:t>The study achieved a response rate of 73.92% (275 out of 372 questionnaires), while 26.07% (97) were not returned (Table 1). According to Babbie (2004), a response rate above 70% is considered excellent in survey research, implying that the findings are highly representative of the target population of NGOs in Nairobi County and that non-response bias is minimal. The non-response proportion may be attributed to organizational constraints, respondent unavailability, or reluctance to provide information; however, its effect on the validity of findings is limited due to the strong overall participation level.</w:t>
      </w:r>
    </w:p>
    <w:p w14:paraId="490AD16C" w14:textId="3940D4A3" w:rsidR="00096C2E" w:rsidRPr="00096C2E" w:rsidRDefault="00096C2E" w:rsidP="00096C2E">
      <w:pPr>
        <w:shd w:val="clear" w:color="auto" w:fill="FFFFFF"/>
        <w:spacing w:line="240" w:lineRule="auto"/>
        <w:rPr>
          <w:rFonts w:eastAsia="Times New Roman" w:cs="Times New Roman"/>
          <w:b/>
          <w:bCs/>
          <w:color w:val="auto"/>
          <w:szCs w:val="24"/>
          <w14:ligatures w14:val="none"/>
        </w:rPr>
      </w:pPr>
      <w:commentRangeStart w:id="10"/>
      <w:r w:rsidRPr="00096C2E">
        <w:rPr>
          <w:rFonts w:eastAsia="Times New Roman" w:cs="Times New Roman"/>
          <w:b/>
          <w:bCs/>
          <w:color w:val="auto"/>
          <w:szCs w:val="24"/>
          <w14:ligatures w14:val="none"/>
        </w:rPr>
        <w:t xml:space="preserve">Table 1: Survey Response Summary </w:t>
      </w:r>
      <w:commentRangeEnd w:id="10"/>
      <w:r w:rsidR="00B857E4">
        <w:rPr>
          <w:rStyle w:val="CommentReference"/>
        </w:rPr>
        <w:commentReference w:id="10"/>
      </w:r>
    </w:p>
    <w:tbl>
      <w:tblPr>
        <w:tblStyle w:val="TableGrid1"/>
        <w:tblW w:w="0" w:type="auto"/>
        <w:tblLook w:val="04A0" w:firstRow="1" w:lastRow="0" w:firstColumn="1" w:lastColumn="0" w:noHBand="0" w:noVBand="1"/>
      </w:tblPr>
      <w:tblGrid>
        <w:gridCol w:w="1309"/>
        <w:gridCol w:w="1310"/>
        <w:gridCol w:w="1349"/>
      </w:tblGrid>
      <w:tr w:rsidR="00096C2E" w:rsidRPr="00096C2E" w14:paraId="78CCF8AE" w14:textId="77777777" w:rsidTr="00096C2E">
        <w:tc>
          <w:tcPr>
            <w:tcW w:w="0" w:type="auto"/>
            <w:hideMark/>
          </w:tcPr>
          <w:p w14:paraId="3F10FE77" w14:textId="77777777" w:rsidR="00096C2E" w:rsidRPr="00096C2E" w:rsidRDefault="00096C2E" w:rsidP="00096C2E">
            <w:pPr>
              <w:shd w:val="clear" w:color="auto" w:fill="FFFFFF"/>
              <w:spacing w:line="240" w:lineRule="auto"/>
              <w:rPr>
                <w:rFonts w:eastAsia="Times New Roman" w:cs="Times New Roman"/>
                <w:b/>
                <w:bCs/>
                <w:color w:val="auto"/>
                <w:szCs w:val="24"/>
              </w:rPr>
            </w:pPr>
            <w:r w:rsidRPr="00096C2E">
              <w:rPr>
                <w:rFonts w:eastAsia="Times New Roman" w:cs="Times New Roman"/>
                <w:b/>
                <w:bCs/>
                <w:color w:val="auto"/>
                <w:szCs w:val="24"/>
              </w:rPr>
              <w:t>Response</w:t>
            </w:r>
          </w:p>
        </w:tc>
        <w:tc>
          <w:tcPr>
            <w:tcW w:w="0" w:type="auto"/>
            <w:hideMark/>
          </w:tcPr>
          <w:p w14:paraId="09FEFA18" w14:textId="77777777" w:rsidR="00096C2E" w:rsidRPr="00096C2E" w:rsidRDefault="00096C2E" w:rsidP="00096C2E">
            <w:pPr>
              <w:shd w:val="clear" w:color="auto" w:fill="FFFFFF"/>
              <w:spacing w:line="240" w:lineRule="auto"/>
              <w:rPr>
                <w:rFonts w:eastAsia="Times New Roman" w:cs="Times New Roman"/>
                <w:b/>
                <w:bCs/>
                <w:color w:val="auto"/>
                <w:szCs w:val="24"/>
              </w:rPr>
            </w:pPr>
            <w:r w:rsidRPr="00096C2E">
              <w:rPr>
                <w:rFonts w:eastAsia="Times New Roman" w:cs="Times New Roman"/>
                <w:b/>
                <w:bCs/>
                <w:color w:val="auto"/>
                <w:szCs w:val="24"/>
              </w:rPr>
              <w:t>Frequency</w:t>
            </w:r>
          </w:p>
        </w:tc>
        <w:tc>
          <w:tcPr>
            <w:tcW w:w="0" w:type="auto"/>
            <w:hideMark/>
          </w:tcPr>
          <w:p w14:paraId="15CD1C8D" w14:textId="77777777" w:rsidR="00096C2E" w:rsidRPr="00096C2E" w:rsidRDefault="00096C2E" w:rsidP="00096C2E">
            <w:pPr>
              <w:shd w:val="clear" w:color="auto" w:fill="FFFFFF"/>
              <w:spacing w:line="240" w:lineRule="auto"/>
              <w:rPr>
                <w:rFonts w:eastAsia="Times New Roman" w:cs="Times New Roman"/>
                <w:b/>
                <w:bCs/>
                <w:color w:val="auto"/>
                <w:szCs w:val="24"/>
              </w:rPr>
            </w:pPr>
            <w:r w:rsidRPr="00096C2E">
              <w:rPr>
                <w:rFonts w:eastAsia="Times New Roman" w:cs="Times New Roman"/>
                <w:b/>
                <w:bCs/>
                <w:color w:val="auto"/>
                <w:szCs w:val="24"/>
              </w:rPr>
              <w:t>Percentage</w:t>
            </w:r>
          </w:p>
        </w:tc>
      </w:tr>
      <w:tr w:rsidR="00096C2E" w:rsidRPr="00096C2E" w14:paraId="1BE64B65" w14:textId="77777777" w:rsidTr="00096C2E">
        <w:tc>
          <w:tcPr>
            <w:tcW w:w="0" w:type="auto"/>
            <w:hideMark/>
          </w:tcPr>
          <w:p w14:paraId="6A6D1289"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Returned</w:t>
            </w:r>
          </w:p>
        </w:tc>
        <w:tc>
          <w:tcPr>
            <w:tcW w:w="0" w:type="auto"/>
            <w:hideMark/>
          </w:tcPr>
          <w:p w14:paraId="756CFE30"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275</w:t>
            </w:r>
          </w:p>
        </w:tc>
        <w:tc>
          <w:tcPr>
            <w:tcW w:w="0" w:type="auto"/>
            <w:hideMark/>
          </w:tcPr>
          <w:p w14:paraId="71607145"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73.92%</w:t>
            </w:r>
          </w:p>
        </w:tc>
      </w:tr>
      <w:tr w:rsidR="00096C2E" w:rsidRPr="00096C2E" w14:paraId="279EAF8B" w14:textId="77777777" w:rsidTr="00096C2E">
        <w:tc>
          <w:tcPr>
            <w:tcW w:w="0" w:type="auto"/>
            <w:hideMark/>
          </w:tcPr>
          <w:p w14:paraId="6CE727BF"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Unreturned</w:t>
            </w:r>
          </w:p>
        </w:tc>
        <w:tc>
          <w:tcPr>
            <w:tcW w:w="0" w:type="auto"/>
            <w:hideMark/>
          </w:tcPr>
          <w:p w14:paraId="7AECC438"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97</w:t>
            </w:r>
          </w:p>
        </w:tc>
        <w:tc>
          <w:tcPr>
            <w:tcW w:w="0" w:type="auto"/>
            <w:hideMark/>
          </w:tcPr>
          <w:p w14:paraId="68307FAB"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26.07%</w:t>
            </w:r>
          </w:p>
        </w:tc>
      </w:tr>
      <w:tr w:rsidR="00096C2E" w:rsidRPr="00096C2E" w14:paraId="5F8A110B" w14:textId="77777777" w:rsidTr="00096C2E">
        <w:tc>
          <w:tcPr>
            <w:tcW w:w="0" w:type="auto"/>
            <w:hideMark/>
          </w:tcPr>
          <w:p w14:paraId="0DC13AF8"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Total</w:t>
            </w:r>
          </w:p>
        </w:tc>
        <w:tc>
          <w:tcPr>
            <w:tcW w:w="0" w:type="auto"/>
            <w:hideMark/>
          </w:tcPr>
          <w:p w14:paraId="48FFFCE8"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372</w:t>
            </w:r>
          </w:p>
        </w:tc>
        <w:tc>
          <w:tcPr>
            <w:tcW w:w="0" w:type="auto"/>
            <w:hideMark/>
          </w:tcPr>
          <w:p w14:paraId="1F962EB1"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100%</w:t>
            </w:r>
          </w:p>
        </w:tc>
      </w:tr>
    </w:tbl>
    <w:p w14:paraId="4EBCBD8B" w14:textId="7C630BB2" w:rsidR="00096C2E" w:rsidRPr="00096C2E" w:rsidRDefault="00096C2E" w:rsidP="00096C2E">
      <w:pPr>
        <w:shd w:val="clear" w:color="auto" w:fill="FFFFFF"/>
        <w:spacing w:line="240" w:lineRule="auto"/>
        <w:rPr>
          <w:rFonts w:eastAsia="Times New Roman" w:cs="Times New Roman"/>
          <w:b/>
          <w:bCs/>
          <w:color w:val="auto"/>
          <w:szCs w:val="24"/>
          <w14:ligatures w14:val="none"/>
        </w:rPr>
      </w:pPr>
      <w:r w:rsidRPr="00096C2E">
        <w:rPr>
          <w:rFonts w:eastAsia="Times New Roman" w:cs="Times New Roman"/>
          <w:b/>
          <w:bCs/>
          <w:color w:val="auto"/>
          <w:szCs w:val="24"/>
          <w14:ligatures w14:val="none"/>
        </w:rPr>
        <w:t xml:space="preserve">Reliability Results </w:t>
      </w:r>
    </w:p>
    <w:p w14:paraId="39C06293" w14:textId="77777777" w:rsidR="00096C2E" w:rsidRPr="00096C2E" w:rsidRDefault="00096C2E" w:rsidP="00096C2E">
      <w:pPr>
        <w:shd w:val="clear" w:color="auto" w:fill="FFFFFF"/>
        <w:spacing w:line="240" w:lineRule="auto"/>
        <w:rPr>
          <w:rFonts w:eastAsia="Times New Roman" w:cs="Times New Roman"/>
          <w:color w:val="auto"/>
          <w:szCs w:val="24"/>
          <w14:ligatures w14:val="none"/>
        </w:rPr>
      </w:pPr>
      <w:r w:rsidRPr="00096C2E">
        <w:rPr>
          <w:rFonts w:eastAsia="Times New Roman" w:cs="Times New Roman"/>
          <w:color w:val="auto"/>
          <w:szCs w:val="24"/>
          <w14:ligatures w14:val="none"/>
        </w:rPr>
        <w:t>Reliability analysis was conducted using Cronbach’s Alpha to assess internal consistency of the research instrument. All variables recorded alpha values above the 0.7 threshold, confirming acceptable reliability and consistency of the questionnaire items. A pilot study involving 37 respondents (10% of the sample) achieved a 100% response rate, supporting clarity and relevance of the instrument.</w:t>
      </w:r>
    </w:p>
    <w:p w14:paraId="24927C84" w14:textId="6C07552C" w:rsidR="00096C2E" w:rsidRPr="00096C2E" w:rsidRDefault="00096C2E" w:rsidP="00096C2E">
      <w:pPr>
        <w:shd w:val="clear" w:color="auto" w:fill="FFFFFF"/>
        <w:spacing w:line="240" w:lineRule="auto"/>
        <w:rPr>
          <w:rFonts w:eastAsia="Times New Roman" w:cs="Times New Roman"/>
          <w:b/>
          <w:bCs/>
          <w:color w:val="auto"/>
          <w:szCs w:val="24"/>
          <w14:ligatures w14:val="none"/>
        </w:rPr>
      </w:pPr>
      <w:commentRangeStart w:id="11"/>
      <w:r w:rsidRPr="00096C2E">
        <w:rPr>
          <w:rFonts w:eastAsia="Times New Roman" w:cs="Times New Roman"/>
          <w:b/>
          <w:bCs/>
          <w:color w:val="auto"/>
          <w:szCs w:val="24"/>
          <w14:ligatures w14:val="none"/>
        </w:rPr>
        <w:t xml:space="preserve">Table 2: Internal Consistency by Construct (Cronbach’s α) </w:t>
      </w:r>
      <w:commentRangeEnd w:id="11"/>
      <w:r w:rsidR="00EF498C">
        <w:rPr>
          <w:rStyle w:val="CommentReference"/>
        </w:rPr>
        <w:commentReference w:id="11"/>
      </w:r>
    </w:p>
    <w:tbl>
      <w:tblPr>
        <w:tblStyle w:val="TableGrid1"/>
        <w:tblW w:w="0" w:type="auto"/>
        <w:tblLook w:val="04A0" w:firstRow="1" w:lastRow="0" w:firstColumn="1" w:lastColumn="0" w:noHBand="0" w:noVBand="1"/>
      </w:tblPr>
      <w:tblGrid>
        <w:gridCol w:w="2450"/>
        <w:gridCol w:w="2104"/>
        <w:gridCol w:w="790"/>
        <w:gridCol w:w="1230"/>
      </w:tblGrid>
      <w:tr w:rsidR="00096C2E" w:rsidRPr="00096C2E" w14:paraId="1C6806D1" w14:textId="77777777" w:rsidTr="00096C2E">
        <w:tc>
          <w:tcPr>
            <w:tcW w:w="0" w:type="auto"/>
            <w:hideMark/>
          </w:tcPr>
          <w:p w14:paraId="22BFA900" w14:textId="77777777" w:rsidR="00096C2E" w:rsidRPr="00096C2E" w:rsidRDefault="00096C2E" w:rsidP="00096C2E">
            <w:pPr>
              <w:shd w:val="clear" w:color="auto" w:fill="FFFFFF"/>
              <w:spacing w:line="240" w:lineRule="auto"/>
              <w:rPr>
                <w:rFonts w:eastAsia="Times New Roman" w:cs="Times New Roman"/>
                <w:b/>
                <w:bCs/>
                <w:color w:val="auto"/>
                <w:szCs w:val="24"/>
              </w:rPr>
            </w:pPr>
            <w:r w:rsidRPr="00096C2E">
              <w:rPr>
                <w:rFonts w:eastAsia="Times New Roman" w:cs="Times New Roman"/>
                <w:b/>
                <w:bCs/>
                <w:color w:val="auto"/>
                <w:szCs w:val="24"/>
              </w:rPr>
              <w:t>Variable</w:t>
            </w:r>
          </w:p>
        </w:tc>
        <w:tc>
          <w:tcPr>
            <w:tcW w:w="0" w:type="auto"/>
            <w:hideMark/>
          </w:tcPr>
          <w:p w14:paraId="2DC31EB2" w14:textId="77777777" w:rsidR="00096C2E" w:rsidRPr="00096C2E" w:rsidRDefault="00096C2E" w:rsidP="00096C2E">
            <w:pPr>
              <w:shd w:val="clear" w:color="auto" w:fill="FFFFFF"/>
              <w:spacing w:line="240" w:lineRule="auto"/>
              <w:rPr>
                <w:rFonts w:eastAsia="Times New Roman" w:cs="Times New Roman"/>
                <w:b/>
                <w:bCs/>
                <w:color w:val="auto"/>
                <w:szCs w:val="24"/>
              </w:rPr>
            </w:pPr>
            <w:r w:rsidRPr="00096C2E">
              <w:rPr>
                <w:rFonts w:eastAsia="Times New Roman" w:cs="Times New Roman"/>
                <w:b/>
                <w:bCs/>
                <w:color w:val="auto"/>
                <w:szCs w:val="24"/>
              </w:rPr>
              <w:t>Cronbach’s Alpha</w:t>
            </w:r>
          </w:p>
        </w:tc>
        <w:tc>
          <w:tcPr>
            <w:tcW w:w="0" w:type="auto"/>
            <w:hideMark/>
          </w:tcPr>
          <w:p w14:paraId="317D6742" w14:textId="77777777" w:rsidR="00096C2E" w:rsidRPr="00096C2E" w:rsidRDefault="00096C2E" w:rsidP="00096C2E">
            <w:pPr>
              <w:shd w:val="clear" w:color="auto" w:fill="FFFFFF"/>
              <w:spacing w:line="240" w:lineRule="auto"/>
              <w:rPr>
                <w:rFonts w:eastAsia="Times New Roman" w:cs="Times New Roman"/>
                <w:b/>
                <w:bCs/>
                <w:color w:val="auto"/>
                <w:szCs w:val="24"/>
              </w:rPr>
            </w:pPr>
            <w:r w:rsidRPr="00096C2E">
              <w:rPr>
                <w:rFonts w:eastAsia="Times New Roman" w:cs="Times New Roman"/>
                <w:b/>
                <w:bCs/>
                <w:color w:val="auto"/>
                <w:szCs w:val="24"/>
              </w:rPr>
              <w:t>Items</w:t>
            </w:r>
          </w:p>
        </w:tc>
        <w:tc>
          <w:tcPr>
            <w:tcW w:w="0" w:type="auto"/>
            <w:hideMark/>
          </w:tcPr>
          <w:p w14:paraId="32EF2B97" w14:textId="77777777" w:rsidR="00096C2E" w:rsidRPr="00096C2E" w:rsidRDefault="00096C2E" w:rsidP="00096C2E">
            <w:pPr>
              <w:shd w:val="clear" w:color="auto" w:fill="FFFFFF"/>
              <w:spacing w:line="240" w:lineRule="auto"/>
              <w:rPr>
                <w:rFonts w:eastAsia="Times New Roman" w:cs="Times New Roman"/>
                <w:b/>
                <w:bCs/>
                <w:color w:val="auto"/>
                <w:szCs w:val="24"/>
              </w:rPr>
            </w:pPr>
            <w:r w:rsidRPr="00096C2E">
              <w:rPr>
                <w:rFonts w:eastAsia="Times New Roman" w:cs="Times New Roman"/>
                <w:b/>
                <w:bCs/>
                <w:color w:val="auto"/>
                <w:szCs w:val="24"/>
              </w:rPr>
              <w:t>Comment</w:t>
            </w:r>
          </w:p>
        </w:tc>
      </w:tr>
      <w:tr w:rsidR="00096C2E" w:rsidRPr="00096C2E" w14:paraId="00EC9A73" w14:textId="77777777" w:rsidTr="00096C2E">
        <w:tc>
          <w:tcPr>
            <w:tcW w:w="0" w:type="auto"/>
            <w:hideMark/>
          </w:tcPr>
          <w:p w14:paraId="5DDA33ED"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Continuous monitoring</w:t>
            </w:r>
          </w:p>
        </w:tc>
        <w:tc>
          <w:tcPr>
            <w:tcW w:w="0" w:type="auto"/>
            <w:hideMark/>
          </w:tcPr>
          <w:p w14:paraId="1706E730"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0.842</w:t>
            </w:r>
          </w:p>
        </w:tc>
        <w:tc>
          <w:tcPr>
            <w:tcW w:w="0" w:type="auto"/>
            <w:hideMark/>
          </w:tcPr>
          <w:p w14:paraId="7EDFD8FA"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5</w:t>
            </w:r>
          </w:p>
        </w:tc>
        <w:tc>
          <w:tcPr>
            <w:tcW w:w="0" w:type="auto"/>
            <w:hideMark/>
          </w:tcPr>
          <w:p w14:paraId="6C93E607"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Reliable</w:t>
            </w:r>
          </w:p>
        </w:tc>
      </w:tr>
      <w:tr w:rsidR="00096C2E" w:rsidRPr="00096C2E" w14:paraId="2B1DC5CA" w14:textId="77777777" w:rsidTr="00096C2E">
        <w:tc>
          <w:tcPr>
            <w:tcW w:w="0" w:type="auto"/>
            <w:hideMark/>
          </w:tcPr>
          <w:p w14:paraId="0FEDE3A7"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Risk assessment</w:t>
            </w:r>
          </w:p>
        </w:tc>
        <w:tc>
          <w:tcPr>
            <w:tcW w:w="0" w:type="auto"/>
            <w:hideMark/>
          </w:tcPr>
          <w:p w14:paraId="34434826"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0.808</w:t>
            </w:r>
          </w:p>
        </w:tc>
        <w:tc>
          <w:tcPr>
            <w:tcW w:w="0" w:type="auto"/>
            <w:hideMark/>
          </w:tcPr>
          <w:p w14:paraId="1433ADEA"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5</w:t>
            </w:r>
          </w:p>
        </w:tc>
        <w:tc>
          <w:tcPr>
            <w:tcW w:w="0" w:type="auto"/>
            <w:hideMark/>
          </w:tcPr>
          <w:p w14:paraId="1DA3AC82"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Reliable</w:t>
            </w:r>
          </w:p>
        </w:tc>
      </w:tr>
      <w:tr w:rsidR="00096C2E" w:rsidRPr="00096C2E" w14:paraId="07EEA85D" w14:textId="77777777" w:rsidTr="00096C2E">
        <w:tc>
          <w:tcPr>
            <w:tcW w:w="0" w:type="auto"/>
            <w:hideMark/>
          </w:tcPr>
          <w:p w14:paraId="3039AE50"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Control procedures</w:t>
            </w:r>
          </w:p>
        </w:tc>
        <w:tc>
          <w:tcPr>
            <w:tcW w:w="0" w:type="auto"/>
            <w:hideMark/>
          </w:tcPr>
          <w:p w14:paraId="2FE0FFAE"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0.797</w:t>
            </w:r>
          </w:p>
        </w:tc>
        <w:tc>
          <w:tcPr>
            <w:tcW w:w="0" w:type="auto"/>
            <w:hideMark/>
          </w:tcPr>
          <w:p w14:paraId="65BD726A"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5</w:t>
            </w:r>
          </w:p>
        </w:tc>
        <w:tc>
          <w:tcPr>
            <w:tcW w:w="0" w:type="auto"/>
            <w:hideMark/>
          </w:tcPr>
          <w:p w14:paraId="2FDB378B"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Reliable</w:t>
            </w:r>
          </w:p>
        </w:tc>
      </w:tr>
      <w:tr w:rsidR="00096C2E" w:rsidRPr="00096C2E" w14:paraId="3AEC7BD7" w14:textId="77777777" w:rsidTr="00096C2E">
        <w:tc>
          <w:tcPr>
            <w:tcW w:w="0" w:type="auto"/>
            <w:hideMark/>
          </w:tcPr>
          <w:p w14:paraId="69BDBB98"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Financial performance</w:t>
            </w:r>
          </w:p>
        </w:tc>
        <w:tc>
          <w:tcPr>
            <w:tcW w:w="0" w:type="auto"/>
            <w:hideMark/>
          </w:tcPr>
          <w:p w14:paraId="2ED29ED2"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0.798</w:t>
            </w:r>
          </w:p>
        </w:tc>
        <w:tc>
          <w:tcPr>
            <w:tcW w:w="0" w:type="auto"/>
            <w:hideMark/>
          </w:tcPr>
          <w:p w14:paraId="6123A7A4"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4</w:t>
            </w:r>
          </w:p>
        </w:tc>
        <w:tc>
          <w:tcPr>
            <w:tcW w:w="0" w:type="auto"/>
            <w:hideMark/>
          </w:tcPr>
          <w:p w14:paraId="2FE3381D"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Reliable</w:t>
            </w:r>
          </w:p>
        </w:tc>
      </w:tr>
      <w:tr w:rsidR="00096C2E" w:rsidRPr="00096C2E" w14:paraId="2FB7DC08" w14:textId="77777777" w:rsidTr="00096C2E">
        <w:tc>
          <w:tcPr>
            <w:tcW w:w="0" w:type="auto"/>
            <w:hideMark/>
          </w:tcPr>
          <w:p w14:paraId="1D57AFA3"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Control environment</w:t>
            </w:r>
          </w:p>
        </w:tc>
        <w:tc>
          <w:tcPr>
            <w:tcW w:w="0" w:type="auto"/>
            <w:hideMark/>
          </w:tcPr>
          <w:p w14:paraId="47F9D376"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0.712</w:t>
            </w:r>
          </w:p>
        </w:tc>
        <w:tc>
          <w:tcPr>
            <w:tcW w:w="0" w:type="auto"/>
            <w:hideMark/>
          </w:tcPr>
          <w:p w14:paraId="56322823"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5</w:t>
            </w:r>
          </w:p>
        </w:tc>
        <w:tc>
          <w:tcPr>
            <w:tcW w:w="0" w:type="auto"/>
            <w:hideMark/>
          </w:tcPr>
          <w:p w14:paraId="5D3AB17C" w14:textId="77777777" w:rsidR="00096C2E" w:rsidRPr="00096C2E" w:rsidRDefault="00096C2E" w:rsidP="00096C2E">
            <w:pPr>
              <w:shd w:val="clear" w:color="auto" w:fill="FFFFFF"/>
              <w:spacing w:line="240" w:lineRule="auto"/>
              <w:rPr>
                <w:rFonts w:eastAsia="Times New Roman" w:cs="Times New Roman"/>
                <w:color w:val="auto"/>
                <w:szCs w:val="24"/>
              </w:rPr>
            </w:pPr>
            <w:r w:rsidRPr="00096C2E">
              <w:rPr>
                <w:rFonts w:eastAsia="Times New Roman" w:cs="Times New Roman"/>
                <w:color w:val="auto"/>
                <w:szCs w:val="24"/>
              </w:rPr>
              <w:t>Reliable</w:t>
            </w:r>
          </w:p>
        </w:tc>
      </w:tr>
    </w:tbl>
    <w:p w14:paraId="7F1165F2" w14:textId="5980E156" w:rsidR="00096C2E" w:rsidRDefault="00096C2E" w:rsidP="00096C2E">
      <w:pPr>
        <w:shd w:val="clear" w:color="auto" w:fill="FFFFFF"/>
        <w:spacing w:line="240" w:lineRule="auto"/>
        <w:rPr>
          <w:rFonts w:eastAsia="Times New Roman" w:cs="Times New Roman"/>
          <w:color w:val="auto"/>
          <w:szCs w:val="24"/>
          <w14:ligatures w14:val="none"/>
        </w:rPr>
      </w:pPr>
      <w:r w:rsidRPr="00096C2E">
        <w:rPr>
          <w:rFonts w:eastAsia="Times New Roman" w:cs="Times New Roman"/>
          <w:b/>
          <w:bCs/>
          <w:color w:val="auto"/>
          <w:szCs w:val="24"/>
          <w14:ligatures w14:val="none"/>
        </w:rPr>
        <w:t>(2024 Research Data)</w:t>
      </w:r>
    </w:p>
    <w:p w14:paraId="3B80EDA8" w14:textId="705B712B" w:rsidR="00096C2E" w:rsidRPr="00096C2E" w:rsidRDefault="00096C2E" w:rsidP="00096C2E">
      <w:pPr>
        <w:shd w:val="clear" w:color="auto" w:fill="FFFFFF"/>
        <w:spacing w:line="240" w:lineRule="auto"/>
        <w:rPr>
          <w:rFonts w:eastAsia="Times New Roman" w:cs="Times New Roman"/>
          <w:color w:val="auto"/>
          <w:szCs w:val="24"/>
          <w14:ligatures w14:val="none"/>
        </w:rPr>
      </w:pPr>
      <w:r w:rsidRPr="00096C2E">
        <w:rPr>
          <w:rFonts w:eastAsia="Times New Roman" w:cs="Times New Roman"/>
          <w:color w:val="auto"/>
          <w:szCs w:val="24"/>
          <w14:ligatures w14:val="none"/>
        </w:rPr>
        <w:t>These results confirm strong internal consistency and support construct, content, and face validity. Consistent with Cronbach (1951) and Hayes &amp; Coutts (2020), alpha values ≥0.7 indicate acceptable reliability. The pilot findings therefore demonstrate that the instrument is suitable for large-scale deployment, ensuring dependable and valid results in the main study.</w:t>
      </w:r>
    </w:p>
    <w:p w14:paraId="5A94E758" w14:textId="77777777" w:rsidR="00B3455A" w:rsidRDefault="00B3455A" w:rsidP="00B3455A">
      <w:pPr>
        <w:shd w:val="clear" w:color="auto" w:fill="FFFFFF"/>
        <w:spacing w:line="240" w:lineRule="auto"/>
        <w:rPr>
          <w:rFonts w:eastAsia="Times New Roman" w:cs="Times New Roman"/>
          <w:b/>
          <w:bCs/>
          <w:color w:val="auto"/>
          <w:szCs w:val="24"/>
          <w14:ligatures w14:val="none"/>
        </w:rPr>
      </w:pPr>
    </w:p>
    <w:p w14:paraId="6CF18831" w14:textId="3F70846C" w:rsidR="00B3455A" w:rsidRPr="00B3455A" w:rsidRDefault="00B3455A" w:rsidP="00B3455A">
      <w:pPr>
        <w:shd w:val="clear" w:color="auto" w:fill="FFFFFF"/>
        <w:spacing w:line="240" w:lineRule="auto"/>
        <w:rPr>
          <w:rFonts w:eastAsia="Times New Roman" w:cs="Times New Roman"/>
          <w:b/>
          <w:bCs/>
          <w:color w:val="auto"/>
          <w:szCs w:val="24"/>
          <w14:ligatures w14:val="none"/>
        </w:rPr>
      </w:pPr>
      <w:r w:rsidRPr="00B3455A">
        <w:rPr>
          <w:rFonts w:eastAsia="Times New Roman" w:cs="Times New Roman"/>
          <w:b/>
          <w:bCs/>
          <w:color w:val="auto"/>
          <w:szCs w:val="24"/>
          <w14:ligatures w14:val="none"/>
        </w:rPr>
        <w:lastRenderedPageBreak/>
        <w:t xml:space="preserve">Inferential Analysis </w:t>
      </w:r>
    </w:p>
    <w:p w14:paraId="0902AF39"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Inferential analysis was conducted to examine the relationships between the four internal control dimensions and financial performance of NGOs, and to generalise findings from the sample to the broader population. The analysis employed correlation and multiple regression techniques to determine the magnitude, direction, and significance of associations among variables. The results provide empirical evidence for testing the study hypotheses regarding the influence of internal control systems on financial performance.</w:t>
      </w:r>
    </w:p>
    <w:p w14:paraId="4708D514" w14:textId="7E35D53D" w:rsidR="00B3455A" w:rsidRPr="00B3455A" w:rsidRDefault="00B3455A" w:rsidP="00B3455A">
      <w:pPr>
        <w:shd w:val="clear" w:color="auto" w:fill="FFFFFF"/>
        <w:spacing w:line="240" w:lineRule="auto"/>
        <w:rPr>
          <w:rFonts w:eastAsia="Times New Roman" w:cs="Times New Roman"/>
          <w:b/>
          <w:bCs/>
          <w:color w:val="auto"/>
          <w:szCs w:val="24"/>
          <w14:ligatures w14:val="none"/>
        </w:rPr>
      </w:pPr>
      <w:r w:rsidRPr="00B3455A">
        <w:rPr>
          <w:rFonts w:eastAsia="Times New Roman" w:cs="Times New Roman"/>
          <w:b/>
          <w:bCs/>
          <w:color w:val="auto"/>
          <w:szCs w:val="24"/>
          <w14:ligatures w14:val="none"/>
        </w:rPr>
        <w:t xml:space="preserve">Correlation Analysis and Multicollinearity </w:t>
      </w:r>
    </w:p>
    <w:p w14:paraId="38E34306" w14:textId="22C6E2AD"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 xml:space="preserve">Pearson correlation analysis was used to assess the relationships between internal control components and financial performance, as presented in Table </w:t>
      </w:r>
      <w:r w:rsidR="006F1C82">
        <w:rPr>
          <w:rFonts w:eastAsia="Times New Roman" w:cs="Times New Roman"/>
          <w:color w:val="auto"/>
          <w:szCs w:val="24"/>
          <w14:ligatures w14:val="none"/>
        </w:rPr>
        <w:t>3</w:t>
      </w:r>
      <w:r w:rsidRPr="00B3455A">
        <w:rPr>
          <w:rFonts w:eastAsia="Times New Roman" w:cs="Times New Roman"/>
          <w:color w:val="auto"/>
          <w:szCs w:val="24"/>
          <w14:ligatures w14:val="none"/>
        </w:rPr>
        <w:t>.</w:t>
      </w:r>
    </w:p>
    <w:p w14:paraId="018F0018" w14:textId="131C5342" w:rsidR="00B3455A" w:rsidRPr="00B3455A" w:rsidRDefault="00B3455A" w:rsidP="00B3455A">
      <w:pPr>
        <w:shd w:val="clear" w:color="auto" w:fill="FFFFFF"/>
        <w:spacing w:line="240" w:lineRule="auto"/>
        <w:rPr>
          <w:rFonts w:eastAsia="Times New Roman" w:cs="Times New Roman"/>
          <w:color w:val="auto"/>
          <w:szCs w:val="24"/>
          <w14:ligatures w14:val="none"/>
        </w:rPr>
      </w:pPr>
      <w:commentRangeStart w:id="12"/>
      <w:r w:rsidRPr="00B3455A">
        <w:rPr>
          <w:rFonts w:eastAsia="Times New Roman" w:cs="Times New Roman"/>
          <w:b/>
          <w:bCs/>
          <w:color w:val="auto"/>
          <w:szCs w:val="24"/>
          <w14:ligatures w14:val="none"/>
        </w:rPr>
        <w:t xml:space="preserve">Table </w:t>
      </w:r>
      <w:r>
        <w:rPr>
          <w:rFonts w:eastAsia="Times New Roman" w:cs="Times New Roman"/>
          <w:b/>
          <w:bCs/>
          <w:color w:val="auto"/>
          <w:szCs w:val="24"/>
          <w14:ligatures w14:val="none"/>
        </w:rPr>
        <w:t>3</w:t>
      </w:r>
      <w:r w:rsidRPr="00B3455A">
        <w:rPr>
          <w:rFonts w:eastAsia="Times New Roman" w:cs="Times New Roman"/>
          <w:b/>
          <w:bCs/>
          <w:color w:val="auto"/>
          <w:szCs w:val="24"/>
          <w14:ligatures w14:val="none"/>
        </w:rPr>
        <w:t>: Pearson’s r Correlation Results</w:t>
      </w:r>
      <w:commentRangeEnd w:id="12"/>
      <w:r w:rsidR="00AA0F90">
        <w:rPr>
          <w:rStyle w:val="CommentReference"/>
        </w:rPr>
        <w:commentReference w:id="12"/>
      </w:r>
    </w:p>
    <w:tbl>
      <w:tblPr>
        <w:tblStyle w:val="TableGrid1"/>
        <w:tblW w:w="0" w:type="auto"/>
        <w:tblLook w:val="04A0" w:firstRow="1" w:lastRow="0" w:firstColumn="1" w:lastColumn="0" w:noHBand="0" w:noVBand="1"/>
      </w:tblPr>
      <w:tblGrid>
        <w:gridCol w:w="2690"/>
        <w:gridCol w:w="876"/>
        <w:gridCol w:w="876"/>
        <w:gridCol w:w="876"/>
        <w:gridCol w:w="876"/>
        <w:gridCol w:w="336"/>
      </w:tblGrid>
      <w:tr w:rsidR="00B3455A" w:rsidRPr="00B3455A" w14:paraId="0C387496" w14:textId="77777777" w:rsidTr="00B3455A">
        <w:tc>
          <w:tcPr>
            <w:tcW w:w="0" w:type="auto"/>
            <w:hideMark/>
          </w:tcPr>
          <w:p w14:paraId="6603540F"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28BCBE42"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1</w:t>
            </w:r>
          </w:p>
        </w:tc>
        <w:tc>
          <w:tcPr>
            <w:tcW w:w="0" w:type="auto"/>
            <w:hideMark/>
          </w:tcPr>
          <w:p w14:paraId="6BDBC41D"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2</w:t>
            </w:r>
          </w:p>
        </w:tc>
        <w:tc>
          <w:tcPr>
            <w:tcW w:w="0" w:type="auto"/>
            <w:hideMark/>
          </w:tcPr>
          <w:p w14:paraId="68FF7A14"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3</w:t>
            </w:r>
          </w:p>
        </w:tc>
        <w:tc>
          <w:tcPr>
            <w:tcW w:w="0" w:type="auto"/>
            <w:hideMark/>
          </w:tcPr>
          <w:p w14:paraId="2BFB40AF"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4</w:t>
            </w:r>
          </w:p>
        </w:tc>
        <w:tc>
          <w:tcPr>
            <w:tcW w:w="0" w:type="auto"/>
            <w:hideMark/>
          </w:tcPr>
          <w:p w14:paraId="60ED573C"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5</w:t>
            </w:r>
          </w:p>
        </w:tc>
      </w:tr>
      <w:tr w:rsidR="00B3455A" w:rsidRPr="00B3455A" w14:paraId="58AA4925" w14:textId="77777777" w:rsidTr="00B3455A">
        <w:tc>
          <w:tcPr>
            <w:tcW w:w="0" w:type="auto"/>
            <w:hideMark/>
          </w:tcPr>
          <w:p w14:paraId="6CDD6586"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1. Financial Performance</w:t>
            </w:r>
          </w:p>
        </w:tc>
        <w:tc>
          <w:tcPr>
            <w:tcW w:w="0" w:type="auto"/>
            <w:hideMark/>
          </w:tcPr>
          <w:p w14:paraId="048CA704" w14:textId="22780C1F" w:rsidR="00B3455A" w:rsidRPr="00B3455A" w:rsidRDefault="006633DF" w:rsidP="00B3455A">
            <w:pPr>
              <w:shd w:val="clear" w:color="auto" w:fill="FFFFFF"/>
              <w:spacing w:line="240" w:lineRule="auto"/>
              <w:rPr>
                <w:rFonts w:eastAsia="Times New Roman" w:cs="Times New Roman"/>
                <w:color w:val="auto"/>
                <w:szCs w:val="24"/>
              </w:rPr>
            </w:pPr>
            <w:r>
              <w:rPr>
                <w:rFonts w:eastAsia="Times New Roman" w:cs="Times New Roman"/>
                <w:color w:val="auto"/>
                <w:szCs w:val="24"/>
              </w:rPr>
              <w:t xml:space="preserve"> </w:t>
            </w:r>
          </w:p>
        </w:tc>
        <w:tc>
          <w:tcPr>
            <w:tcW w:w="0" w:type="auto"/>
            <w:hideMark/>
          </w:tcPr>
          <w:p w14:paraId="22EFF622"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6AC23A3C"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3840FF5E"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30917E62" w14:textId="77777777" w:rsidR="00B3455A" w:rsidRPr="00B3455A" w:rsidRDefault="00B3455A" w:rsidP="00B3455A">
            <w:pPr>
              <w:shd w:val="clear" w:color="auto" w:fill="FFFFFF"/>
              <w:spacing w:line="240" w:lineRule="auto"/>
              <w:rPr>
                <w:rFonts w:eastAsia="Times New Roman" w:cs="Times New Roman"/>
                <w:color w:val="auto"/>
                <w:szCs w:val="24"/>
              </w:rPr>
            </w:pPr>
          </w:p>
        </w:tc>
      </w:tr>
      <w:tr w:rsidR="00B3455A" w:rsidRPr="00B3455A" w14:paraId="5EC7D335" w14:textId="77777777" w:rsidTr="00B3455A">
        <w:tc>
          <w:tcPr>
            <w:tcW w:w="0" w:type="auto"/>
            <w:hideMark/>
          </w:tcPr>
          <w:p w14:paraId="17C4FE97"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2. Control environment</w:t>
            </w:r>
          </w:p>
        </w:tc>
        <w:tc>
          <w:tcPr>
            <w:tcW w:w="0" w:type="auto"/>
            <w:hideMark/>
          </w:tcPr>
          <w:p w14:paraId="7B679AC7"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0.72**</w:t>
            </w:r>
          </w:p>
        </w:tc>
        <w:tc>
          <w:tcPr>
            <w:tcW w:w="0" w:type="auto"/>
            <w:hideMark/>
          </w:tcPr>
          <w:p w14:paraId="50A9BFC6" w14:textId="298F3DBB" w:rsidR="00B3455A" w:rsidRPr="00B3455A" w:rsidRDefault="006633DF" w:rsidP="00B3455A">
            <w:pPr>
              <w:shd w:val="clear" w:color="auto" w:fill="FFFFFF"/>
              <w:spacing w:line="240" w:lineRule="auto"/>
              <w:rPr>
                <w:rFonts w:eastAsia="Times New Roman" w:cs="Times New Roman"/>
                <w:color w:val="auto"/>
                <w:szCs w:val="24"/>
              </w:rPr>
            </w:pPr>
            <w:r>
              <w:rPr>
                <w:rFonts w:eastAsia="Times New Roman" w:cs="Times New Roman"/>
                <w:color w:val="auto"/>
                <w:szCs w:val="24"/>
              </w:rPr>
              <w:t xml:space="preserve"> </w:t>
            </w:r>
          </w:p>
        </w:tc>
        <w:tc>
          <w:tcPr>
            <w:tcW w:w="0" w:type="auto"/>
            <w:hideMark/>
          </w:tcPr>
          <w:p w14:paraId="1B2EF5F5"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739E8879"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23E68D4F" w14:textId="77777777" w:rsidR="00B3455A" w:rsidRPr="00B3455A" w:rsidRDefault="00B3455A" w:rsidP="00B3455A">
            <w:pPr>
              <w:shd w:val="clear" w:color="auto" w:fill="FFFFFF"/>
              <w:spacing w:line="240" w:lineRule="auto"/>
              <w:rPr>
                <w:rFonts w:eastAsia="Times New Roman" w:cs="Times New Roman"/>
                <w:color w:val="auto"/>
                <w:szCs w:val="24"/>
              </w:rPr>
            </w:pPr>
          </w:p>
        </w:tc>
      </w:tr>
      <w:tr w:rsidR="00B3455A" w:rsidRPr="00B3455A" w14:paraId="3E6F0A88" w14:textId="77777777" w:rsidTr="00B3455A">
        <w:tc>
          <w:tcPr>
            <w:tcW w:w="0" w:type="auto"/>
            <w:hideMark/>
          </w:tcPr>
          <w:p w14:paraId="32FE8B58"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3. Risk assessment</w:t>
            </w:r>
          </w:p>
        </w:tc>
        <w:tc>
          <w:tcPr>
            <w:tcW w:w="0" w:type="auto"/>
            <w:hideMark/>
          </w:tcPr>
          <w:p w14:paraId="6A3488CE"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0.66**</w:t>
            </w:r>
          </w:p>
        </w:tc>
        <w:tc>
          <w:tcPr>
            <w:tcW w:w="0" w:type="auto"/>
            <w:hideMark/>
          </w:tcPr>
          <w:p w14:paraId="7C713EDE"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0.51**</w:t>
            </w:r>
          </w:p>
        </w:tc>
        <w:tc>
          <w:tcPr>
            <w:tcW w:w="0" w:type="auto"/>
            <w:hideMark/>
          </w:tcPr>
          <w:p w14:paraId="1F85CA67" w14:textId="69E61BEB" w:rsidR="00B3455A" w:rsidRPr="00B3455A" w:rsidRDefault="006633DF" w:rsidP="00B3455A">
            <w:pPr>
              <w:shd w:val="clear" w:color="auto" w:fill="FFFFFF"/>
              <w:spacing w:line="240" w:lineRule="auto"/>
              <w:rPr>
                <w:rFonts w:eastAsia="Times New Roman" w:cs="Times New Roman"/>
                <w:color w:val="auto"/>
                <w:szCs w:val="24"/>
              </w:rPr>
            </w:pPr>
            <w:r>
              <w:rPr>
                <w:rFonts w:eastAsia="Times New Roman" w:cs="Times New Roman"/>
                <w:color w:val="auto"/>
                <w:szCs w:val="24"/>
              </w:rPr>
              <w:t xml:space="preserve"> </w:t>
            </w:r>
          </w:p>
        </w:tc>
        <w:tc>
          <w:tcPr>
            <w:tcW w:w="0" w:type="auto"/>
            <w:hideMark/>
          </w:tcPr>
          <w:p w14:paraId="6AB29FB7"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61A62890" w14:textId="77777777" w:rsidR="00B3455A" w:rsidRPr="00B3455A" w:rsidRDefault="00B3455A" w:rsidP="00B3455A">
            <w:pPr>
              <w:shd w:val="clear" w:color="auto" w:fill="FFFFFF"/>
              <w:spacing w:line="240" w:lineRule="auto"/>
              <w:rPr>
                <w:rFonts w:eastAsia="Times New Roman" w:cs="Times New Roman"/>
                <w:color w:val="auto"/>
                <w:szCs w:val="24"/>
              </w:rPr>
            </w:pPr>
          </w:p>
        </w:tc>
      </w:tr>
      <w:tr w:rsidR="00B3455A" w:rsidRPr="00B3455A" w14:paraId="386E8C95" w14:textId="77777777" w:rsidTr="00B3455A">
        <w:tc>
          <w:tcPr>
            <w:tcW w:w="0" w:type="auto"/>
            <w:hideMark/>
          </w:tcPr>
          <w:p w14:paraId="44F3E4A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4. Control procedures</w:t>
            </w:r>
          </w:p>
        </w:tc>
        <w:tc>
          <w:tcPr>
            <w:tcW w:w="0" w:type="auto"/>
            <w:hideMark/>
          </w:tcPr>
          <w:p w14:paraId="5B981EC1"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0.78**</w:t>
            </w:r>
          </w:p>
        </w:tc>
        <w:tc>
          <w:tcPr>
            <w:tcW w:w="0" w:type="auto"/>
            <w:hideMark/>
          </w:tcPr>
          <w:p w14:paraId="75E0B983"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0.66**</w:t>
            </w:r>
          </w:p>
        </w:tc>
        <w:tc>
          <w:tcPr>
            <w:tcW w:w="0" w:type="auto"/>
            <w:hideMark/>
          </w:tcPr>
          <w:p w14:paraId="4939C9E7"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0.62**</w:t>
            </w:r>
          </w:p>
        </w:tc>
        <w:tc>
          <w:tcPr>
            <w:tcW w:w="0" w:type="auto"/>
            <w:hideMark/>
          </w:tcPr>
          <w:p w14:paraId="490391BD" w14:textId="4B4C420C" w:rsidR="00B3455A" w:rsidRPr="00B3455A" w:rsidRDefault="006633DF" w:rsidP="00B3455A">
            <w:pPr>
              <w:shd w:val="clear" w:color="auto" w:fill="FFFFFF"/>
              <w:spacing w:line="240" w:lineRule="auto"/>
              <w:rPr>
                <w:rFonts w:eastAsia="Times New Roman" w:cs="Times New Roman"/>
                <w:color w:val="auto"/>
                <w:szCs w:val="24"/>
              </w:rPr>
            </w:pPr>
            <w:r>
              <w:rPr>
                <w:rFonts w:eastAsia="Times New Roman" w:cs="Times New Roman"/>
                <w:color w:val="auto"/>
                <w:szCs w:val="24"/>
              </w:rPr>
              <w:t xml:space="preserve"> </w:t>
            </w:r>
          </w:p>
        </w:tc>
        <w:tc>
          <w:tcPr>
            <w:tcW w:w="0" w:type="auto"/>
            <w:hideMark/>
          </w:tcPr>
          <w:p w14:paraId="28FACBF0" w14:textId="77777777" w:rsidR="00B3455A" w:rsidRPr="00B3455A" w:rsidRDefault="00B3455A" w:rsidP="00B3455A">
            <w:pPr>
              <w:shd w:val="clear" w:color="auto" w:fill="FFFFFF"/>
              <w:spacing w:line="240" w:lineRule="auto"/>
              <w:rPr>
                <w:rFonts w:eastAsia="Times New Roman" w:cs="Times New Roman"/>
                <w:color w:val="auto"/>
                <w:szCs w:val="24"/>
              </w:rPr>
            </w:pPr>
          </w:p>
        </w:tc>
      </w:tr>
      <w:tr w:rsidR="00B3455A" w:rsidRPr="00B3455A" w14:paraId="3F231498" w14:textId="77777777" w:rsidTr="00B3455A">
        <w:tc>
          <w:tcPr>
            <w:tcW w:w="0" w:type="auto"/>
            <w:hideMark/>
          </w:tcPr>
          <w:p w14:paraId="0413F42B"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5. Continuous monitoring</w:t>
            </w:r>
          </w:p>
        </w:tc>
        <w:tc>
          <w:tcPr>
            <w:tcW w:w="0" w:type="auto"/>
            <w:hideMark/>
          </w:tcPr>
          <w:p w14:paraId="0C8AC667"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0.73**</w:t>
            </w:r>
          </w:p>
        </w:tc>
        <w:tc>
          <w:tcPr>
            <w:tcW w:w="0" w:type="auto"/>
            <w:hideMark/>
          </w:tcPr>
          <w:p w14:paraId="42EA1A69"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0.64**</w:t>
            </w:r>
          </w:p>
        </w:tc>
        <w:tc>
          <w:tcPr>
            <w:tcW w:w="0" w:type="auto"/>
            <w:hideMark/>
          </w:tcPr>
          <w:p w14:paraId="2A040271"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0.47**</w:t>
            </w:r>
          </w:p>
        </w:tc>
        <w:tc>
          <w:tcPr>
            <w:tcW w:w="0" w:type="auto"/>
            <w:hideMark/>
          </w:tcPr>
          <w:p w14:paraId="76DE69C9"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0.67**</w:t>
            </w:r>
          </w:p>
        </w:tc>
        <w:tc>
          <w:tcPr>
            <w:tcW w:w="0" w:type="auto"/>
            <w:hideMark/>
          </w:tcPr>
          <w:p w14:paraId="4D8D41D3" w14:textId="457C5802" w:rsidR="00B3455A" w:rsidRPr="00B3455A" w:rsidRDefault="006633DF" w:rsidP="00B3455A">
            <w:pPr>
              <w:shd w:val="clear" w:color="auto" w:fill="FFFFFF"/>
              <w:spacing w:line="240" w:lineRule="auto"/>
              <w:rPr>
                <w:rFonts w:eastAsia="Times New Roman" w:cs="Times New Roman"/>
                <w:color w:val="auto"/>
                <w:szCs w:val="24"/>
              </w:rPr>
            </w:pPr>
            <w:r>
              <w:rPr>
                <w:rFonts w:eastAsia="Times New Roman" w:cs="Times New Roman"/>
                <w:color w:val="auto"/>
                <w:szCs w:val="24"/>
              </w:rPr>
              <w:t xml:space="preserve"> </w:t>
            </w:r>
          </w:p>
        </w:tc>
      </w:tr>
    </w:tbl>
    <w:p w14:paraId="3FD9D5FF"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Note. **p &lt; .01 (two-tailed)</w:t>
      </w:r>
    </w:p>
    <w:p w14:paraId="22F37C1E"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All internal control variables exhibited strong, positive, and statistically significant relationships with financial performance. Control procedures demonstrated the strongest correlation (r = .781, p &lt; .001), followed by continuous monitoring (r = .729, p &lt; .001), control environment (r = .723, p &lt; .001), and risk assessment (r = .662, p &lt; .001). These findings suggest that stronger internal control systems are associated with improved financial outcomes in NGOs. The results are consistent with prior studies such as Bett and Memba (2017), Muthusi (2017), Olalere and Wan (2016), Abiodun (2020), Gatea and Khalaf (2021), Muganda and Singoro (2018), and Ng’wasa (2017), though some studies (e.g., Nyumoo, 2020) report context-specific or weaker relationships.</w:t>
      </w:r>
    </w:p>
    <w:p w14:paraId="71ED54A0" w14:textId="72427D31" w:rsidR="00B3455A" w:rsidRPr="00B3455A" w:rsidRDefault="00B3455A" w:rsidP="00B3455A">
      <w:pPr>
        <w:shd w:val="clear" w:color="auto" w:fill="FFFFFF"/>
        <w:spacing w:line="240" w:lineRule="auto"/>
        <w:rPr>
          <w:rFonts w:eastAsia="Times New Roman" w:cs="Times New Roman"/>
          <w:b/>
          <w:bCs/>
          <w:color w:val="auto"/>
          <w:szCs w:val="24"/>
          <w14:ligatures w14:val="none"/>
        </w:rPr>
      </w:pPr>
      <w:r w:rsidRPr="00B3455A">
        <w:rPr>
          <w:rFonts w:eastAsia="Times New Roman" w:cs="Times New Roman"/>
          <w:b/>
          <w:bCs/>
          <w:color w:val="auto"/>
          <w:szCs w:val="24"/>
          <w14:ligatures w14:val="none"/>
        </w:rPr>
        <w:t>Diagnostic Tests</w:t>
      </w:r>
    </w:p>
    <w:p w14:paraId="38D47423"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Prior to regression analysis, diagnostic tests were conducted to ensure model validity. These included checks for multicollinearity, normality, linearity, and homoscedasticity. These tests are essential in confirming that regression assumptions are met and that results are reliable and unbiased.</w:t>
      </w:r>
    </w:p>
    <w:p w14:paraId="49783FDA" w14:textId="7BC9C0B3" w:rsidR="00B3455A" w:rsidRPr="00B3455A" w:rsidRDefault="00B3455A" w:rsidP="00B3455A">
      <w:pPr>
        <w:shd w:val="clear" w:color="auto" w:fill="FFFFFF"/>
        <w:spacing w:line="240" w:lineRule="auto"/>
        <w:rPr>
          <w:rFonts w:eastAsia="Times New Roman" w:cs="Times New Roman"/>
          <w:b/>
          <w:bCs/>
          <w:color w:val="auto"/>
          <w:szCs w:val="24"/>
          <w14:ligatures w14:val="none"/>
        </w:rPr>
      </w:pPr>
      <w:r w:rsidRPr="00B3455A">
        <w:rPr>
          <w:rFonts w:eastAsia="Times New Roman" w:cs="Times New Roman"/>
          <w:b/>
          <w:bCs/>
          <w:color w:val="auto"/>
          <w:szCs w:val="24"/>
          <w14:ligatures w14:val="none"/>
        </w:rPr>
        <w:t>Regression Analysis</w:t>
      </w:r>
    </w:p>
    <w:p w14:paraId="25365F92"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Multiple regression was applied to determine the combined and individual effects of the four internal control dimensions on financial performance.</w:t>
      </w:r>
    </w:p>
    <w:p w14:paraId="27045A00" w14:textId="77777777" w:rsidR="00B3455A" w:rsidRDefault="00B3455A">
      <w:pPr>
        <w:spacing w:before="0" w:after="160" w:line="259" w:lineRule="auto"/>
        <w:jc w:val="left"/>
        <w:rPr>
          <w:rFonts w:eastAsia="Times New Roman" w:cs="Times New Roman"/>
          <w:b/>
          <w:bCs/>
          <w:color w:val="auto"/>
          <w:szCs w:val="24"/>
          <w14:ligatures w14:val="none"/>
        </w:rPr>
      </w:pPr>
      <w:r>
        <w:rPr>
          <w:rFonts w:eastAsia="Times New Roman" w:cs="Times New Roman"/>
          <w:b/>
          <w:bCs/>
          <w:color w:val="auto"/>
          <w:szCs w:val="24"/>
          <w14:ligatures w14:val="none"/>
        </w:rPr>
        <w:br w:type="page"/>
      </w:r>
    </w:p>
    <w:p w14:paraId="31FD218E" w14:textId="05F295A2" w:rsidR="00B3455A" w:rsidRPr="00B3455A" w:rsidRDefault="00B3455A" w:rsidP="00B3455A">
      <w:pPr>
        <w:shd w:val="clear" w:color="auto" w:fill="FFFFFF"/>
        <w:spacing w:line="240" w:lineRule="auto"/>
        <w:rPr>
          <w:rFonts w:eastAsia="Times New Roman" w:cs="Times New Roman"/>
          <w:color w:val="auto"/>
          <w:szCs w:val="24"/>
          <w14:ligatures w14:val="none"/>
        </w:rPr>
      </w:pPr>
      <w:commentRangeStart w:id="13"/>
      <w:r w:rsidRPr="00B3455A">
        <w:rPr>
          <w:rFonts w:eastAsia="Times New Roman" w:cs="Times New Roman"/>
          <w:b/>
          <w:bCs/>
          <w:color w:val="auto"/>
          <w:szCs w:val="24"/>
          <w14:ligatures w14:val="none"/>
        </w:rPr>
        <w:lastRenderedPageBreak/>
        <w:t>Table 4: Model Fit Summary</w:t>
      </w:r>
      <w:commentRangeEnd w:id="13"/>
      <w:r w:rsidR="009502FB">
        <w:rPr>
          <w:rStyle w:val="CommentReference"/>
        </w:rPr>
        <w:commentReference w:id="13"/>
      </w:r>
    </w:p>
    <w:tbl>
      <w:tblPr>
        <w:tblStyle w:val="TableGrid1"/>
        <w:tblW w:w="0" w:type="auto"/>
        <w:tblLook w:val="04A0" w:firstRow="1" w:lastRow="0" w:firstColumn="1" w:lastColumn="0" w:noHBand="0" w:noVBand="1"/>
      </w:tblPr>
      <w:tblGrid>
        <w:gridCol w:w="756"/>
        <w:gridCol w:w="1183"/>
        <w:gridCol w:w="2177"/>
        <w:gridCol w:w="1283"/>
      </w:tblGrid>
      <w:tr w:rsidR="00B3455A" w:rsidRPr="00B3455A" w14:paraId="672EAFAB" w14:textId="77777777" w:rsidTr="00B3455A">
        <w:tc>
          <w:tcPr>
            <w:tcW w:w="0" w:type="auto"/>
            <w:hideMark/>
          </w:tcPr>
          <w:p w14:paraId="56FD234B"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R</w:t>
            </w:r>
          </w:p>
        </w:tc>
        <w:tc>
          <w:tcPr>
            <w:tcW w:w="0" w:type="auto"/>
            <w:hideMark/>
          </w:tcPr>
          <w:p w14:paraId="483FE4DD"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R Square</w:t>
            </w:r>
          </w:p>
        </w:tc>
        <w:tc>
          <w:tcPr>
            <w:tcW w:w="0" w:type="auto"/>
            <w:hideMark/>
          </w:tcPr>
          <w:p w14:paraId="563BCC59"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Adjusted R Square</w:t>
            </w:r>
          </w:p>
        </w:tc>
        <w:tc>
          <w:tcPr>
            <w:tcW w:w="0" w:type="auto"/>
            <w:hideMark/>
          </w:tcPr>
          <w:p w14:paraId="4F1B58E9"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Std. Error</w:t>
            </w:r>
          </w:p>
        </w:tc>
      </w:tr>
      <w:tr w:rsidR="00B3455A" w:rsidRPr="00B3455A" w14:paraId="7204D2CC" w14:textId="77777777" w:rsidTr="00B3455A">
        <w:tc>
          <w:tcPr>
            <w:tcW w:w="0" w:type="auto"/>
            <w:hideMark/>
          </w:tcPr>
          <w:p w14:paraId="051628D6"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0.869</w:t>
            </w:r>
          </w:p>
        </w:tc>
        <w:tc>
          <w:tcPr>
            <w:tcW w:w="0" w:type="auto"/>
            <w:hideMark/>
          </w:tcPr>
          <w:p w14:paraId="3E295AEE"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0.755</w:t>
            </w:r>
          </w:p>
        </w:tc>
        <w:tc>
          <w:tcPr>
            <w:tcW w:w="0" w:type="auto"/>
            <w:hideMark/>
          </w:tcPr>
          <w:p w14:paraId="53923759"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0.752</w:t>
            </w:r>
          </w:p>
        </w:tc>
        <w:tc>
          <w:tcPr>
            <w:tcW w:w="0" w:type="auto"/>
            <w:hideMark/>
          </w:tcPr>
          <w:p w14:paraId="2B6237D6"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0.50885</w:t>
            </w:r>
          </w:p>
        </w:tc>
      </w:tr>
    </w:tbl>
    <w:p w14:paraId="3E17D5F1"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The model shows a strong positive relationship (R = 0.869). The R² value of 0.755 indicates that approximately 75.5% of the variation in financial performance is explained by internal control variables.</w:t>
      </w:r>
    </w:p>
    <w:p w14:paraId="337765E1" w14:textId="5B32D8F8" w:rsidR="00B3455A" w:rsidRPr="00B3455A" w:rsidRDefault="00B3455A" w:rsidP="00B3455A">
      <w:pPr>
        <w:shd w:val="clear" w:color="auto" w:fill="FFFFFF"/>
        <w:spacing w:line="240" w:lineRule="auto"/>
        <w:rPr>
          <w:rFonts w:eastAsia="Times New Roman" w:cs="Times New Roman"/>
          <w:color w:val="auto"/>
          <w:szCs w:val="24"/>
          <w14:ligatures w14:val="none"/>
        </w:rPr>
      </w:pPr>
      <w:commentRangeStart w:id="14"/>
      <w:r w:rsidRPr="00B3455A">
        <w:rPr>
          <w:rFonts w:eastAsia="Times New Roman" w:cs="Times New Roman"/>
          <w:b/>
          <w:bCs/>
          <w:color w:val="auto"/>
          <w:szCs w:val="24"/>
          <w14:ligatures w14:val="none"/>
        </w:rPr>
        <w:t xml:space="preserve">Table </w:t>
      </w:r>
      <w:r>
        <w:rPr>
          <w:rFonts w:eastAsia="Times New Roman" w:cs="Times New Roman"/>
          <w:b/>
          <w:bCs/>
          <w:color w:val="auto"/>
          <w:szCs w:val="24"/>
          <w14:ligatures w14:val="none"/>
        </w:rPr>
        <w:t>5</w:t>
      </w:r>
      <w:r w:rsidRPr="00B3455A">
        <w:rPr>
          <w:rFonts w:eastAsia="Times New Roman" w:cs="Times New Roman"/>
          <w:b/>
          <w:bCs/>
          <w:color w:val="auto"/>
          <w:szCs w:val="24"/>
          <w14:ligatures w14:val="none"/>
        </w:rPr>
        <w:t>: ANOVA Results</w:t>
      </w:r>
      <w:commentRangeEnd w:id="14"/>
      <w:r w:rsidR="007E541E">
        <w:rPr>
          <w:rStyle w:val="CommentReference"/>
        </w:rPr>
        <w:commentReference w:id="14"/>
      </w:r>
    </w:p>
    <w:tbl>
      <w:tblPr>
        <w:tblStyle w:val="TableGrid1"/>
        <w:tblW w:w="0" w:type="auto"/>
        <w:tblLook w:val="04A0" w:firstRow="1" w:lastRow="0" w:firstColumn="1" w:lastColumn="0" w:noHBand="0" w:noVBand="1"/>
      </w:tblPr>
      <w:tblGrid>
        <w:gridCol w:w="1283"/>
        <w:gridCol w:w="996"/>
        <w:gridCol w:w="576"/>
        <w:gridCol w:w="876"/>
        <w:gridCol w:w="996"/>
        <w:gridCol w:w="636"/>
      </w:tblGrid>
      <w:tr w:rsidR="00B3455A" w:rsidRPr="00B3455A" w14:paraId="52502987" w14:textId="77777777" w:rsidTr="00B3455A">
        <w:tc>
          <w:tcPr>
            <w:tcW w:w="0" w:type="auto"/>
            <w:hideMark/>
          </w:tcPr>
          <w:p w14:paraId="068C2EBA"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Source</w:t>
            </w:r>
          </w:p>
        </w:tc>
        <w:tc>
          <w:tcPr>
            <w:tcW w:w="0" w:type="auto"/>
            <w:hideMark/>
          </w:tcPr>
          <w:p w14:paraId="4AE93BB5"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SS</w:t>
            </w:r>
          </w:p>
        </w:tc>
        <w:tc>
          <w:tcPr>
            <w:tcW w:w="0" w:type="auto"/>
            <w:hideMark/>
          </w:tcPr>
          <w:p w14:paraId="70A47A0C"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df</w:t>
            </w:r>
          </w:p>
        </w:tc>
        <w:tc>
          <w:tcPr>
            <w:tcW w:w="0" w:type="auto"/>
            <w:hideMark/>
          </w:tcPr>
          <w:p w14:paraId="70EB22C1"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MS</w:t>
            </w:r>
          </w:p>
        </w:tc>
        <w:tc>
          <w:tcPr>
            <w:tcW w:w="0" w:type="auto"/>
            <w:hideMark/>
          </w:tcPr>
          <w:p w14:paraId="07A144D2"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F</w:t>
            </w:r>
          </w:p>
        </w:tc>
        <w:tc>
          <w:tcPr>
            <w:tcW w:w="0" w:type="auto"/>
            <w:hideMark/>
          </w:tcPr>
          <w:p w14:paraId="50D9E5C2"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Sig.</w:t>
            </w:r>
          </w:p>
        </w:tc>
      </w:tr>
      <w:tr w:rsidR="00B3455A" w:rsidRPr="00B3455A" w14:paraId="4009AE84" w14:textId="77777777" w:rsidTr="00B3455A">
        <w:tc>
          <w:tcPr>
            <w:tcW w:w="0" w:type="auto"/>
            <w:hideMark/>
          </w:tcPr>
          <w:p w14:paraId="68560904"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Regression</w:t>
            </w:r>
          </w:p>
        </w:tc>
        <w:tc>
          <w:tcPr>
            <w:tcW w:w="0" w:type="auto"/>
            <w:hideMark/>
          </w:tcPr>
          <w:p w14:paraId="47A4CAA6"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207.83</w:t>
            </w:r>
          </w:p>
        </w:tc>
        <w:tc>
          <w:tcPr>
            <w:tcW w:w="0" w:type="auto"/>
            <w:hideMark/>
          </w:tcPr>
          <w:p w14:paraId="17FF273C"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4</w:t>
            </w:r>
          </w:p>
        </w:tc>
        <w:tc>
          <w:tcPr>
            <w:tcW w:w="0" w:type="auto"/>
            <w:hideMark/>
          </w:tcPr>
          <w:p w14:paraId="3290F5F9"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51.957</w:t>
            </w:r>
          </w:p>
        </w:tc>
        <w:tc>
          <w:tcPr>
            <w:tcW w:w="0" w:type="auto"/>
            <w:hideMark/>
          </w:tcPr>
          <w:p w14:paraId="7E392EBD"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200.665</w:t>
            </w:r>
          </w:p>
        </w:tc>
        <w:tc>
          <w:tcPr>
            <w:tcW w:w="0" w:type="auto"/>
            <w:hideMark/>
          </w:tcPr>
          <w:p w14:paraId="72C30E54"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.000</w:t>
            </w:r>
          </w:p>
        </w:tc>
      </w:tr>
      <w:tr w:rsidR="00B3455A" w:rsidRPr="00B3455A" w14:paraId="6F9516CE" w14:textId="77777777" w:rsidTr="00B3455A">
        <w:tc>
          <w:tcPr>
            <w:tcW w:w="0" w:type="auto"/>
            <w:hideMark/>
          </w:tcPr>
          <w:p w14:paraId="4E78DD7C"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Residual</w:t>
            </w:r>
          </w:p>
        </w:tc>
        <w:tc>
          <w:tcPr>
            <w:tcW w:w="0" w:type="auto"/>
            <w:hideMark/>
          </w:tcPr>
          <w:p w14:paraId="0DD5CE98"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67.321</w:t>
            </w:r>
          </w:p>
        </w:tc>
        <w:tc>
          <w:tcPr>
            <w:tcW w:w="0" w:type="auto"/>
            <w:hideMark/>
          </w:tcPr>
          <w:p w14:paraId="5E6349F3"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260</w:t>
            </w:r>
          </w:p>
        </w:tc>
        <w:tc>
          <w:tcPr>
            <w:tcW w:w="0" w:type="auto"/>
            <w:hideMark/>
          </w:tcPr>
          <w:p w14:paraId="2218D9F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0.259</w:t>
            </w:r>
          </w:p>
        </w:tc>
        <w:tc>
          <w:tcPr>
            <w:tcW w:w="0" w:type="auto"/>
            <w:hideMark/>
          </w:tcPr>
          <w:p w14:paraId="2E6F1879"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770AACD3" w14:textId="77777777" w:rsidR="00B3455A" w:rsidRPr="00B3455A" w:rsidRDefault="00B3455A" w:rsidP="00B3455A">
            <w:pPr>
              <w:shd w:val="clear" w:color="auto" w:fill="FFFFFF"/>
              <w:spacing w:line="240" w:lineRule="auto"/>
              <w:rPr>
                <w:rFonts w:eastAsia="Times New Roman" w:cs="Times New Roman"/>
                <w:color w:val="auto"/>
                <w:szCs w:val="24"/>
              </w:rPr>
            </w:pPr>
          </w:p>
        </w:tc>
      </w:tr>
      <w:tr w:rsidR="00B3455A" w:rsidRPr="00B3455A" w14:paraId="73217F95" w14:textId="77777777" w:rsidTr="00B3455A">
        <w:tc>
          <w:tcPr>
            <w:tcW w:w="0" w:type="auto"/>
            <w:hideMark/>
          </w:tcPr>
          <w:p w14:paraId="4598DC4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Total</w:t>
            </w:r>
          </w:p>
        </w:tc>
        <w:tc>
          <w:tcPr>
            <w:tcW w:w="0" w:type="auto"/>
            <w:hideMark/>
          </w:tcPr>
          <w:p w14:paraId="1447DBAD"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275.151</w:t>
            </w:r>
          </w:p>
        </w:tc>
        <w:tc>
          <w:tcPr>
            <w:tcW w:w="0" w:type="auto"/>
            <w:hideMark/>
          </w:tcPr>
          <w:p w14:paraId="23C338B1"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264</w:t>
            </w:r>
          </w:p>
        </w:tc>
        <w:tc>
          <w:tcPr>
            <w:tcW w:w="0" w:type="auto"/>
            <w:hideMark/>
          </w:tcPr>
          <w:p w14:paraId="1362A4A9"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4A53B060" w14:textId="77777777" w:rsidR="00B3455A" w:rsidRPr="00B3455A" w:rsidRDefault="00B3455A" w:rsidP="00B3455A">
            <w:pPr>
              <w:shd w:val="clear" w:color="auto" w:fill="FFFFFF"/>
              <w:spacing w:line="240" w:lineRule="auto"/>
              <w:rPr>
                <w:rFonts w:eastAsia="Times New Roman" w:cs="Times New Roman"/>
                <w:color w:val="auto"/>
                <w:szCs w:val="24"/>
              </w:rPr>
            </w:pPr>
          </w:p>
        </w:tc>
        <w:tc>
          <w:tcPr>
            <w:tcW w:w="0" w:type="auto"/>
            <w:hideMark/>
          </w:tcPr>
          <w:p w14:paraId="07A22992" w14:textId="77777777" w:rsidR="00B3455A" w:rsidRPr="00B3455A" w:rsidRDefault="00B3455A" w:rsidP="00B3455A">
            <w:pPr>
              <w:shd w:val="clear" w:color="auto" w:fill="FFFFFF"/>
              <w:spacing w:line="240" w:lineRule="auto"/>
              <w:rPr>
                <w:rFonts w:eastAsia="Times New Roman" w:cs="Times New Roman"/>
                <w:color w:val="auto"/>
                <w:szCs w:val="24"/>
              </w:rPr>
            </w:pPr>
          </w:p>
        </w:tc>
      </w:tr>
    </w:tbl>
    <w:p w14:paraId="67286426"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The model is statistically significant (F = 200.665, p &lt; .001), confirming that internal controls significantly influence financial performance.</w:t>
      </w:r>
    </w:p>
    <w:p w14:paraId="1396EABC" w14:textId="4CF648D7" w:rsidR="00B3455A" w:rsidRPr="00B3455A" w:rsidRDefault="00B3455A" w:rsidP="00B3455A">
      <w:pPr>
        <w:shd w:val="clear" w:color="auto" w:fill="FFFFFF"/>
        <w:spacing w:line="240" w:lineRule="auto"/>
        <w:rPr>
          <w:rFonts w:eastAsia="Times New Roman" w:cs="Times New Roman"/>
          <w:color w:val="auto"/>
          <w:szCs w:val="24"/>
          <w14:ligatures w14:val="none"/>
        </w:rPr>
      </w:pPr>
      <w:commentRangeStart w:id="15"/>
      <w:r w:rsidRPr="00B3455A">
        <w:rPr>
          <w:rFonts w:eastAsia="Times New Roman" w:cs="Times New Roman"/>
          <w:b/>
          <w:bCs/>
          <w:color w:val="auto"/>
          <w:szCs w:val="24"/>
          <w14:ligatures w14:val="none"/>
        </w:rPr>
        <w:t xml:space="preserve">Table </w:t>
      </w:r>
      <w:r>
        <w:rPr>
          <w:rFonts w:eastAsia="Times New Roman" w:cs="Times New Roman"/>
          <w:b/>
          <w:bCs/>
          <w:color w:val="auto"/>
          <w:szCs w:val="24"/>
          <w14:ligatures w14:val="none"/>
        </w:rPr>
        <w:t>6</w:t>
      </w:r>
      <w:r w:rsidRPr="00B3455A">
        <w:rPr>
          <w:rFonts w:eastAsia="Times New Roman" w:cs="Times New Roman"/>
          <w:b/>
          <w:bCs/>
          <w:color w:val="auto"/>
          <w:szCs w:val="24"/>
          <w14:ligatures w14:val="none"/>
        </w:rPr>
        <w:t>: Regression Coefficients</w:t>
      </w:r>
      <w:commentRangeEnd w:id="15"/>
      <w:r w:rsidR="00E73311">
        <w:rPr>
          <w:rStyle w:val="CommentReference"/>
        </w:rPr>
        <w:commentReference w:id="15"/>
      </w:r>
    </w:p>
    <w:tbl>
      <w:tblPr>
        <w:tblStyle w:val="TableGrid1"/>
        <w:tblW w:w="0" w:type="auto"/>
        <w:tblLook w:val="04A0" w:firstRow="1" w:lastRow="0" w:firstColumn="1" w:lastColumn="0" w:noHBand="0" w:noVBand="1"/>
      </w:tblPr>
      <w:tblGrid>
        <w:gridCol w:w="2450"/>
        <w:gridCol w:w="756"/>
        <w:gridCol w:w="756"/>
        <w:gridCol w:w="756"/>
        <w:gridCol w:w="756"/>
        <w:gridCol w:w="832"/>
      </w:tblGrid>
      <w:tr w:rsidR="00B3455A" w:rsidRPr="00B3455A" w14:paraId="28E46990" w14:textId="77777777" w:rsidTr="00B3455A">
        <w:tc>
          <w:tcPr>
            <w:tcW w:w="0" w:type="auto"/>
            <w:hideMark/>
          </w:tcPr>
          <w:p w14:paraId="1FB7FB7A"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Predictor</w:t>
            </w:r>
          </w:p>
        </w:tc>
        <w:tc>
          <w:tcPr>
            <w:tcW w:w="0" w:type="auto"/>
            <w:hideMark/>
          </w:tcPr>
          <w:p w14:paraId="70372E3D"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B</w:t>
            </w:r>
          </w:p>
        </w:tc>
        <w:tc>
          <w:tcPr>
            <w:tcW w:w="0" w:type="auto"/>
            <w:hideMark/>
          </w:tcPr>
          <w:p w14:paraId="0FF5DFD6"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SE</w:t>
            </w:r>
          </w:p>
        </w:tc>
        <w:tc>
          <w:tcPr>
            <w:tcW w:w="0" w:type="auto"/>
            <w:hideMark/>
          </w:tcPr>
          <w:p w14:paraId="6698CA04"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β</w:t>
            </w:r>
          </w:p>
        </w:tc>
        <w:tc>
          <w:tcPr>
            <w:tcW w:w="0" w:type="auto"/>
            <w:hideMark/>
          </w:tcPr>
          <w:p w14:paraId="0E8ADAEA"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t</w:t>
            </w:r>
          </w:p>
        </w:tc>
        <w:tc>
          <w:tcPr>
            <w:tcW w:w="0" w:type="auto"/>
            <w:hideMark/>
          </w:tcPr>
          <w:p w14:paraId="7FFD0637" w14:textId="77777777" w:rsidR="00B3455A" w:rsidRPr="00B3455A" w:rsidRDefault="00B3455A" w:rsidP="00B3455A">
            <w:pPr>
              <w:shd w:val="clear" w:color="auto" w:fill="FFFFFF"/>
              <w:spacing w:line="240" w:lineRule="auto"/>
              <w:rPr>
                <w:rFonts w:eastAsia="Times New Roman" w:cs="Times New Roman"/>
                <w:b/>
                <w:bCs/>
                <w:color w:val="auto"/>
                <w:szCs w:val="24"/>
              </w:rPr>
            </w:pPr>
            <w:r w:rsidRPr="00B3455A">
              <w:rPr>
                <w:rFonts w:eastAsia="Times New Roman" w:cs="Times New Roman"/>
                <w:b/>
                <w:bCs/>
                <w:color w:val="auto"/>
                <w:szCs w:val="24"/>
              </w:rPr>
              <w:t>p</w:t>
            </w:r>
          </w:p>
        </w:tc>
      </w:tr>
      <w:tr w:rsidR="00B3455A" w:rsidRPr="00B3455A" w14:paraId="10DD0645" w14:textId="77777777" w:rsidTr="00B3455A">
        <w:tc>
          <w:tcPr>
            <w:tcW w:w="0" w:type="auto"/>
            <w:hideMark/>
          </w:tcPr>
          <w:p w14:paraId="5DB27D45"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Control environment</w:t>
            </w:r>
          </w:p>
        </w:tc>
        <w:tc>
          <w:tcPr>
            <w:tcW w:w="0" w:type="auto"/>
            <w:hideMark/>
          </w:tcPr>
          <w:p w14:paraId="237CB69B"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0.244</w:t>
            </w:r>
          </w:p>
        </w:tc>
        <w:tc>
          <w:tcPr>
            <w:tcW w:w="0" w:type="auto"/>
            <w:hideMark/>
          </w:tcPr>
          <w:p w14:paraId="0276196D"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0.047</w:t>
            </w:r>
          </w:p>
        </w:tc>
        <w:tc>
          <w:tcPr>
            <w:tcW w:w="0" w:type="auto"/>
            <w:hideMark/>
          </w:tcPr>
          <w:p w14:paraId="07BA1828"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0.231</w:t>
            </w:r>
          </w:p>
        </w:tc>
        <w:tc>
          <w:tcPr>
            <w:tcW w:w="0" w:type="auto"/>
            <w:hideMark/>
          </w:tcPr>
          <w:p w14:paraId="093D7ACC"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5.229</w:t>
            </w:r>
          </w:p>
        </w:tc>
        <w:tc>
          <w:tcPr>
            <w:tcW w:w="0" w:type="auto"/>
            <w:hideMark/>
          </w:tcPr>
          <w:p w14:paraId="169C9A6D"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&lt; .001</w:t>
            </w:r>
          </w:p>
        </w:tc>
      </w:tr>
      <w:tr w:rsidR="00B3455A" w:rsidRPr="00B3455A" w14:paraId="6DB3C15F" w14:textId="77777777" w:rsidTr="00B3455A">
        <w:tc>
          <w:tcPr>
            <w:tcW w:w="0" w:type="auto"/>
            <w:hideMark/>
          </w:tcPr>
          <w:p w14:paraId="0A463A45"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Risk assessment</w:t>
            </w:r>
          </w:p>
        </w:tc>
        <w:tc>
          <w:tcPr>
            <w:tcW w:w="0" w:type="auto"/>
            <w:hideMark/>
          </w:tcPr>
          <w:p w14:paraId="43361B32"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0.261</w:t>
            </w:r>
          </w:p>
        </w:tc>
        <w:tc>
          <w:tcPr>
            <w:tcW w:w="0" w:type="auto"/>
            <w:hideMark/>
          </w:tcPr>
          <w:p w14:paraId="0DBE1480"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0.046</w:t>
            </w:r>
          </w:p>
        </w:tc>
        <w:tc>
          <w:tcPr>
            <w:tcW w:w="0" w:type="auto"/>
            <w:hideMark/>
          </w:tcPr>
          <w:p w14:paraId="502522F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0.223</w:t>
            </w:r>
          </w:p>
        </w:tc>
        <w:tc>
          <w:tcPr>
            <w:tcW w:w="0" w:type="auto"/>
            <w:hideMark/>
          </w:tcPr>
          <w:p w14:paraId="3BBBBEA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5.622</w:t>
            </w:r>
          </w:p>
        </w:tc>
        <w:tc>
          <w:tcPr>
            <w:tcW w:w="0" w:type="auto"/>
            <w:hideMark/>
          </w:tcPr>
          <w:p w14:paraId="2C8E648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&lt; .001</w:t>
            </w:r>
          </w:p>
        </w:tc>
      </w:tr>
      <w:tr w:rsidR="00B3455A" w:rsidRPr="00B3455A" w14:paraId="69BC8709" w14:textId="77777777" w:rsidTr="00B3455A">
        <w:tc>
          <w:tcPr>
            <w:tcW w:w="0" w:type="auto"/>
            <w:hideMark/>
          </w:tcPr>
          <w:p w14:paraId="240E3F0B"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Control procedures</w:t>
            </w:r>
          </w:p>
        </w:tc>
        <w:tc>
          <w:tcPr>
            <w:tcW w:w="0" w:type="auto"/>
            <w:hideMark/>
          </w:tcPr>
          <w:p w14:paraId="51954144"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0.296</w:t>
            </w:r>
          </w:p>
        </w:tc>
        <w:tc>
          <w:tcPr>
            <w:tcW w:w="0" w:type="auto"/>
            <w:hideMark/>
          </w:tcPr>
          <w:p w14:paraId="65F5B75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0.046</w:t>
            </w:r>
          </w:p>
        </w:tc>
        <w:tc>
          <w:tcPr>
            <w:tcW w:w="0" w:type="auto"/>
            <w:hideMark/>
          </w:tcPr>
          <w:p w14:paraId="1E87D5E2"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0.314</w:t>
            </w:r>
          </w:p>
        </w:tc>
        <w:tc>
          <w:tcPr>
            <w:tcW w:w="0" w:type="auto"/>
            <w:hideMark/>
          </w:tcPr>
          <w:p w14:paraId="5C24FEF0"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6.469</w:t>
            </w:r>
          </w:p>
        </w:tc>
        <w:tc>
          <w:tcPr>
            <w:tcW w:w="0" w:type="auto"/>
            <w:hideMark/>
          </w:tcPr>
          <w:p w14:paraId="1255341A"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&lt; .001</w:t>
            </w:r>
          </w:p>
        </w:tc>
      </w:tr>
      <w:tr w:rsidR="00B3455A" w:rsidRPr="00B3455A" w14:paraId="75B54A92" w14:textId="77777777" w:rsidTr="00B3455A">
        <w:tc>
          <w:tcPr>
            <w:tcW w:w="0" w:type="auto"/>
            <w:hideMark/>
          </w:tcPr>
          <w:p w14:paraId="009549F4"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Continuous monitoring</w:t>
            </w:r>
          </w:p>
        </w:tc>
        <w:tc>
          <w:tcPr>
            <w:tcW w:w="0" w:type="auto"/>
            <w:hideMark/>
          </w:tcPr>
          <w:p w14:paraId="7A42B568"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0.288</w:t>
            </w:r>
          </w:p>
        </w:tc>
        <w:tc>
          <w:tcPr>
            <w:tcW w:w="0" w:type="auto"/>
            <w:hideMark/>
          </w:tcPr>
          <w:p w14:paraId="6C365795"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0.047</w:t>
            </w:r>
          </w:p>
        </w:tc>
        <w:tc>
          <w:tcPr>
            <w:tcW w:w="0" w:type="auto"/>
            <w:hideMark/>
          </w:tcPr>
          <w:p w14:paraId="7BCADDCB"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0.268</w:t>
            </w:r>
          </w:p>
        </w:tc>
        <w:tc>
          <w:tcPr>
            <w:tcW w:w="0" w:type="auto"/>
            <w:hideMark/>
          </w:tcPr>
          <w:p w14:paraId="30ABBFE4"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6.082</w:t>
            </w:r>
          </w:p>
        </w:tc>
        <w:tc>
          <w:tcPr>
            <w:tcW w:w="0" w:type="auto"/>
            <w:hideMark/>
          </w:tcPr>
          <w:p w14:paraId="47ED4D24" w14:textId="77777777" w:rsidR="00B3455A" w:rsidRPr="00B3455A" w:rsidRDefault="00B3455A" w:rsidP="00B3455A">
            <w:pPr>
              <w:shd w:val="clear" w:color="auto" w:fill="FFFFFF"/>
              <w:spacing w:line="240" w:lineRule="auto"/>
              <w:rPr>
                <w:rFonts w:eastAsia="Times New Roman" w:cs="Times New Roman"/>
                <w:color w:val="auto"/>
                <w:szCs w:val="24"/>
              </w:rPr>
            </w:pPr>
            <w:r w:rsidRPr="00B3455A">
              <w:rPr>
                <w:rFonts w:eastAsia="Times New Roman" w:cs="Times New Roman"/>
                <w:color w:val="auto"/>
                <w:szCs w:val="24"/>
              </w:rPr>
              <w:t>&lt; .001</w:t>
            </w:r>
          </w:p>
        </w:tc>
      </w:tr>
    </w:tbl>
    <w:p w14:paraId="46FAC3D7"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All predictors are positive and statistically significant (p &lt; .001), indicating that improvements in internal control dimensions lead to improved financial performance. Control procedures had the strongest effect, followed by continuous monitoring, risk assessment, and control environment. These findings align with Kinyua et al. (2015) and Julie (2019), who emphasise the importance of significance testing in validating hypotheses.</w:t>
      </w:r>
    </w:p>
    <w:p w14:paraId="1D37F23D" w14:textId="7E945513" w:rsidR="00B3455A" w:rsidRPr="00B3455A" w:rsidRDefault="00B3455A" w:rsidP="00B3455A">
      <w:pPr>
        <w:shd w:val="clear" w:color="auto" w:fill="FFFFFF"/>
        <w:spacing w:line="240" w:lineRule="auto"/>
        <w:rPr>
          <w:rFonts w:eastAsia="Times New Roman" w:cs="Times New Roman"/>
          <w:b/>
          <w:bCs/>
          <w:color w:val="auto"/>
          <w:szCs w:val="24"/>
          <w14:ligatures w14:val="none"/>
        </w:rPr>
      </w:pPr>
      <w:r w:rsidRPr="00B3455A">
        <w:rPr>
          <w:rFonts w:eastAsia="Times New Roman" w:cs="Times New Roman"/>
          <w:b/>
          <w:bCs/>
          <w:color w:val="auto"/>
          <w:szCs w:val="24"/>
          <w14:ligatures w14:val="none"/>
        </w:rPr>
        <w:t>Diagnostic Validity Tests</w:t>
      </w:r>
    </w:p>
    <w:p w14:paraId="0654CD8E"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Multicollinearity diagnostics showed acceptable VIF values ranging from 1.679 to 2.448 (mean = 2.061), indicating no serious multicollinearity issues. Normality tests (Shapiro-Wilk) confirmed that residuals were normally distributed (p &gt; .05 for all variables), supporting parametric assumptions (Arnastauskaitė et al., 2021). Linearity tests using scatter plots confirmed positive linear relationships between all predictors and financial performance. Heteroscedasticity testing using the Breusch-Pagan test indicated no significant heteroscedasticity issues, as all predictors had p-values greater than 0.05.</w:t>
      </w:r>
    </w:p>
    <w:p w14:paraId="7E5E6752" w14:textId="59F5CBCE" w:rsidR="00B3455A" w:rsidRPr="00B3455A" w:rsidRDefault="00B3455A" w:rsidP="00B3455A">
      <w:pPr>
        <w:shd w:val="clear" w:color="auto" w:fill="FFFFFF"/>
        <w:spacing w:line="240" w:lineRule="auto"/>
        <w:rPr>
          <w:rFonts w:eastAsia="Times New Roman" w:cs="Times New Roman"/>
          <w:b/>
          <w:bCs/>
          <w:color w:val="auto"/>
          <w:szCs w:val="24"/>
          <w14:ligatures w14:val="none"/>
        </w:rPr>
      </w:pPr>
      <w:r w:rsidRPr="00B3455A">
        <w:rPr>
          <w:rFonts w:eastAsia="Times New Roman" w:cs="Times New Roman"/>
          <w:b/>
          <w:bCs/>
          <w:color w:val="auto"/>
          <w:szCs w:val="24"/>
          <w14:ligatures w14:val="none"/>
        </w:rPr>
        <w:t>Hypothesis Testing</w:t>
      </w:r>
    </w:p>
    <w:p w14:paraId="06AEB179"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All four hypotheses were tested using t-tests on regression coefficients.</w:t>
      </w:r>
    </w:p>
    <w:p w14:paraId="76DB2C05" w14:textId="4B22439F" w:rsidR="00B3455A" w:rsidRDefault="00B3455A" w:rsidP="00B3455A">
      <w:pPr>
        <w:shd w:val="clear" w:color="auto" w:fill="FFFFFF"/>
        <w:spacing w:line="240" w:lineRule="auto"/>
        <w:rPr>
          <w:rFonts w:eastAsia="Times New Roman" w:cs="Times New Roman"/>
          <w:b/>
          <w:bCs/>
          <w:color w:val="auto"/>
          <w:szCs w:val="24"/>
          <w14:ligatures w14:val="none"/>
        </w:rPr>
      </w:pPr>
      <w:commentRangeStart w:id="16"/>
      <w:r w:rsidRPr="00B3455A">
        <w:rPr>
          <w:rFonts w:eastAsia="Times New Roman" w:cs="Times New Roman"/>
          <w:b/>
          <w:bCs/>
          <w:color w:val="auto"/>
          <w:szCs w:val="24"/>
          <w14:ligatures w14:val="none"/>
        </w:rPr>
        <w:lastRenderedPageBreak/>
        <w:t xml:space="preserve">Table </w:t>
      </w:r>
      <w:r w:rsidR="00FC2372">
        <w:rPr>
          <w:rFonts w:eastAsia="Times New Roman" w:cs="Times New Roman"/>
          <w:b/>
          <w:bCs/>
          <w:color w:val="auto"/>
          <w:szCs w:val="24"/>
          <w14:ligatures w14:val="none"/>
        </w:rPr>
        <w:t>7</w:t>
      </w:r>
      <w:r w:rsidRPr="00B3455A">
        <w:rPr>
          <w:rFonts w:eastAsia="Times New Roman" w:cs="Times New Roman"/>
          <w:b/>
          <w:bCs/>
          <w:color w:val="auto"/>
          <w:szCs w:val="24"/>
          <w14:ligatures w14:val="none"/>
        </w:rPr>
        <w:t>: Summary of Hypotheses Test</w:t>
      </w:r>
      <w:commentRangeEnd w:id="16"/>
      <w:r w:rsidR="00A61CAB">
        <w:rPr>
          <w:rStyle w:val="CommentReference"/>
        </w:rPr>
        <w:commentReference w:id="16"/>
      </w:r>
    </w:p>
    <w:tbl>
      <w:tblPr>
        <w:tblW w:w="10775" w:type="dxa"/>
        <w:tblInd w:w="85" w:type="dxa"/>
        <w:tblLook w:val="04A0" w:firstRow="1" w:lastRow="0" w:firstColumn="1" w:lastColumn="0" w:noHBand="0" w:noVBand="1"/>
      </w:tblPr>
      <w:tblGrid>
        <w:gridCol w:w="1432"/>
        <w:gridCol w:w="1988"/>
        <w:gridCol w:w="1591"/>
        <w:gridCol w:w="1649"/>
        <w:gridCol w:w="1344"/>
        <w:gridCol w:w="1083"/>
        <w:gridCol w:w="1688"/>
      </w:tblGrid>
      <w:tr w:rsidR="00FC2372" w:rsidRPr="009A40CE" w14:paraId="4752FBED" w14:textId="77777777" w:rsidTr="00FC2372">
        <w:trPr>
          <w:trHeight w:val="768"/>
        </w:trPr>
        <w:tc>
          <w:tcPr>
            <w:tcW w:w="1432" w:type="dxa"/>
            <w:tcBorders>
              <w:top w:val="single" w:sz="4" w:space="0" w:color="auto"/>
              <w:left w:val="single" w:sz="4" w:space="0" w:color="auto"/>
              <w:bottom w:val="single" w:sz="4" w:space="0" w:color="auto"/>
              <w:right w:val="single" w:sz="4" w:space="0" w:color="auto"/>
            </w:tcBorders>
            <w:vAlign w:val="center"/>
            <w:hideMark/>
          </w:tcPr>
          <w:p w14:paraId="30FAE90B" w14:textId="77777777" w:rsidR="00FC2372" w:rsidRPr="009A40CE" w:rsidRDefault="00FC2372" w:rsidP="00FC2372">
            <w:pPr>
              <w:spacing w:before="0" w:line="240" w:lineRule="auto"/>
              <w:jc w:val="center"/>
              <w:rPr>
                <w:rFonts w:eastAsia="Times New Roman" w:cs="Times New Roman"/>
                <w:b/>
                <w:bCs/>
                <w:szCs w:val="24"/>
              </w:rPr>
            </w:pPr>
            <w:r w:rsidRPr="009A40CE">
              <w:rPr>
                <w:rFonts w:eastAsia="Times New Roman" w:cs="Times New Roman"/>
                <w:b/>
                <w:bCs/>
                <w:szCs w:val="24"/>
              </w:rPr>
              <w:t>Predictor</w:t>
            </w:r>
          </w:p>
        </w:tc>
        <w:tc>
          <w:tcPr>
            <w:tcW w:w="1988" w:type="dxa"/>
            <w:tcBorders>
              <w:top w:val="single" w:sz="4" w:space="0" w:color="auto"/>
              <w:left w:val="nil"/>
              <w:bottom w:val="single" w:sz="4" w:space="0" w:color="auto"/>
              <w:right w:val="single" w:sz="4" w:space="0" w:color="auto"/>
            </w:tcBorders>
            <w:vAlign w:val="center"/>
            <w:hideMark/>
          </w:tcPr>
          <w:p w14:paraId="24CB0DFC" w14:textId="77777777" w:rsidR="00FC2372" w:rsidRPr="009A40CE" w:rsidRDefault="00FC2372" w:rsidP="00FC2372">
            <w:pPr>
              <w:spacing w:before="0" w:line="240" w:lineRule="auto"/>
              <w:jc w:val="center"/>
              <w:rPr>
                <w:rFonts w:eastAsia="Times New Roman" w:cs="Times New Roman"/>
                <w:b/>
                <w:bCs/>
                <w:szCs w:val="24"/>
              </w:rPr>
            </w:pPr>
            <w:r w:rsidRPr="009A40CE">
              <w:rPr>
                <w:rFonts w:eastAsia="Times New Roman" w:cs="Times New Roman"/>
                <w:b/>
                <w:bCs/>
                <w:szCs w:val="24"/>
              </w:rPr>
              <w:t>Null hypothesis (H₀)</w:t>
            </w:r>
          </w:p>
        </w:tc>
        <w:tc>
          <w:tcPr>
            <w:tcW w:w="1591" w:type="dxa"/>
            <w:tcBorders>
              <w:top w:val="single" w:sz="4" w:space="0" w:color="auto"/>
              <w:left w:val="nil"/>
              <w:bottom w:val="single" w:sz="4" w:space="0" w:color="auto"/>
              <w:right w:val="single" w:sz="4" w:space="0" w:color="auto"/>
            </w:tcBorders>
            <w:vAlign w:val="center"/>
            <w:hideMark/>
          </w:tcPr>
          <w:p w14:paraId="1CE43EDC" w14:textId="77777777" w:rsidR="00FC2372" w:rsidRPr="009A40CE" w:rsidRDefault="00FC2372" w:rsidP="00FC2372">
            <w:pPr>
              <w:spacing w:before="0" w:line="240" w:lineRule="auto"/>
              <w:jc w:val="center"/>
              <w:rPr>
                <w:rFonts w:eastAsia="Times New Roman" w:cs="Times New Roman"/>
                <w:b/>
                <w:bCs/>
                <w:szCs w:val="24"/>
              </w:rPr>
            </w:pPr>
            <w:r w:rsidRPr="009A40CE">
              <w:rPr>
                <w:rFonts w:eastAsia="Times New Roman" w:cs="Times New Roman"/>
                <w:b/>
                <w:bCs/>
                <w:szCs w:val="24"/>
              </w:rPr>
              <w:t>Alternative (H₁)</w:t>
            </w:r>
          </w:p>
        </w:tc>
        <w:tc>
          <w:tcPr>
            <w:tcW w:w="1649" w:type="dxa"/>
            <w:tcBorders>
              <w:top w:val="single" w:sz="4" w:space="0" w:color="auto"/>
              <w:left w:val="nil"/>
              <w:bottom w:val="single" w:sz="4" w:space="0" w:color="auto"/>
              <w:right w:val="single" w:sz="4" w:space="0" w:color="auto"/>
            </w:tcBorders>
            <w:vAlign w:val="center"/>
            <w:hideMark/>
          </w:tcPr>
          <w:p w14:paraId="7B4C4E3E" w14:textId="77777777" w:rsidR="00FC2372" w:rsidRPr="009A40CE" w:rsidRDefault="00FC2372" w:rsidP="00FC2372">
            <w:pPr>
              <w:spacing w:before="0" w:line="240" w:lineRule="auto"/>
              <w:jc w:val="center"/>
              <w:rPr>
                <w:rFonts w:eastAsia="Times New Roman" w:cs="Times New Roman"/>
                <w:b/>
                <w:bCs/>
                <w:szCs w:val="24"/>
              </w:rPr>
            </w:pPr>
            <w:r w:rsidRPr="009A40CE">
              <w:rPr>
                <w:rFonts w:eastAsia="Times New Roman" w:cs="Times New Roman"/>
                <w:b/>
                <w:bCs/>
                <w:szCs w:val="24"/>
              </w:rPr>
              <w:t>Test (two-tailed)</w:t>
            </w:r>
          </w:p>
        </w:tc>
        <w:tc>
          <w:tcPr>
            <w:tcW w:w="1344" w:type="dxa"/>
            <w:tcBorders>
              <w:top w:val="single" w:sz="4" w:space="0" w:color="auto"/>
              <w:left w:val="nil"/>
              <w:bottom w:val="single" w:sz="4" w:space="0" w:color="auto"/>
              <w:right w:val="single" w:sz="4" w:space="0" w:color="auto"/>
            </w:tcBorders>
            <w:vAlign w:val="center"/>
            <w:hideMark/>
          </w:tcPr>
          <w:p w14:paraId="396295F0" w14:textId="77777777" w:rsidR="00FC2372" w:rsidRPr="009A40CE" w:rsidRDefault="00FC2372" w:rsidP="00FC2372">
            <w:pPr>
              <w:spacing w:before="0" w:line="240" w:lineRule="auto"/>
              <w:jc w:val="center"/>
              <w:rPr>
                <w:rFonts w:eastAsia="Times New Roman" w:cs="Times New Roman"/>
                <w:b/>
                <w:bCs/>
                <w:szCs w:val="24"/>
              </w:rPr>
            </w:pPr>
            <w:r w:rsidRPr="009A40CE">
              <w:rPr>
                <w:rFonts w:eastAsia="Times New Roman" w:cs="Times New Roman"/>
                <w:b/>
                <w:bCs/>
                <w:szCs w:val="24"/>
              </w:rPr>
              <w:t>p-value</w:t>
            </w:r>
          </w:p>
        </w:tc>
        <w:tc>
          <w:tcPr>
            <w:tcW w:w="1083" w:type="dxa"/>
            <w:tcBorders>
              <w:top w:val="single" w:sz="4" w:space="0" w:color="auto"/>
              <w:left w:val="nil"/>
              <w:bottom w:val="single" w:sz="4" w:space="0" w:color="auto"/>
              <w:right w:val="single" w:sz="4" w:space="0" w:color="auto"/>
            </w:tcBorders>
            <w:vAlign w:val="center"/>
            <w:hideMark/>
          </w:tcPr>
          <w:p w14:paraId="161EE3F1" w14:textId="77777777" w:rsidR="00FC2372" w:rsidRPr="009A40CE" w:rsidRDefault="00FC2372" w:rsidP="00FC2372">
            <w:pPr>
              <w:spacing w:before="0" w:line="240" w:lineRule="auto"/>
              <w:jc w:val="center"/>
              <w:rPr>
                <w:rFonts w:eastAsia="Times New Roman" w:cs="Times New Roman"/>
                <w:b/>
                <w:bCs/>
                <w:szCs w:val="24"/>
              </w:rPr>
            </w:pPr>
            <w:r w:rsidRPr="009A40CE">
              <w:rPr>
                <w:rFonts w:eastAsia="Times New Roman" w:cs="Times New Roman"/>
                <w:b/>
                <w:bCs/>
                <w:szCs w:val="24"/>
              </w:rPr>
              <w:t>Decision (α = .05)</w:t>
            </w:r>
          </w:p>
        </w:tc>
        <w:tc>
          <w:tcPr>
            <w:tcW w:w="1688" w:type="dxa"/>
            <w:tcBorders>
              <w:top w:val="single" w:sz="4" w:space="0" w:color="auto"/>
              <w:left w:val="nil"/>
              <w:bottom w:val="single" w:sz="4" w:space="0" w:color="auto"/>
              <w:right w:val="single" w:sz="4" w:space="0" w:color="auto"/>
            </w:tcBorders>
            <w:vAlign w:val="center"/>
            <w:hideMark/>
          </w:tcPr>
          <w:p w14:paraId="3A1B6087" w14:textId="77777777" w:rsidR="00FC2372" w:rsidRPr="009A40CE" w:rsidRDefault="00FC2372" w:rsidP="00FC2372">
            <w:pPr>
              <w:spacing w:before="0" w:line="240" w:lineRule="auto"/>
              <w:jc w:val="center"/>
              <w:rPr>
                <w:rFonts w:eastAsia="Times New Roman" w:cs="Times New Roman"/>
                <w:b/>
                <w:bCs/>
                <w:szCs w:val="24"/>
              </w:rPr>
            </w:pPr>
            <w:r w:rsidRPr="009A40CE">
              <w:rPr>
                <w:rFonts w:eastAsia="Times New Roman" w:cs="Times New Roman"/>
                <w:b/>
                <w:bCs/>
                <w:szCs w:val="24"/>
              </w:rPr>
              <w:t>Interpretation</w:t>
            </w:r>
          </w:p>
        </w:tc>
      </w:tr>
      <w:tr w:rsidR="00FC2372" w:rsidRPr="009A40CE" w14:paraId="3A83D78E"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5597879E"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Control environment</w:t>
            </w:r>
          </w:p>
        </w:tc>
        <w:tc>
          <w:tcPr>
            <w:tcW w:w="1988" w:type="dxa"/>
            <w:tcBorders>
              <w:top w:val="nil"/>
              <w:left w:val="nil"/>
              <w:bottom w:val="single" w:sz="4" w:space="0" w:color="auto"/>
              <w:right w:val="single" w:sz="4" w:space="0" w:color="auto"/>
            </w:tcBorders>
            <w:vAlign w:val="center"/>
            <w:hideMark/>
          </w:tcPr>
          <w:p w14:paraId="313A8E0B"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β₁ = 0 (no effect)</w:t>
            </w:r>
          </w:p>
        </w:tc>
        <w:tc>
          <w:tcPr>
            <w:tcW w:w="1591" w:type="dxa"/>
            <w:tcBorders>
              <w:top w:val="nil"/>
              <w:left w:val="nil"/>
              <w:bottom w:val="single" w:sz="4" w:space="0" w:color="auto"/>
              <w:right w:val="single" w:sz="4" w:space="0" w:color="auto"/>
            </w:tcBorders>
            <w:vAlign w:val="center"/>
            <w:hideMark/>
          </w:tcPr>
          <w:p w14:paraId="2E680713"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β₁ ≠ 0 (effect present)</w:t>
            </w:r>
          </w:p>
        </w:tc>
        <w:tc>
          <w:tcPr>
            <w:tcW w:w="1649" w:type="dxa"/>
            <w:tcBorders>
              <w:top w:val="nil"/>
              <w:left w:val="nil"/>
              <w:bottom w:val="single" w:sz="4" w:space="0" w:color="auto"/>
              <w:right w:val="single" w:sz="4" w:space="0" w:color="auto"/>
            </w:tcBorders>
            <w:vAlign w:val="center"/>
            <w:hideMark/>
          </w:tcPr>
          <w:p w14:paraId="67E43DE4"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t-test on β₁</w:t>
            </w:r>
          </w:p>
        </w:tc>
        <w:tc>
          <w:tcPr>
            <w:tcW w:w="1344" w:type="dxa"/>
            <w:tcBorders>
              <w:top w:val="nil"/>
              <w:left w:val="nil"/>
              <w:bottom w:val="single" w:sz="4" w:space="0" w:color="auto"/>
              <w:right w:val="single" w:sz="4" w:space="0" w:color="auto"/>
            </w:tcBorders>
            <w:vAlign w:val="center"/>
            <w:hideMark/>
          </w:tcPr>
          <w:p w14:paraId="3A273370"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0CED20D7" w14:textId="77777777" w:rsidR="00FC2372" w:rsidRPr="009A40CE" w:rsidRDefault="00FC2372" w:rsidP="00FC2372">
            <w:pPr>
              <w:spacing w:before="0" w:line="240" w:lineRule="auto"/>
              <w:jc w:val="left"/>
              <w:rPr>
                <w:rFonts w:eastAsia="Times New Roman" w:cs="Times New Roman"/>
                <w:b/>
                <w:bCs/>
                <w:szCs w:val="24"/>
              </w:rPr>
            </w:pPr>
            <w:r w:rsidRPr="009A40CE">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001180B9"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Significant positive association</w:t>
            </w:r>
          </w:p>
        </w:tc>
      </w:tr>
      <w:tr w:rsidR="00FC2372" w:rsidRPr="009A40CE" w14:paraId="775F0283"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6EF12BB7"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Risk assessment</w:t>
            </w:r>
          </w:p>
        </w:tc>
        <w:tc>
          <w:tcPr>
            <w:tcW w:w="1988" w:type="dxa"/>
            <w:tcBorders>
              <w:top w:val="nil"/>
              <w:left w:val="nil"/>
              <w:bottom w:val="single" w:sz="4" w:space="0" w:color="auto"/>
              <w:right w:val="single" w:sz="4" w:space="0" w:color="auto"/>
            </w:tcBorders>
            <w:vAlign w:val="center"/>
            <w:hideMark/>
          </w:tcPr>
          <w:p w14:paraId="3526FDBF"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β₂ = 0</w:t>
            </w:r>
          </w:p>
        </w:tc>
        <w:tc>
          <w:tcPr>
            <w:tcW w:w="1591" w:type="dxa"/>
            <w:tcBorders>
              <w:top w:val="nil"/>
              <w:left w:val="nil"/>
              <w:bottom w:val="single" w:sz="4" w:space="0" w:color="auto"/>
              <w:right w:val="single" w:sz="4" w:space="0" w:color="auto"/>
            </w:tcBorders>
            <w:vAlign w:val="center"/>
            <w:hideMark/>
          </w:tcPr>
          <w:p w14:paraId="33E16260"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β₂ ≠ 0</w:t>
            </w:r>
          </w:p>
        </w:tc>
        <w:tc>
          <w:tcPr>
            <w:tcW w:w="1649" w:type="dxa"/>
            <w:tcBorders>
              <w:top w:val="nil"/>
              <w:left w:val="nil"/>
              <w:bottom w:val="single" w:sz="4" w:space="0" w:color="auto"/>
              <w:right w:val="single" w:sz="4" w:space="0" w:color="auto"/>
            </w:tcBorders>
            <w:vAlign w:val="center"/>
            <w:hideMark/>
          </w:tcPr>
          <w:p w14:paraId="6887DC7B"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t-test on β₂</w:t>
            </w:r>
          </w:p>
        </w:tc>
        <w:tc>
          <w:tcPr>
            <w:tcW w:w="1344" w:type="dxa"/>
            <w:tcBorders>
              <w:top w:val="nil"/>
              <w:left w:val="nil"/>
              <w:bottom w:val="single" w:sz="4" w:space="0" w:color="auto"/>
              <w:right w:val="single" w:sz="4" w:space="0" w:color="auto"/>
            </w:tcBorders>
            <w:vAlign w:val="center"/>
            <w:hideMark/>
          </w:tcPr>
          <w:p w14:paraId="3F225232"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22B81724" w14:textId="77777777" w:rsidR="00FC2372" w:rsidRPr="009A40CE" w:rsidRDefault="00FC2372" w:rsidP="00FC2372">
            <w:pPr>
              <w:spacing w:before="0" w:line="240" w:lineRule="auto"/>
              <w:jc w:val="left"/>
              <w:rPr>
                <w:rFonts w:eastAsia="Times New Roman" w:cs="Times New Roman"/>
                <w:b/>
                <w:bCs/>
                <w:szCs w:val="24"/>
              </w:rPr>
            </w:pPr>
            <w:r w:rsidRPr="009A40CE">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0B5C84CA"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Significant positive association</w:t>
            </w:r>
          </w:p>
        </w:tc>
      </w:tr>
      <w:tr w:rsidR="00FC2372" w:rsidRPr="009A40CE" w14:paraId="11078684"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12F04039"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Control procedures</w:t>
            </w:r>
          </w:p>
        </w:tc>
        <w:tc>
          <w:tcPr>
            <w:tcW w:w="1988" w:type="dxa"/>
            <w:tcBorders>
              <w:top w:val="nil"/>
              <w:left w:val="nil"/>
              <w:bottom w:val="single" w:sz="4" w:space="0" w:color="auto"/>
              <w:right w:val="single" w:sz="4" w:space="0" w:color="auto"/>
            </w:tcBorders>
            <w:vAlign w:val="center"/>
            <w:hideMark/>
          </w:tcPr>
          <w:p w14:paraId="25DC7C16"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β₃ = 0</w:t>
            </w:r>
          </w:p>
        </w:tc>
        <w:tc>
          <w:tcPr>
            <w:tcW w:w="1591" w:type="dxa"/>
            <w:tcBorders>
              <w:top w:val="nil"/>
              <w:left w:val="nil"/>
              <w:bottom w:val="single" w:sz="4" w:space="0" w:color="auto"/>
              <w:right w:val="single" w:sz="4" w:space="0" w:color="auto"/>
            </w:tcBorders>
            <w:vAlign w:val="center"/>
            <w:hideMark/>
          </w:tcPr>
          <w:p w14:paraId="1691265F"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β₃ ≠ 0</w:t>
            </w:r>
          </w:p>
        </w:tc>
        <w:tc>
          <w:tcPr>
            <w:tcW w:w="1649" w:type="dxa"/>
            <w:tcBorders>
              <w:top w:val="nil"/>
              <w:left w:val="nil"/>
              <w:bottom w:val="single" w:sz="4" w:space="0" w:color="auto"/>
              <w:right w:val="single" w:sz="4" w:space="0" w:color="auto"/>
            </w:tcBorders>
            <w:vAlign w:val="center"/>
            <w:hideMark/>
          </w:tcPr>
          <w:p w14:paraId="5979BDD6"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t-test on β₃</w:t>
            </w:r>
          </w:p>
        </w:tc>
        <w:tc>
          <w:tcPr>
            <w:tcW w:w="1344" w:type="dxa"/>
            <w:tcBorders>
              <w:top w:val="nil"/>
              <w:left w:val="nil"/>
              <w:bottom w:val="single" w:sz="4" w:space="0" w:color="auto"/>
              <w:right w:val="single" w:sz="4" w:space="0" w:color="auto"/>
            </w:tcBorders>
            <w:vAlign w:val="center"/>
            <w:hideMark/>
          </w:tcPr>
          <w:p w14:paraId="2E74A4D8"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4BE4ADBD" w14:textId="77777777" w:rsidR="00FC2372" w:rsidRPr="009A40CE" w:rsidRDefault="00FC2372" w:rsidP="00FC2372">
            <w:pPr>
              <w:spacing w:before="0" w:line="240" w:lineRule="auto"/>
              <w:jc w:val="left"/>
              <w:rPr>
                <w:rFonts w:eastAsia="Times New Roman" w:cs="Times New Roman"/>
                <w:b/>
                <w:bCs/>
                <w:szCs w:val="24"/>
              </w:rPr>
            </w:pPr>
            <w:r w:rsidRPr="009A40CE">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1EE9F923"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Significant positive association</w:t>
            </w:r>
          </w:p>
        </w:tc>
      </w:tr>
      <w:tr w:rsidR="00FC2372" w:rsidRPr="009A40CE" w14:paraId="797C39E1"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68C01E6A"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Continuous monitoring</w:t>
            </w:r>
          </w:p>
        </w:tc>
        <w:tc>
          <w:tcPr>
            <w:tcW w:w="1988" w:type="dxa"/>
            <w:tcBorders>
              <w:top w:val="nil"/>
              <w:left w:val="nil"/>
              <w:bottom w:val="single" w:sz="4" w:space="0" w:color="auto"/>
              <w:right w:val="single" w:sz="4" w:space="0" w:color="auto"/>
            </w:tcBorders>
            <w:vAlign w:val="center"/>
            <w:hideMark/>
          </w:tcPr>
          <w:p w14:paraId="2D5BA5A5"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β₄ = 0</w:t>
            </w:r>
          </w:p>
        </w:tc>
        <w:tc>
          <w:tcPr>
            <w:tcW w:w="1591" w:type="dxa"/>
            <w:tcBorders>
              <w:top w:val="nil"/>
              <w:left w:val="nil"/>
              <w:bottom w:val="single" w:sz="4" w:space="0" w:color="auto"/>
              <w:right w:val="single" w:sz="4" w:space="0" w:color="auto"/>
            </w:tcBorders>
            <w:vAlign w:val="center"/>
            <w:hideMark/>
          </w:tcPr>
          <w:p w14:paraId="2FEE7C51"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β₄ ≠ 0</w:t>
            </w:r>
          </w:p>
        </w:tc>
        <w:tc>
          <w:tcPr>
            <w:tcW w:w="1649" w:type="dxa"/>
            <w:tcBorders>
              <w:top w:val="nil"/>
              <w:left w:val="nil"/>
              <w:bottom w:val="single" w:sz="4" w:space="0" w:color="auto"/>
              <w:right w:val="single" w:sz="4" w:space="0" w:color="auto"/>
            </w:tcBorders>
            <w:vAlign w:val="center"/>
            <w:hideMark/>
          </w:tcPr>
          <w:p w14:paraId="6B23ECF1"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t-test on β₄</w:t>
            </w:r>
          </w:p>
        </w:tc>
        <w:tc>
          <w:tcPr>
            <w:tcW w:w="1344" w:type="dxa"/>
            <w:tcBorders>
              <w:top w:val="nil"/>
              <w:left w:val="nil"/>
              <w:bottom w:val="single" w:sz="4" w:space="0" w:color="auto"/>
              <w:right w:val="single" w:sz="4" w:space="0" w:color="auto"/>
            </w:tcBorders>
            <w:vAlign w:val="center"/>
            <w:hideMark/>
          </w:tcPr>
          <w:p w14:paraId="5C45B842"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79BAAC97" w14:textId="77777777" w:rsidR="00FC2372" w:rsidRPr="009A40CE" w:rsidRDefault="00FC2372" w:rsidP="00FC2372">
            <w:pPr>
              <w:spacing w:before="0" w:line="240" w:lineRule="auto"/>
              <w:jc w:val="left"/>
              <w:rPr>
                <w:rFonts w:eastAsia="Times New Roman" w:cs="Times New Roman"/>
                <w:b/>
                <w:bCs/>
                <w:szCs w:val="24"/>
              </w:rPr>
            </w:pPr>
            <w:r w:rsidRPr="009A40CE">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097C1D49" w14:textId="77777777" w:rsidR="00FC2372" w:rsidRPr="009A40CE" w:rsidRDefault="00FC2372" w:rsidP="00FC2372">
            <w:pPr>
              <w:spacing w:before="0" w:line="240" w:lineRule="auto"/>
              <w:jc w:val="left"/>
              <w:rPr>
                <w:rFonts w:eastAsia="Times New Roman" w:cs="Times New Roman"/>
                <w:szCs w:val="24"/>
              </w:rPr>
            </w:pPr>
            <w:r w:rsidRPr="009A40CE">
              <w:rPr>
                <w:rFonts w:eastAsia="Times New Roman" w:cs="Times New Roman"/>
                <w:szCs w:val="24"/>
              </w:rPr>
              <w:t>Significant positive association</w:t>
            </w:r>
          </w:p>
        </w:tc>
      </w:tr>
    </w:tbl>
    <w:p w14:paraId="5134BD71" w14:textId="77777777" w:rsidR="00B3455A" w:rsidRPr="00B3455A" w:rsidRDefault="00B3455A" w:rsidP="00B3455A">
      <w:pPr>
        <w:shd w:val="clear" w:color="auto" w:fill="FFFFFF"/>
        <w:spacing w:line="240" w:lineRule="auto"/>
        <w:rPr>
          <w:rFonts w:eastAsia="Times New Roman" w:cs="Times New Roman"/>
          <w:color w:val="auto"/>
          <w:szCs w:val="24"/>
          <w14:ligatures w14:val="none"/>
        </w:rPr>
      </w:pPr>
      <w:r w:rsidRPr="00B3455A">
        <w:rPr>
          <w:rFonts w:eastAsia="Times New Roman" w:cs="Times New Roman"/>
          <w:color w:val="auto"/>
          <w:szCs w:val="24"/>
          <w14:ligatures w14:val="none"/>
        </w:rPr>
        <w:t>All predictors (control environment, risk assessment, control procedures, and continuous monitoring) had p-values &lt; .001. Consequently, all null hypotheses (H₀: β = 0) were rejected at α = 0.05, confirming that each internal control dimension has a statistically significant positive effect on financial performance.</w:t>
      </w:r>
    </w:p>
    <w:p w14:paraId="00CB4074" w14:textId="5C2A1C33" w:rsidR="004D7EEF" w:rsidRPr="004D7EEF" w:rsidRDefault="004D7EEF" w:rsidP="004D7EEF">
      <w:pPr>
        <w:shd w:val="clear" w:color="auto" w:fill="FFFFFF"/>
        <w:spacing w:line="240" w:lineRule="auto"/>
        <w:rPr>
          <w:rFonts w:eastAsia="Times New Roman" w:cs="Times New Roman"/>
          <w:color w:val="auto"/>
          <w:szCs w:val="24"/>
          <w14:ligatures w14:val="none"/>
        </w:rPr>
      </w:pPr>
    </w:p>
    <w:p w14:paraId="44E02A49" w14:textId="77777777" w:rsidR="004D7EEF" w:rsidRDefault="004D7EEF" w:rsidP="00055D83">
      <w:pPr>
        <w:shd w:val="clear" w:color="auto" w:fill="FFFFFF"/>
        <w:spacing w:line="240" w:lineRule="auto"/>
        <w:rPr>
          <w:rFonts w:eastAsia="Times New Roman" w:cs="Times New Roman"/>
          <w:b/>
          <w:bCs/>
          <w:color w:val="000000" w:themeColor="text1"/>
          <w:sz w:val="28"/>
          <w:szCs w:val="28"/>
        </w:rPr>
      </w:pPr>
    </w:p>
    <w:p w14:paraId="359E84B3" w14:textId="0E82A42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w:t>
      </w:r>
      <w:commentRangeStart w:id="17"/>
      <w:r w:rsidRPr="007A56B8">
        <w:rPr>
          <w:rFonts w:eastAsia="Times New Roman" w:cs="Times New Roman"/>
          <w:b/>
          <w:bCs/>
          <w:color w:val="000000" w:themeColor="text1"/>
          <w:sz w:val="28"/>
          <w:szCs w:val="28"/>
        </w:rPr>
        <w:t xml:space="preserve">CONCLUSIONS </w:t>
      </w:r>
      <w:commentRangeEnd w:id="17"/>
      <w:r w:rsidR="002C68A0">
        <w:rPr>
          <w:rStyle w:val="CommentReference"/>
        </w:rPr>
        <w:commentReference w:id="17"/>
      </w:r>
    </w:p>
    <w:p w14:paraId="4DFC50AE" w14:textId="77777777" w:rsidR="00E33138" w:rsidRDefault="00E33138" w:rsidP="00E33138">
      <w:pPr>
        <w:pStyle w:val="isselectedend"/>
      </w:pPr>
      <w:r>
        <w:t>The study concludes that internal control systems are positively associated with the financial performance of non-governmental organizations in Nairobi County. The findings show that a sound control environment, effective risk assessment, well-documented control procedures, and continuous monitoring all contribute to improved financial outcomes. A strong control environment supports ethical conduct, accountability, and responsible use of organizational resources. Risk assessment practices help organizations identify, evaluate, and respond to financial and operational risks that may affect sustainability. Control procedures, including budgeting, authorization, documentation, and segregation of duties, strengthen financial discipline and reduce opportunities for mismanagement. Continuous monitoring through audits, review mechanisms, and follow-up of control weaknesses further improves transparency and financial oversight. Overall, the results indicate that internal control systems are an important institutional mechanism for improving financial accountability and sustainability in NGOs. The study therefore emphasizes the need for NGOs to strengthen internal governance, improve staff competence, and maintain regular monitoring of financial processes. These measures can enhance donor confidence, support efficient resource utilization, and contribute to more stable financial performance.</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 xml:space="preserve">6.0 </w:t>
      </w:r>
      <w:commentRangeStart w:id="18"/>
      <w:r w:rsidRPr="007A56B8">
        <w:rPr>
          <w:rFonts w:cs="Times New Roman"/>
          <w:b/>
          <w:bCs/>
          <w:color w:val="000000" w:themeColor="text1"/>
          <w:sz w:val="28"/>
          <w:szCs w:val="28"/>
        </w:rPr>
        <w:t>RECOMMENDATIONS</w:t>
      </w:r>
      <w:commentRangeEnd w:id="18"/>
      <w:r w:rsidR="002C68A0">
        <w:rPr>
          <w:rStyle w:val="CommentReference"/>
        </w:rPr>
        <w:commentReference w:id="18"/>
      </w:r>
    </w:p>
    <w:p w14:paraId="65504525" w14:textId="52BD7C1A" w:rsidR="00FC2372" w:rsidRDefault="00FC2372" w:rsidP="00FC2372">
      <w:pPr>
        <w:spacing w:before="0" w:after="160" w:line="259" w:lineRule="auto"/>
      </w:pPr>
      <w:r>
        <w:t>The study recommends a multi-pronged approach to improving NGO financial performance through policy, practice, and research interventions. Key measures include strengthening ethical standards across organizations and providing continuous training in moral decision-making to enhance integrity and accountability. NGOs are encouraged to develop fraud-specific risk mitigation plans, implement standardized and documented control procedures, and conduct rigorous auditing processes to improve financial oversight.</w:t>
      </w:r>
    </w:p>
    <w:p w14:paraId="78001FB3" w14:textId="4C85F96E" w:rsidR="00FC2372" w:rsidRDefault="00FC2372" w:rsidP="00FC2372">
      <w:pPr>
        <w:spacing w:before="0" w:after="160" w:line="259" w:lineRule="auto"/>
      </w:pPr>
      <w:r>
        <w:t xml:space="preserve">From a policy perspective, regulators and policymakers should collaborate to enforce comprehensive risk management frameworks across NGOs. This includes allocating adequate funding for managing credit, operational, </w:t>
      </w:r>
      <w:r>
        <w:lastRenderedPageBreak/>
        <w:t>and market risks, which are critical for financial stability. Additionally, NGOs should establish independent, well-resourced risk management departments staffed with qualified personnel and supported by advanced technological systems to enhance continuous risk identification and mitigation.</w:t>
      </w:r>
    </w:p>
    <w:p w14:paraId="5384140A" w14:textId="4A4ECFC8" w:rsidR="00FC2372" w:rsidRDefault="00FC2372" w:rsidP="00FC2372">
      <w:pPr>
        <w:spacing w:before="0" w:after="160" w:line="259" w:lineRule="auto"/>
      </w:pPr>
      <w:r>
        <w:t>At the practice level, NGOs should reinforce internal controls by prioritizing ethical conduct and integrity. Strengthening information systems is essential to ensure timely, reliable, and transparent communication among stakeholders. Donor-funded organizations should also revise accounting systems, train finance personnel, and implement structured mechanisms for tracking audit recommendations. Regular training workshops and seminars are recommended to improve staff competencies and organizational performance.</w:t>
      </w:r>
    </w:p>
    <w:p w14:paraId="38ACF2C4" w14:textId="13928AA8" w:rsidR="007A56B8" w:rsidRDefault="00FC2372" w:rsidP="00FC2372">
      <w:pPr>
        <w:spacing w:before="0" w:after="160" w:line="259" w:lineRule="auto"/>
      </w:pPr>
      <w:r>
        <w:t>For future research, studies should extend beyond Nairobi County to other regions in Kenya and explore additional internal control mechanisms, including digital tools, to improve financial transparency. Further investigation is also needed to capture other determinants of NGO financial performance not covered in the current study.</w:t>
      </w:r>
    </w:p>
    <w:p w14:paraId="5405C569" w14:textId="77777777" w:rsidR="00E33138" w:rsidRDefault="00E33138" w:rsidP="00FC2372">
      <w:pPr>
        <w:spacing w:before="0" w:after="160" w:line="259" w:lineRule="auto"/>
      </w:pPr>
    </w:p>
    <w:p w14:paraId="050B05FD" w14:textId="77777777" w:rsidR="00E33138" w:rsidRPr="00E33138" w:rsidRDefault="00E33138" w:rsidP="00E33138">
      <w:pPr>
        <w:spacing w:before="100" w:beforeAutospacing="1" w:after="100" w:afterAutospacing="1" w:line="240" w:lineRule="auto"/>
        <w:jc w:val="left"/>
        <w:rPr>
          <w:rFonts w:eastAsia="Times New Roman" w:cs="Times New Roman"/>
          <w:color w:val="auto"/>
          <w:szCs w:val="24"/>
          <w:lang w:bidi="bn-IN"/>
          <w14:ligatures w14:val="none"/>
        </w:rPr>
      </w:pPr>
      <w:commentRangeStart w:id="19"/>
      <w:r w:rsidRPr="00E33138">
        <w:rPr>
          <w:rFonts w:eastAsia="Times New Roman" w:cs="Times New Roman"/>
          <w:b/>
          <w:bCs/>
          <w:color w:val="auto"/>
          <w:szCs w:val="24"/>
          <w:lang w:bidi="bn-IN"/>
          <w14:ligatures w14:val="none"/>
        </w:rPr>
        <w:t>Limitations</w:t>
      </w:r>
      <w:commentRangeEnd w:id="19"/>
      <w:r w:rsidR="002575EB">
        <w:rPr>
          <w:rStyle w:val="CommentReference"/>
        </w:rPr>
        <w:commentReference w:id="19"/>
      </w:r>
    </w:p>
    <w:p w14:paraId="12F16EB0" w14:textId="77777777" w:rsidR="00E33138" w:rsidRPr="00E33138" w:rsidRDefault="00E33138" w:rsidP="00E33138">
      <w:pPr>
        <w:spacing w:before="100" w:beforeAutospacing="1" w:after="100" w:afterAutospacing="1" w:line="240" w:lineRule="auto"/>
        <w:jc w:val="left"/>
        <w:rPr>
          <w:rFonts w:eastAsia="Times New Roman" w:cs="Times New Roman"/>
          <w:color w:val="auto"/>
          <w:szCs w:val="24"/>
          <w:lang w:bidi="bn-IN"/>
          <w14:ligatures w14:val="none"/>
        </w:rPr>
      </w:pPr>
      <w:r w:rsidRPr="00E33138">
        <w:rPr>
          <w:rFonts w:eastAsia="Times New Roman" w:cs="Times New Roman"/>
          <w:color w:val="auto"/>
          <w:szCs w:val="24"/>
          <w:lang w:bidi="bn-IN"/>
          <w14:ligatures w14:val="none"/>
        </w:rPr>
        <w:t>This study was limited to non-governmental organizations operating in Nairobi County, and the findings may not fully represent NGOs in other counties or countries with different regulatory, funding, and operational environments. The study used a cross-sectional research design, which captured information at one point in time and therefore cannot establish long-term causal effects. Data were collected using structured questionnaires, making the findings dependent on respondents’ perceptions and the accuracy of self-reported information. The study focused on four internal control dimensions: control environment, risk assessment, control procedures, and continuous monitoring. Other factors that may influence financial performance, such as donor funding patterns, organizational size, leadership capacity, technology adoption, and external regulatory pressures, were not examined in detail. Future studies should consider longitudinal designs, wider geographical coverage, and additional organizational variables to improve the generalizability and explanatory strength of the findings.</w:t>
      </w:r>
    </w:p>
    <w:p w14:paraId="6B07080F" w14:textId="77777777" w:rsidR="00E33138" w:rsidRPr="007A56B8" w:rsidRDefault="00E33138" w:rsidP="00FC2372">
      <w:pPr>
        <w:spacing w:before="0" w:after="160" w:line="259" w:lineRule="auto"/>
        <w:rPr>
          <w:rFonts w:eastAsia="Times New Roman" w:cs="Times New Roman"/>
          <w:b/>
          <w:bCs/>
          <w:color w:val="000000" w:themeColor="text1"/>
          <w:sz w:val="28"/>
          <w:szCs w:val="28"/>
        </w:rPr>
      </w:pPr>
    </w:p>
    <w:p w14:paraId="5A202687" w14:textId="2912289E" w:rsidR="00B55CEF" w:rsidRDefault="00055D83" w:rsidP="002151BA">
      <w:pPr>
        <w:shd w:val="clear" w:color="auto" w:fill="FFFFFF"/>
        <w:spacing w:line="240" w:lineRule="auto"/>
        <w:rPr>
          <w:rFonts w:eastAsia="Times New Roman" w:cs="Times New Roman"/>
          <w:b/>
          <w:bCs/>
          <w:color w:val="000000" w:themeColor="text1"/>
          <w:sz w:val="28"/>
          <w:szCs w:val="28"/>
        </w:rPr>
      </w:pPr>
      <w:bookmarkStart w:id="20" w:name="_GoBack"/>
      <w:commentRangeStart w:id="21"/>
      <w:r w:rsidRPr="007A56B8">
        <w:rPr>
          <w:rFonts w:eastAsia="Times New Roman" w:cs="Times New Roman"/>
          <w:b/>
          <w:bCs/>
          <w:color w:val="000000" w:themeColor="text1"/>
          <w:sz w:val="28"/>
          <w:szCs w:val="28"/>
        </w:rPr>
        <w:t>REFERENCES</w:t>
      </w:r>
      <w:bookmarkEnd w:id="20"/>
      <w:commentRangeEnd w:id="21"/>
      <w:r w:rsidR="00865112">
        <w:rPr>
          <w:rStyle w:val="CommentReference"/>
        </w:rPr>
        <w:commentReference w:id="21"/>
      </w:r>
    </w:p>
    <w:p w14:paraId="009E9E3E" w14:textId="77777777" w:rsidR="00390D07" w:rsidRPr="009A40CE" w:rsidRDefault="00390D07" w:rsidP="00390D07">
      <w:pPr>
        <w:spacing w:after="240" w:line="240" w:lineRule="auto"/>
        <w:ind w:left="720" w:hanging="720"/>
        <w:rPr>
          <w:rFonts w:cs="Times New Roman"/>
          <w:szCs w:val="24"/>
          <w:shd w:val="clear" w:color="auto" w:fill="FFFFFF"/>
        </w:rPr>
      </w:pPr>
      <w:bookmarkStart w:id="22" w:name="_Hlk81480097"/>
      <w:r w:rsidRPr="009A40CE">
        <w:rPr>
          <w:rFonts w:cs="Times New Roman"/>
          <w:szCs w:val="24"/>
          <w:shd w:val="clear" w:color="auto" w:fill="FFFFFF"/>
        </w:rPr>
        <w:t xml:space="preserve">Abiodun, E. A. (2020). </w:t>
      </w:r>
      <w:bookmarkEnd w:id="22"/>
      <w:r w:rsidRPr="009A40CE">
        <w:rPr>
          <w:rFonts w:cs="Times New Roman"/>
          <w:szCs w:val="24"/>
          <w:shd w:val="clear" w:color="auto" w:fill="FFFFFF"/>
        </w:rPr>
        <w:t>Internal Control Procedures and Firm’s Performance. </w:t>
      </w:r>
      <w:r w:rsidRPr="009A40CE">
        <w:rPr>
          <w:rFonts w:cs="Times New Roman"/>
          <w:i/>
          <w:iCs/>
          <w:szCs w:val="24"/>
          <w:shd w:val="clear" w:color="auto" w:fill="FFFFFF"/>
        </w:rPr>
        <w:t>International Journal of Scientific and Technology Research, 9 (02), 6407</w:t>
      </w:r>
      <w:r w:rsidRPr="009A40CE">
        <w:rPr>
          <w:rFonts w:cs="Times New Roman"/>
          <w:szCs w:val="24"/>
          <w:shd w:val="clear" w:color="auto" w:fill="FFFFFF"/>
        </w:rPr>
        <w:t>, </w:t>
      </w:r>
      <w:r w:rsidRPr="009A40CE">
        <w:rPr>
          <w:rFonts w:cs="Times New Roman"/>
          <w:i/>
          <w:iCs/>
          <w:szCs w:val="24"/>
          <w:shd w:val="clear" w:color="auto" w:fill="FFFFFF"/>
        </w:rPr>
        <w:t>6415</w:t>
      </w:r>
      <w:r w:rsidRPr="009A40CE">
        <w:rPr>
          <w:rFonts w:cs="Times New Roman"/>
          <w:szCs w:val="24"/>
          <w:shd w:val="clear" w:color="auto" w:fill="FFFFFF"/>
        </w:rPr>
        <w:t>.</w:t>
      </w:r>
    </w:p>
    <w:p w14:paraId="60295769" w14:textId="77777777" w:rsidR="00390D07" w:rsidRPr="009A40CE" w:rsidRDefault="00390D07" w:rsidP="00390D07">
      <w:pPr>
        <w:spacing w:after="240" w:line="240" w:lineRule="auto"/>
        <w:ind w:left="720" w:hanging="720"/>
        <w:rPr>
          <w:rFonts w:cs="Times New Roman"/>
          <w:color w:val="222222"/>
          <w:szCs w:val="24"/>
          <w:shd w:val="clear" w:color="auto" w:fill="FFFFFF"/>
        </w:rPr>
      </w:pPr>
      <w:bookmarkStart w:id="23" w:name="_Hlk83417635"/>
      <w:r w:rsidRPr="009A40CE">
        <w:rPr>
          <w:rFonts w:cs="Times New Roman"/>
          <w:color w:val="222222"/>
          <w:szCs w:val="24"/>
          <w:shd w:val="clear" w:color="auto" w:fill="FFFFFF"/>
        </w:rPr>
        <w:t>Achieng, A. G. (2016). </w:t>
      </w:r>
      <w:bookmarkEnd w:id="23"/>
      <w:r w:rsidRPr="009A40CE">
        <w:rPr>
          <w:rFonts w:cs="Times New Roman"/>
          <w:i/>
          <w:iCs/>
          <w:color w:val="222222"/>
          <w:szCs w:val="24"/>
          <w:shd w:val="clear" w:color="auto" w:fill="FFFFFF"/>
        </w:rPr>
        <w:t>The effects of funding diversification on financial sustainability of non-governmental organizations in Nairobi County</w:t>
      </w:r>
      <w:r w:rsidRPr="009A40CE">
        <w:rPr>
          <w:rFonts w:cs="Times New Roman"/>
          <w:color w:val="222222"/>
          <w:szCs w:val="24"/>
          <w:shd w:val="clear" w:color="auto" w:fill="FFFFFF"/>
        </w:rPr>
        <w:t> (Doctoral dissertation, University of Nairobi). Kenya.</w:t>
      </w:r>
    </w:p>
    <w:p w14:paraId="2D0B3B67"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Alchian N., &amp; Demsetz, S. (1972). Minority protection and dividend policy in Finland. </w:t>
      </w:r>
      <w:r w:rsidRPr="009A40CE">
        <w:rPr>
          <w:rFonts w:cs="Times New Roman"/>
          <w:i/>
          <w:iCs/>
          <w:szCs w:val="24"/>
        </w:rPr>
        <w:t xml:space="preserve">European Financial Management, 14 </w:t>
      </w:r>
      <w:r w:rsidRPr="009A40CE">
        <w:rPr>
          <w:rFonts w:cs="Times New Roman"/>
          <w:szCs w:val="24"/>
        </w:rPr>
        <w:t>(5), 470-502.</w:t>
      </w:r>
    </w:p>
    <w:p w14:paraId="22F29EB5"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Baik B., J. Chae, S. Choi, and D. Farber (2013) Changes in operational efficiency and firm Banker and Johnston ‘Non-governmental organizations’ </w:t>
      </w:r>
    </w:p>
    <w:p w14:paraId="50BF59BF"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Beeler, J. D., Hunton, J. E., &amp; B. Wier. (2014). Promotion performance of internal auditors: A survival analysis</w:t>
      </w:r>
      <w:r w:rsidRPr="009A40CE">
        <w:rPr>
          <w:rFonts w:cs="Times New Roman"/>
          <w:i/>
          <w:szCs w:val="24"/>
        </w:rPr>
        <w:t>. Internal Auditing.</w:t>
      </w:r>
      <w:r w:rsidRPr="009A40CE">
        <w:rPr>
          <w:rFonts w:cs="Times New Roman"/>
          <w:szCs w:val="24"/>
        </w:rPr>
        <w:t xml:space="preserve"> 14, 3-14.</w:t>
      </w:r>
      <w:bookmarkStart w:id="24" w:name="_Hlk81481786"/>
    </w:p>
    <w:p w14:paraId="57E2E5FA"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lastRenderedPageBreak/>
        <w:t xml:space="preserve">Bett, J. C., &amp; Memba, F. S. (2017). </w:t>
      </w:r>
      <w:bookmarkEnd w:id="24"/>
      <w:r w:rsidRPr="009A40CE">
        <w:rPr>
          <w:rFonts w:cs="Times New Roman"/>
          <w:color w:val="222222"/>
          <w:szCs w:val="24"/>
          <w:shd w:val="clear" w:color="auto" w:fill="FFFFFF"/>
        </w:rPr>
        <w:t>Impact of internal control on the financial performance of processing firms in Kenya: A case of Menengai company. </w:t>
      </w:r>
      <w:r w:rsidRPr="009A40CE">
        <w:rPr>
          <w:rFonts w:cs="Times New Roman"/>
          <w:i/>
          <w:iCs/>
          <w:color w:val="222222"/>
          <w:szCs w:val="24"/>
          <w:shd w:val="clear" w:color="auto" w:fill="FFFFFF"/>
        </w:rPr>
        <w:t>International Journal of Recent Research in Commerce Economics and Management (IJRRCEM)</w:t>
      </w:r>
      <w:r w:rsidRPr="009A40CE">
        <w:rPr>
          <w:rFonts w:cs="Times New Roman"/>
          <w:color w:val="222222"/>
          <w:szCs w:val="24"/>
          <w:shd w:val="clear" w:color="auto" w:fill="FFFFFF"/>
        </w:rPr>
        <w:t>, </w:t>
      </w:r>
      <w:r w:rsidRPr="009A40CE">
        <w:rPr>
          <w:rFonts w:cs="Times New Roman"/>
          <w:i/>
          <w:iCs/>
          <w:color w:val="222222"/>
          <w:szCs w:val="24"/>
          <w:shd w:val="clear" w:color="auto" w:fill="FFFFFF"/>
        </w:rPr>
        <w:t>4</w:t>
      </w:r>
      <w:r w:rsidRPr="009A40CE">
        <w:rPr>
          <w:rFonts w:cs="Times New Roman"/>
          <w:color w:val="222222"/>
          <w:szCs w:val="24"/>
          <w:shd w:val="clear" w:color="auto" w:fill="FFFFFF"/>
        </w:rPr>
        <w:t>(1), 105-115.</w:t>
      </w:r>
    </w:p>
    <w:p w14:paraId="369D8FBF"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Bhimani, A. (2008) “Making Corporate Governance Count: The Fusion of Ethics and Economic Rationality”. Journal of Management and Governance, Vol. 12, No. 2, pp. 135-147</w:t>
      </w:r>
    </w:p>
    <w:p w14:paraId="55A069C1"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Bowrin, A. (2004). Internal control in Trinidad and Tobago religious organizations. </w:t>
      </w:r>
      <w:r w:rsidRPr="009A40CE">
        <w:rPr>
          <w:rFonts w:cs="Times New Roman"/>
          <w:i/>
          <w:iCs/>
          <w:szCs w:val="24"/>
        </w:rPr>
        <w:t xml:space="preserve">Accounting, Auditing and Accountability Journal, </w:t>
      </w:r>
      <w:r w:rsidRPr="009A40CE">
        <w:rPr>
          <w:rFonts w:cs="Times New Roman"/>
          <w:szCs w:val="24"/>
        </w:rPr>
        <w:t>17(1), 121-152</w:t>
      </w:r>
    </w:p>
    <w:p w14:paraId="0605E304"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Chandan, J. S. (2006). </w:t>
      </w:r>
      <w:r w:rsidRPr="009A40CE">
        <w:rPr>
          <w:rFonts w:cs="Times New Roman"/>
          <w:i/>
          <w:iCs/>
          <w:szCs w:val="24"/>
        </w:rPr>
        <w:t xml:space="preserve">Management Concepts and Strategies </w:t>
      </w:r>
      <w:r w:rsidRPr="009A40CE">
        <w:rPr>
          <w:rFonts w:cs="Times New Roman"/>
          <w:szCs w:val="24"/>
        </w:rPr>
        <w:t>Vikas Publishing House PVT Ltd, New Delhi</w:t>
      </w:r>
    </w:p>
    <w:p w14:paraId="2AE2B206"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Chesos R. (2010). </w:t>
      </w:r>
      <w:r w:rsidRPr="009A40CE">
        <w:rPr>
          <w:rFonts w:cs="Times New Roman"/>
          <w:i/>
          <w:iCs/>
          <w:szCs w:val="24"/>
        </w:rPr>
        <w:t>Automated M&amp;E system for NGOs. The Co-Ordinator, Issue No</w:t>
      </w:r>
      <w:r w:rsidRPr="009A40CE">
        <w:rPr>
          <w:rFonts w:cs="Times New Roman"/>
          <w:szCs w:val="24"/>
        </w:rPr>
        <w:t>. 5., p. 1. http://www.ngobureau.or.ke/Publications/Board%20Newsletter%20%28Issue%20No.%205%29.pdf</w:t>
      </w:r>
    </w:p>
    <w:p w14:paraId="55D4520A"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Clarke, T. (2004) The evolution of directors’ duties: Bridging the divide between corporate governance and corporate social responsibility, Journal of General Management, 32: 79– 105.</w:t>
      </w:r>
    </w:p>
    <w:p w14:paraId="4D5C3CDF"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Clarkson, M. B. E. (1995). “A Stakeholder Framework for Analyzing and Evaluating Corporate Social Performance”. Academy of Management Review, Vol. 20, No. 1, pp. 92-117</w:t>
      </w:r>
    </w:p>
    <w:p w14:paraId="66981EC9"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CPA Australia (2018). Internal Controls for Small Business. </w:t>
      </w:r>
      <w:r w:rsidRPr="009A40CE">
        <w:rPr>
          <w:rFonts w:cs="Times New Roman"/>
          <w:i/>
          <w:szCs w:val="24"/>
        </w:rPr>
        <w:t>Business Management Journal.</w:t>
      </w:r>
      <w:r w:rsidRPr="009A40CE">
        <w:rPr>
          <w:rFonts w:cs="Times New Roman"/>
          <w:szCs w:val="24"/>
        </w:rPr>
        <w:t xml:space="preserve"> Melbourne, Australia.</w:t>
      </w:r>
    </w:p>
    <w:p w14:paraId="74E1F4CF"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Crawford P and Bryce P. (2003): Project monitoring and evaluation: A method of enhancing the efficiency and effectiveness of aid project implementation. </w:t>
      </w:r>
      <w:r w:rsidRPr="009A40CE">
        <w:rPr>
          <w:rFonts w:cs="Times New Roman"/>
          <w:i/>
          <w:iCs/>
          <w:szCs w:val="24"/>
        </w:rPr>
        <w:t>International Journal of Project Management</w:t>
      </w:r>
      <w:r w:rsidRPr="009A40CE">
        <w:rPr>
          <w:rFonts w:cs="Times New Roman"/>
          <w:szCs w:val="24"/>
        </w:rPr>
        <w:t>, 21(5): 363-373.</w:t>
      </w:r>
    </w:p>
    <w:p w14:paraId="1B79A9B4"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Davies, Clarkson (1995, 1997). Physiology and sociology August, pp. 45–53.</w:t>
      </w:r>
    </w:p>
    <w:p w14:paraId="257025A6"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Donaldson &amp; Preston (D&amp;P), (1995) Perspectives on Internal Control Reporting. D&amp;T, E&amp;Y, KPMG, and PwC. qualified for consistency and uncertainty. The Accounting Review 64 (1), 28–48. ratings. Journal of Managerial Issues 13 (1), 13–27.</w:t>
      </w:r>
    </w:p>
    <w:p w14:paraId="5A61212D"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Donaldson. L and Davis. J. (1991) “Stewardship Theory or Agency Theory: CEO Governance and</w:t>
      </w:r>
    </w:p>
    <w:p w14:paraId="5B42AD50"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Eisenhardt A, Abdul Hamid MA, (1989). Effectiveness of the internal auditor in Malaysian listed</w:t>
      </w:r>
      <w:bookmarkStart w:id="25" w:name="_Hlk81491313"/>
      <w:r w:rsidRPr="009A40CE">
        <w:rPr>
          <w:rFonts w:cs="Times New Roman"/>
          <w:szCs w:val="24"/>
        </w:rPr>
        <w:t>.</w:t>
      </w:r>
    </w:p>
    <w:p w14:paraId="27FFBA78"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Ejoh, N., &amp; Ejom, P. (2016</w:t>
      </w:r>
      <w:r w:rsidRPr="009A40CE">
        <w:rPr>
          <w:rFonts w:cs="Times New Roman"/>
          <w:color w:val="222222"/>
          <w:szCs w:val="24"/>
          <w:shd w:val="clear" w:color="auto" w:fill="FFFFFF"/>
        </w:rPr>
        <w:t xml:space="preserve">). </w:t>
      </w:r>
      <w:bookmarkEnd w:id="25"/>
      <w:r w:rsidRPr="009A40CE">
        <w:rPr>
          <w:rFonts w:cs="Times New Roman"/>
          <w:szCs w:val="24"/>
        </w:rPr>
        <w:t xml:space="preserve">The Impact of Internal Control Activities on Financial Performance of Tertiary Institutions in Nigeria. </w:t>
      </w:r>
      <w:r w:rsidRPr="009A40CE">
        <w:rPr>
          <w:rFonts w:cs="Times New Roman"/>
          <w:i/>
          <w:iCs/>
          <w:szCs w:val="24"/>
        </w:rPr>
        <w:t>Journal of Economics and Sustainable Development, 5</w:t>
      </w:r>
      <w:r w:rsidRPr="009A40CE">
        <w:rPr>
          <w:rFonts w:cs="Times New Roman"/>
          <w:szCs w:val="24"/>
        </w:rPr>
        <w:t>(16), 1-12.</w:t>
      </w:r>
      <w:bookmarkStart w:id="26" w:name="_Hlk83395132"/>
      <w:bookmarkStart w:id="27" w:name="_Hlk83394838"/>
    </w:p>
    <w:p w14:paraId="18A1505C"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shd w:val="clear" w:color="auto" w:fill="FFFFFF"/>
        </w:rPr>
        <w:t>Etengu, R. O., &amp; Amony, M. (2016</w:t>
      </w:r>
      <w:bookmarkEnd w:id="26"/>
      <w:r w:rsidRPr="009A40CE">
        <w:rPr>
          <w:rFonts w:cs="Times New Roman"/>
          <w:szCs w:val="24"/>
          <w:shd w:val="clear" w:color="auto" w:fill="FFFFFF"/>
        </w:rPr>
        <w:t xml:space="preserve">). </w:t>
      </w:r>
      <w:bookmarkEnd w:id="27"/>
      <w:r w:rsidRPr="009A40CE">
        <w:rPr>
          <w:rFonts w:cs="Times New Roman"/>
          <w:szCs w:val="24"/>
          <w:shd w:val="clear" w:color="auto" w:fill="FFFFFF"/>
        </w:rPr>
        <w:t>Internal control system and financial performance in non-governmental organisations in Uganda: A case study of international union for conservation of nature. </w:t>
      </w:r>
      <w:r w:rsidRPr="009A40CE">
        <w:rPr>
          <w:rFonts w:cs="Times New Roman"/>
          <w:i/>
          <w:iCs/>
          <w:szCs w:val="24"/>
          <w:shd w:val="clear" w:color="auto" w:fill="FFFFFF"/>
        </w:rPr>
        <w:t>International Journal of Contemporary Applied Sciences</w:t>
      </w:r>
      <w:r w:rsidRPr="009A40CE">
        <w:rPr>
          <w:rFonts w:cs="Times New Roman"/>
          <w:szCs w:val="24"/>
          <w:shd w:val="clear" w:color="auto" w:fill="FFFFFF"/>
        </w:rPr>
        <w:t>, </w:t>
      </w:r>
      <w:r w:rsidRPr="009A40CE">
        <w:rPr>
          <w:rFonts w:cs="Times New Roman"/>
          <w:i/>
          <w:iCs/>
          <w:szCs w:val="24"/>
          <w:shd w:val="clear" w:color="auto" w:fill="FFFFFF"/>
        </w:rPr>
        <w:t>3</w:t>
      </w:r>
      <w:r w:rsidRPr="009A40CE">
        <w:rPr>
          <w:rFonts w:cs="Times New Roman"/>
          <w:szCs w:val="24"/>
          <w:shd w:val="clear" w:color="auto" w:fill="FFFFFF"/>
        </w:rPr>
        <w:t>(2), 2308-1365.</w:t>
      </w:r>
    </w:p>
    <w:p w14:paraId="7F9486D3"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Fabozzi, F. J. and Konishi (1999). </w:t>
      </w:r>
      <w:r w:rsidRPr="009A40CE">
        <w:rPr>
          <w:rFonts w:cs="Times New Roman"/>
          <w:i/>
          <w:iCs/>
          <w:szCs w:val="24"/>
        </w:rPr>
        <w:t xml:space="preserve">Asset/Liability Management </w:t>
      </w:r>
      <w:r w:rsidRPr="009A40CE">
        <w:rPr>
          <w:rFonts w:cs="Times New Roman"/>
          <w:szCs w:val="24"/>
        </w:rPr>
        <w:t>S.Chand&amp; Company Ltd, New Delhi</w:t>
      </w:r>
    </w:p>
    <w:p w14:paraId="00054FB5"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Fadzil, F. H., Haron, H., &amp; Jantan, M. (2015). Internal auditing practices and internal control system. </w:t>
      </w:r>
      <w:r w:rsidRPr="009A40CE">
        <w:rPr>
          <w:rFonts w:cs="Times New Roman"/>
          <w:i/>
          <w:szCs w:val="24"/>
        </w:rPr>
        <w:t>Managerial Auditing Journal</w:t>
      </w:r>
      <w:r w:rsidRPr="009A40CE">
        <w:rPr>
          <w:rFonts w:cs="Times New Roman"/>
          <w:szCs w:val="24"/>
        </w:rPr>
        <w:t>, 20(8), 844-866.</w:t>
      </w:r>
    </w:p>
    <w:p w14:paraId="66CF7A64"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Freeman, H.G., Gount n., (1999). “Mergers and the Market for Corporate Control”, Journal of Political Economy, Vol.73, (1965), pp.110-120.</w:t>
      </w:r>
    </w:p>
    <w:p w14:paraId="40972B8A"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Freeman, R. E. (1984) “Strategic Management: A Stakeholder Approach”. Pitman, London.</w:t>
      </w:r>
    </w:p>
    <w:p w14:paraId="026E3357" w14:textId="77777777" w:rsidR="00390D07" w:rsidRPr="009A40CE" w:rsidRDefault="00390D07" w:rsidP="00390D07">
      <w:pPr>
        <w:spacing w:after="240" w:line="240" w:lineRule="auto"/>
        <w:ind w:left="720" w:hanging="720"/>
        <w:rPr>
          <w:rFonts w:cs="Times New Roman"/>
          <w:szCs w:val="24"/>
        </w:rPr>
      </w:pPr>
      <w:bookmarkStart w:id="28" w:name="_Hlk81481346"/>
      <w:r w:rsidRPr="009A40CE">
        <w:rPr>
          <w:rFonts w:cs="Times New Roman"/>
          <w:szCs w:val="24"/>
          <w:shd w:val="clear" w:color="auto" w:fill="FFFFFF"/>
        </w:rPr>
        <w:lastRenderedPageBreak/>
        <w:t xml:space="preserve">Gatea, A. K., &amp; Khalaf, S. N. (2021). </w:t>
      </w:r>
      <w:bookmarkEnd w:id="28"/>
      <w:r w:rsidRPr="009A40CE">
        <w:rPr>
          <w:rFonts w:cs="Times New Roman"/>
          <w:szCs w:val="24"/>
          <w:shd w:val="clear" w:color="auto" w:fill="FFFFFF"/>
        </w:rPr>
        <w:t>The role of internal control procedures in enhancing the quality of financial statement and its impact on investment decisions. </w:t>
      </w:r>
      <w:r w:rsidRPr="009A40CE">
        <w:rPr>
          <w:rFonts w:cs="Times New Roman"/>
          <w:i/>
          <w:iCs/>
          <w:szCs w:val="24"/>
          <w:shd w:val="clear" w:color="auto" w:fill="FFFFFF"/>
        </w:rPr>
        <w:t>AL-Anbar University journal of Economic and Administration Sciences</w:t>
      </w:r>
      <w:r w:rsidRPr="009A40CE">
        <w:rPr>
          <w:rFonts w:cs="Times New Roman"/>
          <w:szCs w:val="24"/>
          <w:shd w:val="clear" w:color="auto" w:fill="FFFFFF"/>
        </w:rPr>
        <w:t>, </w:t>
      </w:r>
      <w:r w:rsidRPr="009A40CE">
        <w:rPr>
          <w:rFonts w:cs="Times New Roman"/>
          <w:i/>
          <w:iCs/>
          <w:szCs w:val="24"/>
          <w:shd w:val="clear" w:color="auto" w:fill="FFFFFF"/>
        </w:rPr>
        <w:t>13</w:t>
      </w:r>
      <w:r w:rsidRPr="009A40CE">
        <w:rPr>
          <w:rFonts w:cs="Times New Roman"/>
          <w:szCs w:val="24"/>
          <w:shd w:val="clear" w:color="auto" w:fill="FFFFFF"/>
        </w:rPr>
        <w:t>(1).</w:t>
      </w:r>
    </w:p>
    <w:p w14:paraId="58B43ACA"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Goldberger, J. R. (2016). Non-governmental organizations, strategic bridge building, and the “scientization” of organic agriculture in Kenya. </w:t>
      </w:r>
      <w:r w:rsidRPr="009A40CE">
        <w:rPr>
          <w:rFonts w:cs="Times New Roman"/>
          <w:i/>
          <w:iCs/>
          <w:szCs w:val="24"/>
        </w:rPr>
        <w:t>Agriculture and Human Values</w:t>
      </w:r>
      <w:r w:rsidRPr="009A40CE">
        <w:rPr>
          <w:rFonts w:cs="Times New Roman"/>
          <w:szCs w:val="24"/>
        </w:rPr>
        <w:t>, </w:t>
      </w:r>
      <w:r w:rsidRPr="009A40CE">
        <w:rPr>
          <w:rFonts w:cs="Times New Roman"/>
          <w:i/>
          <w:iCs/>
          <w:szCs w:val="24"/>
        </w:rPr>
        <w:t>25</w:t>
      </w:r>
      <w:r w:rsidRPr="009A40CE">
        <w:rPr>
          <w:rFonts w:cs="Times New Roman"/>
          <w:szCs w:val="24"/>
        </w:rPr>
        <w:t>(2), 271-289.</w:t>
      </w:r>
    </w:p>
    <w:p w14:paraId="15403B58"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Hatry, H. P. (2009). </w:t>
      </w:r>
      <w:r w:rsidRPr="009A40CE">
        <w:rPr>
          <w:rFonts w:cs="Times New Roman"/>
          <w:i/>
          <w:iCs/>
          <w:szCs w:val="24"/>
        </w:rPr>
        <w:t>Performance measurement</w:t>
      </w:r>
      <w:r w:rsidRPr="009A40CE">
        <w:rPr>
          <w:rFonts w:cs="Times New Roman"/>
          <w:szCs w:val="24"/>
        </w:rPr>
        <w:t>: getting results. Urban Institute Press, Washington, D.C.</w:t>
      </w:r>
    </w:p>
    <w:p w14:paraId="5C314EEC"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Henry, G. T. (2006), “Evaluation: </w:t>
      </w:r>
      <w:r w:rsidRPr="009A40CE">
        <w:rPr>
          <w:rFonts w:cs="Times New Roman"/>
          <w:i/>
          <w:iCs/>
          <w:szCs w:val="24"/>
        </w:rPr>
        <w:t>an integrated framework for understanding, guiding, and improving policies and programs</w:t>
      </w:r>
      <w:r w:rsidRPr="009A40CE">
        <w:rPr>
          <w:rFonts w:cs="Times New Roman"/>
          <w:szCs w:val="24"/>
        </w:rPr>
        <w:t>”. Jossey-Bass, San Francisco.Millennium EcosystemAssessment Secretariat.</w:t>
      </w:r>
    </w:p>
    <w:p w14:paraId="6AAD9729"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Holmstrong&amp; Milgrom N., (1994). Evaluation of the Effectiveness of Internal Audit in Greek Hotel Business, Int. J. Econ. Sci. and Appl. Res., 4(1): 19-34.</w:t>
      </w:r>
      <w:bookmarkStart w:id="29" w:name="_Hlk83397427"/>
    </w:p>
    <w:p w14:paraId="208D0186"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 xml:space="preserve">Ibrahim, S., Diibuzie, G., &amp; Abubakari, M. (2017). </w:t>
      </w:r>
      <w:bookmarkEnd w:id="29"/>
      <w:r w:rsidRPr="009A40CE">
        <w:rPr>
          <w:rFonts w:cs="Times New Roman"/>
          <w:color w:val="222222"/>
          <w:szCs w:val="24"/>
          <w:shd w:val="clear" w:color="auto" w:fill="FFFFFF"/>
        </w:rPr>
        <w:t>The impact of internal control systems on financial performance: The case of health institutions in upper west region of Ghana. </w:t>
      </w:r>
      <w:r w:rsidRPr="009A40CE">
        <w:rPr>
          <w:rFonts w:cs="Times New Roman"/>
          <w:i/>
          <w:iCs/>
          <w:color w:val="222222"/>
          <w:szCs w:val="24"/>
          <w:shd w:val="clear" w:color="auto" w:fill="FFFFFF"/>
        </w:rPr>
        <w:t>International Journal of Academic Research in Business and Social Sciences</w:t>
      </w:r>
      <w:r w:rsidRPr="009A40CE">
        <w:rPr>
          <w:rFonts w:cs="Times New Roman"/>
          <w:color w:val="222222"/>
          <w:szCs w:val="24"/>
          <w:shd w:val="clear" w:color="auto" w:fill="FFFFFF"/>
        </w:rPr>
        <w:t>, </w:t>
      </w:r>
      <w:r w:rsidRPr="009A40CE">
        <w:rPr>
          <w:rFonts w:cs="Times New Roman"/>
          <w:i/>
          <w:iCs/>
          <w:color w:val="222222"/>
          <w:szCs w:val="24"/>
          <w:shd w:val="clear" w:color="auto" w:fill="FFFFFF"/>
        </w:rPr>
        <w:t>7</w:t>
      </w:r>
      <w:r w:rsidRPr="009A40CE">
        <w:rPr>
          <w:rFonts w:cs="Times New Roman"/>
          <w:color w:val="222222"/>
          <w:szCs w:val="24"/>
          <w:shd w:val="clear" w:color="auto" w:fill="FFFFFF"/>
        </w:rPr>
        <w:t>(4), 684-696.</w:t>
      </w:r>
    </w:p>
    <w:p w14:paraId="5C802E4C"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Jensen Meckling S., (1976, 1993). Accruals quality and internal control over financial reporting. The accounting Review 82 (5), 1141–1170.</w:t>
      </w:r>
      <w:bookmarkStart w:id="30" w:name="_Hlk81480770"/>
    </w:p>
    <w:p w14:paraId="3C7CF16D"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Julie, W. E. (2019). </w:t>
      </w:r>
      <w:bookmarkEnd w:id="30"/>
      <w:r w:rsidRPr="009A40CE">
        <w:rPr>
          <w:rFonts w:cs="Times New Roman"/>
          <w:i/>
          <w:iCs/>
          <w:color w:val="222222"/>
          <w:szCs w:val="24"/>
          <w:shd w:val="clear" w:color="auto" w:fill="FFFFFF"/>
        </w:rPr>
        <w:t>Effect of internal control practices on the financial Performance of agro-processing firms in Kisumu county, Kenya</w:t>
      </w:r>
      <w:r w:rsidRPr="009A40CE">
        <w:rPr>
          <w:rFonts w:cs="Times New Roman"/>
          <w:color w:val="222222"/>
          <w:szCs w:val="24"/>
          <w:shd w:val="clear" w:color="auto" w:fill="FFFFFF"/>
        </w:rPr>
        <w:t> (Doctoral dissertation, Maseno University).</w:t>
      </w:r>
      <w:bookmarkStart w:id="31" w:name="_Hlk83396094"/>
    </w:p>
    <w:p w14:paraId="2046B7F1"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lang w:val="es-419"/>
        </w:rPr>
        <w:t xml:space="preserve">Kabuye, F., Kato, J., Akugizibwe, I., &amp; Bugambiro, N. (2019). </w:t>
      </w:r>
      <w:bookmarkEnd w:id="31"/>
      <w:r w:rsidRPr="009A40CE">
        <w:rPr>
          <w:rFonts w:cs="Times New Roman"/>
          <w:color w:val="222222"/>
          <w:szCs w:val="24"/>
          <w:shd w:val="clear" w:color="auto" w:fill="FFFFFF"/>
        </w:rPr>
        <w:t>Internal control systems, working capital management and financial performance of supermarkets. </w:t>
      </w:r>
      <w:r w:rsidRPr="009A40CE">
        <w:rPr>
          <w:rFonts w:cs="Times New Roman"/>
          <w:i/>
          <w:iCs/>
          <w:color w:val="222222"/>
          <w:szCs w:val="24"/>
          <w:shd w:val="clear" w:color="auto" w:fill="FFFFFF"/>
        </w:rPr>
        <w:t>Cogent Business &amp; Management</w:t>
      </w:r>
      <w:r w:rsidRPr="009A40CE">
        <w:rPr>
          <w:rFonts w:cs="Times New Roman"/>
          <w:color w:val="222222"/>
          <w:szCs w:val="24"/>
          <w:shd w:val="clear" w:color="auto" w:fill="FFFFFF"/>
        </w:rPr>
        <w:t>.</w:t>
      </w:r>
    </w:p>
    <w:p w14:paraId="540B6E1E"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Kalemeera, J. M. (2018). </w:t>
      </w:r>
      <w:r w:rsidRPr="009A40CE">
        <w:rPr>
          <w:rFonts w:cs="Times New Roman"/>
          <w:i/>
          <w:iCs/>
          <w:color w:val="222222"/>
          <w:szCs w:val="24"/>
          <w:shd w:val="clear" w:color="auto" w:fill="FFFFFF"/>
        </w:rPr>
        <w:t>Internal Controls and the Financial Performance of Public Higher Institutions of Learning in Uganda; A case study of Uganda Management Institute</w:t>
      </w:r>
      <w:r w:rsidRPr="009A40CE">
        <w:rPr>
          <w:rFonts w:cs="Times New Roman"/>
          <w:color w:val="222222"/>
          <w:szCs w:val="24"/>
          <w:shd w:val="clear" w:color="auto" w:fill="FFFFFF"/>
        </w:rPr>
        <w:t> (Doctoral dissertation, Uganda Management Institute).</w:t>
      </w:r>
    </w:p>
    <w:p w14:paraId="558C5F5F"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Kanuna, L. M. (2013). </w:t>
      </w:r>
      <w:r w:rsidRPr="009A40CE">
        <w:rPr>
          <w:rFonts w:cs="Times New Roman"/>
          <w:i/>
          <w:szCs w:val="24"/>
        </w:rPr>
        <w:t>The Effects of Information Communication Technology on Financial Performance of Courier Service Providers in Kenya:</w:t>
      </w:r>
      <w:r w:rsidRPr="009A40CE">
        <w:rPr>
          <w:rFonts w:cs="Times New Roman"/>
          <w:szCs w:val="24"/>
        </w:rPr>
        <w:t xml:space="preserve"> A Case Study of Document Handling Limited (Doctoral dissertation, University of Nairobi).</w:t>
      </w:r>
    </w:p>
    <w:p w14:paraId="05339DA0"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Kate Lark (1999) ‘Risk and Internal Controls Services’ </w:t>
      </w:r>
      <w:bookmarkStart w:id="32" w:name="_Hlk83396615"/>
    </w:p>
    <w:p w14:paraId="2832BBFF"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Kimathi, B. (2018). </w:t>
      </w:r>
      <w:bookmarkEnd w:id="32"/>
      <w:r w:rsidRPr="009A40CE">
        <w:rPr>
          <w:rFonts w:cs="Times New Roman"/>
          <w:i/>
          <w:iCs/>
          <w:color w:val="222222"/>
          <w:szCs w:val="24"/>
          <w:shd w:val="clear" w:color="auto" w:fill="FFFFFF"/>
        </w:rPr>
        <w:t>Effect of Fraud Risk Management on Financial Performance of Non-governmental Organisations in Nairobi County</w:t>
      </w:r>
      <w:r w:rsidRPr="009A40CE">
        <w:rPr>
          <w:rFonts w:cs="Times New Roman"/>
          <w:color w:val="222222"/>
          <w:szCs w:val="24"/>
          <w:shd w:val="clear" w:color="auto" w:fill="FFFFFF"/>
        </w:rPr>
        <w:t> (Doctoral dissertation, University of Nairobi).</w:t>
      </w:r>
    </w:p>
    <w:p w14:paraId="3D62FA4E"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Kinyua, J.K., Gakure, K., Gekara, R., &amp; Orwa, M. (2015). “Effect of internal control environment on the financial performance of companies quoted in the Nairobi Securities Exchange.” </w:t>
      </w:r>
      <w:r w:rsidRPr="009A40CE">
        <w:rPr>
          <w:rFonts w:cs="Times New Roman"/>
          <w:i/>
          <w:szCs w:val="24"/>
        </w:rPr>
        <w:t>International Journal of Innovative Finance and Economics Research,</w:t>
      </w:r>
      <w:r w:rsidRPr="009A40CE">
        <w:rPr>
          <w:rFonts w:cs="Times New Roman"/>
          <w:szCs w:val="24"/>
        </w:rPr>
        <w:t xml:space="preserve"> 3(4), 29-48.</w:t>
      </w:r>
    </w:p>
    <w:p w14:paraId="192965EB"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szCs w:val="24"/>
        </w:rPr>
        <w:t xml:space="preserve">Kusek, Jody Zall, and Ray C. Rist. 2004. </w:t>
      </w:r>
      <w:r w:rsidRPr="009A40CE">
        <w:rPr>
          <w:rFonts w:cs="Times New Roman"/>
          <w:i/>
          <w:iCs/>
          <w:szCs w:val="24"/>
        </w:rPr>
        <w:t xml:space="preserve">Ten Steps to a Results-Based Monitoring and Evaluation System. </w:t>
      </w:r>
      <w:r w:rsidRPr="009A40CE">
        <w:rPr>
          <w:rFonts w:cs="Times New Roman"/>
          <w:szCs w:val="24"/>
        </w:rPr>
        <w:t>Washington, DC: World Bank.</w:t>
      </w:r>
    </w:p>
    <w:p w14:paraId="6437AB35"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color w:val="222222"/>
          <w:szCs w:val="24"/>
          <w:shd w:val="clear" w:color="auto" w:fill="FFFFFF"/>
        </w:rPr>
        <w:t>Mahmood, M. A., Hamawandy, N. M., &amp; Sedeeq, A. (2020). Perceived Effect Of Internal Control On The Financial Performance Of Manufacturing Firms In Kurdistan Regional Governmient Of Iraq. </w:t>
      </w:r>
      <w:r w:rsidRPr="009A40CE">
        <w:rPr>
          <w:rFonts w:cs="Times New Roman"/>
          <w:i/>
          <w:iCs/>
          <w:color w:val="222222"/>
          <w:szCs w:val="24"/>
          <w:shd w:val="clear" w:color="auto" w:fill="FFFFFF"/>
        </w:rPr>
        <w:t>Journal of Critical Reviews</w:t>
      </w:r>
      <w:r w:rsidRPr="009A40CE">
        <w:rPr>
          <w:rFonts w:cs="Times New Roman"/>
          <w:color w:val="222222"/>
          <w:szCs w:val="24"/>
          <w:shd w:val="clear" w:color="auto" w:fill="FFFFFF"/>
        </w:rPr>
        <w:t>, </w:t>
      </w:r>
      <w:r w:rsidRPr="009A40CE">
        <w:rPr>
          <w:rFonts w:cs="Times New Roman"/>
          <w:i/>
          <w:iCs/>
          <w:color w:val="222222"/>
          <w:szCs w:val="24"/>
          <w:shd w:val="clear" w:color="auto" w:fill="FFFFFF"/>
        </w:rPr>
        <w:t>7</w:t>
      </w:r>
      <w:r w:rsidRPr="009A40CE">
        <w:rPr>
          <w:rFonts w:cs="Times New Roman"/>
          <w:color w:val="222222"/>
          <w:szCs w:val="24"/>
          <w:shd w:val="clear" w:color="auto" w:fill="FFFFFF"/>
        </w:rPr>
        <w:t>(15), 4599-4614.</w:t>
      </w:r>
    </w:p>
    <w:p w14:paraId="46AFEAFE"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lastRenderedPageBreak/>
        <w:t xml:space="preserve">Makoba, J. (2018). Nongovernmental organizations (NGOS) and third world development: </w:t>
      </w:r>
      <w:r w:rsidRPr="009A40CE">
        <w:rPr>
          <w:rFonts w:cs="Times New Roman"/>
          <w:i/>
          <w:szCs w:val="24"/>
        </w:rPr>
        <w:t>An alternative approach to development</w:t>
      </w:r>
      <w:r w:rsidRPr="009A40CE">
        <w:rPr>
          <w:rFonts w:cs="Times New Roman"/>
          <w:szCs w:val="24"/>
        </w:rPr>
        <w:t>. 19. 53-63</w:t>
      </w:r>
    </w:p>
    <w:p w14:paraId="65D6EAD6"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Mardiana, M., &amp; Dianata, A. W. M. (2018). The effect of risk management on financial performance with good corporate governance as a moderation variable. </w:t>
      </w:r>
      <w:r w:rsidRPr="009A40CE">
        <w:rPr>
          <w:rFonts w:cs="Times New Roman"/>
          <w:i/>
          <w:szCs w:val="24"/>
        </w:rPr>
        <w:t>Management and Economics Journal</w:t>
      </w:r>
      <w:r w:rsidRPr="009A40CE">
        <w:rPr>
          <w:rFonts w:cs="Times New Roman"/>
          <w:szCs w:val="24"/>
        </w:rPr>
        <w:t xml:space="preserve"> (MEC-J), 2(1), 257 - 268.</w:t>
      </w:r>
    </w:p>
    <w:p w14:paraId="00FC0869"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Mariam, M. A., &amp; Onyiego, G. (2018). Effect of Risk Management on Financial Performance of Commercial Banks in Kenya: A Case Study of Commercial Banks in Mombasa County. </w:t>
      </w:r>
      <w:r w:rsidRPr="009A40CE">
        <w:rPr>
          <w:rFonts w:cs="Times New Roman"/>
          <w:i/>
          <w:szCs w:val="24"/>
        </w:rPr>
        <w:t>Strategic Journal of Business &amp; Change Management, 5</w:t>
      </w:r>
      <w:r w:rsidRPr="009A40CE">
        <w:rPr>
          <w:rFonts w:cs="Times New Roman"/>
          <w:szCs w:val="24"/>
        </w:rPr>
        <w:t>(4), 12 – 23</w:t>
      </w:r>
    </w:p>
    <w:p w14:paraId="5FDB5080"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Marx, J., Mpofu, R. and Venter G. V. (2003). </w:t>
      </w:r>
      <w:r w:rsidRPr="009A40CE">
        <w:rPr>
          <w:rFonts w:cs="Times New Roman"/>
          <w:i/>
          <w:iCs/>
          <w:szCs w:val="24"/>
        </w:rPr>
        <w:t xml:space="preserve">Investment Management </w:t>
      </w:r>
      <w:r w:rsidRPr="009A40CE">
        <w:rPr>
          <w:rFonts w:cs="Times New Roman"/>
          <w:szCs w:val="24"/>
        </w:rPr>
        <w:t>Van Schaik, Pretoria</w:t>
      </w:r>
    </w:p>
    <w:p w14:paraId="7BAC2CB8"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Matata, M.L., (2015). The Effect of Internal Controls on the Performance of Water Companies in Kenya: </w:t>
      </w:r>
      <w:r w:rsidRPr="009A40CE">
        <w:rPr>
          <w:rFonts w:cs="Times New Roman"/>
          <w:i/>
          <w:szCs w:val="24"/>
        </w:rPr>
        <w:t>Unpublished MBA Project</w:t>
      </w:r>
      <w:r w:rsidRPr="009A40CE">
        <w:rPr>
          <w:rFonts w:cs="Times New Roman"/>
          <w:szCs w:val="24"/>
        </w:rPr>
        <w:t>, University of Nairobi.</w:t>
      </w:r>
    </w:p>
    <w:p w14:paraId="173C7B91" w14:textId="77777777" w:rsidR="00390D07" w:rsidRPr="009A40CE" w:rsidRDefault="00390D07" w:rsidP="00390D07">
      <w:pPr>
        <w:spacing w:after="240" w:line="240" w:lineRule="auto"/>
        <w:ind w:left="720" w:hanging="720"/>
        <w:rPr>
          <w:rFonts w:cs="Times New Roman"/>
          <w:szCs w:val="24"/>
          <w:shd w:val="clear" w:color="auto" w:fill="FFFFFF"/>
        </w:rPr>
      </w:pPr>
      <w:r w:rsidRPr="009A40CE">
        <w:rPr>
          <w:rFonts w:cs="Times New Roman"/>
          <w:szCs w:val="24"/>
          <w:shd w:val="clear" w:color="auto" w:fill="FFFFFF"/>
        </w:rPr>
        <w:t>Mathenge, P. W., &amp; Muturi, W. (2017). Effects of financial management practices on financial performance of public Universities in Kenya. International Journal of Social Sciences and Information Technology, 3(8), 2354-2363.</w:t>
      </w:r>
    </w:p>
    <w:p w14:paraId="065D32BC" w14:textId="77777777" w:rsidR="00390D07" w:rsidRPr="009A40CE" w:rsidRDefault="00390D07" w:rsidP="00390D07">
      <w:pPr>
        <w:spacing w:after="240" w:line="240" w:lineRule="auto"/>
        <w:ind w:left="720" w:hanging="720"/>
        <w:rPr>
          <w:rFonts w:cs="Times New Roman"/>
          <w:szCs w:val="24"/>
        </w:rPr>
      </w:pPr>
      <w:bookmarkStart w:id="33" w:name="_Hlk81489823"/>
      <w:r w:rsidRPr="009A40CE">
        <w:rPr>
          <w:rFonts w:cs="Times New Roman"/>
          <w:szCs w:val="24"/>
          <w:shd w:val="clear" w:color="auto" w:fill="FFFFFF"/>
        </w:rPr>
        <w:t xml:space="preserve">Muhunyo, B. M., &amp; Jagongo, A. O. (2018). </w:t>
      </w:r>
      <w:bookmarkEnd w:id="33"/>
      <w:r w:rsidRPr="009A40CE">
        <w:rPr>
          <w:rFonts w:cs="Times New Roman"/>
          <w:szCs w:val="24"/>
          <w:shd w:val="clear" w:color="auto" w:fill="FFFFFF"/>
        </w:rPr>
        <w:t>Effect of internal control systems on financial performance of public institutions of higher learning in Nairobi City County, Kenya. International Academic Journal of Human Resource and Business Administration, 3 (2): 273, 87.</w:t>
      </w:r>
    </w:p>
    <w:p w14:paraId="40700D98" w14:textId="77777777" w:rsidR="00390D07" w:rsidRPr="009A40CE" w:rsidRDefault="00390D07" w:rsidP="00390D07">
      <w:pPr>
        <w:spacing w:after="240" w:line="240" w:lineRule="auto"/>
        <w:ind w:left="720" w:hanging="720"/>
        <w:rPr>
          <w:rFonts w:cs="Times New Roman"/>
          <w:szCs w:val="24"/>
          <w:shd w:val="clear" w:color="auto" w:fill="FFFFFF"/>
        </w:rPr>
      </w:pPr>
      <w:bookmarkStart w:id="34" w:name="_Hlk81490737"/>
      <w:r w:rsidRPr="009A40CE">
        <w:rPr>
          <w:rFonts w:cs="Times New Roman"/>
          <w:szCs w:val="24"/>
          <w:shd w:val="clear" w:color="auto" w:fill="FFFFFF"/>
        </w:rPr>
        <w:t xml:space="preserve">Muthusi, D. M. (2017). </w:t>
      </w:r>
      <w:bookmarkEnd w:id="34"/>
      <w:r w:rsidRPr="009A40CE">
        <w:rPr>
          <w:rFonts w:cs="Times New Roman"/>
          <w:szCs w:val="24"/>
          <w:shd w:val="clear" w:color="auto" w:fill="FFFFFF"/>
        </w:rPr>
        <w:t>Internal Controls and financial Performance Of commercial.</w:t>
      </w:r>
    </w:p>
    <w:p w14:paraId="25C65C02" w14:textId="77777777" w:rsidR="00390D07" w:rsidRPr="009A40CE" w:rsidRDefault="00390D07" w:rsidP="00390D07">
      <w:pPr>
        <w:spacing w:after="240" w:line="240" w:lineRule="auto"/>
        <w:ind w:left="720" w:hanging="720"/>
        <w:rPr>
          <w:rFonts w:cs="Times New Roman"/>
          <w:szCs w:val="24"/>
          <w:shd w:val="clear" w:color="auto" w:fill="FFFFFF"/>
        </w:rPr>
      </w:pPr>
      <w:r w:rsidRPr="009A40CE">
        <w:rPr>
          <w:rFonts w:cs="Times New Roman"/>
          <w:szCs w:val="24"/>
          <w:shd w:val="clear" w:color="auto" w:fill="FFFFFF"/>
        </w:rPr>
        <w:t>Nandugga, C. (2019). Post Audit Practices and Internal Control Implementation in Local Government in Uganda: A Case of Wakiso District (Doctoral dissertation, Uganda Christian University).</w:t>
      </w:r>
    </w:p>
    <w:p w14:paraId="45C47FC2"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Ndungu, (2013). Effect of internal controls on revenue generation in University of Nairobi Enterprise and Services limited: </w:t>
      </w:r>
      <w:r w:rsidRPr="009A40CE">
        <w:rPr>
          <w:rFonts w:cs="Times New Roman"/>
          <w:i/>
          <w:szCs w:val="24"/>
        </w:rPr>
        <w:t>Unpublished MBA Project</w:t>
      </w:r>
      <w:r w:rsidRPr="009A40CE">
        <w:rPr>
          <w:rFonts w:cs="Times New Roman"/>
          <w:szCs w:val="24"/>
        </w:rPr>
        <w:t>, University of Nairobi</w:t>
      </w:r>
    </w:p>
    <w:p w14:paraId="1E6616D0"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Ng’wasa, N. J. (2017). </w:t>
      </w:r>
      <w:r w:rsidRPr="009A40CE">
        <w:rPr>
          <w:rFonts w:cs="Times New Roman"/>
          <w:i/>
          <w:iCs/>
          <w:color w:val="222222"/>
          <w:szCs w:val="24"/>
          <w:shd w:val="clear" w:color="auto" w:fill="FFFFFF"/>
        </w:rPr>
        <w:t>The link between budgetary control and financial performance in financial institutions. a case of national microfinance bank (nmb) zonal office (central zone) dodoma</w:t>
      </w:r>
      <w:r w:rsidRPr="009A40CE">
        <w:rPr>
          <w:rFonts w:cs="Times New Roman"/>
          <w:color w:val="222222"/>
          <w:szCs w:val="24"/>
          <w:shd w:val="clear" w:color="auto" w:fill="FFFFFF"/>
        </w:rPr>
        <w:t> (Doctoral dissertation, Mzumbe University).</w:t>
      </w:r>
      <w:bookmarkStart w:id="35" w:name="_Hlk81489318"/>
    </w:p>
    <w:bookmarkEnd w:id="35"/>
    <w:p w14:paraId="4D85DB2A"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Olalere, O. E., &amp; Wan, A. B. O. (2016). Risk management and the financial performance of Commercial Banks in Nigeria: A literature review revisited. </w:t>
      </w:r>
      <w:r w:rsidRPr="009A40CE">
        <w:rPr>
          <w:rFonts w:cs="Times New Roman"/>
          <w:i/>
          <w:szCs w:val="24"/>
        </w:rPr>
        <w:t xml:space="preserve">IOSR Journal of Economics and Finance, </w:t>
      </w:r>
      <w:r w:rsidRPr="009A40CE">
        <w:rPr>
          <w:rFonts w:cs="Times New Roman"/>
          <w:szCs w:val="24"/>
        </w:rPr>
        <w:t>7(2). 110 – 119.</w:t>
      </w:r>
    </w:p>
    <w:p w14:paraId="2335BD8A"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Olamide, O., &amp; Anastasia, O. O. (2018). Management Controls and Small Scale Enterprise’s (SSEs) Profitability in Ogun State, Nigeria. </w:t>
      </w:r>
      <w:r w:rsidRPr="009A40CE">
        <w:rPr>
          <w:rFonts w:cs="Times New Roman"/>
          <w:i/>
          <w:iCs/>
          <w:color w:val="222222"/>
          <w:szCs w:val="24"/>
          <w:shd w:val="clear" w:color="auto" w:fill="FFFFFF"/>
        </w:rPr>
        <w:t>Covenant Journal of Entrepreneurship (Special Edition)</w:t>
      </w:r>
      <w:r w:rsidRPr="009A40CE">
        <w:rPr>
          <w:rFonts w:cs="Times New Roman"/>
          <w:color w:val="222222"/>
          <w:szCs w:val="24"/>
          <w:shd w:val="clear" w:color="auto" w:fill="FFFFFF"/>
        </w:rPr>
        <w:t>, </w:t>
      </w:r>
      <w:r w:rsidRPr="009A40CE">
        <w:rPr>
          <w:rFonts w:cs="Times New Roman"/>
          <w:i/>
          <w:iCs/>
          <w:color w:val="222222"/>
          <w:szCs w:val="24"/>
          <w:shd w:val="clear" w:color="auto" w:fill="FFFFFF"/>
        </w:rPr>
        <w:t>1</w:t>
      </w:r>
      <w:r w:rsidRPr="009A40CE">
        <w:rPr>
          <w:rFonts w:cs="Times New Roman"/>
          <w:color w:val="222222"/>
          <w:szCs w:val="24"/>
          <w:shd w:val="clear" w:color="auto" w:fill="FFFFFF"/>
        </w:rPr>
        <w:t>(1).</w:t>
      </w:r>
      <w:bookmarkStart w:id="36" w:name="_Hlk83417480"/>
    </w:p>
    <w:p w14:paraId="5FB52475"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 xml:space="preserve">Orendo, M. H., &amp; Muturi, W. (2017). </w:t>
      </w:r>
      <w:bookmarkEnd w:id="36"/>
      <w:r w:rsidRPr="009A40CE">
        <w:rPr>
          <w:rFonts w:cs="Times New Roman"/>
          <w:color w:val="222222"/>
          <w:szCs w:val="24"/>
          <w:shd w:val="clear" w:color="auto" w:fill="FFFFFF"/>
        </w:rPr>
        <w:t>Effect of financial planning on the financial performance of non-governmental organizations. A case study of USAID funded international non-governmental organizations in kenya.</w:t>
      </w:r>
    </w:p>
    <w:p w14:paraId="434487BA"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szCs w:val="24"/>
        </w:rPr>
        <w:t>Padilla, A. (2000, 2002) “Can Agency Theory Justify the Regulation of Insider Trading”. The Quarterly Journal of Austrian Economics, Vol. 5, No. 1, pp. 3-38</w:t>
      </w:r>
    </w:p>
    <w:p w14:paraId="3717C1A3"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Pandey, I. M. (2006). </w:t>
      </w:r>
      <w:r w:rsidRPr="009A40CE">
        <w:rPr>
          <w:rFonts w:cs="Times New Roman"/>
          <w:i/>
          <w:iCs/>
          <w:szCs w:val="24"/>
        </w:rPr>
        <w:t xml:space="preserve">Financial Management 9th Edition </w:t>
      </w:r>
      <w:r w:rsidRPr="009A40CE">
        <w:rPr>
          <w:rFonts w:cs="Times New Roman"/>
          <w:szCs w:val="24"/>
        </w:rPr>
        <w:t>Vikas Publishing House PVT Ltd</w:t>
      </w:r>
    </w:p>
    <w:p w14:paraId="256C669A"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shd w:val="clear" w:color="auto" w:fill="FFFFFF"/>
        </w:rPr>
        <w:t>Parra-Frutos, I. (2013). Testing homogeneity of variances with unequal sample sizes. </w:t>
      </w:r>
      <w:r w:rsidRPr="009A40CE">
        <w:rPr>
          <w:rFonts w:cs="Times New Roman"/>
          <w:i/>
          <w:iCs/>
          <w:szCs w:val="24"/>
          <w:shd w:val="clear" w:color="auto" w:fill="FFFFFF"/>
        </w:rPr>
        <w:t>Computational Statistics</w:t>
      </w:r>
      <w:r w:rsidRPr="009A40CE">
        <w:rPr>
          <w:rFonts w:cs="Times New Roman"/>
          <w:szCs w:val="24"/>
          <w:shd w:val="clear" w:color="auto" w:fill="FFFFFF"/>
        </w:rPr>
        <w:t>, </w:t>
      </w:r>
      <w:r w:rsidRPr="009A40CE">
        <w:rPr>
          <w:rFonts w:cs="Times New Roman"/>
          <w:i/>
          <w:iCs/>
          <w:szCs w:val="24"/>
          <w:shd w:val="clear" w:color="auto" w:fill="FFFFFF"/>
        </w:rPr>
        <w:t>28</w:t>
      </w:r>
      <w:r w:rsidRPr="009A40CE">
        <w:rPr>
          <w:rFonts w:cs="Times New Roman"/>
          <w:szCs w:val="24"/>
          <w:shd w:val="clear" w:color="auto" w:fill="FFFFFF"/>
        </w:rPr>
        <w:t>(3), 1269-1297.</w:t>
      </w:r>
    </w:p>
    <w:p w14:paraId="4AA8FA5C" w14:textId="77777777" w:rsidR="00390D07" w:rsidRPr="009A40CE" w:rsidRDefault="00390D07" w:rsidP="00390D07">
      <w:pPr>
        <w:spacing w:after="240" w:line="240" w:lineRule="auto"/>
        <w:ind w:left="720" w:hanging="720"/>
        <w:rPr>
          <w:rFonts w:cs="Times New Roman"/>
          <w:szCs w:val="24"/>
          <w:shd w:val="clear" w:color="auto" w:fill="FFFFFF"/>
        </w:rPr>
      </w:pPr>
      <w:bookmarkStart w:id="37" w:name="_Hlk83395198"/>
      <w:r w:rsidRPr="009A40CE">
        <w:rPr>
          <w:rFonts w:cs="Times New Roman"/>
          <w:szCs w:val="24"/>
          <w:shd w:val="clear" w:color="auto" w:fill="FFFFFF"/>
        </w:rPr>
        <w:lastRenderedPageBreak/>
        <w:t>Pheophilova, T. Y., &amp; Lopatnikov, V. S. (2017</w:t>
      </w:r>
      <w:bookmarkEnd w:id="37"/>
      <w:r w:rsidRPr="009A40CE">
        <w:rPr>
          <w:rFonts w:cs="Times New Roman"/>
          <w:szCs w:val="24"/>
          <w:shd w:val="clear" w:color="auto" w:fill="FFFFFF"/>
        </w:rPr>
        <w:t>). State control and audit: Institutional provision and development prospects in order to ensure economic security of the region. </w:t>
      </w:r>
      <w:r w:rsidRPr="009A40CE">
        <w:rPr>
          <w:rFonts w:cs="Times New Roman"/>
          <w:i/>
          <w:iCs/>
          <w:szCs w:val="24"/>
          <w:shd w:val="clear" w:color="auto" w:fill="FFFFFF"/>
        </w:rPr>
        <w:t>Proceedings of the Voronezh State University of Engineering Technologies</w:t>
      </w:r>
      <w:r w:rsidRPr="009A40CE">
        <w:rPr>
          <w:rFonts w:cs="Times New Roman"/>
          <w:szCs w:val="24"/>
          <w:shd w:val="clear" w:color="auto" w:fill="FFFFFF"/>
        </w:rPr>
        <w:t>, </w:t>
      </w:r>
      <w:r w:rsidRPr="009A40CE">
        <w:rPr>
          <w:rFonts w:cs="Times New Roman"/>
          <w:i/>
          <w:iCs/>
          <w:szCs w:val="24"/>
          <w:shd w:val="clear" w:color="auto" w:fill="FFFFFF"/>
        </w:rPr>
        <w:t>79</w:t>
      </w:r>
      <w:r w:rsidRPr="009A40CE">
        <w:rPr>
          <w:rFonts w:cs="Times New Roman"/>
          <w:szCs w:val="24"/>
          <w:shd w:val="clear" w:color="auto" w:fill="FFFFFF"/>
        </w:rPr>
        <w:t>(2), 326-336.</w:t>
      </w:r>
    </w:p>
    <w:p w14:paraId="4F998226" w14:textId="77777777" w:rsidR="00390D07" w:rsidRPr="009A40CE" w:rsidRDefault="00390D07" w:rsidP="00390D07">
      <w:pPr>
        <w:spacing w:after="240" w:line="240" w:lineRule="auto"/>
        <w:ind w:left="720" w:hanging="720"/>
        <w:rPr>
          <w:rFonts w:cs="Times New Roman"/>
          <w:szCs w:val="24"/>
          <w:shd w:val="clear" w:color="auto" w:fill="FFFFFF"/>
        </w:rPr>
      </w:pPr>
      <w:bookmarkStart w:id="38" w:name="_Hlk83396310"/>
      <w:r w:rsidRPr="009A40CE">
        <w:rPr>
          <w:rFonts w:cs="Times New Roman"/>
          <w:szCs w:val="24"/>
          <w:shd w:val="clear" w:color="auto" w:fill="FFFFFF"/>
        </w:rPr>
        <w:t xml:space="preserve">Rehman, S. U., Mohamed, R., &amp; Ayoup, H. (2018). </w:t>
      </w:r>
      <w:bookmarkEnd w:id="38"/>
      <w:r w:rsidRPr="009A40CE">
        <w:rPr>
          <w:rFonts w:cs="Times New Roman"/>
          <w:szCs w:val="24"/>
          <w:shd w:val="clear" w:color="auto" w:fill="FFFFFF"/>
        </w:rPr>
        <w:t>Management Control System (MCS) as a package elements influence on organizational performance in the Pakistani context. </w:t>
      </w:r>
      <w:r w:rsidRPr="009A40CE">
        <w:rPr>
          <w:rFonts w:cs="Times New Roman"/>
          <w:i/>
          <w:iCs/>
          <w:szCs w:val="24"/>
          <w:shd w:val="clear" w:color="auto" w:fill="FFFFFF"/>
        </w:rPr>
        <w:t>Pakistan Journal of Humanities and Social Sciences</w:t>
      </w:r>
      <w:r w:rsidRPr="009A40CE">
        <w:rPr>
          <w:rFonts w:cs="Times New Roman"/>
          <w:szCs w:val="24"/>
          <w:shd w:val="clear" w:color="auto" w:fill="FFFFFF"/>
        </w:rPr>
        <w:t>, </w:t>
      </w:r>
      <w:r w:rsidRPr="009A40CE">
        <w:rPr>
          <w:rFonts w:cs="Times New Roman"/>
          <w:i/>
          <w:iCs/>
          <w:szCs w:val="24"/>
          <w:shd w:val="clear" w:color="auto" w:fill="FFFFFF"/>
        </w:rPr>
        <w:t>6</w:t>
      </w:r>
      <w:r w:rsidRPr="009A40CE">
        <w:rPr>
          <w:rFonts w:cs="Times New Roman"/>
          <w:szCs w:val="24"/>
          <w:shd w:val="clear" w:color="auto" w:fill="FFFFFF"/>
        </w:rPr>
        <w:t>(3), 280-295.</w:t>
      </w:r>
    </w:p>
    <w:p w14:paraId="4F22C6C4"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szCs w:val="24"/>
        </w:rPr>
        <w:t xml:space="preserve">Rogers P, Hasci T, Petrosino A, and Huebner T. W. (2002): World Bank:17-26Deim K.: Using Research Methods to Evaluate Your Extension Program. </w:t>
      </w:r>
      <w:r w:rsidRPr="009A40CE">
        <w:rPr>
          <w:rFonts w:cs="Times New Roman"/>
          <w:i/>
          <w:iCs/>
          <w:szCs w:val="24"/>
        </w:rPr>
        <w:t xml:space="preserve">Journal of Extension, </w:t>
      </w:r>
      <w:r w:rsidRPr="009A40CE">
        <w:rPr>
          <w:rFonts w:cs="Times New Roman"/>
          <w:szCs w:val="24"/>
        </w:rPr>
        <w:t>40(6) 412-415</w:t>
      </w:r>
    </w:p>
    <w:p w14:paraId="04303AAD"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szCs w:val="24"/>
        </w:rPr>
        <w:t>Ross, S.A. (1973) “The Economic Theory of Agency: The Principal’s Problem”. The American Economic Review, Vol. 63, No. 2, pp. 134-139.</w:t>
      </w:r>
    </w:p>
    <w:p w14:paraId="4947C0C9"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color w:val="222222"/>
          <w:szCs w:val="24"/>
          <w:shd w:val="clear" w:color="auto" w:fill="FFFFFF"/>
        </w:rPr>
        <w:t>Saunders, M., Lewis, P., &amp; Thornhill, A. (2009). </w:t>
      </w:r>
      <w:r w:rsidRPr="009A40CE">
        <w:rPr>
          <w:rFonts w:cs="Times New Roman"/>
          <w:i/>
          <w:iCs/>
          <w:color w:val="222222"/>
          <w:szCs w:val="24"/>
          <w:shd w:val="clear" w:color="auto" w:fill="FFFFFF"/>
        </w:rPr>
        <w:t>Research methods for business students</w:t>
      </w:r>
      <w:r w:rsidRPr="009A40CE">
        <w:rPr>
          <w:rFonts w:cs="Times New Roman"/>
          <w:color w:val="222222"/>
          <w:szCs w:val="24"/>
          <w:shd w:val="clear" w:color="auto" w:fill="FFFFFF"/>
        </w:rPr>
        <w:t>. Pearson education.</w:t>
      </w:r>
    </w:p>
    <w:p w14:paraId="60BBB2DD"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Shareholder Returns”. Academy of Management Review, Vol. 20, No. 1, pp. 65</w:t>
      </w:r>
    </w:p>
    <w:p w14:paraId="1BC9ABF1"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Singleton, T. W, Bologna, G. J, Lindquist, R. J., &amp; Singleton, A. J. (2016). </w:t>
      </w:r>
      <w:r w:rsidRPr="009A40CE">
        <w:rPr>
          <w:rFonts w:cs="Times New Roman"/>
          <w:i/>
          <w:szCs w:val="24"/>
        </w:rPr>
        <w:t>Fraud Auditing and Forensic Accounting</w:t>
      </w:r>
      <w:r w:rsidRPr="009A40CE">
        <w:rPr>
          <w:rFonts w:cs="Times New Roman"/>
          <w:szCs w:val="24"/>
        </w:rPr>
        <w:t xml:space="preserve"> (Third Edition). New Jersey: John Wiley &amp; Sons, Inc.</w:t>
      </w:r>
    </w:p>
    <w:p w14:paraId="22D6065B"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szCs w:val="24"/>
        </w:rPr>
        <w:t>Sundaram, A.K. and Inkpen, A.C. (2004) “The Corporate Objective Revisited” Organization Science, Vol. 15, No. 3, pp. 350-363.</w:t>
      </w:r>
    </w:p>
    <w:p w14:paraId="07BEA7AE" w14:textId="77777777" w:rsidR="00390D07" w:rsidRPr="009A40CE" w:rsidRDefault="00390D07" w:rsidP="00390D07">
      <w:pPr>
        <w:autoSpaceDE w:val="0"/>
        <w:autoSpaceDN w:val="0"/>
        <w:adjustRightInd w:val="0"/>
        <w:spacing w:after="240" w:line="240" w:lineRule="auto"/>
        <w:ind w:left="720" w:hanging="720"/>
        <w:rPr>
          <w:rFonts w:cs="Times New Roman"/>
          <w:szCs w:val="24"/>
        </w:rPr>
      </w:pPr>
      <w:r w:rsidRPr="009A40CE">
        <w:rPr>
          <w:rFonts w:cs="Times New Roman"/>
          <w:color w:val="222222"/>
          <w:szCs w:val="24"/>
          <w:shd w:val="clear" w:color="auto" w:fill="FFFFFF"/>
        </w:rPr>
        <w:t>Thompson, C. G., Kim, R. S., Aloe, A. M., &amp; Becker, B. J. (2017). Extracting the variance inflation factor and other multicollinearity diagnostics from typical regression results. </w:t>
      </w:r>
      <w:r w:rsidRPr="009A40CE">
        <w:rPr>
          <w:rFonts w:cs="Times New Roman"/>
          <w:i/>
          <w:iCs/>
          <w:color w:val="222222"/>
          <w:szCs w:val="24"/>
          <w:shd w:val="clear" w:color="auto" w:fill="FFFFFF"/>
        </w:rPr>
        <w:t>Basic and Applied Social Psychology</w:t>
      </w:r>
      <w:r w:rsidRPr="009A40CE">
        <w:rPr>
          <w:rFonts w:cs="Times New Roman"/>
          <w:color w:val="222222"/>
          <w:szCs w:val="24"/>
          <w:shd w:val="clear" w:color="auto" w:fill="FFFFFF"/>
        </w:rPr>
        <w:t>, </w:t>
      </w:r>
      <w:r w:rsidRPr="009A40CE">
        <w:rPr>
          <w:rFonts w:cs="Times New Roman"/>
          <w:i/>
          <w:iCs/>
          <w:color w:val="222222"/>
          <w:szCs w:val="24"/>
          <w:shd w:val="clear" w:color="auto" w:fill="FFFFFF"/>
        </w:rPr>
        <w:t>39</w:t>
      </w:r>
      <w:r w:rsidRPr="009A40CE">
        <w:rPr>
          <w:rFonts w:cs="Times New Roman"/>
          <w:color w:val="222222"/>
          <w:szCs w:val="24"/>
          <w:shd w:val="clear" w:color="auto" w:fill="FFFFFF"/>
        </w:rPr>
        <w:t>(2), 81-90.</w:t>
      </w:r>
    </w:p>
    <w:p w14:paraId="383370CA" w14:textId="77777777" w:rsidR="00390D07" w:rsidRPr="009A40CE" w:rsidRDefault="00390D07" w:rsidP="00390D07">
      <w:pPr>
        <w:spacing w:after="240" w:line="240" w:lineRule="auto"/>
        <w:ind w:left="720" w:hanging="720"/>
        <w:rPr>
          <w:rFonts w:cs="Times New Roman"/>
          <w:szCs w:val="24"/>
        </w:rPr>
      </w:pPr>
      <w:r w:rsidRPr="009A40CE">
        <w:rPr>
          <w:rFonts w:cs="Times New Roman"/>
          <w:szCs w:val="24"/>
        </w:rPr>
        <w:t xml:space="preserve">Tortajada, C. (2016). Non-governmental organizations and influence on global public policy </w:t>
      </w:r>
      <w:r w:rsidRPr="009A40CE">
        <w:rPr>
          <w:rFonts w:cs="Times New Roman"/>
          <w:i/>
          <w:szCs w:val="24"/>
        </w:rPr>
        <w:t>Asia and the pacific policy studies</w:t>
      </w:r>
      <w:r w:rsidRPr="009A40CE">
        <w:rPr>
          <w:rFonts w:cs="Times New Roman"/>
          <w:szCs w:val="24"/>
        </w:rPr>
        <w:t>, 3(2), 266-274</w:t>
      </w:r>
      <w:bookmarkStart w:id="39" w:name="_Hlk83417533"/>
      <w:r w:rsidRPr="009A40CE">
        <w:rPr>
          <w:rFonts w:cs="Times New Roman"/>
          <w:szCs w:val="24"/>
        </w:rPr>
        <w:t>.</w:t>
      </w:r>
    </w:p>
    <w:p w14:paraId="287AC02A" w14:textId="77777777" w:rsidR="00390D07" w:rsidRPr="009A40CE" w:rsidRDefault="00390D07" w:rsidP="00390D07">
      <w:pPr>
        <w:spacing w:after="240" w:line="240" w:lineRule="auto"/>
        <w:ind w:left="720" w:hanging="720"/>
        <w:rPr>
          <w:rFonts w:cs="Times New Roman"/>
          <w:szCs w:val="24"/>
        </w:rPr>
      </w:pPr>
      <w:r w:rsidRPr="009A40CE">
        <w:rPr>
          <w:rFonts w:cs="Times New Roman"/>
          <w:color w:val="222222"/>
          <w:szCs w:val="24"/>
          <w:shd w:val="clear" w:color="auto" w:fill="FFFFFF"/>
        </w:rPr>
        <w:t>Wachira, L. W. (2016). </w:t>
      </w:r>
      <w:bookmarkEnd w:id="39"/>
      <w:r w:rsidRPr="009A40CE">
        <w:rPr>
          <w:rFonts w:cs="Times New Roman"/>
          <w:i/>
          <w:iCs/>
          <w:color w:val="222222"/>
          <w:szCs w:val="24"/>
          <w:shd w:val="clear" w:color="auto" w:fill="FFFFFF"/>
        </w:rPr>
        <w:t>Factors affecting financial sustainability of local NGOs in Kenya, Kiambu County</w:t>
      </w:r>
      <w:r w:rsidRPr="009A40CE">
        <w:rPr>
          <w:rFonts w:cs="Times New Roman"/>
          <w:color w:val="222222"/>
          <w:szCs w:val="24"/>
          <w:shd w:val="clear" w:color="auto" w:fill="FFFFFF"/>
        </w:rPr>
        <w:t> (Doctoral dissertation, Kca University).</w:t>
      </w:r>
      <w:bookmarkStart w:id="40" w:name="_Hlk83394643"/>
    </w:p>
    <w:p w14:paraId="082AC961" w14:textId="77777777" w:rsidR="00390D07" w:rsidRPr="009A40CE" w:rsidRDefault="00390D07" w:rsidP="00390D07">
      <w:pPr>
        <w:spacing w:after="240" w:line="240" w:lineRule="auto"/>
        <w:ind w:left="720" w:hanging="720"/>
        <w:rPr>
          <w:rFonts w:cs="Times New Roman"/>
          <w:color w:val="222222"/>
          <w:szCs w:val="24"/>
          <w:shd w:val="clear" w:color="auto" w:fill="FFFFFF"/>
        </w:rPr>
      </w:pPr>
      <w:r w:rsidRPr="009A40CE">
        <w:rPr>
          <w:rFonts w:cs="Times New Roman"/>
          <w:color w:val="222222"/>
          <w:szCs w:val="24"/>
          <w:shd w:val="clear" w:color="auto" w:fill="FFFFFF"/>
          <w:lang w:val="es-419"/>
        </w:rPr>
        <w:t xml:space="preserve">Yuesti, A., Novitasari, L. G., &amp; Rustiarini, N. W. (2016). </w:t>
      </w:r>
      <w:bookmarkEnd w:id="40"/>
      <w:r w:rsidRPr="009A40CE">
        <w:rPr>
          <w:rFonts w:cs="Times New Roman"/>
          <w:color w:val="222222"/>
          <w:szCs w:val="24"/>
          <w:shd w:val="clear" w:color="auto" w:fill="FFFFFF"/>
        </w:rPr>
        <w:t>Accountability of non-government organization from the perspective of stakeholder theory. </w:t>
      </w:r>
      <w:r w:rsidRPr="009A40CE">
        <w:rPr>
          <w:rFonts w:cs="Times New Roman"/>
          <w:i/>
          <w:iCs/>
          <w:color w:val="222222"/>
          <w:szCs w:val="24"/>
          <w:shd w:val="clear" w:color="auto" w:fill="FFFFFF"/>
        </w:rPr>
        <w:t>International Journal of Accounting and Taxation</w:t>
      </w:r>
      <w:r w:rsidRPr="009A40CE">
        <w:rPr>
          <w:rFonts w:cs="Times New Roman"/>
          <w:color w:val="222222"/>
          <w:szCs w:val="24"/>
          <w:shd w:val="clear" w:color="auto" w:fill="FFFFFF"/>
        </w:rPr>
        <w:t>, </w:t>
      </w:r>
      <w:r w:rsidRPr="009A40CE">
        <w:rPr>
          <w:rFonts w:cs="Times New Roman"/>
          <w:i/>
          <w:iCs/>
          <w:color w:val="222222"/>
          <w:szCs w:val="24"/>
          <w:shd w:val="clear" w:color="auto" w:fill="FFFFFF"/>
        </w:rPr>
        <w:t>4</w:t>
      </w:r>
      <w:r w:rsidRPr="009A40CE">
        <w:rPr>
          <w:rFonts w:cs="Times New Roman"/>
          <w:color w:val="222222"/>
          <w:szCs w:val="24"/>
          <w:shd w:val="clear" w:color="auto" w:fill="FFFFFF"/>
        </w:rPr>
        <w:t>(2), 98-119.</w:t>
      </w:r>
    </w:p>
    <w:p w14:paraId="6C7C319A" w14:textId="77777777" w:rsidR="00390D07" w:rsidRPr="009A40CE" w:rsidRDefault="00390D07" w:rsidP="00390D07">
      <w:pPr>
        <w:spacing w:after="240" w:line="240" w:lineRule="auto"/>
        <w:ind w:left="720" w:hanging="720"/>
        <w:rPr>
          <w:rFonts w:cs="Times New Roman"/>
          <w:color w:val="222222"/>
          <w:szCs w:val="24"/>
          <w:shd w:val="clear" w:color="auto" w:fill="FFFFFF"/>
        </w:rPr>
      </w:pPr>
      <w:r w:rsidRPr="009A40CE">
        <w:rPr>
          <w:rFonts w:cs="Times New Roman"/>
          <w:color w:val="222222"/>
          <w:szCs w:val="24"/>
          <w:shd w:val="clear" w:color="auto" w:fill="FFFFFF"/>
        </w:rPr>
        <w:t xml:space="preserve">Creswell, J. W., &amp; Creswell, J. D. (2018). </w:t>
      </w:r>
      <w:r w:rsidRPr="009A40CE">
        <w:rPr>
          <w:rFonts w:cs="Times New Roman"/>
          <w:i/>
          <w:iCs/>
          <w:color w:val="222222"/>
          <w:szCs w:val="24"/>
          <w:shd w:val="clear" w:color="auto" w:fill="FFFFFF"/>
        </w:rPr>
        <w:t>Research design: Qualitative, quantitative, and mixed methods approaches</w:t>
      </w:r>
      <w:r w:rsidRPr="009A40CE">
        <w:rPr>
          <w:rFonts w:cs="Times New Roman"/>
          <w:color w:val="222222"/>
          <w:szCs w:val="24"/>
          <w:shd w:val="clear" w:color="auto" w:fill="FFFFFF"/>
        </w:rPr>
        <w:t xml:space="preserve"> (5th ed.). SAGE.</w:t>
      </w:r>
    </w:p>
    <w:p w14:paraId="7387D6F4" w14:textId="77777777" w:rsidR="00390D07" w:rsidRPr="009A40CE" w:rsidRDefault="00390D07" w:rsidP="00390D07">
      <w:pPr>
        <w:spacing w:after="240" w:line="240" w:lineRule="auto"/>
        <w:ind w:left="720" w:hanging="720"/>
        <w:rPr>
          <w:rFonts w:cs="Times New Roman"/>
          <w:color w:val="222222"/>
          <w:szCs w:val="24"/>
          <w:shd w:val="clear" w:color="auto" w:fill="FFFFFF"/>
        </w:rPr>
      </w:pPr>
      <w:r w:rsidRPr="009A40CE">
        <w:rPr>
          <w:rFonts w:cs="Times New Roman"/>
          <w:color w:val="222222"/>
          <w:szCs w:val="24"/>
          <w:shd w:val="clear" w:color="auto" w:fill="FFFFFF"/>
        </w:rPr>
        <w:t xml:space="preserve">Field, A. (2018). </w:t>
      </w:r>
      <w:r w:rsidRPr="009A40CE">
        <w:rPr>
          <w:rFonts w:cs="Times New Roman"/>
          <w:i/>
          <w:iCs/>
          <w:color w:val="222222"/>
          <w:szCs w:val="24"/>
          <w:shd w:val="clear" w:color="auto" w:fill="FFFFFF"/>
        </w:rPr>
        <w:t>Discovering statistics using IBM SPSS statistics</w:t>
      </w:r>
      <w:r w:rsidRPr="009A40CE">
        <w:rPr>
          <w:rFonts w:cs="Times New Roman"/>
          <w:color w:val="222222"/>
          <w:szCs w:val="24"/>
          <w:shd w:val="clear" w:color="auto" w:fill="FFFFFF"/>
        </w:rPr>
        <w:t xml:space="preserve"> (5th ed.). SAGE.</w:t>
      </w:r>
    </w:p>
    <w:p w14:paraId="3D4E5224" w14:textId="77777777" w:rsidR="00390D07" w:rsidRPr="009A40CE" w:rsidRDefault="00390D07" w:rsidP="00390D07">
      <w:pPr>
        <w:spacing w:after="240" w:line="240" w:lineRule="auto"/>
        <w:ind w:left="720" w:hanging="720"/>
        <w:rPr>
          <w:rFonts w:cs="Times New Roman"/>
          <w:color w:val="222222"/>
          <w:szCs w:val="24"/>
          <w:shd w:val="clear" w:color="auto" w:fill="FFFFFF"/>
        </w:rPr>
      </w:pPr>
      <w:r w:rsidRPr="009A40CE">
        <w:rPr>
          <w:rFonts w:cs="Times New Roman"/>
          <w:color w:val="222222"/>
          <w:szCs w:val="24"/>
          <w:shd w:val="clear" w:color="auto" w:fill="FFFFFF"/>
        </w:rPr>
        <w:t xml:space="preserve">Hair, J. F., Babin, B. J., Anderson, R. E., &amp; Black, W. C. (2019). </w:t>
      </w:r>
      <w:r w:rsidRPr="009A40CE">
        <w:rPr>
          <w:rFonts w:cs="Times New Roman"/>
          <w:i/>
          <w:iCs/>
          <w:color w:val="222222"/>
          <w:szCs w:val="24"/>
          <w:shd w:val="clear" w:color="auto" w:fill="FFFFFF"/>
        </w:rPr>
        <w:t>Multivariate data analysis</w:t>
      </w:r>
      <w:r w:rsidRPr="009A40CE">
        <w:rPr>
          <w:rFonts w:cs="Times New Roman"/>
          <w:color w:val="222222"/>
          <w:szCs w:val="24"/>
          <w:shd w:val="clear" w:color="auto" w:fill="FFFFFF"/>
        </w:rPr>
        <w:t xml:space="preserve"> (8th ed.). Cengage.</w:t>
      </w:r>
    </w:p>
    <w:p w14:paraId="00B20088" w14:textId="77777777" w:rsidR="00390D07" w:rsidRPr="009A40CE" w:rsidRDefault="00390D07" w:rsidP="00390D07">
      <w:pPr>
        <w:spacing w:after="240" w:line="240" w:lineRule="auto"/>
        <w:ind w:left="720" w:hanging="720"/>
        <w:rPr>
          <w:rFonts w:cs="Times New Roman"/>
          <w:color w:val="222222"/>
          <w:szCs w:val="24"/>
          <w:shd w:val="clear" w:color="auto" w:fill="FFFFFF"/>
        </w:rPr>
      </w:pPr>
      <w:r w:rsidRPr="009A40CE">
        <w:rPr>
          <w:rFonts w:cs="Times New Roman"/>
          <w:color w:val="222222"/>
          <w:szCs w:val="24"/>
          <w:shd w:val="clear" w:color="auto" w:fill="FFFFFF"/>
        </w:rPr>
        <w:t xml:space="preserve">Hayes, A. F., &amp; Cai, L. (2007). Using heteroscedasticity-consistent standard error estimators in OLS regression. </w:t>
      </w:r>
      <w:r w:rsidRPr="009A40CE">
        <w:rPr>
          <w:rFonts w:cs="Times New Roman"/>
          <w:i/>
          <w:iCs/>
          <w:color w:val="222222"/>
          <w:szCs w:val="24"/>
          <w:shd w:val="clear" w:color="auto" w:fill="FFFFFF"/>
        </w:rPr>
        <w:t>Behavior Research Methods, 39</w:t>
      </w:r>
      <w:r w:rsidRPr="009A40CE">
        <w:rPr>
          <w:rFonts w:cs="Times New Roman"/>
          <w:color w:val="222222"/>
          <w:szCs w:val="24"/>
          <w:shd w:val="clear" w:color="auto" w:fill="FFFFFF"/>
        </w:rPr>
        <w:t>(4), 709–722.</w:t>
      </w:r>
    </w:p>
    <w:p w14:paraId="47CAFF87" w14:textId="77777777" w:rsidR="00390D07" w:rsidRPr="009A40CE" w:rsidRDefault="00390D07" w:rsidP="00390D07">
      <w:pPr>
        <w:spacing w:after="240" w:line="240" w:lineRule="auto"/>
        <w:rPr>
          <w:rFonts w:cs="Times New Roman"/>
          <w:color w:val="222222"/>
          <w:szCs w:val="24"/>
          <w:shd w:val="clear" w:color="auto" w:fill="FFFFFF"/>
        </w:rPr>
      </w:pPr>
      <w:r w:rsidRPr="009A40CE">
        <w:rPr>
          <w:rFonts w:cs="Times New Roman"/>
          <w:color w:val="222222"/>
          <w:szCs w:val="24"/>
          <w:shd w:val="clear" w:color="auto" w:fill="FFFFFF"/>
        </w:rPr>
        <w:t xml:space="preserve"> NGO Coordination Board. (2020). </w:t>
      </w:r>
      <w:r w:rsidRPr="009A40CE">
        <w:rPr>
          <w:rFonts w:cs="Times New Roman"/>
          <w:i/>
          <w:iCs/>
          <w:color w:val="222222"/>
          <w:szCs w:val="24"/>
          <w:shd w:val="clear" w:color="auto" w:fill="FFFFFF"/>
        </w:rPr>
        <w:t>Annual NGO sector report</w:t>
      </w:r>
      <w:r w:rsidRPr="009A40CE">
        <w:rPr>
          <w:rFonts w:cs="Times New Roman"/>
          <w:color w:val="222222"/>
          <w:szCs w:val="24"/>
          <w:shd w:val="clear" w:color="auto" w:fill="FFFFFF"/>
        </w:rPr>
        <w:t xml:space="preserve"> (Kenya).</w:t>
      </w:r>
    </w:p>
    <w:p w14:paraId="51B9B8A2" w14:textId="77777777" w:rsidR="00390D07" w:rsidRPr="009A40CE" w:rsidRDefault="00390D07" w:rsidP="00390D07">
      <w:pPr>
        <w:spacing w:after="240" w:line="240" w:lineRule="auto"/>
        <w:ind w:left="720" w:hanging="720"/>
        <w:rPr>
          <w:rFonts w:cs="Times New Roman"/>
          <w:color w:val="222222"/>
          <w:szCs w:val="24"/>
          <w:shd w:val="clear" w:color="auto" w:fill="FFFFFF"/>
        </w:rPr>
      </w:pPr>
      <w:r w:rsidRPr="009A40CE">
        <w:rPr>
          <w:rFonts w:cs="Times New Roman"/>
          <w:color w:val="222222"/>
          <w:szCs w:val="24"/>
          <w:shd w:val="clear" w:color="auto" w:fill="FFFFFF"/>
        </w:rPr>
        <w:t xml:space="preserve">Saunders, M., Lewis, P., &amp; Thornhill, A. (2019). </w:t>
      </w:r>
      <w:r w:rsidRPr="009A40CE">
        <w:rPr>
          <w:rFonts w:cs="Times New Roman"/>
          <w:i/>
          <w:iCs/>
          <w:color w:val="222222"/>
          <w:szCs w:val="24"/>
          <w:shd w:val="clear" w:color="auto" w:fill="FFFFFF"/>
        </w:rPr>
        <w:t>Research methods for business students</w:t>
      </w:r>
      <w:r w:rsidRPr="009A40CE">
        <w:rPr>
          <w:rFonts w:cs="Times New Roman"/>
          <w:color w:val="222222"/>
          <w:szCs w:val="24"/>
          <w:shd w:val="clear" w:color="auto" w:fill="FFFFFF"/>
        </w:rPr>
        <w:t xml:space="preserve"> (8th ed.). Pearson.</w:t>
      </w:r>
    </w:p>
    <w:p w14:paraId="5CECF4F1" w14:textId="77777777" w:rsidR="00390D07" w:rsidRPr="009A40CE" w:rsidRDefault="00390D07" w:rsidP="00390D07">
      <w:pPr>
        <w:spacing w:after="240" w:line="240" w:lineRule="auto"/>
        <w:ind w:left="720" w:hanging="720"/>
        <w:rPr>
          <w:rFonts w:cs="Times New Roman"/>
          <w:color w:val="222222"/>
          <w:szCs w:val="24"/>
          <w:shd w:val="clear" w:color="auto" w:fill="FFFFFF"/>
        </w:rPr>
      </w:pPr>
      <w:r w:rsidRPr="009A40CE">
        <w:rPr>
          <w:rFonts w:cs="Times New Roman"/>
          <w:color w:val="222222"/>
          <w:szCs w:val="24"/>
          <w:shd w:val="clear" w:color="auto" w:fill="FFFFFF"/>
        </w:rPr>
        <w:lastRenderedPageBreak/>
        <w:t xml:space="preserve">Shadish, W. R., Cook, T. D., &amp; Campbell, D. T. (2002). </w:t>
      </w:r>
      <w:r w:rsidRPr="009A40CE">
        <w:rPr>
          <w:rFonts w:cs="Times New Roman"/>
          <w:i/>
          <w:iCs/>
          <w:color w:val="222222"/>
          <w:szCs w:val="24"/>
          <w:shd w:val="clear" w:color="auto" w:fill="FFFFFF"/>
        </w:rPr>
        <w:t>Experimental and quasi-experimental designs for generalized causal inference</w:t>
      </w:r>
      <w:r w:rsidRPr="009A40CE">
        <w:rPr>
          <w:rFonts w:cs="Times New Roman"/>
          <w:color w:val="222222"/>
          <w:szCs w:val="24"/>
          <w:shd w:val="clear" w:color="auto" w:fill="FFFFFF"/>
        </w:rPr>
        <w:t>. Houghton Mifflin.</w:t>
      </w:r>
    </w:p>
    <w:sectPr w:rsidR="00390D07" w:rsidRPr="009A40CE" w:rsidSect="00055D83">
      <w:headerReference w:type="even" r:id="rId9"/>
      <w:headerReference w:type="default" r:id="rId10"/>
      <w:footerReference w:type="even" r:id="rId11"/>
      <w:footerReference w:type="default" r:id="rId12"/>
      <w:headerReference w:type="first" r:id="rId13"/>
      <w:footerReference w:type="first" r:id="rId14"/>
      <w:pgSz w:w="12240" w:h="15840" w:code="1"/>
      <w:pgMar w:top="1094" w:right="605" w:bottom="605" w:left="605" w:header="346" w:footer="403"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6-06-14T06:54:00Z" w:initials="L">
    <w:p w14:paraId="092E3E3F" w14:textId="094FD3FC" w:rsidR="00E73311" w:rsidRPr="00F4318E" w:rsidRDefault="00E73311">
      <w:pPr>
        <w:pStyle w:val="CommentText"/>
        <w:rPr>
          <w:b/>
        </w:rPr>
      </w:pPr>
      <w:r>
        <w:rPr>
          <w:rStyle w:val="CommentReference"/>
        </w:rPr>
        <w:annotationRef/>
      </w:r>
      <w:r w:rsidRPr="00F4318E">
        <w:rPr>
          <w:b/>
          <w:highlight w:val="yellow"/>
        </w:rPr>
        <w:t xml:space="preserve">The manuscript title </w:t>
      </w:r>
      <w:r>
        <w:rPr>
          <w:b/>
          <w:highlight w:val="yellow"/>
        </w:rPr>
        <w:t>has been satisfied</w:t>
      </w:r>
      <w:r w:rsidRPr="00F4318E">
        <w:rPr>
          <w:b/>
          <w:highlight w:val="yellow"/>
        </w:rPr>
        <w:t>. But the letter size should be followed 12 points.</w:t>
      </w:r>
    </w:p>
  </w:comment>
  <w:comment w:id="3" w:author="Lenovo" w:date="2026-06-14T06:55:00Z" w:initials="L">
    <w:p w14:paraId="50CF9183" w14:textId="5544A8E5" w:rsidR="00E73311" w:rsidRPr="00BC4BE0" w:rsidRDefault="00E73311">
      <w:pPr>
        <w:pStyle w:val="CommentText"/>
        <w:rPr>
          <w:b/>
        </w:rPr>
      </w:pPr>
      <w:r>
        <w:rPr>
          <w:rStyle w:val="CommentReference"/>
        </w:rPr>
        <w:annotationRef/>
      </w:r>
      <w:r w:rsidRPr="00BC4BE0">
        <w:rPr>
          <w:b/>
          <w:highlight w:val="yellow"/>
        </w:rPr>
        <w:t>The abstract should be justified of the paragraph.</w:t>
      </w:r>
    </w:p>
  </w:comment>
  <w:comment w:id="4" w:author="Lenovo" w:date="2026-06-14T06:56:00Z" w:initials="L">
    <w:p w14:paraId="6CFC6771" w14:textId="10578DB1" w:rsidR="00E73311" w:rsidRPr="000334D7" w:rsidRDefault="00E73311">
      <w:pPr>
        <w:pStyle w:val="CommentText"/>
        <w:rPr>
          <w:b/>
        </w:rPr>
      </w:pPr>
      <w:r>
        <w:rPr>
          <w:rStyle w:val="CommentReference"/>
        </w:rPr>
        <w:annotationRef/>
      </w:r>
      <w:r w:rsidRPr="000334D7">
        <w:rPr>
          <w:b/>
          <w:highlight w:val="yellow"/>
        </w:rPr>
        <w:t>The introduction part was satisfied.</w:t>
      </w:r>
    </w:p>
  </w:comment>
  <w:comment w:id="5" w:author="Lenovo" w:date="2026-06-14T06:56:00Z" w:initials="L">
    <w:p w14:paraId="3DF7D8C1" w14:textId="58190079" w:rsidR="00E73311" w:rsidRDefault="00E73311">
      <w:pPr>
        <w:pStyle w:val="CommentText"/>
      </w:pPr>
      <w:r>
        <w:rPr>
          <w:rStyle w:val="CommentReference"/>
        </w:rPr>
        <w:annotationRef/>
      </w:r>
      <w:r w:rsidRPr="00DC4508">
        <w:rPr>
          <w:rFonts w:eastAsia="Times New Roman" w:cs="Times New Roman"/>
          <w:b/>
          <w:bCs/>
          <w:color w:val="000000" w:themeColor="text1"/>
          <w:sz w:val="28"/>
          <w:szCs w:val="28"/>
          <w:highlight w:val="yellow"/>
        </w:rPr>
        <w:t>The Research Problem was good.</w:t>
      </w:r>
    </w:p>
  </w:comment>
  <w:comment w:id="6" w:author="Lenovo" w:date="2026-06-14T06:57:00Z" w:initials="L">
    <w:p w14:paraId="66354112" w14:textId="7255B317" w:rsidR="00E73311" w:rsidRDefault="00E73311">
      <w:pPr>
        <w:pStyle w:val="CommentText"/>
      </w:pPr>
      <w:r>
        <w:rPr>
          <w:rStyle w:val="CommentReference"/>
        </w:rPr>
        <w:annotationRef/>
      </w:r>
      <w:r w:rsidRPr="002C5A49">
        <w:rPr>
          <w:rFonts w:cs="Times New Roman"/>
          <w:b/>
          <w:bCs/>
          <w:color w:val="000000" w:themeColor="text1"/>
          <w:sz w:val="28"/>
          <w:szCs w:val="28"/>
          <w:highlight w:val="yellow"/>
        </w:rPr>
        <w:t>The Research Objective was satisfied.</w:t>
      </w:r>
    </w:p>
  </w:comment>
  <w:comment w:id="7" w:author="Lenovo" w:date="2026-06-14T06:57:00Z" w:initials="L">
    <w:p w14:paraId="4AF8F692" w14:textId="596C6AF2" w:rsidR="00E73311" w:rsidRPr="007A56B8" w:rsidRDefault="00E73311" w:rsidP="006E09FE">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Pr>
          <w:rStyle w:val="CommentReference"/>
        </w:rPr>
        <w:annotationRef/>
      </w:r>
      <w:r w:rsidRPr="007A56B8">
        <w:rPr>
          <w:rFonts w:ascii="Times New Roman" w:hAnsi="Times New Roman"/>
          <w:b/>
          <w:color w:val="000000" w:themeColor="text1"/>
          <w:sz w:val="28"/>
          <w:szCs w:val="28"/>
          <w:lang w:val="en-GB"/>
        </w:rPr>
        <w:t xml:space="preserve"> </w:t>
      </w:r>
      <w:r w:rsidRPr="006E09FE">
        <w:rPr>
          <w:rFonts w:ascii="Times New Roman" w:hAnsi="Times New Roman"/>
          <w:b/>
          <w:color w:val="000000" w:themeColor="text1"/>
          <w:sz w:val="28"/>
          <w:szCs w:val="28"/>
          <w:highlight w:val="yellow"/>
          <w:lang w:val="en-GB"/>
        </w:rPr>
        <w:t>The Review Literature was satisfied.</w:t>
      </w:r>
    </w:p>
    <w:p w14:paraId="705712CA" w14:textId="5778D43B" w:rsidR="00E73311" w:rsidRDefault="00E73311">
      <w:pPr>
        <w:pStyle w:val="CommentText"/>
      </w:pPr>
    </w:p>
  </w:comment>
  <w:comment w:id="8" w:author="Lenovo" w:date="2026-06-14T06:58:00Z" w:initials="L">
    <w:p w14:paraId="035F80D5" w14:textId="4B257D62" w:rsidR="00E73311" w:rsidRDefault="00E73311">
      <w:pPr>
        <w:pStyle w:val="CommentText"/>
      </w:pPr>
      <w:r>
        <w:rPr>
          <w:rStyle w:val="CommentReference"/>
        </w:rPr>
        <w:annotationRef/>
      </w:r>
      <w:r w:rsidRPr="00A134E9">
        <w:rPr>
          <w:rFonts w:cs="Times New Roman"/>
          <w:b/>
          <w:bCs/>
          <w:color w:val="000000" w:themeColor="text1"/>
          <w:sz w:val="28"/>
          <w:szCs w:val="28"/>
          <w:highlight w:val="yellow"/>
        </w:rPr>
        <w:t>The Empirical Review was good.</w:t>
      </w:r>
    </w:p>
  </w:comment>
  <w:comment w:id="9" w:author="Lenovo" w:date="2026-06-14T06:59:00Z" w:initials="L">
    <w:p w14:paraId="29C37892" w14:textId="5FB3D2AB" w:rsidR="00E73311" w:rsidRDefault="00E73311">
      <w:pPr>
        <w:pStyle w:val="CommentText"/>
      </w:pPr>
      <w:r>
        <w:rPr>
          <w:rStyle w:val="CommentReference"/>
        </w:rPr>
        <w:annotationRef/>
      </w:r>
      <w:r w:rsidRPr="00127493">
        <w:rPr>
          <w:rFonts w:cs="Times New Roman"/>
          <w:b/>
          <w:bCs/>
          <w:color w:val="000000" w:themeColor="text1"/>
          <w:sz w:val="28"/>
          <w:szCs w:val="28"/>
          <w:highlight w:val="yellow"/>
        </w:rPr>
        <w:t>The Research Methodology was satisfied.</w:t>
      </w:r>
    </w:p>
  </w:comment>
  <w:comment w:id="10" w:author="Lenovo" w:date="2026-06-14T06:59:00Z" w:initials="L">
    <w:p w14:paraId="745118FD" w14:textId="14A4E20F" w:rsidR="00E73311" w:rsidRPr="00096C2E" w:rsidRDefault="00E73311" w:rsidP="00B857E4">
      <w:pPr>
        <w:shd w:val="clear" w:color="auto" w:fill="FFFFFF"/>
        <w:spacing w:line="240" w:lineRule="auto"/>
        <w:rPr>
          <w:rFonts w:eastAsia="Times New Roman" w:cs="Times New Roman"/>
          <w:b/>
          <w:bCs/>
          <w:color w:val="auto"/>
          <w:szCs w:val="24"/>
          <w14:ligatures w14:val="none"/>
        </w:rPr>
      </w:pPr>
      <w:r>
        <w:rPr>
          <w:rStyle w:val="CommentReference"/>
        </w:rPr>
        <w:annotationRef/>
      </w:r>
      <w:r w:rsidRPr="00B857E4">
        <w:rPr>
          <w:rFonts w:eastAsia="Times New Roman" w:cs="Times New Roman"/>
          <w:b/>
          <w:bCs/>
          <w:color w:val="auto"/>
          <w:szCs w:val="24"/>
          <w:highlight w:val="yellow"/>
          <w14:ligatures w14:val="none"/>
        </w:rPr>
        <w:t>The Table 1: Survey Response Summary was good. The source of citation should be mentioned of the below of the table.</w:t>
      </w:r>
    </w:p>
    <w:p w14:paraId="65836685" w14:textId="7D00DF5E" w:rsidR="00E73311" w:rsidRDefault="00E73311">
      <w:pPr>
        <w:pStyle w:val="CommentText"/>
      </w:pPr>
    </w:p>
  </w:comment>
  <w:comment w:id="11" w:author="Lenovo" w:date="2026-06-14T07:00:00Z" w:initials="L">
    <w:p w14:paraId="7F6A3100" w14:textId="77777777" w:rsidR="00E73311" w:rsidRPr="00096C2E" w:rsidRDefault="00E73311" w:rsidP="00EF498C">
      <w:pPr>
        <w:shd w:val="clear" w:color="auto" w:fill="FFFFFF"/>
        <w:spacing w:line="240" w:lineRule="auto"/>
        <w:rPr>
          <w:rFonts w:eastAsia="Times New Roman" w:cs="Times New Roman"/>
          <w:b/>
          <w:bCs/>
          <w:color w:val="auto"/>
          <w:szCs w:val="24"/>
          <w14:ligatures w14:val="none"/>
        </w:rPr>
      </w:pPr>
      <w:r>
        <w:rPr>
          <w:rStyle w:val="CommentReference"/>
        </w:rPr>
        <w:annotationRef/>
      </w:r>
      <w:r w:rsidRPr="00EF498C">
        <w:rPr>
          <w:rFonts w:eastAsia="Times New Roman" w:cs="Times New Roman"/>
          <w:b/>
          <w:bCs/>
          <w:color w:val="auto"/>
          <w:szCs w:val="24"/>
          <w:highlight w:val="yellow"/>
          <w14:ligatures w14:val="none"/>
        </w:rPr>
        <w:t>The Table 2: Internal Consistency by Construct (Cronbach’s α) was good.  The source of citation should be mentioned of the below of the table.</w:t>
      </w:r>
    </w:p>
    <w:p w14:paraId="2FDB6997" w14:textId="0FD0F6C4" w:rsidR="00E73311" w:rsidRPr="00096C2E" w:rsidRDefault="00E73311" w:rsidP="00EF498C">
      <w:pPr>
        <w:shd w:val="clear" w:color="auto" w:fill="FFFFFF"/>
        <w:spacing w:line="240" w:lineRule="auto"/>
        <w:rPr>
          <w:rFonts w:eastAsia="Times New Roman" w:cs="Times New Roman"/>
          <w:b/>
          <w:bCs/>
          <w:color w:val="auto"/>
          <w:szCs w:val="24"/>
          <w14:ligatures w14:val="none"/>
        </w:rPr>
      </w:pPr>
    </w:p>
    <w:p w14:paraId="0DBA6EFF" w14:textId="4440E01D" w:rsidR="00E73311" w:rsidRDefault="00E73311">
      <w:pPr>
        <w:pStyle w:val="CommentText"/>
      </w:pPr>
    </w:p>
  </w:comment>
  <w:comment w:id="12" w:author="Lenovo" w:date="2026-06-14T07:01:00Z" w:initials="L">
    <w:p w14:paraId="7D0BA8AD" w14:textId="2BBCB48D" w:rsidR="00E73311" w:rsidRPr="00096C2E" w:rsidRDefault="00E73311" w:rsidP="00AA0F90">
      <w:pPr>
        <w:shd w:val="clear" w:color="auto" w:fill="FFFFFF"/>
        <w:spacing w:line="240" w:lineRule="auto"/>
        <w:rPr>
          <w:rFonts w:eastAsia="Times New Roman" w:cs="Times New Roman"/>
          <w:b/>
          <w:bCs/>
          <w:color w:val="auto"/>
          <w:szCs w:val="24"/>
          <w14:ligatures w14:val="none"/>
        </w:rPr>
      </w:pPr>
      <w:r>
        <w:rPr>
          <w:rStyle w:val="CommentReference"/>
        </w:rPr>
        <w:annotationRef/>
      </w:r>
      <w:r w:rsidRPr="00AA0F90">
        <w:rPr>
          <w:rFonts w:eastAsia="Times New Roman" w:cs="Times New Roman"/>
          <w:b/>
          <w:bCs/>
          <w:color w:val="auto"/>
          <w:szCs w:val="24"/>
          <w:highlight w:val="yellow"/>
          <w14:ligatures w14:val="none"/>
        </w:rPr>
        <w:t>The Table 3: Pearson’s r Correlation Results was satisfied.  The source of citation should be mentioned of the below of the table.</w:t>
      </w:r>
    </w:p>
    <w:p w14:paraId="18EB02CE" w14:textId="0AD75E26" w:rsidR="00E73311" w:rsidRDefault="00E73311">
      <w:pPr>
        <w:pStyle w:val="CommentText"/>
      </w:pPr>
    </w:p>
  </w:comment>
  <w:comment w:id="13" w:author="Lenovo" w:date="2026-06-14T07:02:00Z" w:initials="L">
    <w:p w14:paraId="12C4768B" w14:textId="2D6C27A9" w:rsidR="00E73311" w:rsidRPr="00B3455A" w:rsidRDefault="00E73311" w:rsidP="009502FB">
      <w:pPr>
        <w:shd w:val="clear" w:color="auto" w:fill="FFFFFF"/>
        <w:spacing w:line="240" w:lineRule="auto"/>
        <w:rPr>
          <w:rFonts w:eastAsia="Times New Roman" w:cs="Times New Roman"/>
          <w:color w:val="auto"/>
          <w:szCs w:val="24"/>
          <w14:ligatures w14:val="none"/>
        </w:rPr>
      </w:pPr>
      <w:r>
        <w:rPr>
          <w:rStyle w:val="CommentReference"/>
        </w:rPr>
        <w:annotationRef/>
      </w:r>
      <w:r w:rsidRPr="009502FB">
        <w:rPr>
          <w:rFonts w:eastAsia="Times New Roman" w:cs="Times New Roman"/>
          <w:b/>
          <w:bCs/>
          <w:color w:val="auto"/>
          <w:szCs w:val="24"/>
          <w:highlight w:val="yellow"/>
          <w14:ligatures w14:val="none"/>
        </w:rPr>
        <w:t>The Table 4: Model Fit Summary was good. The source of citation should be mentioned of the below of the table.</w:t>
      </w:r>
    </w:p>
    <w:p w14:paraId="1ED83B63" w14:textId="686B0AA5" w:rsidR="00E73311" w:rsidRDefault="00E73311">
      <w:pPr>
        <w:pStyle w:val="CommentText"/>
      </w:pPr>
    </w:p>
  </w:comment>
  <w:comment w:id="14" w:author="Lenovo" w:date="2026-06-14T07:02:00Z" w:initials="L">
    <w:p w14:paraId="2B795726" w14:textId="21D15F49" w:rsidR="00E73311" w:rsidRDefault="00E73311" w:rsidP="007E541E">
      <w:pPr>
        <w:pStyle w:val="CommentText"/>
      </w:pPr>
      <w:r w:rsidRPr="007E541E">
        <w:rPr>
          <w:rStyle w:val="CommentReference"/>
          <w:highlight w:val="yellow"/>
        </w:rPr>
        <w:annotationRef/>
      </w:r>
      <w:r w:rsidRPr="007E541E">
        <w:rPr>
          <w:rFonts w:eastAsia="Times New Roman" w:cs="Times New Roman"/>
          <w:b/>
          <w:bCs/>
          <w:color w:val="auto"/>
          <w:szCs w:val="24"/>
          <w:highlight w:val="yellow"/>
          <w14:ligatures w14:val="none"/>
        </w:rPr>
        <w:t>The Table 5: ANOVA Results was satisfied. The source of citation should be mentioned of the below of the table.</w:t>
      </w:r>
    </w:p>
  </w:comment>
  <w:comment w:id="15" w:author="Lenovo" w:date="2026-06-14T07:03:00Z" w:initials="L">
    <w:p w14:paraId="49561D86" w14:textId="0F36345B" w:rsidR="00E73311" w:rsidRPr="00B3455A" w:rsidRDefault="00E73311" w:rsidP="00E73311">
      <w:pPr>
        <w:shd w:val="clear" w:color="auto" w:fill="FFFFFF"/>
        <w:spacing w:line="240" w:lineRule="auto"/>
        <w:rPr>
          <w:rFonts w:eastAsia="Times New Roman" w:cs="Times New Roman"/>
          <w:color w:val="auto"/>
          <w:szCs w:val="24"/>
          <w14:ligatures w14:val="none"/>
        </w:rPr>
      </w:pPr>
      <w:r>
        <w:rPr>
          <w:rStyle w:val="CommentReference"/>
        </w:rPr>
        <w:annotationRef/>
      </w:r>
      <w:r w:rsidRPr="00652F0D">
        <w:rPr>
          <w:rFonts w:eastAsia="Times New Roman" w:cs="Times New Roman"/>
          <w:b/>
          <w:bCs/>
          <w:color w:val="auto"/>
          <w:szCs w:val="24"/>
          <w:highlight w:val="yellow"/>
          <w14:ligatures w14:val="none"/>
        </w:rPr>
        <w:t xml:space="preserve">The Table 6: Regression Coefficients was satisfied. The source of citation should be included in the below </w:t>
      </w:r>
      <w:r w:rsidR="00652F0D" w:rsidRPr="00652F0D">
        <w:rPr>
          <w:rFonts w:eastAsia="Times New Roman" w:cs="Times New Roman"/>
          <w:b/>
          <w:bCs/>
          <w:color w:val="auto"/>
          <w:szCs w:val="24"/>
          <w:highlight w:val="yellow"/>
          <w14:ligatures w14:val="none"/>
        </w:rPr>
        <w:t>of the table.</w:t>
      </w:r>
    </w:p>
    <w:p w14:paraId="006611B0" w14:textId="66C1456E" w:rsidR="00E73311" w:rsidRDefault="00E73311">
      <w:pPr>
        <w:pStyle w:val="CommentText"/>
      </w:pPr>
    </w:p>
  </w:comment>
  <w:comment w:id="16" w:author="Lenovo" w:date="2026-06-14T07:05:00Z" w:initials="L">
    <w:p w14:paraId="7349A8E4" w14:textId="2FEAFAEA" w:rsidR="00A61CAB" w:rsidRDefault="00A61CAB" w:rsidP="00A61CAB">
      <w:pPr>
        <w:shd w:val="clear" w:color="auto" w:fill="FFFFFF"/>
        <w:spacing w:line="240" w:lineRule="auto"/>
        <w:rPr>
          <w:rFonts w:eastAsia="Times New Roman" w:cs="Times New Roman"/>
          <w:b/>
          <w:bCs/>
          <w:color w:val="auto"/>
          <w:szCs w:val="24"/>
          <w14:ligatures w14:val="none"/>
        </w:rPr>
      </w:pPr>
      <w:r>
        <w:rPr>
          <w:rStyle w:val="CommentReference"/>
        </w:rPr>
        <w:annotationRef/>
      </w:r>
      <w:r w:rsidRPr="00A61CAB">
        <w:rPr>
          <w:rFonts w:eastAsia="Times New Roman" w:cs="Times New Roman"/>
          <w:b/>
          <w:bCs/>
          <w:color w:val="auto"/>
          <w:szCs w:val="24"/>
          <w:highlight w:val="yellow"/>
          <w14:ligatures w14:val="none"/>
        </w:rPr>
        <w:t xml:space="preserve">The </w:t>
      </w:r>
      <w:r w:rsidRPr="00A61CAB">
        <w:rPr>
          <w:rFonts w:eastAsia="Times New Roman" w:cs="Times New Roman"/>
          <w:b/>
          <w:bCs/>
          <w:color w:val="auto"/>
          <w:szCs w:val="24"/>
          <w:highlight w:val="yellow"/>
          <w14:ligatures w14:val="none"/>
        </w:rPr>
        <w:t>Table 7: Summary of Hypotheses Test</w:t>
      </w:r>
      <w:r w:rsidRPr="00A61CAB">
        <w:rPr>
          <w:rFonts w:eastAsia="Times New Roman" w:cs="Times New Roman"/>
          <w:b/>
          <w:bCs/>
          <w:color w:val="auto"/>
          <w:szCs w:val="24"/>
          <w:highlight w:val="yellow"/>
          <w14:ligatures w14:val="none"/>
        </w:rPr>
        <w:t xml:space="preserve"> was good. </w:t>
      </w:r>
      <w:r w:rsidRPr="00A61CAB">
        <w:rPr>
          <w:rFonts w:eastAsia="Times New Roman" w:cs="Times New Roman"/>
          <w:b/>
          <w:bCs/>
          <w:color w:val="auto"/>
          <w:szCs w:val="24"/>
          <w:highlight w:val="yellow"/>
          <w14:ligatures w14:val="none"/>
        </w:rPr>
        <w:t>The source of citation should be included in the below of the table.</w:t>
      </w:r>
      <w:r>
        <w:rPr>
          <w:rFonts w:eastAsia="Times New Roman" w:cs="Times New Roman"/>
          <w:b/>
          <w:bCs/>
          <w:color w:val="auto"/>
          <w:szCs w:val="24"/>
          <w14:ligatures w14:val="none"/>
        </w:rPr>
        <w:t xml:space="preserve"> </w:t>
      </w:r>
    </w:p>
    <w:p w14:paraId="0F344DE8" w14:textId="649D81EA" w:rsidR="00A61CAB" w:rsidRDefault="00A61CAB">
      <w:pPr>
        <w:pStyle w:val="CommentText"/>
      </w:pPr>
    </w:p>
  </w:comment>
  <w:comment w:id="17" w:author="Lenovo" w:date="2026-06-14T07:06:00Z" w:initials="L">
    <w:p w14:paraId="57FC0D73" w14:textId="4015A6A7" w:rsidR="002C68A0" w:rsidRDefault="002C68A0" w:rsidP="002C68A0">
      <w:pPr>
        <w:pStyle w:val="CommentText"/>
      </w:pPr>
      <w:r>
        <w:rPr>
          <w:rStyle w:val="CommentReference"/>
        </w:rPr>
        <w:annotationRef/>
      </w:r>
      <w:r>
        <w:rPr>
          <w:rFonts w:eastAsia="Times New Roman" w:cs="Times New Roman"/>
          <w:b/>
          <w:bCs/>
          <w:color w:val="000000" w:themeColor="text1"/>
          <w:sz w:val="28"/>
          <w:szCs w:val="28"/>
        </w:rPr>
        <w:t xml:space="preserve">The </w:t>
      </w:r>
      <w:r w:rsidRPr="007A56B8">
        <w:rPr>
          <w:rFonts w:eastAsia="Times New Roman" w:cs="Times New Roman"/>
          <w:b/>
          <w:bCs/>
          <w:color w:val="000000" w:themeColor="text1"/>
          <w:sz w:val="28"/>
          <w:szCs w:val="28"/>
        </w:rPr>
        <w:t>Conclusions</w:t>
      </w:r>
      <w:r>
        <w:rPr>
          <w:rFonts w:eastAsia="Times New Roman" w:cs="Times New Roman"/>
          <w:b/>
          <w:bCs/>
          <w:color w:val="000000" w:themeColor="text1"/>
          <w:sz w:val="28"/>
          <w:szCs w:val="28"/>
        </w:rPr>
        <w:t xml:space="preserve"> was good. </w:t>
      </w:r>
    </w:p>
  </w:comment>
  <w:comment w:id="18" w:author="Lenovo" w:date="2026-06-14T07:06:00Z" w:initials="L">
    <w:p w14:paraId="04D38E7D" w14:textId="137D6F75" w:rsidR="002C68A0" w:rsidRDefault="002C68A0">
      <w:pPr>
        <w:pStyle w:val="CommentText"/>
      </w:pPr>
      <w:r>
        <w:rPr>
          <w:rStyle w:val="CommentReference"/>
        </w:rPr>
        <w:annotationRef/>
      </w:r>
      <w:r w:rsidRPr="002C68A0">
        <w:rPr>
          <w:rFonts w:cs="Times New Roman"/>
          <w:b/>
          <w:bCs/>
          <w:color w:val="000000" w:themeColor="text1"/>
          <w:sz w:val="28"/>
          <w:szCs w:val="28"/>
          <w:highlight w:val="yellow"/>
        </w:rPr>
        <w:t>The Recommendations was satisfied.</w:t>
      </w:r>
    </w:p>
  </w:comment>
  <w:comment w:id="19" w:author="Lenovo" w:date="2026-06-14T07:07:00Z" w:initials="L">
    <w:p w14:paraId="630DFA8D" w14:textId="0788D2E5" w:rsidR="002575EB" w:rsidRPr="00E33138" w:rsidRDefault="002575EB" w:rsidP="002575EB">
      <w:pPr>
        <w:spacing w:before="100" w:beforeAutospacing="1" w:after="100" w:afterAutospacing="1" w:line="240" w:lineRule="auto"/>
        <w:jc w:val="left"/>
        <w:rPr>
          <w:rFonts w:eastAsia="Times New Roman" w:cs="Times New Roman"/>
          <w:color w:val="auto"/>
          <w:szCs w:val="24"/>
          <w:lang w:bidi="bn-IN"/>
          <w14:ligatures w14:val="none"/>
        </w:rPr>
      </w:pPr>
      <w:r>
        <w:rPr>
          <w:rStyle w:val="CommentReference"/>
        </w:rPr>
        <w:annotationRef/>
      </w:r>
      <w:r w:rsidRPr="002575EB">
        <w:rPr>
          <w:rFonts w:eastAsia="Times New Roman" w:cs="Times New Roman"/>
          <w:b/>
          <w:bCs/>
          <w:color w:val="auto"/>
          <w:szCs w:val="24"/>
          <w:highlight w:val="yellow"/>
          <w:lang w:bidi="bn-IN"/>
          <w14:ligatures w14:val="none"/>
        </w:rPr>
        <w:t xml:space="preserve">The </w:t>
      </w:r>
      <w:r w:rsidRPr="002575EB">
        <w:rPr>
          <w:rFonts w:eastAsia="Times New Roman" w:cs="Times New Roman"/>
          <w:b/>
          <w:bCs/>
          <w:color w:val="auto"/>
          <w:szCs w:val="24"/>
          <w:highlight w:val="yellow"/>
          <w:lang w:bidi="bn-IN"/>
          <w14:ligatures w14:val="none"/>
        </w:rPr>
        <w:t>Limitations</w:t>
      </w:r>
      <w:r w:rsidRPr="002575EB">
        <w:rPr>
          <w:rFonts w:eastAsia="Times New Roman" w:cs="Times New Roman"/>
          <w:b/>
          <w:bCs/>
          <w:color w:val="auto"/>
          <w:szCs w:val="24"/>
          <w:highlight w:val="yellow"/>
          <w:lang w:bidi="bn-IN"/>
          <w14:ligatures w14:val="none"/>
        </w:rPr>
        <w:t xml:space="preserve"> was good.</w:t>
      </w:r>
    </w:p>
    <w:p w14:paraId="744E1380" w14:textId="724F1D6B" w:rsidR="002575EB" w:rsidRDefault="002575EB">
      <w:pPr>
        <w:pStyle w:val="CommentText"/>
      </w:pPr>
    </w:p>
  </w:comment>
  <w:comment w:id="21" w:author="Lenovo" w:date="2026-06-14T07:08:00Z" w:initials="L">
    <w:p w14:paraId="5B08150D" w14:textId="660616C6" w:rsidR="00865112" w:rsidRDefault="00865112" w:rsidP="00865112">
      <w:pPr>
        <w:shd w:val="clear" w:color="auto" w:fill="FFFFFF"/>
        <w:spacing w:line="240" w:lineRule="auto"/>
        <w:rPr>
          <w:rFonts w:eastAsia="Times New Roman" w:cs="Times New Roman"/>
          <w:b/>
          <w:bCs/>
          <w:color w:val="000000" w:themeColor="text1"/>
          <w:sz w:val="28"/>
          <w:szCs w:val="28"/>
        </w:rPr>
      </w:pPr>
      <w:r>
        <w:rPr>
          <w:rStyle w:val="CommentReference"/>
        </w:rPr>
        <w:annotationRef/>
      </w:r>
      <w:r w:rsidRPr="00865112">
        <w:rPr>
          <w:rFonts w:eastAsia="Times New Roman" w:cs="Times New Roman"/>
          <w:b/>
          <w:bCs/>
          <w:color w:val="000000" w:themeColor="text1"/>
          <w:sz w:val="28"/>
          <w:szCs w:val="28"/>
          <w:highlight w:val="yellow"/>
        </w:rPr>
        <w:t>The References was satisfied. It was followed by the format of APA style.</w:t>
      </w:r>
    </w:p>
    <w:p w14:paraId="247B9886" w14:textId="34972386" w:rsidR="00865112" w:rsidRDefault="00865112">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E3E3F" w15:done="0"/>
  <w15:commentEx w15:paraId="50CF9183" w15:done="0"/>
  <w15:commentEx w15:paraId="6CFC6771" w15:done="0"/>
  <w15:commentEx w15:paraId="3DF7D8C1" w15:done="0"/>
  <w15:commentEx w15:paraId="66354112" w15:done="0"/>
  <w15:commentEx w15:paraId="705712CA" w15:done="0"/>
  <w15:commentEx w15:paraId="035F80D5" w15:done="0"/>
  <w15:commentEx w15:paraId="29C37892" w15:done="0"/>
  <w15:commentEx w15:paraId="65836685" w15:done="0"/>
  <w15:commentEx w15:paraId="0DBA6EFF" w15:done="0"/>
  <w15:commentEx w15:paraId="18EB02CE" w15:done="0"/>
  <w15:commentEx w15:paraId="1ED83B63" w15:done="0"/>
  <w15:commentEx w15:paraId="2B795726" w15:done="0"/>
  <w15:commentEx w15:paraId="006611B0" w15:done="0"/>
  <w15:commentEx w15:paraId="0F344DE8" w15:done="0"/>
  <w15:commentEx w15:paraId="57FC0D73" w15:done="0"/>
  <w15:commentEx w15:paraId="04D38E7D" w15:done="0"/>
  <w15:commentEx w15:paraId="744E1380" w15:done="0"/>
  <w15:commentEx w15:paraId="247B988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3E9BA" w14:textId="77777777" w:rsidR="00810DA4" w:rsidRDefault="00810DA4">
      <w:pPr>
        <w:spacing w:before="0" w:line="240" w:lineRule="auto"/>
      </w:pPr>
      <w:r>
        <w:separator/>
      </w:r>
    </w:p>
  </w:endnote>
  <w:endnote w:type="continuationSeparator" w:id="0">
    <w:p w14:paraId="2D4A79B6" w14:textId="77777777" w:rsidR="00810DA4" w:rsidRDefault="00810D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14E3" w14:textId="44685476" w:rsidR="00E73311" w:rsidRDefault="00E73311">
    <w:pPr>
      <w:pStyle w:val="Footer"/>
    </w:pPr>
    <w:r>
      <w:rPr>
        <w:noProof/>
        <w:lang w:val="en-IN" w:eastAsia="en-IN"/>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E73311" w:rsidRPr="009E3D26" w:rsidRDefault="00E73311"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28D3" w14:textId="652D6FD8" w:rsidR="00E73311" w:rsidRPr="008A0558" w:rsidRDefault="00E73311">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865112">
          <w:rPr>
            <w:noProof/>
            <w:sz w:val="20"/>
            <w:szCs w:val="18"/>
          </w:rPr>
          <w:t>15</w:t>
        </w:r>
        <w:r w:rsidRPr="008A0558">
          <w:rPr>
            <w:noProof/>
            <w:sz w:val="20"/>
            <w:szCs w:val="18"/>
          </w:rPr>
          <w:fldChar w:fldCharType="end"/>
        </w:r>
      </w:sdtContent>
    </w:sdt>
  </w:p>
  <w:p w14:paraId="70E80D4D" w14:textId="77777777" w:rsidR="00E73311" w:rsidRDefault="00E733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AAD0" w14:textId="7CA455B1" w:rsidR="00E73311" w:rsidRDefault="00E73311">
    <w:pPr>
      <w:pStyle w:val="Footer"/>
    </w:pPr>
    <w:r>
      <w:rPr>
        <w:noProof/>
        <w:lang w:val="en-IN" w:eastAsia="en-IN"/>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E73311" w:rsidRPr="009E3D26" w:rsidRDefault="00E73311"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80C93" w14:textId="77777777" w:rsidR="00810DA4" w:rsidRDefault="00810DA4">
      <w:pPr>
        <w:spacing w:before="0" w:line="240" w:lineRule="auto"/>
      </w:pPr>
      <w:r>
        <w:separator/>
      </w:r>
    </w:p>
  </w:footnote>
  <w:footnote w:type="continuationSeparator" w:id="0">
    <w:p w14:paraId="7741B76E" w14:textId="77777777" w:rsidR="00810DA4" w:rsidRDefault="00810DA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9176" w14:textId="31C7EDFF" w:rsidR="00E73311" w:rsidRDefault="00E73311">
    <w:pPr>
      <w:pStyle w:val="Header"/>
    </w:pPr>
    <w:r>
      <w:rPr>
        <w:noProof/>
      </w:rPr>
      <w:pict w14:anchorId="4EB28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72844" o:spid="_x0000_s2050"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E03B2" w14:textId="7C4359DB" w:rsidR="00E73311" w:rsidRDefault="00E73311">
    <w:pPr>
      <w:pStyle w:val="Header"/>
    </w:pPr>
    <w:r>
      <w:rPr>
        <w:noProof/>
      </w:rPr>
      <w:pict w14:anchorId="1B99F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72845" o:spid="_x0000_s2051" type="#_x0000_t136" style="position:absolute;left:0;text-align:left;margin-left:0;margin-top:0;width:698.65pt;height:78.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B52E3" w14:textId="61BB893F" w:rsidR="00E73311" w:rsidRDefault="00E73311">
    <w:pPr>
      <w:pStyle w:val="Header"/>
    </w:pPr>
    <w:r>
      <w:rPr>
        <w:noProof/>
      </w:rPr>
      <w:pict w14:anchorId="7D69D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72843" o:spid="_x0000_s2049"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1"/>
  </w:num>
  <w:num w:numId="13">
    <w:abstractNumId w:val="14"/>
  </w:num>
  <w:num w:numId="14">
    <w:abstractNumId w:val="19"/>
  </w:num>
  <w:num w:numId="15">
    <w:abstractNumId w:val="2"/>
  </w:num>
  <w:num w:numId="16">
    <w:abstractNumId w:val="10"/>
  </w:num>
  <w:num w:numId="17">
    <w:abstractNumId w:val="7"/>
  </w:num>
  <w:num w:numId="18">
    <w:abstractNumId w:val="15"/>
  </w:num>
  <w:num w:numId="19">
    <w:abstractNumId w:val="13"/>
  </w:num>
  <w:num w:numId="20">
    <w:abstractNumId w:val="6"/>
  </w:num>
  <w:num w:numId="21">
    <w:abstractNumId w:val="8"/>
  </w:num>
  <w:num w:numId="22">
    <w:abstractNumId w:val="21"/>
  </w:num>
  <w:num w:numId="23">
    <w:abstractNumId w:val="9"/>
  </w:num>
  <w:num w:numId="24">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83"/>
    <w:rsid w:val="00005286"/>
    <w:rsid w:val="00014726"/>
    <w:rsid w:val="0001490C"/>
    <w:rsid w:val="000334D7"/>
    <w:rsid w:val="00036654"/>
    <w:rsid w:val="000410EC"/>
    <w:rsid w:val="000443AB"/>
    <w:rsid w:val="000446E8"/>
    <w:rsid w:val="00047D61"/>
    <w:rsid w:val="00055D83"/>
    <w:rsid w:val="000577EB"/>
    <w:rsid w:val="0006448B"/>
    <w:rsid w:val="00064933"/>
    <w:rsid w:val="000650BC"/>
    <w:rsid w:val="000661F9"/>
    <w:rsid w:val="00073097"/>
    <w:rsid w:val="000747C2"/>
    <w:rsid w:val="000750F8"/>
    <w:rsid w:val="00076BA5"/>
    <w:rsid w:val="000804D7"/>
    <w:rsid w:val="00082DAA"/>
    <w:rsid w:val="00087A1D"/>
    <w:rsid w:val="0009510D"/>
    <w:rsid w:val="00096C2E"/>
    <w:rsid w:val="0009733F"/>
    <w:rsid w:val="000A3BD7"/>
    <w:rsid w:val="000A56D7"/>
    <w:rsid w:val="000A57EC"/>
    <w:rsid w:val="000A6884"/>
    <w:rsid w:val="000B496D"/>
    <w:rsid w:val="000C037E"/>
    <w:rsid w:val="000D075E"/>
    <w:rsid w:val="000D0F56"/>
    <w:rsid w:val="000D1B44"/>
    <w:rsid w:val="000D7152"/>
    <w:rsid w:val="000D7DAA"/>
    <w:rsid w:val="000E2349"/>
    <w:rsid w:val="000F4A65"/>
    <w:rsid w:val="00111B62"/>
    <w:rsid w:val="001163C7"/>
    <w:rsid w:val="00124253"/>
    <w:rsid w:val="00127493"/>
    <w:rsid w:val="00130874"/>
    <w:rsid w:val="00131EAA"/>
    <w:rsid w:val="001403AD"/>
    <w:rsid w:val="00142F60"/>
    <w:rsid w:val="001450C8"/>
    <w:rsid w:val="001452A3"/>
    <w:rsid w:val="00147E4C"/>
    <w:rsid w:val="00154669"/>
    <w:rsid w:val="00162029"/>
    <w:rsid w:val="00167079"/>
    <w:rsid w:val="00167C75"/>
    <w:rsid w:val="0017796D"/>
    <w:rsid w:val="0018163F"/>
    <w:rsid w:val="0018246F"/>
    <w:rsid w:val="00185BCB"/>
    <w:rsid w:val="00185FFD"/>
    <w:rsid w:val="001938DE"/>
    <w:rsid w:val="001A1794"/>
    <w:rsid w:val="001A1E1C"/>
    <w:rsid w:val="001A5880"/>
    <w:rsid w:val="001C0412"/>
    <w:rsid w:val="001C35CA"/>
    <w:rsid w:val="001C4B7D"/>
    <w:rsid w:val="001D23A9"/>
    <w:rsid w:val="001D4A55"/>
    <w:rsid w:val="001D6A60"/>
    <w:rsid w:val="001E0043"/>
    <w:rsid w:val="001E052A"/>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254B1"/>
    <w:rsid w:val="00243C69"/>
    <w:rsid w:val="0024737A"/>
    <w:rsid w:val="0025131C"/>
    <w:rsid w:val="0025160E"/>
    <w:rsid w:val="0025635B"/>
    <w:rsid w:val="002575EB"/>
    <w:rsid w:val="00260B2D"/>
    <w:rsid w:val="002645C1"/>
    <w:rsid w:val="00270AED"/>
    <w:rsid w:val="00271CF6"/>
    <w:rsid w:val="00274AC6"/>
    <w:rsid w:val="00276CE5"/>
    <w:rsid w:val="002779A5"/>
    <w:rsid w:val="002856C7"/>
    <w:rsid w:val="002859D4"/>
    <w:rsid w:val="002860AE"/>
    <w:rsid w:val="002A562C"/>
    <w:rsid w:val="002B2D3C"/>
    <w:rsid w:val="002B5578"/>
    <w:rsid w:val="002C2F8F"/>
    <w:rsid w:val="002C5A49"/>
    <w:rsid w:val="002C5E15"/>
    <w:rsid w:val="002C68A0"/>
    <w:rsid w:val="002C6F25"/>
    <w:rsid w:val="002C72A3"/>
    <w:rsid w:val="002D1CB2"/>
    <w:rsid w:val="002D32ED"/>
    <w:rsid w:val="002D4259"/>
    <w:rsid w:val="002D6969"/>
    <w:rsid w:val="002D7340"/>
    <w:rsid w:val="002E3874"/>
    <w:rsid w:val="002E784F"/>
    <w:rsid w:val="002F03DA"/>
    <w:rsid w:val="002F3573"/>
    <w:rsid w:val="00300BE0"/>
    <w:rsid w:val="00301FD6"/>
    <w:rsid w:val="003029F0"/>
    <w:rsid w:val="00311377"/>
    <w:rsid w:val="00311DFA"/>
    <w:rsid w:val="003128C6"/>
    <w:rsid w:val="003131D7"/>
    <w:rsid w:val="003140FD"/>
    <w:rsid w:val="003217BF"/>
    <w:rsid w:val="00323D68"/>
    <w:rsid w:val="00324548"/>
    <w:rsid w:val="0032604D"/>
    <w:rsid w:val="0033028F"/>
    <w:rsid w:val="0033151D"/>
    <w:rsid w:val="00336C6D"/>
    <w:rsid w:val="00337145"/>
    <w:rsid w:val="0034183D"/>
    <w:rsid w:val="00342FD9"/>
    <w:rsid w:val="00343363"/>
    <w:rsid w:val="00344733"/>
    <w:rsid w:val="003522D0"/>
    <w:rsid w:val="003607E2"/>
    <w:rsid w:val="0036344E"/>
    <w:rsid w:val="00370F8B"/>
    <w:rsid w:val="00372DCB"/>
    <w:rsid w:val="00374FD9"/>
    <w:rsid w:val="00376BF4"/>
    <w:rsid w:val="0038103F"/>
    <w:rsid w:val="003851AE"/>
    <w:rsid w:val="003853CB"/>
    <w:rsid w:val="00390D07"/>
    <w:rsid w:val="00392CB6"/>
    <w:rsid w:val="003A2387"/>
    <w:rsid w:val="003C4227"/>
    <w:rsid w:val="003C581F"/>
    <w:rsid w:val="003C59BB"/>
    <w:rsid w:val="003C7107"/>
    <w:rsid w:val="003D2541"/>
    <w:rsid w:val="003D39AB"/>
    <w:rsid w:val="003D4D6F"/>
    <w:rsid w:val="003D4FD6"/>
    <w:rsid w:val="003D7198"/>
    <w:rsid w:val="003E0D69"/>
    <w:rsid w:val="003E0FAD"/>
    <w:rsid w:val="003E21E7"/>
    <w:rsid w:val="003E38F0"/>
    <w:rsid w:val="003E7E33"/>
    <w:rsid w:val="003F01AE"/>
    <w:rsid w:val="003F72A0"/>
    <w:rsid w:val="00406845"/>
    <w:rsid w:val="004071F4"/>
    <w:rsid w:val="00407977"/>
    <w:rsid w:val="0041566F"/>
    <w:rsid w:val="00415ABE"/>
    <w:rsid w:val="004165B3"/>
    <w:rsid w:val="00416E73"/>
    <w:rsid w:val="00421CF2"/>
    <w:rsid w:val="0042251A"/>
    <w:rsid w:val="004261F9"/>
    <w:rsid w:val="00426201"/>
    <w:rsid w:val="00426617"/>
    <w:rsid w:val="00426CDB"/>
    <w:rsid w:val="00437393"/>
    <w:rsid w:val="00440EF7"/>
    <w:rsid w:val="00451ECC"/>
    <w:rsid w:val="00462C20"/>
    <w:rsid w:val="004737A8"/>
    <w:rsid w:val="00483FB5"/>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7EEF"/>
    <w:rsid w:val="004E3D2D"/>
    <w:rsid w:val="004E4A2C"/>
    <w:rsid w:val="004F5A5D"/>
    <w:rsid w:val="00500683"/>
    <w:rsid w:val="00505972"/>
    <w:rsid w:val="00511FA2"/>
    <w:rsid w:val="0051495F"/>
    <w:rsid w:val="00526412"/>
    <w:rsid w:val="0052667E"/>
    <w:rsid w:val="00533290"/>
    <w:rsid w:val="005417F4"/>
    <w:rsid w:val="0054398C"/>
    <w:rsid w:val="00546369"/>
    <w:rsid w:val="00556C7C"/>
    <w:rsid w:val="00561737"/>
    <w:rsid w:val="00563CE7"/>
    <w:rsid w:val="00563F35"/>
    <w:rsid w:val="005666F9"/>
    <w:rsid w:val="005713C2"/>
    <w:rsid w:val="00571717"/>
    <w:rsid w:val="00571F99"/>
    <w:rsid w:val="005740B5"/>
    <w:rsid w:val="00575F00"/>
    <w:rsid w:val="00580F0A"/>
    <w:rsid w:val="00591DBD"/>
    <w:rsid w:val="005926C9"/>
    <w:rsid w:val="00594F68"/>
    <w:rsid w:val="005B04D7"/>
    <w:rsid w:val="005B0558"/>
    <w:rsid w:val="005D3FE1"/>
    <w:rsid w:val="005D72F4"/>
    <w:rsid w:val="005E386E"/>
    <w:rsid w:val="005E3D2C"/>
    <w:rsid w:val="005F19B0"/>
    <w:rsid w:val="005F1DA5"/>
    <w:rsid w:val="005F2F50"/>
    <w:rsid w:val="005F55CB"/>
    <w:rsid w:val="0060683F"/>
    <w:rsid w:val="00610BEF"/>
    <w:rsid w:val="0061111A"/>
    <w:rsid w:val="00615B2D"/>
    <w:rsid w:val="00616E93"/>
    <w:rsid w:val="006177C4"/>
    <w:rsid w:val="006211E5"/>
    <w:rsid w:val="00622E5D"/>
    <w:rsid w:val="00623C02"/>
    <w:rsid w:val="00632E53"/>
    <w:rsid w:val="00652189"/>
    <w:rsid w:val="00652F0D"/>
    <w:rsid w:val="0065654C"/>
    <w:rsid w:val="00661AAF"/>
    <w:rsid w:val="006633DF"/>
    <w:rsid w:val="00675C16"/>
    <w:rsid w:val="006826A1"/>
    <w:rsid w:val="00683F32"/>
    <w:rsid w:val="00685965"/>
    <w:rsid w:val="0068692A"/>
    <w:rsid w:val="006A0520"/>
    <w:rsid w:val="006B1220"/>
    <w:rsid w:val="006B3C88"/>
    <w:rsid w:val="006B4626"/>
    <w:rsid w:val="006B5A8E"/>
    <w:rsid w:val="006B5CA2"/>
    <w:rsid w:val="006C3DFD"/>
    <w:rsid w:val="006C41A9"/>
    <w:rsid w:val="006C4D79"/>
    <w:rsid w:val="006D16E8"/>
    <w:rsid w:val="006E09FE"/>
    <w:rsid w:val="006E1D74"/>
    <w:rsid w:val="006E3F3F"/>
    <w:rsid w:val="006E526B"/>
    <w:rsid w:val="006F1C82"/>
    <w:rsid w:val="0070085D"/>
    <w:rsid w:val="00714562"/>
    <w:rsid w:val="00715AA2"/>
    <w:rsid w:val="0071731F"/>
    <w:rsid w:val="007173FC"/>
    <w:rsid w:val="007205CE"/>
    <w:rsid w:val="00722A32"/>
    <w:rsid w:val="00723B81"/>
    <w:rsid w:val="007313ED"/>
    <w:rsid w:val="00750F50"/>
    <w:rsid w:val="0075698D"/>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61C7"/>
    <w:rsid w:val="007B75C6"/>
    <w:rsid w:val="007C3182"/>
    <w:rsid w:val="007C6929"/>
    <w:rsid w:val="007D08AC"/>
    <w:rsid w:val="007D4F35"/>
    <w:rsid w:val="007E3458"/>
    <w:rsid w:val="007E541E"/>
    <w:rsid w:val="007E5A6C"/>
    <w:rsid w:val="007F1318"/>
    <w:rsid w:val="007F4F3C"/>
    <w:rsid w:val="008003E7"/>
    <w:rsid w:val="00810DA4"/>
    <w:rsid w:val="0081762C"/>
    <w:rsid w:val="008209F0"/>
    <w:rsid w:val="00822A7E"/>
    <w:rsid w:val="008263C5"/>
    <w:rsid w:val="008456FF"/>
    <w:rsid w:val="0085437C"/>
    <w:rsid w:val="00854FF7"/>
    <w:rsid w:val="00857BF9"/>
    <w:rsid w:val="00860F17"/>
    <w:rsid w:val="00863107"/>
    <w:rsid w:val="00865112"/>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0E99"/>
    <w:rsid w:val="008D43EA"/>
    <w:rsid w:val="008E2312"/>
    <w:rsid w:val="008E5566"/>
    <w:rsid w:val="008F4E62"/>
    <w:rsid w:val="00906288"/>
    <w:rsid w:val="00912F66"/>
    <w:rsid w:val="009179CC"/>
    <w:rsid w:val="0092006B"/>
    <w:rsid w:val="00925466"/>
    <w:rsid w:val="0092720B"/>
    <w:rsid w:val="00933567"/>
    <w:rsid w:val="00935ABF"/>
    <w:rsid w:val="00945F70"/>
    <w:rsid w:val="009502FB"/>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D5CE2"/>
    <w:rsid w:val="009E0B92"/>
    <w:rsid w:val="009E0CF9"/>
    <w:rsid w:val="009E3D26"/>
    <w:rsid w:val="009E40E7"/>
    <w:rsid w:val="009E457F"/>
    <w:rsid w:val="009E783A"/>
    <w:rsid w:val="009F3871"/>
    <w:rsid w:val="009F5632"/>
    <w:rsid w:val="009F6D2D"/>
    <w:rsid w:val="00A00A05"/>
    <w:rsid w:val="00A0120F"/>
    <w:rsid w:val="00A01B25"/>
    <w:rsid w:val="00A01E19"/>
    <w:rsid w:val="00A134E9"/>
    <w:rsid w:val="00A15B6B"/>
    <w:rsid w:val="00A22EB7"/>
    <w:rsid w:val="00A27439"/>
    <w:rsid w:val="00A31119"/>
    <w:rsid w:val="00A40F08"/>
    <w:rsid w:val="00A42FF3"/>
    <w:rsid w:val="00A52C12"/>
    <w:rsid w:val="00A57832"/>
    <w:rsid w:val="00A616A9"/>
    <w:rsid w:val="00A61CAB"/>
    <w:rsid w:val="00A6679B"/>
    <w:rsid w:val="00A67F40"/>
    <w:rsid w:val="00A73EDF"/>
    <w:rsid w:val="00A75341"/>
    <w:rsid w:val="00A81F27"/>
    <w:rsid w:val="00A82DFB"/>
    <w:rsid w:val="00A85593"/>
    <w:rsid w:val="00A85B82"/>
    <w:rsid w:val="00A91ACF"/>
    <w:rsid w:val="00A91C98"/>
    <w:rsid w:val="00A9253F"/>
    <w:rsid w:val="00A94D23"/>
    <w:rsid w:val="00A9586C"/>
    <w:rsid w:val="00A96A1E"/>
    <w:rsid w:val="00AA0F90"/>
    <w:rsid w:val="00AC0D69"/>
    <w:rsid w:val="00AC2144"/>
    <w:rsid w:val="00AD0959"/>
    <w:rsid w:val="00AD4106"/>
    <w:rsid w:val="00AD50D3"/>
    <w:rsid w:val="00AD6429"/>
    <w:rsid w:val="00AE3804"/>
    <w:rsid w:val="00AE3911"/>
    <w:rsid w:val="00AE4AA5"/>
    <w:rsid w:val="00AE69E8"/>
    <w:rsid w:val="00AF0AC2"/>
    <w:rsid w:val="00AF253B"/>
    <w:rsid w:val="00AF38F9"/>
    <w:rsid w:val="00AF46F3"/>
    <w:rsid w:val="00B00FCB"/>
    <w:rsid w:val="00B03327"/>
    <w:rsid w:val="00B04E6C"/>
    <w:rsid w:val="00B05A71"/>
    <w:rsid w:val="00B108BB"/>
    <w:rsid w:val="00B14085"/>
    <w:rsid w:val="00B14EAC"/>
    <w:rsid w:val="00B2188D"/>
    <w:rsid w:val="00B22173"/>
    <w:rsid w:val="00B26084"/>
    <w:rsid w:val="00B3455A"/>
    <w:rsid w:val="00B3762C"/>
    <w:rsid w:val="00B40B7A"/>
    <w:rsid w:val="00B40DD3"/>
    <w:rsid w:val="00B449E1"/>
    <w:rsid w:val="00B44AE3"/>
    <w:rsid w:val="00B44B78"/>
    <w:rsid w:val="00B55CEF"/>
    <w:rsid w:val="00B55DC9"/>
    <w:rsid w:val="00B67158"/>
    <w:rsid w:val="00B717D1"/>
    <w:rsid w:val="00B836B4"/>
    <w:rsid w:val="00B857E4"/>
    <w:rsid w:val="00B85E42"/>
    <w:rsid w:val="00B87A83"/>
    <w:rsid w:val="00B93488"/>
    <w:rsid w:val="00B9497F"/>
    <w:rsid w:val="00BA58DB"/>
    <w:rsid w:val="00BA790C"/>
    <w:rsid w:val="00BB1899"/>
    <w:rsid w:val="00BB3A83"/>
    <w:rsid w:val="00BC2524"/>
    <w:rsid w:val="00BC4BE0"/>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335A"/>
    <w:rsid w:val="00C21D61"/>
    <w:rsid w:val="00C237CE"/>
    <w:rsid w:val="00C25488"/>
    <w:rsid w:val="00C32AB8"/>
    <w:rsid w:val="00C4118B"/>
    <w:rsid w:val="00C54577"/>
    <w:rsid w:val="00C67694"/>
    <w:rsid w:val="00C864EE"/>
    <w:rsid w:val="00C9348C"/>
    <w:rsid w:val="00C937F1"/>
    <w:rsid w:val="00C95979"/>
    <w:rsid w:val="00CA2418"/>
    <w:rsid w:val="00CA37C0"/>
    <w:rsid w:val="00CA6BD4"/>
    <w:rsid w:val="00CB6E82"/>
    <w:rsid w:val="00CD4379"/>
    <w:rsid w:val="00CE0AFF"/>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B266B"/>
    <w:rsid w:val="00DB408B"/>
    <w:rsid w:val="00DC20F2"/>
    <w:rsid w:val="00DC406B"/>
    <w:rsid w:val="00DC4076"/>
    <w:rsid w:val="00DC411F"/>
    <w:rsid w:val="00DC4508"/>
    <w:rsid w:val="00DD21C0"/>
    <w:rsid w:val="00DE2430"/>
    <w:rsid w:val="00DE5974"/>
    <w:rsid w:val="00DE6047"/>
    <w:rsid w:val="00DF126E"/>
    <w:rsid w:val="00E05059"/>
    <w:rsid w:val="00E0554F"/>
    <w:rsid w:val="00E07021"/>
    <w:rsid w:val="00E1065F"/>
    <w:rsid w:val="00E127AD"/>
    <w:rsid w:val="00E1453F"/>
    <w:rsid w:val="00E160F3"/>
    <w:rsid w:val="00E17890"/>
    <w:rsid w:val="00E22B03"/>
    <w:rsid w:val="00E22FC8"/>
    <w:rsid w:val="00E236F2"/>
    <w:rsid w:val="00E24AB2"/>
    <w:rsid w:val="00E270A8"/>
    <w:rsid w:val="00E31A3E"/>
    <w:rsid w:val="00E3230A"/>
    <w:rsid w:val="00E33138"/>
    <w:rsid w:val="00E3709F"/>
    <w:rsid w:val="00E41E2F"/>
    <w:rsid w:val="00E448DE"/>
    <w:rsid w:val="00E468EC"/>
    <w:rsid w:val="00E5141C"/>
    <w:rsid w:val="00E54B24"/>
    <w:rsid w:val="00E550A5"/>
    <w:rsid w:val="00E57ADC"/>
    <w:rsid w:val="00E60AE6"/>
    <w:rsid w:val="00E63B72"/>
    <w:rsid w:val="00E63DD0"/>
    <w:rsid w:val="00E65193"/>
    <w:rsid w:val="00E70601"/>
    <w:rsid w:val="00E728DB"/>
    <w:rsid w:val="00E730D7"/>
    <w:rsid w:val="00E73311"/>
    <w:rsid w:val="00E737F5"/>
    <w:rsid w:val="00E73E17"/>
    <w:rsid w:val="00E75DCB"/>
    <w:rsid w:val="00E77E87"/>
    <w:rsid w:val="00E819C7"/>
    <w:rsid w:val="00E85394"/>
    <w:rsid w:val="00E85589"/>
    <w:rsid w:val="00E87A78"/>
    <w:rsid w:val="00E9063A"/>
    <w:rsid w:val="00E95BE7"/>
    <w:rsid w:val="00E95FB3"/>
    <w:rsid w:val="00EA355D"/>
    <w:rsid w:val="00EA6B12"/>
    <w:rsid w:val="00EA7AE3"/>
    <w:rsid w:val="00EC58C5"/>
    <w:rsid w:val="00ED008A"/>
    <w:rsid w:val="00EE0214"/>
    <w:rsid w:val="00EF498C"/>
    <w:rsid w:val="00F00D01"/>
    <w:rsid w:val="00F01BA4"/>
    <w:rsid w:val="00F02225"/>
    <w:rsid w:val="00F05D67"/>
    <w:rsid w:val="00F1014E"/>
    <w:rsid w:val="00F111A2"/>
    <w:rsid w:val="00F13287"/>
    <w:rsid w:val="00F14915"/>
    <w:rsid w:val="00F16858"/>
    <w:rsid w:val="00F23691"/>
    <w:rsid w:val="00F341B9"/>
    <w:rsid w:val="00F42712"/>
    <w:rsid w:val="00F42A52"/>
    <w:rsid w:val="00F42B0A"/>
    <w:rsid w:val="00F4318E"/>
    <w:rsid w:val="00F46BA3"/>
    <w:rsid w:val="00F56176"/>
    <w:rsid w:val="00F61F6F"/>
    <w:rsid w:val="00F6655B"/>
    <w:rsid w:val="00F74A68"/>
    <w:rsid w:val="00F74BD5"/>
    <w:rsid w:val="00F857CA"/>
    <w:rsid w:val="00F926C6"/>
    <w:rsid w:val="00F933EE"/>
    <w:rsid w:val="00F93EB9"/>
    <w:rsid w:val="00FA3A0A"/>
    <w:rsid w:val="00FA74EF"/>
    <w:rsid w:val="00FB2E0F"/>
    <w:rsid w:val="00FB3030"/>
    <w:rsid w:val="00FB4E25"/>
    <w:rsid w:val="00FC2372"/>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character" w:customStyle="1" w:styleId="UnresolvedMention">
    <w:name w:val="Unresolved Mention"/>
    <w:basedOn w:val="DefaultParagraphFont"/>
    <w:uiPriority w:val="99"/>
    <w:semiHidden/>
    <w:unhideWhenUsed/>
    <w:rsid w:val="003217BF"/>
    <w:rPr>
      <w:color w:val="605E5C"/>
      <w:shd w:val="clear" w:color="auto" w:fill="E1DFDD"/>
    </w:rPr>
  </w:style>
  <w:style w:type="paragraph" w:customStyle="1" w:styleId="isselectedend">
    <w:name w:val="isselectedend"/>
    <w:basedOn w:val="Normal"/>
    <w:rsid w:val="001A1794"/>
    <w:pPr>
      <w:spacing w:before="100" w:beforeAutospacing="1" w:after="100" w:afterAutospacing="1" w:line="240" w:lineRule="auto"/>
      <w:jc w:val="left"/>
    </w:pPr>
    <w:rPr>
      <w:rFonts w:eastAsia="Times New Roman" w:cs="Times New Roman"/>
      <w:color w:val="auto"/>
      <w:szCs w:val="24"/>
      <w:lang w:bidi="bn-IN"/>
      <w14:ligatures w14:val="none"/>
    </w:rPr>
  </w:style>
  <w:style w:type="character" w:styleId="CommentReference">
    <w:name w:val="annotation reference"/>
    <w:basedOn w:val="DefaultParagraphFont"/>
    <w:uiPriority w:val="99"/>
    <w:semiHidden/>
    <w:unhideWhenUsed/>
    <w:rsid w:val="00F4318E"/>
    <w:rPr>
      <w:sz w:val="16"/>
      <w:szCs w:val="16"/>
    </w:rPr>
  </w:style>
  <w:style w:type="paragraph" w:styleId="CommentText">
    <w:name w:val="annotation text"/>
    <w:basedOn w:val="Normal"/>
    <w:link w:val="CommentTextChar"/>
    <w:uiPriority w:val="99"/>
    <w:semiHidden/>
    <w:unhideWhenUsed/>
    <w:rsid w:val="00F4318E"/>
    <w:pPr>
      <w:spacing w:line="240" w:lineRule="auto"/>
    </w:pPr>
    <w:rPr>
      <w:sz w:val="20"/>
      <w:szCs w:val="20"/>
    </w:rPr>
  </w:style>
  <w:style w:type="character" w:customStyle="1" w:styleId="CommentTextChar">
    <w:name w:val="Comment Text Char"/>
    <w:basedOn w:val="DefaultParagraphFont"/>
    <w:link w:val="CommentText"/>
    <w:uiPriority w:val="99"/>
    <w:semiHidden/>
    <w:rsid w:val="00F4318E"/>
    <w:rPr>
      <w:rFonts w:ascii="Times New Roman" w:eastAsia="Calibri" w:hAnsi="Times New Roman" w:cs="SimSun"/>
      <w:color w:val="000000"/>
      <w:kern w:val="0"/>
      <w:sz w:val="20"/>
      <w:szCs w:val="20"/>
    </w:rPr>
  </w:style>
  <w:style w:type="paragraph" w:styleId="CommentSubject">
    <w:name w:val="annotation subject"/>
    <w:basedOn w:val="CommentText"/>
    <w:next w:val="CommentText"/>
    <w:link w:val="CommentSubjectChar"/>
    <w:uiPriority w:val="99"/>
    <w:semiHidden/>
    <w:unhideWhenUsed/>
    <w:rsid w:val="00F4318E"/>
    <w:rPr>
      <w:b/>
      <w:bCs/>
    </w:rPr>
  </w:style>
  <w:style w:type="character" w:customStyle="1" w:styleId="CommentSubjectChar">
    <w:name w:val="Comment Subject Char"/>
    <w:basedOn w:val="CommentTextChar"/>
    <w:link w:val="CommentSubject"/>
    <w:uiPriority w:val="99"/>
    <w:semiHidden/>
    <w:rsid w:val="00F4318E"/>
    <w:rPr>
      <w:rFonts w:ascii="Times New Roman" w:eastAsia="Calibri" w:hAnsi="Times New Roman" w:cs="SimSun"/>
      <w:b/>
      <w:bCs/>
      <w:color w:val="000000"/>
      <w:kern w:val="0"/>
      <w:sz w:val="20"/>
      <w:szCs w:val="20"/>
    </w:rPr>
  </w:style>
  <w:style w:type="paragraph" w:styleId="BalloonText">
    <w:name w:val="Balloon Text"/>
    <w:basedOn w:val="Normal"/>
    <w:link w:val="BalloonTextChar"/>
    <w:uiPriority w:val="99"/>
    <w:semiHidden/>
    <w:unhideWhenUsed/>
    <w:rsid w:val="00F4318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8E"/>
    <w:rPr>
      <w:rFonts w:ascii="Segoe UI" w:eastAsia="Calibri" w:hAnsi="Segoe UI" w:cs="Segoe U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8162</Words>
  <Characters>46527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Lenovo</cp:lastModifiedBy>
  <cp:revision>28</cp:revision>
  <dcterms:created xsi:type="dcterms:W3CDTF">2026-06-11T12:43:00Z</dcterms:created>
  <dcterms:modified xsi:type="dcterms:W3CDTF">2026-06-14T01:39:00Z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