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B63A7" w14:textId="2A9D8215" w:rsidR="00043064" w:rsidRDefault="00043064" w:rsidP="00043064">
      <w:pPr>
        <w:tabs>
          <w:tab w:val="left" w:pos="851"/>
        </w:tabs>
        <w:spacing w:after="0" w:line="240" w:lineRule="auto"/>
        <w:jc w:val="both"/>
        <w:rPr>
          <w:rFonts w:ascii="Times New Roman" w:hAnsi="Times New Roman" w:cs="Times New Roman"/>
          <w:b/>
          <w:sz w:val="28"/>
          <w:szCs w:val="28"/>
        </w:rPr>
      </w:pPr>
      <w:r w:rsidRPr="00043064">
        <w:rPr>
          <w:rFonts w:ascii="Times New Roman" w:hAnsi="Times New Roman" w:cs="Times New Roman"/>
          <w:b/>
          <w:sz w:val="28"/>
          <w:szCs w:val="28"/>
        </w:rPr>
        <w:t>Post-Remediation Soil Recovery in K-Dere, Ogoniland: Implications for Sustainable Environmental Restoration</w:t>
      </w:r>
    </w:p>
    <w:p w14:paraId="7794333F" w14:textId="77777777" w:rsidR="00A32143" w:rsidRDefault="00A32143" w:rsidP="00043064">
      <w:pPr>
        <w:tabs>
          <w:tab w:val="left" w:pos="851"/>
        </w:tabs>
        <w:spacing w:after="0" w:line="240" w:lineRule="auto"/>
        <w:jc w:val="both"/>
        <w:rPr>
          <w:rFonts w:ascii="Times New Roman" w:hAnsi="Times New Roman" w:cs="Times New Roman"/>
          <w:b/>
          <w:sz w:val="28"/>
          <w:szCs w:val="28"/>
        </w:rPr>
      </w:pPr>
    </w:p>
    <w:p w14:paraId="3AB4F6F0" w14:textId="77777777" w:rsidR="005E68D4" w:rsidRDefault="00A32143">
      <w:pPr>
        <w:spacing w:line="480" w:lineRule="auto"/>
        <w:jc w:val="center"/>
        <w:rPr>
          <w:rFonts w:ascii="Times New Roman" w:hAnsi="Times New Roman" w:cs="Times New Roman"/>
          <w:b/>
        </w:rPr>
      </w:pPr>
      <w:r>
        <w:rPr>
          <w:rFonts w:ascii="Times New Roman" w:hAnsi="Times New Roman" w:cs="Times New Roman"/>
          <w:b/>
          <w:lang w:val="en-US"/>
        </w:rPr>
        <w:t>Abstract</w:t>
      </w:r>
    </w:p>
    <w:p w14:paraId="4B722B94" w14:textId="77777777" w:rsidR="005E68D4" w:rsidRDefault="00A32143">
      <w:pPr>
        <w:spacing w:line="240" w:lineRule="auto"/>
        <w:jc w:val="both"/>
        <w:rPr>
          <w:rFonts w:ascii="Times New Roman" w:hAnsi="Times New Roman" w:cs="Times New Roman"/>
          <w:i/>
        </w:rPr>
      </w:pPr>
      <w:r>
        <w:rPr>
          <w:rFonts w:ascii="Times New Roman" w:hAnsi="Times New Roman" w:cs="Times New Roman"/>
          <w:i/>
          <w:lang w:val="en-US"/>
        </w:rPr>
        <w:t>This study investigated the post-remediation impact on soil health in K-Dere, Ogoniland, Rivers State, with the aim of determining whether remediation activities have effectively restored soil physicochemical and biological functionality in a hydrocarbon-impacted environment. Composite soil samples were collected from remediated soil (RS) and unremediated soil (URS) at a depth of 0–15 cm, and laboratory analyses were conducted in triplicate using standard soil analytical methods to assess microbial biomass, enzyme activities, organic matter status, nutrient composition, and key physicochemical properties.</w:t>
      </w:r>
      <w:r>
        <w:rPr>
          <w:rFonts w:ascii="Times New Roman" w:hAnsi="Times New Roman" w:cs="Times New Roman"/>
          <w:i/>
        </w:rPr>
        <w:t xml:space="preserve"> </w:t>
      </w:r>
      <w:r>
        <w:rPr>
          <w:rFonts w:ascii="Times New Roman" w:hAnsi="Times New Roman" w:cs="Times New Roman"/>
          <w:i/>
          <w:lang w:val="en-US"/>
        </w:rPr>
        <w:t>The results showed that total organic carbon decreased from 2.10% in URS to 0.55% in RS (74.0% reduction), while total organic nitrogen increased from 0.20% to 0.40% (100% increase). Sulphate concentration increased from 56.98 to 66.30 mg/kg (16.4% increase), nitrate from 4.6 to 10.7 mg/kg (132.6% increase), and phosphate from 5.88 to 23.4 mg/kg (298.0% increase). Bulk density declined from 7.59 to 5.24 g/cm³ (31.0% reduction), water retention capacity increased from 0.375 to 0.433 (15.5% increase), and cation exchange capacity rose from 5.1 to 18.5 cmol/kg (262.7% increase). In contrast, biological indicators declined markedly, as bacterial counts reduced from 4.0 × 10⁶ to 3.9 × 10⁵ cfu/g (90.3% reduction), fungal counts from 2.6 × 10⁶ to 3.0 × 10⁵ cfu/g (88.5% reduction), while dehydrogenase, urease, and phosphatase activities decreased by 73.1%, 74.6%, and 70.0%, respectively.</w:t>
      </w:r>
      <w:r>
        <w:rPr>
          <w:rFonts w:ascii="Times New Roman" w:hAnsi="Times New Roman" w:cs="Times New Roman"/>
          <w:i/>
        </w:rPr>
        <w:t xml:space="preserve"> </w:t>
      </w:r>
      <w:r>
        <w:rPr>
          <w:rFonts w:ascii="Times New Roman" w:hAnsi="Times New Roman" w:cs="Times New Roman"/>
          <w:i/>
          <w:iCs/>
        </w:rPr>
        <w:t>The overall soil health measured by the</w:t>
      </w:r>
      <w:r>
        <w:rPr>
          <w:rFonts w:ascii="Times New Roman" w:hAnsi="Times New Roman" w:cs="Times New Roman"/>
          <w:i/>
          <w:iCs/>
          <w:lang w:val="en-US"/>
        </w:rPr>
        <w:t xml:space="preserve"> Soil Quality Index (SQI) indicated a better soil quality of the unremediated soil (SQI = </w:t>
      </w:r>
      <w:r>
        <w:rPr>
          <w:rFonts w:ascii="Times New Roman" w:hAnsi="Times New Roman" w:cs="Times New Roman"/>
          <w:i/>
          <w:iCs/>
          <w:bdr w:val="nil"/>
        </w:rPr>
        <w:t>0.79 &gt;7.0</w:t>
      </w:r>
      <w:r>
        <w:rPr>
          <w:rFonts w:ascii="Times New Roman" w:hAnsi="Times New Roman" w:cs="Times New Roman"/>
          <w:i/>
          <w:iCs/>
          <w:lang w:val="en-US"/>
        </w:rPr>
        <w:t>) than the remediated soil  (SQI = 0.64 &lt;7.0). The study concludes that remediation activities in</w:t>
      </w:r>
      <w:r>
        <w:rPr>
          <w:rFonts w:ascii="Times New Roman" w:hAnsi="Times New Roman" w:cs="Times New Roman"/>
          <w:i/>
          <w:lang w:val="en-US"/>
        </w:rPr>
        <w:t xml:space="preserve"> K-Dere have substantially improved soil nutrient availability and physicochemical conditions but have not yet achieved full biological recovery. It is therefore recommended that future remediation programmes integrate biological enhancement strategies, including organic amendments and microbial stimulation, supported by long-term post-remediation monitoring to ensure sustainable restoration of soil health.</w:t>
      </w:r>
    </w:p>
    <w:p w14:paraId="75FEB729" w14:textId="77777777" w:rsidR="005E68D4" w:rsidRDefault="00A32143">
      <w:pPr>
        <w:rPr>
          <w:rFonts w:ascii="Times New Roman" w:hAnsi="Times New Roman" w:cs="Times New Roman"/>
          <w:b/>
        </w:rPr>
      </w:pPr>
      <w:r>
        <w:rPr>
          <w:rFonts w:ascii="Times New Roman" w:hAnsi="Times New Roman" w:cs="Times New Roman"/>
          <w:b/>
        </w:rPr>
        <w:t xml:space="preserve">Keywords: </w:t>
      </w:r>
      <w:r>
        <w:rPr>
          <w:rFonts w:ascii="Times New Roman" w:hAnsi="Times New Roman" w:cs="Times New Roman"/>
        </w:rPr>
        <w:t>Soil, Remediation, physicochemical,</w:t>
      </w:r>
      <w:r>
        <w:rPr>
          <w:rFonts w:ascii="Times New Roman" w:hAnsi="Times New Roman" w:cs="Times New Roman"/>
          <w:b/>
        </w:rPr>
        <w:t xml:space="preserve"> </w:t>
      </w:r>
      <w:r>
        <w:rPr>
          <w:rFonts w:ascii="Times New Roman" w:hAnsi="Times New Roman" w:cs="Times New Roman"/>
          <w:lang w:val="en-US"/>
        </w:rPr>
        <w:t>Soil quality index, Microbial biomass, Soil health</w:t>
      </w:r>
    </w:p>
    <w:p w14:paraId="47C59D66" w14:textId="77777777" w:rsidR="005E68D4" w:rsidRDefault="005E68D4">
      <w:pPr>
        <w:rPr>
          <w:rFonts w:ascii="Times New Roman" w:hAnsi="Times New Roman" w:cs="Times New Roman"/>
          <w:b/>
        </w:rPr>
      </w:pPr>
    </w:p>
    <w:p w14:paraId="0334357D" w14:textId="77777777" w:rsidR="005E68D4" w:rsidRDefault="00A32143">
      <w:pPr>
        <w:spacing w:line="360" w:lineRule="auto"/>
        <w:jc w:val="both"/>
        <w:rPr>
          <w:rFonts w:ascii="Times New Roman" w:hAnsi="Times New Roman" w:cs="Times New Roman"/>
          <w:b/>
        </w:rPr>
      </w:pPr>
      <w:r>
        <w:rPr>
          <w:rFonts w:ascii="Times New Roman" w:hAnsi="Times New Roman" w:cs="Times New Roman"/>
          <w:b/>
          <w:lang w:val="en-US"/>
        </w:rPr>
        <w:t>1.0      Introduction</w:t>
      </w:r>
    </w:p>
    <w:p w14:paraId="04F4B150"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Soil is a fundamental component of terrestrial ecosystems, underpinning agricultural productivity, biodiversity conservation, and human livelihoods (</w:t>
      </w:r>
      <w:r>
        <w:rPr>
          <w:rFonts w:ascii="Times New Roman" w:hAnsi="Times New Roman" w:cs="Times New Roman"/>
        </w:rPr>
        <w:t>Wonodi and Ekpete, 2021</w:t>
      </w:r>
      <w:r>
        <w:rPr>
          <w:rFonts w:ascii="Times New Roman" w:hAnsi="Times New Roman" w:cs="Times New Roman"/>
          <w:lang w:val="en-US"/>
        </w:rPr>
        <w:t>). In oil-producing regions, however, prolonged industrial activities often lead to severe soil degradation through hydrocarbon pollution and associated heavy metal contamination (</w:t>
      </w:r>
      <w:r>
        <w:rPr>
          <w:rFonts w:ascii="Times New Roman" w:hAnsi="Times New Roman" w:cs="Times New Roman"/>
        </w:rPr>
        <w:t>Omokaro, 2024</w:t>
      </w:r>
      <w:r>
        <w:rPr>
          <w:rFonts w:ascii="Times New Roman" w:hAnsi="Times New Roman" w:cs="Times New Roman"/>
          <w:lang w:val="en-US"/>
        </w:rPr>
        <w:t>). The Niger Delta region of Nigeria, particularly Ogoniland, represents one of the most environmentally impacted oil-producing areas globally, where decades of oil spills, gas flaring, and pipeline failures have compromised soil quality and ecosystem integrity (</w:t>
      </w:r>
      <w:r>
        <w:rPr>
          <w:rFonts w:ascii="Times New Roman" w:hAnsi="Times New Roman" w:cs="Times New Roman"/>
        </w:rPr>
        <w:t>Nwokoro, &amp; Chima 2018)</w:t>
      </w:r>
      <w:r>
        <w:rPr>
          <w:rFonts w:ascii="Times New Roman" w:hAnsi="Times New Roman" w:cs="Times New Roman"/>
          <w:lang w:val="en-US"/>
        </w:rPr>
        <w:t>.</w:t>
      </w:r>
    </w:p>
    <w:p w14:paraId="3A4306AF"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lastRenderedPageBreak/>
        <w:t>K-Dere community in Gokana Local Government Area of Rivers State lies at the core of Ogoniland and has experienced extensive environmental degradation due to petroleum exploration and production. The United Nations Environment Programme (UNEP) environmental assessment of Ogoniland in 2011 documented widespread soil contamination and recommended urgent remediation (</w:t>
      </w:r>
      <w:r>
        <w:rPr>
          <w:rFonts w:ascii="Times New Roman" w:hAnsi="Times New Roman" w:cs="Times New Roman"/>
        </w:rPr>
        <w:t>UNEP, 2011)</w:t>
      </w:r>
      <w:r>
        <w:rPr>
          <w:rFonts w:ascii="Times New Roman" w:hAnsi="Times New Roman" w:cs="Times New Roman"/>
          <w:lang w:val="en-US"/>
        </w:rPr>
        <w:t>. In response, the Nigerian government initiated the Hydrocarbon Pollution Remediation Project (HYPREP) to clean up and restore polluted sites, including those in K-Dere.</w:t>
      </w:r>
    </w:p>
    <w:p w14:paraId="38643005"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 xml:space="preserve">Despite ongoing remediation activities, concerns persist regarding the actual recovery of soil health in remediated areas. According to </w:t>
      </w:r>
      <w:r>
        <w:rPr>
          <w:rFonts w:ascii="Times New Roman" w:hAnsi="Times New Roman" w:cs="Times New Roman"/>
        </w:rPr>
        <w:t>Nwokoro, and Chima (2017</w:t>
      </w:r>
      <w:r>
        <w:rPr>
          <w:rFonts w:ascii="Times New Roman" w:hAnsi="Times New Roman" w:cs="Times New Roman"/>
          <w:lang w:val="en-US"/>
        </w:rPr>
        <w:t>) local farmers continue to report low crop yields, while scientific, site-specific post-remediation data remain limited. Most available assessments are policy-driven and lack detailed evaluations of soil physicochemical and biological indicators necessary to confirm ecological recovery.</w:t>
      </w:r>
      <w:r>
        <w:rPr>
          <w:rFonts w:ascii="Times New Roman" w:hAnsi="Times New Roman" w:cs="Times New Roman"/>
        </w:rPr>
        <w:t xml:space="preserve"> </w:t>
      </w:r>
      <w:r>
        <w:rPr>
          <w:rFonts w:ascii="Times New Roman" w:hAnsi="Times New Roman" w:cs="Times New Roman"/>
          <w:lang w:val="en-US"/>
        </w:rPr>
        <w:t>This study therefore aims to investigate the impact of post-remediation activities on soil health in K-Dere, Ogoni, Rivers State, by comparing remediated and unremediated soils. Specifically, the study evaluates microbial biomass, enzyme activities, nutrient composition, organic matter status, and key physicochemical properties to determine whether remediation has restored soil functionality for sustainable agricultural and ecological use.</w:t>
      </w:r>
    </w:p>
    <w:p w14:paraId="7693132B" w14:textId="77777777" w:rsidR="005E68D4" w:rsidRDefault="00A32143">
      <w:pPr>
        <w:spacing w:line="360" w:lineRule="auto"/>
        <w:jc w:val="both"/>
        <w:rPr>
          <w:rFonts w:ascii="Times New Roman" w:hAnsi="Times New Roman" w:cs="Times New Roman"/>
          <w:b/>
        </w:rPr>
      </w:pPr>
      <w:r>
        <w:rPr>
          <w:rFonts w:ascii="Times New Roman" w:hAnsi="Times New Roman" w:cs="Times New Roman"/>
          <w:b/>
          <w:lang w:val="en-US"/>
        </w:rPr>
        <w:t>2.0      Materials and Methods</w:t>
      </w:r>
    </w:p>
    <w:p w14:paraId="03535348" w14:textId="77777777" w:rsidR="005E68D4" w:rsidRDefault="00A32143">
      <w:pPr>
        <w:spacing w:line="360" w:lineRule="auto"/>
        <w:jc w:val="both"/>
        <w:rPr>
          <w:rFonts w:ascii="Times New Roman" w:hAnsi="Times New Roman" w:cs="Times New Roman"/>
          <w:b/>
          <w:bCs/>
          <w:lang w:val="en-US"/>
        </w:rPr>
      </w:pPr>
      <w:r>
        <w:rPr>
          <w:rFonts w:ascii="Times New Roman" w:hAnsi="Times New Roman" w:cs="Times New Roman"/>
          <w:b/>
          <w:bCs/>
          <w:lang w:val="en-US"/>
        </w:rPr>
        <w:t>The study Area</w:t>
      </w:r>
    </w:p>
    <w:p w14:paraId="2EAEB1F8" w14:textId="77777777" w:rsidR="005E68D4" w:rsidRDefault="00A32143">
      <w:pPr>
        <w:spacing w:line="360" w:lineRule="auto"/>
        <w:jc w:val="both"/>
        <w:rPr>
          <w:rFonts w:ascii="Times New Roman" w:hAnsi="Times New Roman" w:cs="Times New Roman"/>
          <w:lang w:val="en-US"/>
        </w:rPr>
      </w:pPr>
      <w:r>
        <w:rPr>
          <w:rFonts w:ascii="Times New Roman" w:hAnsi="Times New Roman" w:cs="Times New Roman"/>
          <w:lang w:val="en-US"/>
        </w:rPr>
        <w:t>The study was conducted in K-Dere community, Gokana Local Government Area of Rivers State, Nigeria, located within the lowland rainforest zone of the Niger Delta. The area experiences a humid tropical climate with bimodal rainfall, receiving approximately 2000–3000 mm annually, while mean temperatures range between 25°C and 30°C. The region supports dense rainforest vegetation and is traditionally used for subsistence agriculture (</w:t>
      </w:r>
      <w:r>
        <w:rPr>
          <w:rFonts w:ascii="Times New Roman" w:hAnsi="Times New Roman" w:cs="Times New Roman"/>
        </w:rPr>
        <w:t>Tajudeen , and Nyiayaana</w:t>
      </w:r>
      <w:r>
        <w:rPr>
          <w:rFonts w:ascii="Times New Roman" w:hAnsi="Times New Roman" w:cs="Times New Roman"/>
          <w:lang w:val="en-US"/>
        </w:rPr>
        <w:t xml:space="preserve"> 2024). Two sites were selected: a remediated site previously impacted by hydrocarbon pollution and treated under formal remediation project, and an unimpacted-control site with no documented history of oil contamination. The unimpacted site is located at 4.659969° N, 7.270142° E, while the remediated site lies at 4.663436° N, 7.283530° E.</w:t>
      </w:r>
    </w:p>
    <w:p w14:paraId="7EEE5581" w14:textId="77777777" w:rsidR="005E68D4" w:rsidRDefault="00A32143">
      <w:pPr>
        <w:spacing w:line="360" w:lineRule="auto"/>
        <w:jc w:val="both"/>
        <w:rPr>
          <w:rFonts w:ascii="Times New Roman" w:hAnsi="Times New Roman" w:cs="Times New Roman"/>
          <w:lang w:val="en-US"/>
        </w:rPr>
      </w:pPr>
      <w:r>
        <w:rPr>
          <w:rFonts w:ascii="Times New Roman" w:hAnsi="Times New Roman" w:cs="Times New Roman"/>
          <w:noProof/>
          <w:lang w:val="en-US" w:eastAsia="en-US"/>
        </w:rPr>
        <w:lastRenderedPageBreak/>
        <w:drawing>
          <wp:inline distT="0" distB="0" distL="0" distR="0" wp14:anchorId="0E75A374" wp14:editId="520C60D9">
            <wp:extent cx="5943600" cy="3568927"/>
            <wp:effectExtent l="0" t="0" r="0" b="0"/>
            <wp:docPr id="1950674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1"/>
                    <pic:cNvPicPr>
                      <a:picLocks noChangeAspect="1" noChangeArrowheads="1"/>
                    </pic:cNvPicPr>
                  </pic:nvPicPr>
                  <pic:blipFill>
                    <a:blip r:embed="rId6"/>
                    <a:srcRect/>
                    <a:stretch>
                      <a:fillRect/>
                    </a:stretch>
                  </pic:blipFill>
                  <pic:spPr>
                    <a:xfrm>
                      <a:off x="0" y="0"/>
                      <a:ext cx="5943600" cy="3568927"/>
                    </a:xfrm>
                    <a:prstGeom prst="rect">
                      <a:avLst/>
                    </a:prstGeom>
                    <a:noFill/>
                    <a:ln>
                      <a:noFill/>
                    </a:ln>
                  </pic:spPr>
                </pic:pic>
              </a:graphicData>
            </a:graphic>
          </wp:inline>
        </w:drawing>
      </w:r>
    </w:p>
    <w:p w14:paraId="1853219D" w14:textId="02837874" w:rsidR="005E68D4" w:rsidRDefault="00EA647B">
      <w:pPr>
        <w:spacing w:line="360" w:lineRule="auto"/>
        <w:jc w:val="both"/>
        <w:rPr>
          <w:rFonts w:ascii="Times New Roman" w:hAnsi="Times New Roman" w:cs="Times New Roman"/>
          <w:lang w:val="en-US"/>
        </w:rPr>
      </w:pPr>
      <w:proofErr w:type="gramStart"/>
      <w:r>
        <w:rPr>
          <w:rFonts w:ascii="Times New Roman" w:hAnsi="Times New Roman" w:cs="Times New Roman"/>
          <w:b/>
          <w:lang w:val="en-US"/>
        </w:rPr>
        <w:t xml:space="preserve">Map </w:t>
      </w:r>
      <w:r w:rsidR="00A32143">
        <w:rPr>
          <w:rFonts w:ascii="Times New Roman" w:hAnsi="Times New Roman" w:cs="Times New Roman"/>
          <w:b/>
          <w:lang w:val="en-US"/>
        </w:rPr>
        <w:t xml:space="preserve"> 1</w:t>
      </w:r>
      <w:proofErr w:type="gramEnd"/>
      <w:r w:rsidR="00A32143">
        <w:rPr>
          <w:rFonts w:ascii="Times New Roman" w:hAnsi="Times New Roman" w:cs="Times New Roman"/>
          <w:b/>
          <w:lang w:val="en-US"/>
        </w:rPr>
        <w:t>:</w:t>
      </w:r>
      <w:r w:rsidR="00A32143">
        <w:rPr>
          <w:rFonts w:ascii="Times New Roman" w:hAnsi="Times New Roman" w:cs="Times New Roman"/>
          <w:lang w:val="en-US"/>
        </w:rPr>
        <w:t xml:space="preserve"> Map showing the sampling points from two sampling locations in K-Dere, Ogoniland.</w:t>
      </w:r>
    </w:p>
    <w:p w14:paraId="483D3F4E" w14:textId="77777777" w:rsidR="005E68D4" w:rsidRDefault="00A32143">
      <w:pPr>
        <w:spacing w:line="360" w:lineRule="auto"/>
        <w:jc w:val="both"/>
        <w:rPr>
          <w:rFonts w:ascii="Times New Roman" w:hAnsi="Times New Roman" w:cs="Times New Roman"/>
          <w:b/>
          <w:bCs/>
          <w:lang w:val="en-US"/>
        </w:rPr>
      </w:pPr>
      <w:r>
        <w:rPr>
          <w:rFonts w:ascii="Times New Roman" w:hAnsi="Times New Roman" w:cs="Times New Roman"/>
          <w:b/>
          <w:bCs/>
          <w:lang w:val="en-US"/>
        </w:rPr>
        <w:t>Sample collection and Preservation</w:t>
      </w:r>
    </w:p>
    <w:p w14:paraId="70B260CF"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A descriptive and analytical research design was adopted to enable direct comparison of soil quality indicators between remediated and unremediated soils. Composite soil samples were collected from two locations designated as Location A (remediated soil) and Location B (unremediated soil). At each location, ten subsamples were randomly collected using a soil auger at a depth of 0–15 cm and composited to obtain representative samples. Sampling was carried out on 4 September 2025.</w:t>
      </w:r>
    </w:p>
    <w:p w14:paraId="0638DE5D"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Samples were placed in labelled polyethylene bags, preserved in ice boxes, and transported to the laboratory. In the laboratory, soils were air-dried under ambient conditions in a well-ventilated environment away from direct sunlight, gently crushed, sieved through a 2 mm mesh, and homogenized in accordance with standard soil preparation procedures (ISO 11464).</w:t>
      </w:r>
    </w:p>
    <w:p w14:paraId="4EB73E52" w14:textId="77777777" w:rsidR="005E68D4" w:rsidRDefault="00A32143">
      <w:pPr>
        <w:spacing w:line="360" w:lineRule="auto"/>
        <w:jc w:val="both"/>
        <w:rPr>
          <w:rFonts w:ascii="Times New Roman" w:hAnsi="Times New Roman" w:cs="Times New Roman"/>
          <w:b/>
          <w:bCs/>
          <w:lang w:val="en-US"/>
        </w:rPr>
      </w:pPr>
      <w:r>
        <w:rPr>
          <w:rFonts w:ascii="Times New Roman" w:hAnsi="Times New Roman" w:cs="Times New Roman"/>
          <w:b/>
          <w:bCs/>
          <w:lang w:val="en-US"/>
        </w:rPr>
        <w:t>Sample Analysis</w:t>
      </w:r>
    </w:p>
    <w:p w14:paraId="66DEB3E4"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 xml:space="preserve">Laboratory analyses were conducted in triplicate and covered microbial biomass, enzyme activities, nutrient composition, organic matter content, and physicochemical properties. Total </w:t>
      </w:r>
      <w:r>
        <w:rPr>
          <w:rFonts w:ascii="Times New Roman" w:hAnsi="Times New Roman" w:cs="Times New Roman"/>
          <w:lang w:val="en-US"/>
        </w:rPr>
        <w:lastRenderedPageBreak/>
        <w:t>heterotrophic bacteria and fungi were enumerated using standard culture techniques on nutrient media, and results were expressed as colony-forming units per gram of soil (cfu/g) following established soil microbiological protocols (ISO 4833). Dehydrogenase activity was determined using the triphenyl tetrazolium chloride reduction method, urease activity by ammonium release from urea, and phosphatase activity using p-nitrophenyl phosphate as substrate, following standard soil enzymology methods as describeed by (</w:t>
      </w:r>
      <w:r>
        <w:rPr>
          <w:rFonts w:ascii="Times New Roman" w:hAnsi="Times New Roman" w:cs="Times New Roman"/>
        </w:rPr>
        <w:t>Wang et al.,</w:t>
      </w:r>
      <w:r>
        <w:rPr>
          <w:rFonts w:ascii="Times New Roman" w:hAnsi="Times New Roman" w:cs="Times New Roman"/>
          <w:lang w:val="en-US"/>
        </w:rPr>
        <w:t xml:space="preserve"> 2023).</w:t>
      </w:r>
    </w:p>
    <w:p w14:paraId="08A82572"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Total organic carbon was determined using the Walkley–Black method, while total organic nitrogen was analyzed using the Kjeldahl method in accordance with AOAC procedures (AOAC, 2019). Phosphate was determined by colorimetric spectrophotometry, nitrate by the brucine method, and sulphate by titrimetric analysis, following standard environmental analytical methods as described by (ASTM D4327; APHA, 2017). Bulk density was measured using the core method (ASTM D7263), water retention capacity by saturation and drainage techniques, soil texture by the ribbon method, and cation exchange capacity using standard soil chemical procedures (ISO 11260).</w:t>
      </w:r>
    </w:p>
    <w:p w14:paraId="35B1444E" w14:textId="77777777" w:rsidR="005E68D4" w:rsidRDefault="00A32143">
      <w:pPr>
        <w:spacing w:line="360" w:lineRule="auto"/>
        <w:jc w:val="both"/>
        <w:rPr>
          <w:rFonts w:ascii="Times New Roman" w:hAnsi="Times New Roman" w:cs="Times New Roman"/>
        </w:rPr>
      </w:pPr>
      <w:r>
        <w:rPr>
          <w:rFonts w:ascii="Times New Roman" w:hAnsi="Times New Roman" w:cs="Times New Roman"/>
          <w:b/>
          <w:bCs/>
        </w:rPr>
        <w:t>Assessment of Soil Quality Index</w:t>
      </w:r>
    </w:p>
    <w:p w14:paraId="6C963F85"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Pr>
          <w:rFonts w:ascii="Times New Roman" w:hAnsi="Times New Roman" w:cs="Times New Roman"/>
        </w:rPr>
        <w:t xml:space="preserve">The determination of the overall soil health to support agricultural productivities commonly practiced in the area used a standardized journal model </w:t>
      </w:r>
      <w:r>
        <w:rPr>
          <w:rFonts w:ascii="Times New Roman" w:hAnsi="Times New Roman" w:cs="Times New Roman"/>
          <w:lang w:val="en-US"/>
        </w:rPr>
        <w:t>(Doran &amp; Parkin, 1994; Andrews et al., 2004). The approach used a total of 15 soil quality indicators (physical, chemical and biological) described as minimum data set (MDS) recommended by United States Department of Agriculture (USDA), Natural Resources Conservation Service   (NRCS). (2001; 2015a).</w:t>
      </w:r>
    </w:p>
    <w:p w14:paraId="5B0FD3B1"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Pr>
          <w:rFonts w:ascii="Times New Roman" w:hAnsi="Times New Roman" w:cs="Times New Roman"/>
          <w:highlight w:val="white"/>
          <w:lang w:val="en-US"/>
        </w:rPr>
        <w:t xml:space="preserve">Scoring of the MDS was modelled according to </w:t>
      </w:r>
      <w:r>
        <w:rPr>
          <w:rFonts w:ascii="Times New Roman" w:hAnsi="Times New Roman" w:cs="Times New Roman"/>
          <w:lang w:val="en-US"/>
        </w:rPr>
        <w:t xml:space="preserve">Kahsay et al. (2024), Doran &amp; Parkin, 1994 and Andrews et al., 2004 using a </w:t>
      </w:r>
      <w:r>
        <w:rPr>
          <w:rFonts w:ascii="Times New Roman" w:hAnsi="Times New Roman" w:cs="Times New Roman"/>
          <w:highlight w:val="white"/>
          <w:lang w:val="en-US"/>
        </w:rPr>
        <w:t xml:space="preserve"> linear normalization where the best-performing value in each pair is assigned a score of 1.0 and the other value is scored relative to it.</w:t>
      </w:r>
      <w:r>
        <w:rPr>
          <w:rFonts w:ascii="Times New Roman" w:hAnsi="Times New Roman" w:cs="Times New Roman"/>
          <w:lang w:val="en-US"/>
        </w:rPr>
        <w:t xml:space="preserve"> Indicators were categorized as “more-is-better,” “less-is-better,” or “optimum-range,” following the Soil Management Assessment Framework (Andrews et al., 2004). Equal weighting were assigned to the indicators to avoid disparity in contributions of the individual soil quality indicator to the overall soil health.</w:t>
      </w:r>
    </w:p>
    <w:p w14:paraId="0939093E"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   </w:t>
      </w:r>
      <w:r>
        <w:rPr>
          <w:rFonts w:ascii="Times New Roman" w:hAnsi="Times New Roman" w:cs="Times New Roman"/>
          <w:color w:val="000000"/>
          <w:lang w:val="en-US"/>
        </w:rPr>
        <w:tab/>
      </w:r>
    </w:p>
    <w:p w14:paraId="6C243E20"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   </w:t>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color w:val="000000"/>
          <w:lang w:val="en-US"/>
        </w:rPr>
        <w:tab/>
      </w:r>
      <w:r>
        <w:rPr>
          <w:rFonts w:ascii="Times New Roman" w:hAnsi="Times New Roman" w:cs="Times New Roman"/>
          <w:noProof/>
          <w:color w:val="000000"/>
          <w:lang w:val="en-US" w:eastAsia="en-US"/>
        </w:rPr>
        <w:drawing>
          <wp:inline distT="0" distB="0" distL="0" distR="0" wp14:anchorId="3FEC3827" wp14:editId="64330968">
            <wp:extent cx="695325" cy="362585"/>
            <wp:effectExtent l="0" t="0" r="0" b="0"/>
            <wp:docPr id="195067498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298"/>
                    <pic:cNvPicPr>
                      <a:picLocks noChangeAspect="1"/>
                    </pic:cNvPicPr>
                  </pic:nvPicPr>
                  <pic:blipFill>
                    <a:blip r:embed="rId7"/>
                    <a:srcRect/>
                    <a:stretch>
                      <a:fillRect/>
                    </a:stretch>
                  </pic:blipFill>
                  <pic:spPr>
                    <a:xfrm>
                      <a:off x="0" y="0"/>
                      <a:ext cx="695325" cy="362585"/>
                    </a:xfrm>
                    <a:prstGeom prst="rect">
                      <a:avLst/>
                    </a:prstGeom>
                  </pic:spPr>
                </pic:pic>
              </a:graphicData>
            </a:graphic>
          </wp:inline>
        </w:drawing>
      </w:r>
      <w:r>
        <w:rPr>
          <w:rFonts w:ascii="Times New Roman" w:hAnsi="Times New Roman" w:cs="Times New Roman"/>
          <w:color w:val="000000"/>
          <w:lang w:val="en-US"/>
        </w:rPr>
        <w:tab/>
      </w:r>
      <w:r>
        <w:rPr>
          <w:rFonts w:ascii="Times New Roman" w:hAnsi="Times New Roman" w:cs="Times New Roman"/>
          <w:color w:val="000000"/>
          <w:lang w:val="en-US"/>
        </w:rPr>
        <w:tab/>
        <w:t>Egn (1)</w:t>
      </w:r>
      <w:r>
        <w:rPr>
          <w:rFonts w:ascii="Times New Roman" w:hAnsi="Times New Roman" w:cs="Times New Roman"/>
          <w:color w:val="000000"/>
          <w:lang w:val="en-US"/>
        </w:rPr>
        <w:tab/>
      </w:r>
    </w:p>
    <w:p w14:paraId="45705114"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Pr>
          <w:rFonts w:ascii="Times New Roman" w:hAnsi="Times New Roman" w:cs="Times New Roman"/>
          <w:color w:val="000000"/>
          <w:lang w:val="en-US"/>
        </w:rPr>
        <w:t>Where Wi = Weight of the ith indicator and n =total number of soil quality indicators (MDS)</w:t>
      </w:r>
    </w:p>
    <w:p w14:paraId="00E3450F"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p>
    <w:p w14:paraId="29DD0D4B"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Pr>
          <w:rFonts w:ascii="Times New Roman" w:hAnsi="Times New Roman" w:cs="Times New Roman"/>
          <w:color w:val="000000"/>
          <w:lang w:val="en-US"/>
        </w:rPr>
        <w:t>The soil quality index was evaluated using Egn (2)  as:</w:t>
      </w:r>
    </w:p>
    <w:p w14:paraId="2053BC9B"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ind w:left="720" w:firstLine="720"/>
        <w:jc w:val="both"/>
        <w:rPr>
          <w:rFonts w:ascii="Times New Roman" w:hAnsi="Times New Roman" w:cs="Times New Roman"/>
          <w:color w:val="000000"/>
          <w:lang w:val="en-US"/>
        </w:rPr>
      </w:pPr>
      <w:r>
        <w:rPr>
          <w:rFonts w:ascii="Times New Roman" w:hAnsi="Times New Roman" w:cs="Times New Roman"/>
          <w:noProof/>
          <w:color w:val="000000"/>
          <w:lang w:val="en-US" w:eastAsia="en-US"/>
        </w:rPr>
        <w:drawing>
          <wp:inline distT="0" distB="0" distL="0" distR="0" wp14:anchorId="14FCC170" wp14:editId="3F959352">
            <wp:extent cx="1543685" cy="425450"/>
            <wp:effectExtent l="0" t="0" r="0" b="0"/>
            <wp:docPr id="195067498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299"/>
                    <pic:cNvPicPr>
                      <a:picLocks noChangeAspect="1"/>
                    </pic:cNvPicPr>
                  </pic:nvPicPr>
                  <pic:blipFill>
                    <a:blip r:embed="rId8"/>
                    <a:srcRect/>
                    <a:stretch>
                      <a:fillRect/>
                    </a:stretch>
                  </pic:blipFill>
                  <pic:spPr>
                    <a:xfrm>
                      <a:off x="0" y="0"/>
                      <a:ext cx="1543685" cy="425450"/>
                    </a:xfrm>
                    <a:prstGeom prst="rect">
                      <a:avLst/>
                    </a:prstGeom>
                  </pic:spPr>
                </pic:pic>
              </a:graphicData>
            </a:graphic>
          </wp:inline>
        </w:drawing>
      </w:r>
      <w:r>
        <w:rPr>
          <w:rFonts w:ascii="Times New Roman" w:hAnsi="Times New Roman" w:cs="Times New Roman"/>
          <w:color w:val="000000"/>
          <w:lang w:val="en-US"/>
        </w:rPr>
        <w:t xml:space="preserve">        Egn (2)</w:t>
      </w:r>
    </w:p>
    <w:p w14:paraId="47775ACA" w14:textId="77777777" w:rsidR="005E68D4" w:rsidRDefault="005E68D4">
      <w:pPr>
        <w:spacing w:line="360" w:lineRule="auto"/>
        <w:jc w:val="both"/>
        <w:rPr>
          <w:rFonts w:ascii="Times New Roman" w:hAnsi="Times New Roman" w:cs="Times New Roman"/>
        </w:rPr>
      </w:pPr>
    </w:p>
    <w:p w14:paraId="48E2DCB9" w14:textId="77777777" w:rsidR="005E68D4" w:rsidRDefault="00A32143">
      <w:pPr>
        <w:spacing w:line="360" w:lineRule="auto"/>
        <w:jc w:val="both"/>
        <w:rPr>
          <w:rFonts w:ascii="Times New Roman" w:hAnsi="Times New Roman" w:cs="Times New Roman"/>
          <w:b/>
          <w:bCs/>
          <w:color w:val="000000"/>
        </w:rPr>
      </w:pPr>
      <w:r>
        <w:rPr>
          <w:rFonts w:ascii="Times New Roman" w:hAnsi="Times New Roman" w:cs="Times New Roman"/>
          <w:b/>
          <w:bCs/>
          <w:color w:val="000000"/>
        </w:rPr>
        <w:t>Data Analysis</w:t>
      </w:r>
    </w:p>
    <w:p w14:paraId="423A8591"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Data obtained were subjected to descriptive statistical analysis, and mean values were used for comparison between remediated and unremediated soils.</w:t>
      </w:r>
    </w:p>
    <w:p w14:paraId="5A22D5C7" w14:textId="77777777" w:rsidR="005E68D4" w:rsidRDefault="00A32143">
      <w:pPr>
        <w:rPr>
          <w:rFonts w:ascii="Times New Roman" w:hAnsi="Times New Roman" w:cs="Times New Roman"/>
          <w:b/>
          <w:lang w:val="en-US"/>
        </w:rPr>
      </w:pPr>
      <w:r>
        <w:rPr>
          <w:rFonts w:ascii="Times New Roman" w:hAnsi="Times New Roman" w:cs="Times New Roman"/>
          <w:b/>
          <w:lang w:val="en-US"/>
        </w:rPr>
        <w:t>3.0    Results</w:t>
      </w:r>
    </w:p>
    <w:p w14:paraId="057025CA" w14:textId="77777777" w:rsidR="005E68D4" w:rsidRDefault="00A32143">
      <w:pPr>
        <w:rPr>
          <w:rFonts w:ascii="Times New Roman" w:hAnsi="Times New Roman" w:cs="Times New Roman"/>
          <w:b/>
        </w:rPr>
      </w:pPr>
      <w:r>
        <w:rPr>
          <w:rFonts w:ascii="Times New Roman" w:hAnsi="Times New Roman" w:cs="Times New Roman"/>
          <w:b/>
          <w:lang w:val="en-US"/>
        </w:rPr>
        <w:t>Table 1: Microbial biomass, enzyme activities, and biodiversity of soils from K-Dere</w:t>
      </w:r>
    </w:p>
    <w:tbl>
      <w:tblPr>
        <w:tblStyle w:val="TableGrid"/>
        <w:tblW w:w="980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595"/>
        <w:gridCol w:w="3150"/>
        <w:gridCol w:w="3060"/>
      </w:tblGrid>
      <w:tr w:rsidR="005E68D4" w14:paraId="5A53FAE5" w14:textId="77777777">
        <w:tc>
          <w:tcPr>
            <w:tcW w:w="3595" w:type="dxa"/>
            <w:tcBorders>
              <w:top w:val="single" w:sz="4" w:space="0" w:color="auto"/>
              <w:bottom w:val="single" w:sz="4" w:space="0" w:color="auto"/>
            </w:tcBorders>
          </w:tcPr>
          <w:p w14:paraId="3A66587A" w14:textId="77777777" w:rsidR="005E68D4" w:rsidRDefault="00A32143">
            <w:pPr>
              <w:rPr>
                <w:rFonts w:ascii="Times New Roman" w:hAnsi="Times New Roman" w:cs="Times New Roman"/>
              </w:rPr>
            </w:pPr>
            <w:r>
              <w:rPr>
                <w:rFonts w:ascii="Times New Roman" w:hAnsi="Times New Roman" w:cs="Times New Roman"/>
                <w:lang w:val="en-US"/>
              </w:rPr>
              <w:t>Parameter</w:t>
            </w:r>
          </w:p>
          <w:p w14:paraId="035D0C9A" w14:textId="77777777" w:rsidR="005E68D4" w:rsidRDefault="005E68D4">
            <w:pPr>
              <w:rPr>
                <w:rFonts w:ascii="Times New Roman" w:hAnsi="Times New Roman" w:cs="Times New Roman"/>
                <w:b/>
              </w:rPr>
            </w:pPr>
          </w:p>
        </w:tc>
        <w:tc>
          <w:tcPr>
            <w:tcW w:w="3150" w:type="dxa"/>
            <w:tcBorders>
              <w:top w:val="single" w:sz="4" w:space="0" w:color="auto"/>
              <w:bottom w:val="single" w:sz="4" w:space="0" w:color="auto"/>
            </w:tcBorders>
          </w:tcPr>
          <w:p w14:paraId="23B91FFA" w14:textId="77777777" w:rsidR="005E68D4" w:rsidRDefault="00A32143">
            <w:pPr>
              <w:rPr>
                <w:rFonts w:ascii="Times New Roman" w:hAnsi="Times New Roman" w:cs="Times New Roman"/>
              </w:rPr>
            </w:pPr>
            <w:r>
              <w:rPr>
                <w:rFonts w:ascii="Times New Roman" w:hAnsi="Times New Roman" w:cs="Times New Roman"/>
                <w:lang w:val="en-US"/>
              </w:rPr>
              <w:t>URS</w:t>
            </w:r>
          </w:p>
          <w:p w14:paraId="100C7DDC" w14:textId="77777777" w:rsidR="005E68D4" w:rsidRDefault="005E68D4">
            <w:pPr>
              <w:rPr>
                <w:rFonts w:ascii="Times New Roman" w:hAnsi="Times New Roman" w:cs="Times New Roman"/>
                <w:b/>
              </w:rPr>
            </w:pPr>
          </w:p>
        </w:tc>
        <w:tc>
          <w:tcPr>
            <w:tcW w:w="3060" w:type="dxa"/>
            <w:tcBorders>
              <w:top w:val="single" w:sz="4" w:space="0" w:color="auto"/>
              <w:bottom w:val="single" w:sz="4" w:space="0" w:color="auto"/>
            </w:tcBorders>
          </w:tcPr>
          <w:p w14:paraId="4A4511B3" w14:textId="77777777" w:rsidR="005E68D4" w:rsidRDefault="00A32143">
            <w:pPr>
              <w:rPr>
                <w:rFonts w:ascii="Times New Roman" w:hAnsi="Times New Roman" w:cs="Times New Roman"/>
              </w:rPr>
            </w:pPr>
            <w:r>
              <w:rPr>
                <w:rFonts w:ascii="Times New Roman" w:hAnsi="Times New Roman" w:cs="Times New Roman"/>
                <w:lang w:val="en-US"/>
              </w:rPr>
              <w:t>RS</w:t>
            </w:r>
          </w:p>
          <w:p w14:paraId="56C4E362" w14:textId="77777777" w:rsidR="005E68D4" w:rsidRDefault="005E68D4">
            <w:pPr>
              <w:rPr>
                <w:rFonts w:ascii="Times New Roman" w:hAnsi="Times New Roman" w:cs="Times New Roman"/>
                <w:b/>
              </w:rPr>
            </w:pPr>
          </w:p>
        </w:tc>
      </w:tr>
      <w:tr w:rsidR="005E68D4" w14:paraId="3DB7C25C" w14:textId="77777777">
        <w:trPr>
          <w:trHeight w:val="467"/>
        </w:trPr>
        <w:tc>
          <w:tcPr>
            <w:tcW w:w="3595" w:type="dxa"/>
            <w:tcBorders>
              <w:top w:val="single" w:sz="4" w:space="0" w:color="auto"/>
            </w:tcBorders>
          </w:tcPr>
          <w:p w14:paraId="62CD0A4A" w14:textId="77777777" w:rsidR="005E68D4" w:rsidRDefault="00A32143">
            <w:pPr>
              <w:rPr>
                <w:rFonts w:ascii="Times New Roman" w:hAnsi="Times New Roman" w:cs="Times New Roman"/>
              </w:rPr>
            </w:pPr>
            <w:r>
              <w:rPr>
                <w:rFonts w:ascii="Times New Roman" w:hAnsi="Times New Roman" w:cs="Times New Roman"/>
                <w:lang w:val="en-US"/>
              </w:rPr>
              <w:t>Bacteria (cfu/g)</w:t>
            </w:r>
          </w:p>
        </w:tc>
        <w:tc>
          <w:tcPr>
            <w:tcW w:w="3150" w:type="dxa"/>
            <w:tcBorders>
              <w:top w:val="single" w:sz="4" w:space="0" w:color="auto"/>
            </w:tcBorders>
          </w:tcPr>
          <w:p w14:paraId="6F10B6AF" w14:textId="77777777" w:rsidR="005E68D4" w:rsidRDefault="00A32143">
            <w:pPr>
              <w:rPr>
                <w:rFonts w:ascii="Times New Roman" w:hAnsi="Times New Roman" w:cs="Times New Roman"/>
              </w:rPr>
            </w:pPr>
            <w:r>
              <w:rPr>
                <w:rFonts w:ascii="Times New Roman" w:hAnsi="Times New Roman" w:cs="Times New Roman"/>
                <w:lang w:val="en-US"/>
              </w:rPr>
              <w:t>4.0 × 10⁶</w:t>
            </w:r>
          </w:p>
        </w:tc>
        <w:tc>
          <w:tcPr>
            <w:tcW w:w="3060" w:type="dxa"/>
            <w:tcBorders>
              <w:top w:val="single" w:sz="4" w:space="0" w:color="auto"/>
            </w:tcBorders>
          </w:tcPr>
          <w:p w14:paraId="6F3D56CD" w14:textId="77777777" w:rsidR="005E68D4" w:rsidRDefault="00A32143">
            <w:pPr>
              <w:rPr>
                <w:rFonts w:ascii="Times New Roman" w:hAnsi="Times New Roman" w:cs="Times New Roman"/>
              </w:rPr>
            </w:pPr>
            <w:r>
              <w:rPr>
                <w:rFonts w:ascii="Times New Roman" w:hAnsi="Times New Roman" w:cs="Times New Roman"/>
                <w:lang w:val="en-US"/>
              </w:rPr>
              <w:t>3.9 × 10⁵</w:t>
            </w:r>
          </w:p>
          <w:p w14:paraId="1F37E0CC" w14:textId="77777777" w:rsidR="005E68D4" w:rsidRDefault="005E68D4">
            <w:pPr>
              <w:rPr>
                <w:rFonts w:ascii="Times New Roman" w:hAnsi="Times New Roman" w:cs="Times New Roman"/>
                <w:b/>
              </w:rPr>
            </w:pPr>
          </w:p>
        </w:tc>
      </w:tr>
      <w:tr w:rsidR="005E68D4" w14:paraId="175D2F14" w14:textId="77777777">
        <w:tc>
          <w:tcPr>
            <w:tcW w:w="3595" w:type="dxa"/>
          </w:tcPr>
          <w:p w14:paraId="4DA80B81" w14:textId="77777777" w:rsidR="005E68D4" w:rsidRDefault="00A32143">
            <w:pPr>
              <w:rPr>
                <w:rFonts w:ascii="Times New Roman" w:hAnsi="Times New Roman" w:cs="Times New Roman"/>
              </w:rPr>
            </w:pPr>
            <w:r>
              <w:rPr>
                <w:rFonts w:ascii="Times New Roman" w:hAnsi="Times New Roman" w:cs="Times New Roman"/>
                <w:lang w:val="en-US"/>
              </w:rPr>
              <w:t>Fungi (cfu/g)</w:t>
            </w:r>
          </w:p>
        </w:tc>
        <w:tc>
          <w:tcPr>
            <w:tcW w:w="3150" w:type="dxa"/>
          </w:tcPr>
          <w:p w14:paraId="42CE23A9" w14:textId="77777777" w:rsidR="005E68D4" w:rsidRDefault="00A32143">
            <w:pPr>
              <w:rPr>
                <w:rFonts w:ascii="Times New Roman" w:hAnsi="Times New Roman" w:cs="Times New Roman"/>
              </w:rPr>
            </w:pPr>
            <w:r>
              <w:rPr>
                <w:rFonts w:ascii="Times New Roman" w:hAnsi="Times New Roman" w:cs="Times New Roman"/>
                <w:lang w:val="en-US"/>
              </w:rPr>
              <w:t>2.6 × 10⁶</w:t>
            </w:r>
          </w:p>
          <w:p w14:paraId="793AF564" w14:textId="77777777" w:rsidR="005E68D4" w:rsidRDefault="005E68D4">
            <w:pPr>
              <w:rPr>
                <w:rFonts w:ascii="Times New Roman" w:hAnsi="Times New Roman" w:cs="Times New Roman"/>
                <w:b/>
              </w:rPr>
            </w:pPr>
          </w:p>
        </w:tc>
        <w:tc>
          <w:tcPr>
            <w:tcW w:w="3060" w:type="dxa"/>
          </w:tcPr>
          <w:p w14:paraId="65E4E5DA" w14:textId="77777777" w:rsidR="005E68D4" w:rsidRDefault="00A32143">
            <w:pPr>
              <w:rPr>
                <w:rFonts w:ascii="Times New Roman" w:hAnsi="Times New Roman" w:cs="Times New Roman"/>
              </w:rPr>
            </w:pPr>
            <w:r>
              <w:rPr>
                <w:rFonts w:ascii="Times New Roman" w:hAnsi="Times New Roman" w:cs="Times New Roman"/>
                <w:lang w:val="en-US"/>
              </w:rPr>
              <w:t>3.0 × 10⁵</w:t>
            </w:r>
          </w:p>
          <w:p w14:paraId="1952C506" w14:textId="77777777" w:rsidR="005E68D4" w:rsidRDefault="005E68D4">
            <w:pPr>
              <w:rPr>
                <w:rFonts w:ascii="Times New Roman" w:hAnsi="Times New Roman" w:cs="Times New Roman"/>
                <w:b/>
              </w:rPr>
            </w:pPr>
          </w:p>
        </w:tc>
      </w:tr>
      <w:tr w:rsidR="005E68D4" w14:paraId="3FB41DE3" w14:textId="77777777">
        <w:tc>
          <w:tcPr>
            <w:tcW w:w="3595" w:type="dxa"/>
          </w:tcPr>
          <w:p w14:paraId="6CE3D912" w14:textId="77777777" w:rsidR="005E68D4" w:rsidRDefault="00A32143">
            <w:pPr>
              <w:rPr>
                <w:rFonts w:ascii="Times New Roman" w:hAnsi="Times New Roman" w:cs="Times New Roman"/>
              </w:rPr>
            </w:pPr>
            <w:r>
              <w:rPr>
                <w:rFonts w:ascii="Times New Roman" w:hAnsi="Times New Roman" w:cs="Times New Roman"/>
                <w:lang w:val="en-US"/>
              </w:rPr>
              <w:t>Dehydrogenase (µg TPF g⁻¹ h⁻¹)</w:t>
            </w:r>
          </w:p>
        </w:tc>
        <w:tc>
          <w:tcPr>
            <w:tcW w:w="3150" w:type="dxa"/>
          </w:tcPr>
          <w:p w14:paraId="7C0B7A53" w14:textId="77777777" w:rsidR="005E68D4" w:rsidRDefault="00A32143">
            <w:pPr>
              <w:rPr>
                <w:rFonts w:ascii="Times New Roman" w:hAnsi="Times New Roman" w:cs="Times New Roman"/>
              </w:rPr>
            </w:pPr>
            <w:r>
              <w:rPr>
                <w:rFonts w:ascii="Times New Roman" w:hAnsi="Times New Roman" w:cs="Times New Roman"/>
                <w:lang w:val="en-US"/>
              </w:rPr>
              <w:t>2.6</w:t>
            </w:r>
          </w:p>
          <w:p w14:paraId="5F60CCD8" w14:textId="77777777" w:rsidR="005E68D4" w:rsidRDefault="005E68D4">
            <w:pPr>
              <w:rPr>
                <w:rFonts w:ascii="Times New Roman" w:hAnsi="Times New Roman" w:cs="Times New Roman"/>
                <w:b/>
              </w:rPr>
            </w:pPr>
          </w:p>
        </w:tc>
        <w:tc>
          <w:tcPr>
            <w:tcW w:w="3060" w:type="dxa"/>
          </w:tcPr>
          <w:p w14:paraId="1F9F5CB4" w14:textId="77777777" w:rsidR="005E68D4" w:rsidRDefault="00A32143">
            <w:pPr>
              <w:rPr>
                <w:rFonts w:ascii="Times New Roman" w:hAnsi="Times New Roman" w:cs="Times New Roman"/>
                <w:b/>
              </w:rPr>
            </w:pPr>
            <w:r>
              <w:rPr>
                <w:rFonts w:ascii="Times New Roman" w:hAnsi="Times New Roman" w:cs="Times New Roman"/>
                <w:lang w:val="en-US"/>
              </w:rPr>
              <w:t>0.7</w:t>
            </w:r>
          </w:p>
        </w:tc>
      </w:tr>
      <w:tr w:rsidR="005E68D4" w14:paraId="497CFB77" w14:textId="77777777">
        <w:tc>
          <w:tcPr>
            <w:tcW w:w="3595" w:type="dxa"/>
          </w:tcPr>
          <w:p w14:paraId="7BEB65A7" w14:textId="77777777" w:rsidR="005E68D4" w:rsidRDefault="00A32143">
            <w:pPr>
              <w:rPr>
                <w:rFonts w:ascii="Times New Roman" w:hAnsi="Times New Roman" w:cs="Times New Roman"/>
              </w:rPr>
            </w:pPr>
            <w:r>
              <w:rPr>
                <w:rFonts w:ascii="Times New Roman" w:hAnsi="Times New Roman" w:cs="Times New Roman"/>
                <w:lang w:val="en-US"/>
              </w:rPr>
              <w:t>Urease (µg NH₄⁺ g⁻¹ h⁻¹)</w:t>
            </w:r>
          </w:p>
          <w:p w14:paraId="10A7AFDB" w14:textId="77777777" w:rsidR="005E68D4" w:rsidRDefault="005E68D4">
            <w:pPr>
              <w:rPr>
                <w:rFonts w:ascii="Times New Roman" w:hAnsi="Times New Roman" w:cs="Times New Roman"/>
                <w:b/>
              </w:rPr>
            </w:pPr>
          </w:p>
        </w:tc>
        <w:tc>
          <w:tcPr>
            <w:tcW w:w="3150" w:type="dxa"/>
          </w:tcPr>
          <w:p w14:paraId="0C122586" w14:textId="77777777" w:rsidR="005E68D4" w:rsidRDefault="00A32143">
            <w:pPr>
              <w:rPr>
                <w:rFonts w:ascii="Times New Roman" w:hAnsi="Times New Roman" w:cs="Times New Roman"/>
              </w:rPr>
            </w:pPr>
            <w:r>
              <w:rPr>
                <w:rFonts w:ascii="Times New Roman" w:hAnsi="Times New Roman" w:cs="Times New Roman"/>
                <w:lang w:val="en-US"/>
              </w:rPr>
              <w:t>28.0</w:t>
            </w:r>
          </w:p>
          <w:p w14:paraId="2F364BAA" w14:textId="77777777" w:rsidR="005E68D4" w:rsidRDefault="005E68D4">
            <w:pPr>
              <w:rPr>
                <w:rFonts w:ascii="Times New Roman" w:hAnsi="Times New Roman" w:cs="Times New Roman"/>
                <w:b/>
              </w:rPr>
            </w:pPr>
          </w:p>
        </w:tc>
        <w:tc>
          <w:tcPr>
            <w:tcW w:w="3060" w:type="dxa"/>
          </w:tcPr>
          <w:p w14:paraId="51018542" w14:textId="77777777" w:rsidR="005E68D4" w:rsidRDefault="00A32143">
            <w:pPr>
              <w:rPr>
                <w:rFonts w:ascii="Times New Roman" w:hAnsi="Times New Roman" w:cs="Times New Roman"/>
              </w:rPr>
            </w:pPr>
            <w:r>
              <w:rPr>
                <w:rFonts w:ascii="Times New Roman" w:hAnsi="Times New Roman" w:cs="Times New Roman"/>
                <w:lang w:val="en-US"/>
              </w:rPr>
              <w:t>7.1</w:t>
            </w:r>
          </w:p>
          <w:p w14:paraId="42622046" w14:textId="77777777" w:rsidR="005E68D4" w:rsidRDefault="005E68D4">
            <w:pPr>
              <w:rPr>
                <w:rFonts w:ascii="Times New Roman" w:hAnsi="Times New Roman" w:cs="Times New Roman"/>
                <w:b/>
              </w:rPr>
            </w:pPr>
          </w:p>
        </w:tc>
      </w:tr>
      <w:tr w:rsidR="005E68D4" w14:paraId="0C6C94C3" w14:textId="77777777">
        <w:tc>
          <w:tcPr>
            <w:tcW w:w="3595" w:type="dxa"/>
          </w:tcPr>
          <w:p w14:paraId="5AC7DC7F" w14:textId="77777777" w:rsidR="005E68D4" w:rsidRDefault="00A32143">
            <w:pPr>
              <w:rPr>
                <w:rFonts w:ascii="Times New Roman" w:hAnsi="Times New Roman" w:cs="Times New Roman"/>
              </w:rPr>
            </w:pPr>
            <w:r>
              <w:rPr>
                <w:rFonts w:ascii="Times New Roman" w:hAnsi="Times New Roman" w:cs="Times New Roman"/>
                <w:lang w:val="en-US"/>
              </w:rPr>
              <w:t>Phosphatase (µg pNP g⁻¹ h⁻¹)</w:t>
            </w:r>
          </w:p>
          <w:p w14:paraId="4062CCED" w14:textId="77777777" w:rsidR="005E68D4" w:rsidRDefault="005E68D4">
            <w:pPr>
              <w:rPr>
                <w:rFonts w:ascii="Times New Roman" w:hAnsi="Times New Roman" w:cs="Times New Roman"/>
                <w:b/>
              </w:rPr>
            </w:pPr>
          </w:p>
        </w:tc>
        <w:tc>
          <w:tcPr>
            <w:tcW w:w="3150" w:type="dxa"/>
          </w:tcPr>
          <w:p w14:paraId="295C834E" w14:textId="77777777" w:rsidR="005E68D4" w:rsidRDefault="00A32143">
            <w:pPr>
              <w:rPr>
                <w:rFonts w:ascii="Times New Roman" w:hAnsi="Times New Roman" w:cs="Times New Roman"/>
              </w:rPr>
            </w:pPr>
            <w:r>
              <w:rPr>
                <w:rFonts w:ascii="Times New Roman" w:hAnsi="Times New Roman" w:cs="Times New Roman"/>
                <w:lang w:val="en-US"/>
              </w:rPr>
              <w:t>55.0</w:t>
            </w:r>
          </w:p>
          <w:p w14:paraId="5D260DB1" w14:textId="77777777" w:rsidR="005E68D4" w:rsidRDefault="005E68D4">
            <w:pPr>
              <w:rPr>
                <w:rFonts w:ascii="Times New Roman" w:hAnsi="Times New Roman" w:cs="Times New Roman"/>
                <w:b/>
              </w:rPr>
            </w:pPr>
          </w:p>
        </w:tc>
        <w:tc>
          <w:tcPr>
            <w:tcW w:w="3060" w:type="dxa"/>
          </w:tcPr>
          <w:p w14:paraId="17E82EA6" w14:textId="77777777" w:rsidR="005E68D4" w:rsidRDefault="00A32143">
            <w:pPr>
              <w:rPr>
                <w:rFonts w:ascii="Times New Roman" w:hAnsi="Times New Roman" w:cs="Times New Roman"/>
              </w:rPr>
            </w:pPr>
            <w:r>
              <w:rPr>
                <w:rFonts w:ascii="Times New Roman" w:hAnsi="Times New Roman" w:cs="Times New Roman"/>
                <w:lang w:val="en-US"/>
              </w:rPr>
              <w:t>16.5</w:t>
            </w:r>
          </w:p>
          <w:p w14:paraId="415246A2" w14:textId="77777777" w:rsidR="005E68D4" w:rsidRDefault="005E68D4">
            <w:pPr>
              <w:rPr>
                <w:rFonts w:ascii="Times New Roman" w:hAnsi="Times New Roman" w:cs="Times New Roman"/>
                <w:b/>
              </w:rPr>
            </w:pPr>
          </w:p>
        </w:tc>
      </w:tr>
      <w:tr w:rsidR="005E68D4" w14:paraId="6C4F364A" w14:textId="77777777">
        <w:tc>
          <w:tcPr>
            <w:tcW w:w="3595" w:type="dxa"/>
          </w:tcPr>
          <w:p w14:paraId="3C93C37F" w14:textId="77777777" w:rsidR="005E68D4" w:rsidRDefault="00A32143">
            <w:pPr>
              <w:rPr>
                <w:rFonts w:ascii="Times New Roman" w:hAnsi="Times New Roman" w:cs="Times New Roman"/>
              </w:rPr>
            </w:pPr>
            <w:r>
              <w:rPr>
                <w:rFonts w:ascii="Times New Roman" w:hAnsi="Times New Roman" w:cs="Times New Roman"/>
                <w:lang w:val="en-US"/>
              </w:rPr>
              <w:t>Bacterial species</w:t>
            </w:r>
          </w:p>
          <w:p w14:paraId="0BBFC3FE" w14:textId="77777777" w:rsidR="005E68D4" w:rsidRDefault="005E68D4">
            <w:pPr>
              <w:rPr>
                <w:rFonts w:ascii="Times New Roman" w:hAnsi="Times New Roman" w:cs="Times New Roman"/>
                <w:b/>
              </w:rPr>
            </w:pPr>
          </w:p>
        </w:tc>
        <w:tc>
          <w:tcPr>
            <w:tcW w:w="3150" w:type="dxa"/>
          </w:tcPr>
          <w:p w14:paraId="56CEAD7B" w14:textId="77777777" w:rsidR="005E68D4" w:rsidRDefault="00A32143">
            <w:pPr>
              <w:rPr>
                <w:rFonts w:ascii="Times New Roman" w:hAnsi="Times New Roman" w:cs="Times New Roman"/>
              </w:rPr>
            </w:pPr>
            <w:r>
              <w:rPr>
                <w:rFonts w:ascii="Times New Roman" w:hAnsi="Times New Roman" w:cs="Times New Roman"/>
                <w:lang w:val="en-US"/>
              </w:rPr>
              <w:t>Pseudomonas, Staphylococcus, Klebsiella</w:t>
            </w:r>
          </w:p>
        </w:tc>
        <w:tc>
          <w:tcPr>
            <w:tcW w:w="3060" w:type="dxa"/>
          </w:tcPr>
          <w:p w14:paraId="51E22917" w14:textId="77777777" w:rsidR="005E68D4" w:rsidRDefault="00A32143">
            <w:pPr>
              <w:rPr>
                <w:rFonts w:ascii="Times New Roman" w:hAnsi="Times New Roman" w:cs="Times New Roman"/>
              </w:rPr>
            </w:pPr>
            <w:r>
              <w:rPr>
                <w:rFonts w:ascii="Times New Roman" w:hAnsi="Times New Roman" w:cs="Times New Roman"/>
                <w:lang w:val="en-US"/>
              </w:rPr>
              <w:t>Bacillus, Staphylococcus, Klebsiella</w:t>
            </w:r>
          </w:p>
        </w:tc>
      </w:tr>
      <w:tr w:rsidR="005E68D4" w14:paraId="48941917" w14:textId="77777777">
        <w:tc>
          <w:tcPr>
            <w:tcW w:w="3595" w:type="dxa"/>
            <w:tcBorders>
              <w:bottom w:val="single" w:sz="4" w:space="0" w:color="auto"/>
            </w:tcBorders>
          </w:tcPr>
          <w:p w14:paraId="35E2940B" w14:textId="77777777" w:rsidR="005E68D4" w:rsidRDefault="00A32143">
            <w:pPr>
              <w:rPr>
                <w:rFonts w:ascii="Times New Roman" w:hAnsi="Times New Roman" w:cs="Times New Roman"/>
              </w:rPr>
            </w:pPr>
            <w:r>
              <w:rPr>
                <w:rFonts w:ascii="Times New Roman" w:hAnsi="Times New Roman" w:cs="Times New Roman"/>
                <w:lang w:val="en-US"/>
              </w:rPr>
              <w:t>Fungal species</w:t>
            </w:r>
          </w:p>
          <w:p w14:paraId="505637D9" w14:textId="77777777" w:rsidR="005E68D4" w:rsidRDefault="005E68D4">
            <w:pPr>
              <w:rPr>
                <w:rFonts w:ascii="Times New Roman" w:hAnsi="Times New Roman" w:cs="Times New Roman"/>
                <w:b/>
              </w:rPr>
            </w:pPr>
          </w:p>
        </w:tc>
        <w:tc>
          <w:tcPr>
            <w:tcW w:w="3150" w:type="dxa"/>
            <w:tcBorders>
              <w:bottom w:val="single" w:sz="4" w:space="0" w:color="auto"/>
            </w:tcBorders>
          </w:tcPr>
          <w:p w14:paraId="16A94F1C" w14:textId="77777777" w:rsidR="005E68D4" w:rsidRDefault="00A32143">
            <w:pPr>
              <w:rPr>
                <w:rFonts w:ascii="Times New Roman" w:hAnsi="Times New Roman" w:cs="Times New Roman"/>
              </w:rPr>
            </w:pPr>
            <w:r>
              <w:rPr>
                <w:rFonts w:ascii="Times New Roman" w:hAnsi="Times New Roman" w:cs="Times New Roman"/>
                <w:lang w:val="en-US"/>
              </w:rPr>
              <w:t>Aspergillus, Fusarium, Saccharomyces, Penicillium</w:t>
            </w:r>
          </w:p>
          <w:p w14:paraId="784C9F63" w14:textId="77777777" w:rsidR="005E68D4" w:rsidRDefault="005E68D4">
            <w:pPr>
              <w:rPr>
                <w:rFonts w:ascii="Times New Roman" w:hAnsi="Times New Roman" w:cs="Times New Roman"/>
                <w:b/>
              </w:rPr>
            </w:pPr>
          </w:p>
        </w:tc>
        <w:tc>
          <w:tcPr>
            <w:tcW w:w="3060" w:type="dxa"/>
            <w:tcBorders>
              <w:bottom w:val="single" w:sz="4" w:space="0" w:color="auto"/>
            </w:tcBorders>
          </w:tcPr>
          <w:p w14:paraId="2E8B9E57" w14:textId="77777777" w:rsidR="005E68D4" w:rsidRDefault="00A32143">
            <w:pPr>
              <w:rPr>
                <w:rFonts w:ascii="Times New Roman" w:hAnsi="Times New Roman" w:cs="Times New Roman"/>
              </w:rPr>
            </w:pPr>
            <w:r>
              <w:rPr>
                <w:rFonts w:ascii="Times New Roman" w:hAnsi="Times New Roman" w:cs="Times New Roman"/>
                <w:lang w:val="en-US"/>
              </w:rPr>
              <w:t>Aspergillus, Fusarium</w:t>
            </w:r>
          </w:p>
          <w:p w14:paraId="3D462F5F" w14:textId="77777777" w:rsidR="005E68D4" w:rsidRDefault="005E68D4">
            <w:pPr>
              <w:rPr>
                <w:rFonts w:ascii="Times New Roman" w:hAnsi="Times New Roman" w:cs="Times New Roman"/>
                <w:b/>
              </w:rPr>
            </w:pPr>
          </w:p>
        </w:tc>
      </w:tr>
    </w:tbl>
    <w:p w14:paraId="74936F6E" w14:textId="77777777" w:rsidR="005E68D4" w:rsidRDefault="00A32143">
      <w:pPr>
        <w:spacing w:line="480" w:lineRule="auto"/>
        <w:jc w:val="both"/>
        <w:rPr>
          <w:rFonts w:ascii="Times New Roman" w:hAnsi="Times New Roman" w:cs="Times New Roman"/>
          <w:sz w:val="20"/>
          <w:szCs w:val="20"/>
        </w:rPr>
      </w:pPr>
      <w:r>
        <w:rPr>
          <w:rFonts w:ascii="Times New Roman" w:hAnsi="Times New Roman" w:cs="Times New Roman"/>
          <w:sz w:val="20"/>
          <w:szCs w:val="20"/>
        </w:rPr>
        <w:t>Note: URS = Unremediated Soil Sample, RS = Remediated Soil Sample</w:t>
      </w:r>
    </w:p>
    <w:p w14:paraId="5726B443" w14:textId="77777777" w:rsidR="005E68D4" w:rsidRDefault="00A32143">
      <w:pPr>
        <w:rPr>
          <w:rFonts w:ascii="Times New Roman" w:hAnsi="Times New Roman" w:cs="Times New Roman"/>
          <w:b/>
        </w:rPr>
      </w:pPr>
      <w:r>
        <w:rPr>
          <w:rFonts w:ascii="Times New Roman" w:hAnsi="Times New Roman" w:cs="Times New Roman"/>
          <w:b/>
          <w:lang w:val="en-US"/>
        </w:rPr>
        <w:t>Table 2: Nutrient and physicochemical properties of soils from K-Dere</w:t>
      </w:r>
    </w:p>
    <w:tbl>
      <w:tblPr>
        <w:tblStyle w:val="TableGrid"/>
        <w:tblW w:w="9805"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16"/>
        <w:gridCol w:w="3117"/>
        <w:gridCol w:w="3572"/>
      </w:tblGrid>
      <w:tr w:rsidR="005E68D4" w14:paraId="01033BDA" w14:textId="77777777">
        <w:tc>
          <w:tcPr>
            <w:tcW w:w="3116" w:type="dxa"/>
            <w:tcBorders>
              <w:top w:val="single" w:sz="4" w:space="0" w:color="auto"/>
              <w:bottom w:val="single" w:sz="4" w:space="0" w:color="auto"/>
            </w:tcBorders>
          </w:tcPr>
          <w:p w14:paraId="02DE5E5D" w14:textId="77777777" w:rsidR="005E68D4" w:rsidRDefault="00A32143">
            <w:pPr>
              <w:rPr>
                <w:rFonts w:ascii="Times New Roman" w:hAnsi="Times New Roman" w:cs="Times New Roman"/>
              </w:rPr>
            </w:pPr>
            <w:r>
              <w:rPr>
                <w:rFonts w:ascii="Times New Roman" w:hAnsi="Times New Roman" w:cs="Times New Roman"/>
                <w:lang w:val="en-US"/>
              </w:rPr>
              <w:t>Parameter</w:t>
            </w:r>
          </w:p>
        </w:tc>
        <w:tc>
          <w:tcPr>
            <w:tcW w:w="3117" w:type="dxa"/>
            <w:tcBorders>
              <w:top w:val="single" w:sz="4" w:space="0" w:color="auto"/>
              <w:bottom w:val="single" w:sz="4" w:space="0" w:color="auto"/>
            </w:tcBorders>
          </w:tcPr>
          <w:p w14:paraId="27D6B81B" w14:textId="77777777" w:rsidR="005E68D4" w:rsidRDefault="00A32143">
            <w:pPr>
              <w:rPr>
                <w:rFonts w:ascii="Times New Roman" w:hAnsi="Times New Roman" w:cs="Times New Roman"/>
              </w:rPr>
            </w:pPr>
            <w:r>
              <w:rPr>
                <w:rFonts w:ascii="Times New Roman" w:hAnsi="Times New Roman" w:cs="Times New Roman"/>
                <w:lang w:val="en-US"/>
              </w:rPr>
              <w:t>URS</w:t>
            </w:r>
          </w:p>
        </w:tc>
        <w:tc>
          <w:tcPr>
            <w:tcW w:w="3572" w:type="dxa"/>
            <w:tcBorders>
              <w:top w:val="single" w:sz="4" w:space="0" w:color="auto"/>
              <w:bottom w:val="single" w:sz="4" w:space="0" w:color="auto"/>
            </w:tcBorders>
          </w:tcPr>
          <w:p w14:paraId="73619EA0" w14:textId="77777777" w:rsidR="005E68D4" w:rsidRDefault="00A32143">
            <w:pPr>
              <w:rPr>
                <w:rFonts w:ascii="Times New Roman" w:hAnsi="Times New Roman" w:cs="Times New Roman"/>
              </w:rPr>
            </w:pPr>
            <w:r>
              <w:rPr>
                <w:rFonts w:ascii="Times New Roman" w:hAnsi="Times New Roman" w:cs="Times New Roman"/>
                <w:lang w:val="en-US"/>
              </w:rPr>
              <w:t>RS</w:t>
            </w:r>
          </w:p>
          <w:p w14:paraId="030F6786" w14:textId="77777777" w:rsidR="005E68D4" w:rsidRDefault="005E68D4">
            <w:pPr>
              <w:jc w:val="both"/>
              <w:rPr>
                <w:rFonts w:ascii="Times New Roman" w:hAnsi="Times New Roman" w:cs="Times New Roman"/>
              </w:rPr>
            </w:pPr>
          </w:p>
        </w:tc>
      </w:tr>
      <w:tr w:rsidR="005E68D4" w14:paraId="2C6CE408" w14:textId="77777777">
        <w:trPr>
          <w:trHeight w:val="369"/>
        </w:trPr>
        <w:tc>
          <w:tcPr>
            <w:tcW w:w="3116" w:type="dxa"/>
            <w:tcBorders>
              <w:top w:val="single" w:sz="4" w:space="0" w:color="auto"/>
            </w:tcBorders>
          </w:tcPr>
          <w:p w14:paraId="741BC833" w14:textId="77777777" w:rsidR="005E68D4" w:rsidRDefault="00A32143">
            <w:pPr>
              <w:rPr>
                <w:rFonts w:ascii="Times New Roman" w:hAnsi="Times New Roman" w:cs="Times New Roman"/>
              </w:rPr>
            </w:pPr>
            <w:r>
              <w:rPr>
                <w:rFonts w:ascii="Times New Roman" w:hAnsi="Times New Roman" w:cs="Times New Roman"/>
                <w:lang w:val="en-US"/>
              </w:rPr>
              <w:t>TOC (%)</w:t>
            </w:r>
          </w:p>
        </w:tc>
        <w:tc>
          <w:tcPr>
            <w:tcW w:w="3117" w:type="dxa"/>
            <w:tcBorders>
              <w:top w:val="single" w:sz="4" w:space="0" w:color="auto"/>
            </w:tcBorders>
          </w:tcPr>
          <w:p w14:paraId="68DC5198" w14:textId="77777777" w:rsidR="005E68D4" w:rsidRDefault="00A32143">
            <w:pPr>
              <w:rPr>
                <w:rFonts w:ascii="Times New Roman" w:hAnsi="Times New Roman" w:cs="Times New Roman"/>
              </w:rPr>
            </w:pPr>
            <w:r>
              <w:rPr>
                <w:rFonts w:ascii="Times New Roman" w:hAnsi="Times New Roman" w:cs="Times New Roman"/>
                <w:lang w:val="en-US"/>
              </w:rPr>
              <w:t>2.10</w:t>
            </w:r>
          </w:p>
          <w:p w14:paraId="673311CD" w14:textId="77777777" w:rsidR="005E68D4" w:rsidRDefault="005E68D4">
            <w:pPr>
              <w:jc w:val="both"/>
              <w:rPr>
                <w:rFonts w:ascii="Times New Roman" w:hAnsi="Times New Roman" w:cs="Times New Roman"/>
              </w:rPr>
            </w:pPr>
          </w:p>
        </w:tc>
        <w:tc>
          <w:tcPr>
            <w:tcW w:w="3572" w:type="dxa"/>
            <w:tcBorders>
              <w:top w:val="single" w:sz="4" w:space="0" w:color="auto"/>
            </w:tcBorders>
          </w:tcPr>
          <w:p w14:paraId="2D3EE0A8" w14:textId="77777777" w:rsidR="005E68D4" w:rsidRDefault="00A32143">
            <w:pPr>
              <w:rPr>
                <w:rFonts w:ascii="Times New Roman" w:hAnsi="Times New Roman" w:cs="Times New Roman"/>
              </w:rPr>
            </w:pPr>
            <w:r>
              <w:rPr>
                <w:rFonts w:ascii="Times New Roman" w:hAnsi="Times New Roman" w:cs="Times New Roman"/>
                <w:lang w:val="en-US"/>
              </w:rPr>
              <w:t>0.55</w:t>
            </w:r>
          </w:p>
          <w:p w14:paraId="603D582F" w14:textId="77777777" w:rsidR="005E68D4" w:rsidRDefault="005E68D4">
            <w:pPr>
              <w:jc w:val="both"/>
              <w:rPr>
                <w:rFonts w:ascii="Times New Roman" w:hAnsi="Times New Roman" w:cs="Times New Roman"/>
              </w:rPr>
            </w:pPr>
          </w:p>
        </w:tc>
      </w:tr>
      <w:tr w:rsidR="005E68D4" w14:paraId="60DBAE4B" w14:textId="77777777">
        <w:tc>
          <w:tcPr>
            <w:tcW w:w="3116" w:type="dxa"/>
          </w:tcPr>
          <w:p w14:paraId="6874E264" w14:textId="77777777" w:rsidR="005E68D4" w:rsidRDefault="00A32143">
            <w:pPr>
              <w:rPr>
                <w:rFonts w:ascii="Times New Roman" w:hAnsi="Times New Roman" w:cs="Times New Roman"/>
              </w:rPr>
            </w:pPr>
            <w:r>
              <w:rPr>
                <w:rFonts w:ascii="Times New Roman" w:hAnsi="Times New Roman" w:cs="Times New Roman"/>
                <w:lang w:val="en-US"/>
              </w:rPr>
              <w:t>TON (%)</w:t>
            </w:r>
          </w:p>
          <w:p w14:paraId="671E0E36" w14:textId="77777777" w:rsidR="005E68D4" w:rsidRDefault="005E68D4">
            <w:pPr>
              <w:rPr>
                <w:rFonts w:ascii="Times New Roman" w:hAnsi="Times New Roman" w:cs="Times New Roman"/>
              </w:rPr>
            </w:pPr>
          </w:p>
        </w:tc>
        <w:tc>
          <w:tcPr>
            <w:tcW w:w="3117" w:type="dxa"/>
          </w:tcPr>
          <w:p w14:paraId="07141F70" w14:textId="77777777" w:rsidR="005E68D4" w:rsidRDefault="00A32143">
            <w:pPr>
              <w:rPr>
                <w:rFonts w:ascii="Times New Roman" w:hAnsi="Times New Roman" w:cs="Times New Roman"/>
              </w:rPr>
            </w:pPr>
            <w:r>
              <w:rPr>
                <w:rFonts w:ascii="Times New Roman" w:hAnsi="Times New Roman" w:cs="Times New Roman"/>
                <w:lang w:val="en-US"/>
              </w:rPr>
              <w:t>0.20</w:t>
            </w:r>
          </w:p>
          <w:p w14:paraId="2A06BBCB" w14:textId="77777777" w:rsidR="005E68D4" w:rsidRDefault="005E68D4">
            <w:pPr>
              <w:jc w:val="both"/>
              <w:rPr>
                <w:rFonts w:ascii="Times New Roman" w:hAnsi="Times New Roman" w:cs="Times New Roman"/>
              </w:rPr>
            </w:pPr>
          </w:p>
        </w:tc>
        <w:tc>
          <w:tcPr>
            <w:tcW w:w="3572" w:type="dxa"/>
          </w:tcPr>
          <w:p w14:paraId="5F5F25BF" w14:textId="77777777" w:rsidR="005E68D4" w:rsidRDefault="00A32143">
            <w:pPr>
              <w:rPr>
                <w:rFonts w:ascii="Times New Roman" w:hAnsi="Times New Roman" w:cs="Times New Roman"/>
              </w:rPr>
            </w:pPr>
            <w:r>
              <w:rPr>
                <w:rFonts w:ascii="Times New Roman" w:hAnsi="Times New Roman" w:cs="Times New Roman"/>
                <w:lang w:val="en-US"/>
              </w:rPr>
              <w:t>0.40</w:t>
            </w:r>
          </w:p>
          <w:p w14:paraId="603809C5" w14:textId="77777777" w:rsidR="005E68D4" w:rsidRDefault="005E68D4">
            <w:pPr>
              <w:jc w:val="both"/>
              <w:rPr>
                <w:rFonts w:ascii="Times New Roman" w:hAnsi="Times New Roman" w:cs="Times New Roman"/>
              </w:rPr>
            </w:pPr>
          </w:p>
        </w:tc>
      </w:tr>
      <w:tr w:rsidR="005E68D4" w14:paraId="23CBAB88" w14:textId="77777777">
        <w:tc>
          <w:tcPr>
            <w:tcW w:w="3116" w:type="dxa"/>
          </w:tcPr>
          <w:p w14:paraId="66BA6A61" w14:textId="77777777" w:rsidR="005E68D4" w:rsidRDefault="00A32143">
            <w:pPr>
              <w:rPr>
                <w:rFonts w:ascii="Times New Roman" w:hAnsi="Times New Roman" w:cs="Times New Roman"/>
              </w:rPr>
            </w:pPr>
            <w:r>
              <w:rPr>
                <w:rFonts w:ascii="Times New Roman" w:hAnsi="Times New Roman" w:cs="Times New Roman"/>
                <w:lang w:val="en-US"/>
              </w:rPr>
              <w:t>SO₄²⁻ (mg/kg)</w:t>
            </w:r>
          </w:p>
          <w:p w14:paraId="1890041A" w14:textId="77777777" w:rsidR="005E68D4" w:rsidRDefault="005E68D4">
            <w:pPr>
              <w:rPr>
                <w:rFonts w:ascii="Times New Roman" w:hAnsi="Times New Roman" w:cs="Times New Roman"/>
              </w:rPr>
            </w:pPr>
          </w:p>
        </w:tc>
        <w:tc>
          <w:tcPr>
            <w:tcW w:w="3117" w:type="dxa"/>
          </w:tcPr>
          <w:p w14:paraId="67FA0C65" w14:textId="77777777" w:rsidR="005E68D4" w:rsidRDefault="00A32143">
            <w:pPr>
              <w:rPr>
                <w:rFonts w:ascii="Times New Roman" w:hAnsi="Times New Roman" w:cs="Times New Roman"/>
              </w:rPr>
            </w:pPr>
            <w:r>
              <w:rPr>
                <w:rFonts w:ascii="Times New Roman" w:hAnsi="Times New Roman" w:cs="Times New Roman"/>
                <w:lang w:val="en-US"/>
              </w:rPr>
              <w:t>56.98</w:t>
            </w:r>
          </w:p>
          <w:p w14:paraId="7EBA6C4F" w14:textId="77777777" w:rsidR="005E68D4" w:rsidRDefault="005E68D4">
            <w:pPr>
              <w:jc w:val="both"/>
              <w:rPr>
                <w:rFonts w:ascii="Times New Roman" w:hAnsi="Times New Roman" w:cs="Times New Roman"/>
              </w:rPr>
            </w:pPr>
          </w:p>
        </w:tc>
        <w:tc>
          <w:tcPr>
            <w:tcW w:w="3572" w:type="dxa"/>
          </w:tcPr>
          <w:p w14:paraId="50DA08EF" w14:textId="77777777" w:rsidR="005E68D4" w:rsidRDefault="00A32143">
            <w:pPr>
              <w:rPr>
                <w:rFonts w:ascii="Times New Roman" w:hAnsi="Times New Roman" w:cs="Times New Roman"/>
              </w:rPr>
            </w:pPr>
            <w:r>
              <w:rPr>
                <w:rFonts w:ascii="Times New Roman" w:hAnsi="Times New Roman" w:cs="Times New Roman"/>
                <w:lang w:val="en-US"/>
              </w:rPr>
              <w:t>66.30</w:t>
            </w:r>
          </w:p>
          <w:p w14:paraId="5795AAF0" w14:textId="77777777" w:rsidR="005E68D4" w:rsidRDefault="005E68D4">
            <w:pPr>
              <w:jc w:val="both"/>
              <w:rPr>
                <w:rFonts w:ascii="Times New Roman" w:hAnsi="Times New Roman" w:cs="Times New Roman"/>
              </w:rPr>
            </w:pPr>
          </w:p>
        </w:tc>
      </w:tr>
      <w:tr w:rsidR="005E68D4" w14:paraId="22D4980A" w14:textId="77777777">
        <w:tc>
          <w:tcPr>
            <w:tcW w:w="3116" w:type="dxa"/>
          </w:tcPr>
          <w:p w14:paraId="57803AED" w14:textId="77777777" w:rsidR="005E68D4" w:rsidRDefault="00A32143">
            <w:pPr>
              <w:rPr>
                <w:rFonts w:ascii="Times New Roman" w:hAnsi="Times New Roman" w:cs="Times New Roman"/>
              </w:rPr>
            </w:pPr>
            <w:r>
              <w:rPr>
                <w:rFonts w:ascii="Times New Roman" w:hAnsi="Times New Roman" w:cs="Times New Roman"/>
                <w:lang w:val="en-US"/>
              </w:rPr>
              <w:t>NO₃⁻ (mg/kg)</w:t>
            </w:r>
          </w:p>
          <w:p w14:paraId="6D616A9D" w14:textId="77777777" w:rsidR="005E68D4" w:rsidRDefault="005E68D4">
            <w:pPr>
              <w:rPr>
                <w:rFonts w:ascii="Times New Roman" w:hAnsi="Times New Roman" w:cs="Times New Roman"/>
              </w:rPr>
            </w:pPr>
          </w:p>
        </w:tc>
        <w:tc>
          <w:tcPr>
            <w:tcW w:w="3117" w:type="dxa"/>
          </w:tcPr>
          <w:p w14:paraId="4D44050A" w14:textId="77777777" w:rsidR="005E68D4" w:rsidRDefault="00A32143">
            <w:pPr>
              <w:rPr>
                <w:rFonts w:ascii="Times New Roman" w:hAnsi="Times New Roman" w:cs="Times New Roman"/>
              </w:rPr>
            </w:pPr>
            <w:r>
              <w:rPr>
                <w:rFonts w:ascii="Times New Roman" w:hAnsi="Times New Roman" w:cs="Times New Roman"/>
                <w:lang w:val="en-US"/>
              </w:rPr>
              <w:t>4.6</w:t>
            </w:r>
          </w:p>
          <w:p w14:paraId="45824226" w14:textId="77777777" w:rsidR="005E68D4" w:rsidRDefault="005E68D4">
            <w:pPr>
              <w:jc w:val="both"/>
              <w:rPr>
                <w:rFonts w:ascii="Times New Roman" w:hAnsi="Times New Roman" w:cs="Times New Roman"/>
              </w:rPr>
            </w:pPr>
          </w:p>
        </w:tc>
        <w:tc>
          <w:tcPr>
            <w:tcW w:w="3572" w:type="dxa"/>
          </w:tcPr>
          <w:p w14:paraId="31308CC3" w14:textId="77777777" w:rsidR="005E68D4" w:rsidRDefault="00A32143">
            <w:pPr>
              <w:rPr>
                <w:rFonts w:ascii="Times New Roman" w:hAnsi="Times New Roman" w:cs="Times New Roman"/>
              </w:rPr>
            </w:pPr>
            <w:r>
              <w:rPr>
                <w:rFonts w:ascii="Times New Roman" w:hAnsi="Times New Roman" w:cs="Times New Roman"/>
                <w:lang w:val="en-US"/>
              </w:rPr>
              <w:t>10.7</w:t>
            </w:r>
          </w:p>
          <w:p w14:paraId="2E94F054" w14:textId="77777777" w:rsidR="005E68D4" w:rsidRDefault="005E68D4">
            <w:pPr>
              <w:jc w:val="both"/>
              <w:rPr>
                <w:rFonts w:ascii="Times New Roman" w:hAnsi="Times New Roman" w:cs="Times New Roman"/>
              </w:rPr>
            </w:pPr>
          </w:p>
        </w:tc>
      </w:tr>
      <w:tr w:rsidR="005E68D4" w14:paraId="07944F5B" w14:textId="77777777">
        <w:tc>
          <w:tcPr>
            <w:tcW w:w="3116" w:type="dxa"/>
          </w:tcPr>
          <w:p w14:paraId="50D98316" w14:textId="77777777" w:rsidR="005E68D4" w:rsidRDefault="00A32143">
            <w:pPr>
              <w:rPr>
                <w:rFonts w:ascii="Times New Roman" w:hAnsi="Times New Roman" w:cs="Times New Roman"/>
              </w:rPr>
            </w:pPr>
            <w:r>
              <w:rPr>
                <w:rFonts w:ascii="Times New Roman" w:hAnsi="Times New Roman" w:cs="Times New Roman"/>
                <w:lang w:val="en-US"/>
              </w:rPr>
              <w:lastRenderedPageBreak/>
              <w:t>PO₄³⁻ (mg/kg)</w:t>
            </w:r>
          </w:p>
          <w:p w14:paraId="4386B976" w14:textId="77777777" w:rsidR="005E68D4" w:rsidRDefault="005E68D4">
            <w:pPr>
              <w:rPr>
                <w:rFonts w:ascii="Times New Roman" w:hAnsi="Times New Roman" w:cs="Times New Roman"/>
              </w:rPr>
            </w:pPr>
          </w:p>
        </w:tc>
        <w:tc>
          <w:tcPr>
            <w:tcW w:w="3117" w:type="dxa"/>
          </w:tcPr>
          <w:p w14:paraId="2285AEDF" w14:textId="77777777" w:rsidR="005E68D4" w:rsidRDefault="00A32143">
            <w:pPr>
              <w:rPr>
                <w:rFonts w:ascii="Times New Roman" w:hAnsi="Times New Roman" w:cs="Times New Roman"/>
              </w:rPr>
            </w:pPr>
            <w:r>
              <w:rPr>
                <w:rFonts w:ascii="Times New Roman" w:hAnsi="Times New Roman" w:cs="Times New Roman"/>
                <w:lang w:val="en-US"/>
              </w:rPr>
              <w:t>5.88</w:t>
            </w:r>
          </w:p>
          <w:p w14:paraId="7D927407" w14:textId="77777777" w:rsidR="005E68D4" w:rsidRDefault="005E68D4">
            <w:pPr>
              <w:jc w:val="both"/>
              <w:rPr>
                <w:rFonts w:ascii="Times New Roman" w:hAnsi="Times New Roman" w:cs="Times New Roman"/>
              </w:rPr>
            </w:pPr>
          </w:p>
        </w:tc>
        <w:tc>
          <w:tcPr>
            <w:tcW w:w="3572" w:type="dxa"/>
          </w:tcPr>
          <w:p w14:paraId="767A3AA2" w14:textId="77777777" w:rsidR="005E68D4" w:rsidRDefault="00A32143">
            <w:pPr>
              <w:rPr>
                <w:rFonts w:ascii="Times New Roman" w:hAnsi="Times New Roman" w:cs="Times New Roman"/>
              </w:rPr>
            </w:pPr>
            <w:r>
              <w:rPr>
                <w:rFonts w:ascii="Times New Roman" w:hAnsi="Times New Roman" w:cs="Times New Roman"/>
                <w:lang w:val="en-US"/>
              </w:rPr>
              <w:t>23.4</w:t>
            </w:r>
          </w:p>
          <w:p w14:paraId="4A285010" w14:textId="77777777" w:rsidR="005E68D4" w:rsidRDefault="005E68D4">
            <w:pPr>
              <w:jc w:val="both"/>
              <w:rPr>
                <w:rFonts w:ascii="Times New Roman" w:hAnsi="Times New Roman" w:cs="Times New Roman"/>
              </w:rPr>
            </w:pPr>
          </w:p>
        </w:tc>
      </w:tr>
      <w:tr w:rsidR="005E68D4" w14:paraId="23F08B6A" w14:textId="77777777">
        <w:tc>
          <w:tcPr>
            <w:tcW w:w="3116" w:type="dxa"/>
          </w:tcPr>
          <w:p w14:paraId="5FB50BDB" w14:textId="77777777" w:rsidR="005E68D4" w:rsidRDefault="00A32143">
            <w:pPr>
              <w:rPr>
                <w:rFonts w:ascii="Times New Roman" w:hAnsi="Times New Roman" w:cs="Times New Roman"/>
              </w:rPr>
            </w:pPr>
            <w:r>
              <w:rPr>
                <w:rFonts w:ascii="Times New Roman" w:hAnsi="Times New Roman" w:cs="Times New Roman"/>
                <w:lang w:val="en-US"/>
              </w:rPr>
              <w:t>Soil texture</w:t>
            </w:r>
          </w:p>
          <w:p w14:paraId="3F94BA6F" w14:textId="77777777" w:rsidR="005E68D4" w:rsidRDefault="005E68D4">
            <w:pPr>
              <w:rPr>
                <w:rFonts w:ascii="Times New Roman" w:hAnsi="Times New Roman" w:cs="Times New Roman"/>
              </w:rPr>
            </w:pPr>
          </w:p>
        </w:tc>
        <w:tc>
          <w:tcPr>
            <w:tcW w:w="3117" w:type="dxa"/>
          </w:tcPr>
          <w:p w14:paraId="47C1010D" w14:textId="77777777" w:rsidR="005E68D4" w:rsidRDefault="00A32143">
            <w:pPr>
              <w:rPr>
                <w:rFonts w:ascii="Times New Roman" w:hAnsi="Times New Roman" w:cs="Times New Roman"/>
              </w:rPr>
            </w:pPr>
            <w:r>
              <w:rPr>
                <w:rFonts w:ascii="Times New Roman" w:hAnsi="Times New Roman" w:cs="Times New Roman"/>
                <w:lang w:val="en-US"/>
              </w:rPr>
              <w:t>Loam</w:t>
            </w:r>
          </w:p>
          <w:p w14:paraId="52522990" w14:textId="77777777" w:rsidR="005E68D4" w:rsidRDefault="005E68D4">
            <w:pPr>
              <w:jc w:val="both"/>
              <w:rPr>
                <w:rFonts w:ascii="Times New Roman" w:hAnsi="Times New Roman" w:cs="Times New Roman"/>
              </w:rPr>
            </w:pPr>
          </w:p>
        </w:tc>
        <w:tc>
          <w:tcPr>
            <w:tcW w:w="3572" w:type="dxa"/>
          </w:tcPr>
          <w:p w14:paraId="35114AFC" w14:textId="77777777" w:rsidR="005E68D4" w:rsidRDefault="00A32143">
            <w:pPr>
              <w:rPr>
                <w:rFonts w:ascii="Times New Roman" w:hAnsi="Times New Roman" w:cs="Times New Roman"/>
              </w:rPr>
            </w:pPr>
            <w:r>
              <w:rPr>
                <w:rFonts w:ascii="Times New Roman" w:hAnsi="Times New Roman" w:cs="Times New Roman"/>
                <w:lang w:val="en-US"/>
              </w:rPr>
              <w:t>Sandy loam</w:t>
            </w:r>
          </w:p>
          <w:p w14:paraId="73767EEF" w14:textId="77777777" w:rsidR="005E68D4" w:rsidRDefault="005E68D4">
            <w:pPr>
              <w:jc w:val="both"/>
              <w:rPr>
                <w:rFonts w:ascii="Times New Roman" w:hAnsi="Times New Roman" w:cs="Times New Roman"/>
              </w:rPr>
            </w:pPr>
          </w:p>
        </w:tc>
      </w:tr>
      <w:tr w:rsidR="005E68D4" w14:paraId="3B4A06E6" w14:textId="77777777">
        <w:tc>
          <w:tcPr>
            <w:tcW w:w="3116" w:type="dxa"/>
          </w:tcPr>
          <w:p w14:paraId="5E212D42" w14:textId="77777777" w:rsidR="005E68D4" w:rsidRDefault="00A32143">
            <w:pPr>
              <w:rPr>
                <w:rFonts w:ascii="Times New Roman" w:hAnsi="Times New Roman" w:cs="Times New Roman"/>
              </w:rPr>
            </w:pPr>
            <w:r>
              <w:rPr>
                <w:rFonts w:ascii="Times New Roman" w:hAnsi="Times New Roman" w:cs="Times New Roman"/>
                <w:lang w:val="en-US"/>
              </w:rPr>
              <w:t>Bulk density (g/cm³)</w:t>
            </w:r>
          </w:p>
          <w:p w14:paraId="39D22F51" w14:textId="77777777" w:rsidR="005E68D4" w:rsidRDefault="005E68D4">
            <w:pPr>
              <w:rPr>
                <w:rFonts w:ascii="Times New Roman" w:hAnsi="Times New Roman" w:cs="Times New Roman"/>
              </w:rPr>
            </w:pPr>
          </w:p>
        </w:tc>
        <w:tc>
          <w:tcPr>
            <w:tcW w:w="3117" w:type="dxa"/>
          </w:tcPr>
          <w:p w14:paraId="4F6E174F" w14:textId="77777777" w:rsidR="005E68D4" w:rsidRDefault="00A32143">
            <w:pPr>
              <w:rPr>
                <w:rFonts w:ascii="Times New Roman" w:hAnsi="Times New Roman" w:cs="Times New Roman"/>
              </w:rPr>
            </w:pPr>
            <w:r>
              <w:rPr>
                <w:rFonts w:ascii="Times New Roman" w:hAnsi="Times New Roman" w:cs="Times New Roman"/>
                <w:lang w:val="en-US"/>
              </w:rPr>
              <w:t>7.59</w:t>
            </w:r>
          </w:p>
          <w:p w14:paraId="4D810638" w14:textId="77777777" w:rsidR="005E68D4" w:rsidRDefault="005E68D4">
            <w:pPr>
              <w:jc w:val="both"/>
              <w:rPr>
                <w:rFonts w:ascii="Times New Roman" w:hAnsi="Times New Roman" w:cs="Times New Roman"/>
              </w:rPr>
            </w:pPr>
          </w:p>
        </w:tc>
        <w:tc>
          <w:tcPr>
            <w:tcW w:w="3572" w:type="dxa"/>
          </w:tcPr>
          <w:p w14:paraId="69D867FC" w14:textId="77777777" w:rsidR="005E68D4" w:rsidRDefault="00A32143">
            <w:pPr>
              <w:rPr>
                <w:rFonts w:ascii="Times New Roman" w:hAnsi="Times New Roman" w:cs="Times New Roman"/>
              </w:rPr>
            </w:pPr>
            <w:r>
              <w:rPr>
                <w:rFonts w:ascii="Times New Roman" w:hAnsi="Times New Roman" w:cs="Times New Roman"/>
                <w:lang w:val="en-US"/>
              </w:rPr>
              <w:t>5.24</w:t>
            </w:r>
          </w:p>
          <w:p w14:paraId="2E1A1FFD" w14:textId="77777777" w:rsidR="005E68D4" w:rsidRDefault="005E68D4">
            <w:pPr>
              <w:jc w:val="both"/>
              <w:rPr>
                <w:rFonts w:ascii="Times New Roman" w:hAnsi="Times New Roman" w:cs="Times New Roman"/>
              </w:rPr>
            </w:pPr>
          </w:p>
        </w:tc>
      </w:tr>
      <w:tr w:rsidR="005E68D4" w14:paraId="45375501" w14:textId="77777777">
        <w:tc>
          <w:tcPr>
            <w:tcW w:w="3116" w:type="dxa"/>
          </w:tcPr>
          <w:p w14:paraId="21F7852A" w14:textId="77777777" w:rsidR="005E68D4" w:rsidRDefault="00A32143">
            <w:pPr>
              <w:rPr>
                <w:rFonts w:ascii="Times New Roman" w:hAnsi="Times New Roman" w:cs="Times New Roman"/>
              </w:rPr>
            </w:pPr>
            <w:r>
              <w:rPr>
                <w:rFonts w:ascii="Times New Roman" w:hAnsi="Times New Roman" w:cs="Times New Roman"/>
                <w:lang w:val="en-US"/>
              </w:rPr>
              <w:t>Water retention capacity</w:t>
            </w:r>
          </w:p>
          <w:p w14:paraId="2FBC6D68" w14:textId="77777777" w:rsidR="005E68D4" w:rsidRDefault="005E68D4">
            <w:pPr>
              <w:rPr>
                <w:rFonts w:ascii="Times New Roman" w:hAnsi="Times New Roman" w:cs="Times New Roman"/>
              </w:rPr>
            </w:pPr>
          </w:p>
        </w:tc>
        <w:tc>
          <w:tcPr>
            <w:tcW w:w="3117" w:type="dxa"/>
          </w:tcPr>
          <w:p w14:paraId="6ABDFDC1" w14:textId="77777777" w:rsidR="005E68D4" w:rsidRDefault="00A32143">
            <w:pPr>
              <w:rPr>
                <w:rFonts w:ascii="Times New Roman" w:hAnsi="Times New Roman" w:cs="Times New Roman"/>
              </w:rPr>
            </w:pPr>
            <w:r>
              <w:rPr>
                <w:rFonts w:ascii="Times New Roman" w:hAnsi="Times New Roman" w:cs="Times New Roman"/>
                <w:lang w:val="en-US"/>
              </w:rPr>
              <w:t>0.375</w:t>
            </w:r>
          </w:p>
          <w:p w14:paraId="15BCC030" w14:textId="77777777" w:rsidR="005E68D4" w:rsidRDefault="005E68D4">
            <w:pPr>
              <w:jc w:val="both"/>
              <w:rPr>
                <w:rFonts w:ascii="Times New Roman" w:hAnsi="Times New Roman" w:cs="Times New Roman"/>
              </w:rPr>
            </w:pPr>
          </w:p>
        </w:tc>
        <w:tc>
          <w:tcPr>
            <w:tcW w:w="3572" w:type="dxa"/>
          </w:tcPr>
          <w:p w14:paraId="0525BA92" w14:textId="77777777" w:rsidR="005E68D4" w:rsidRDefault="00A32143">
            <w:pPr>
              <w:rPr>
                <w:rFonts w:ascii="Times New Roman" w:hAnsi="Times New Roman" w:cs="Times New Roman"/>
              </w:rPr>
            </w:pPr>
            <w:r>
              <w:rPr>
                <w:rFonts w:ascii="Times New Roman" w:hAnsi="Times New Roman" w:cs="Times New Roman"/>
                <w:lang w:val="en-US"/>
              </w:rPr>
              <w:t>0.433</w:t>
            </w:r>
          </w:p>
          <w:p w14:paraId="1373314F" w14:textId="77777777" w:rsidR="005E68D4" w:rsidRDefault="005E68D4">
            <w:pPr>
              <w:jc w:val="both"/>
              <w:rPr>
                <w:rFonts w:ascii="Times New Roman" w:hAnsi="Times New Roman" w:cs="Times New Roman"/>
              </w:rPr>
            </w:pPr>
          </w:p>
        </w:tc>
      </w:tr>
      <w:tr w:rsidR="005E68D4" w14:paraId="6CD968D3" w14:textId="77777777">
        <w:tc>
          <w:tcPr>
            <w:tcW w:w="3116" w:type="dxa"/>
          </w:tcPr>
          <w:p w14:paraId="76C4CEC4" w14:textId="77777777" w:rsidR="005E68D4" w:rsidRDefault="00A32143">
            <w:pPr>
              <w:rPr>
                <w:rFonts w:ascii="Times New Roman" w:hAnsi="Times New Roman" w:cs="Times New Roman"/>
              </w:rPr>
            </w:pPr>
            <w:r>
              <w:rPr>
                <w:rFonts w:ascii="Times New Roman" w:hAnsi="Times New Roman" w:cs="Times New Roman"/>
                <w:lang w:val="en-US"/>
              </w:rPr>
              <w:t>Soil compaction</w:t>
            </w:r>
          </w:p>
          <w:p w14:paraId="773D3960" w14:textId="77777777" w:rsidR="005E68D4" w:rsidRDefault="005E68D4">
            <w:pPr>
              <w:rPr>
                <w:rFonts w:ascii="Times New Roman" w:hAnsi="Times New Roman" w:cs="Times New Roman"/>
              </w:rPr>
            </w:pPr>
          </w:p>
        </w:tc>
        <w:tc>
          <w:tcPr>
            <w:tcW w:w="3117" w:type="dxa"/>
          </w:tcPr>
          <w:p w14:paraId="02CF019A" w14:textId="77777777" w:rsidR="005E68D4" w:rsidRDefault="00A32143">
            <w:pPr>
              <w:rPr>
                <w:rFonts w:ascii="Times New Roman" w:hAnsi="Times New Roman" w:cs="Times New Roman"/>
              </w:rPr>
            </w:pPr>
            <w:r>
              <w:rPr>
                <w:rFonts w:ascii="Times New Roman" w:hAnsi="Times New Roman" w:cs="Times New Roman"/>
                <w:lang w:val="en-US"/>
              </w:rPr>
              <w:t>12.1</w:t>
            </w:r>
          </w:p>
          <w:p w14:paraId="5A7D2FCF" w14:textId="77777777" w:rsidR="005E68D4" w:rsidRDefault="005E68D4">
            <w:pPr>
              <w:jc w:val="both"/>
              <w:rPr>
                <w:rFonts w:ascii="Times New Roman" w:hAnsi="Times New Roman" w:cs="Times New Roman"/>
              </w:rPr>
            </w:pPr>
          </w:p>
        </w:tc>
        <w:tc>
          <w:tcPr>
            <w:tcW w:w="3572" w:type="dxa"/>
          </w:tcPr>
          <w:p w14:paraId="0FA00141" w14:textId="77777777" w:rsidR="005E68D4" w:rsidRDefault="00A32143">
            <w:pPr>
              <w:rPr>
                <w:rFonts w:ascii="Times New Roman" w:hAnsi="Times New Roman" w:cs="Times New Roman"/>
              </w:rPr>
            </w:pPr>
            <w:r>
              <w:rPr>
                <w:rFonts w:ascii="Times New Roman" w:hAnsi="Times New Roman" w:cs="Times New Roman"/>
                <w:lang w:val="en-US"/>
              </w:rPr>
              <w:t>45.8</w:t>
            </w:r>
          </w:p>
          <w:p w14:paraId="085CD80F" w14:textId="77777777" w:rsidR="005E68D4" w:rsidRDefault="005E68D4">
            <w:pPr>
              <w:jc w:val="both"/>
              <w:rPr>
                <w:rFonts w:ascii="Times New Roman" w:hAnsi="Times New Roman" w:cs="Times New Roman"/>
              </w:rPr>
            </w:pPr>
          </w:p>
        </w:tc>
      </w:tr>
      <w:tr w:rsidR="005E68D4" w14:paraId="2CFB892F" w14:textId="77777777">
        <w:tc>
          <w:tcPr>
            <w:tcW w:w="3116" w:type="dxa"/>
            <w:tcBorders>
              <w:bottom w:val="single" w:sz="4" w:space="0" w:color="auto"/>
            </w:tcBorders>
          </w:tcPr>
          <w:p w14:paraId="6B975B63" w14:textId="77777777" w:rsidR="005E68D4" w:rsidRDefault="00A32143">
            <w:pPr>
              <w:rPr>
                <w:rFonts w:ascii="Times New Roman" w:hAnsi="Times New Roman" w:cs="Times New Roman"/>
              </w:rPr>
            </w:pPr>
            <w:r>
              <w:rPr>
                <w:rFonts w:ascii="Times New Roman" w:hAnsi="Times New Roman" w:cs="Times New Roman"/>
                <w:lang w:val="en-US"/>
              </w:rPr>
              <w:t>CEC (cmol/kg)</w:t>
            </w:r>
          </w:p>
          <w:p w14:paraId="2899E52B" w14:textId="77777777" w:rsidR="005E68D4" w:rsidRDefault="005E68D4">
            <w:pPr>
              <w:rPr>
                <w:rFonts w:ascii="Times New Roman" w:hAnsi="Times New Roman" w:cs="Times New Roman"/>
              </w:rPr>
            </w:pPr>
          </w:p>
        </w:tc>
        <w:tc>
          <w:tcPr>
            <w:tcW w:w="3117" w:type="dxa"/>
            <w:tcBorders>
              <w:bottom w:val="single" w:sz="4" w:space="0" w:color="auto"/>
            </w:tcBorders>
          </w:tcPr>
          <w:p w14:paraId="32F9745E" w14:textId="77777777" w:rsidR="005E68D4" w:rsidRDefault="00A32143">
            <w:pPr>
              <w:rPr>
                <w:rFonts w:ascii="Times New Roman" w:hAnsi="Times New Roman" w:cs="Times New Roman"/>
              </w:rPr>
            </w:pPr>
            <w:r>
              <w:rPr>
                <w:rFonts w:ascii="Times New Roman" w:hAnsi="Times New Roman" w:cs="Times New Roman"/>
                <w:lang w:val="en-US"/>
              </w:rPr>
              <w:t>5.1</w:t>
            </w:r>
          </w:p>
          <w:p w14:paraId="26F21A82" w14:textId="77777777" w:rsidR="005E68D4" w:rsidRDefault="005E68D4">
            <w:pPr>
              <w:jc w:val="both"/>
              <w:rPr>
                <w:rFonts w:ascii="Times New Roman" w:hAnsi="Times New Roman" w:cs="Times New Roman"/>
              </w:rPr>
            </w:pPr>
          </w:p>
        </w:tc>
        <w:tc>
          <w:tcPr>
            <w:tcW w:w="3572" w:type="dxa"/>
            <w:tcBorders>
              <w:bottom w:val="single" w:sz="4" w:space="0" w:color="auto"/>
            </w:tcBorders>
          </w:tcPr>
          <w:p w14:paraId="30EFB755" w14:textId="77777777" w:rsidR="005E68D4" w:rsidRDefault="00A32143">
            <w:pPr>
              <w:rPr>
                <w:rFonts w:ascii="Times New Roman" w:hAnsi="Times New Roman" w:cs="Times New Roman"/>
              </w:rPr>
            </w:pPr>
            <w:r>
              <w:rPr>
                <w:rFonts w:ascii="Times New Roman" w:hAnsi="Times New Roman" w:cs="Times New Roman"/>
                <w:lang w:val="en-US"/>
              </w:rPr>
              <w:t>18.5</w:t>
            </w:r>
          </w:p>
          <w:p w14:paraId="77590401" w14:textId="77777777" w:rsidR="005E68D4" w:rsidRDefault="005E68D4">
            <w:pPr>
              <w:jc w:val="both"/>
              <w:rPr>
                <w:rFonts w:ascii="Times New Roman" w:hAnsi="Times New Roman" w:cs="Times New Roman"/>
              </w:rPr>
            </w:pPr>
          </w:p>
        </w:tc>
      </w:tr>
    </w:tbl>
    <w:p w14:paraId="48CA9C6D" w14:textId="77777777" w:rsidR="005E68D4" w:rsidRDefault="00A32143">
      <w:pPr>
        <w:spacing w:line="480" w:lineRule="auto"/>
        <w:jc w:val="both"/>
        <w:rPr>
          <w:rFonts w:ascii="Times New Roman" w:hAnsi="Times New Roman" w:cs="Times New Roman"/>
          <w:sz w:val="18"/>
          <w:szCs w:val="18"/>
        </w:rPr>
      </w:pPr>
      <w:r>
        <w:rPr>
          <w:rFonts w:ascii="Times New Roman" w:hAnsi="Times New Roman" w:cs="Times New Roman"/>
          <w:sz w:val="18"/>
          <w:szCs w:val="18"/>
        </w:rPr>
        <w:t>Note: URS = Unremediated Soil Sample, RS = Remediated Soil Sample</w:t>
      </w:r>
    </w:p>
    <w:p w14:paraId="1FDFDEF6" w14:textId="77777777" w:rsidR="005E68D4" w:rsidRDefault="005E68D4">
      <w:pPr>
        <w:spacing w:line="480" w:lineRule="auto"/>
        <w:jc w:val="both"/>
        <w:rPr>
          <w:rFonts w:ascii="Times New Roman" w:hAnsi="Times New Roman" w:cs="Times New Roman"/>
        </w:rPr>
      </w:pPr>
    </w:p>
    <w:p w14:paraId="6A794347" w14:textId="77777777" w:rsidR="005E68D4" w:rsidRDefault="00A32143">
      <w:pPr>
        <w:spacing w:line="480" w:lineRule="auto"/>
        <w:jc w:val="both"/>
        <w:rPr>
          <w:rFonts w:ascii="Times New Roman" w:hAnsi="Times New Roman" w:cs="Times New Roman"/>
        </w:rPr>
      </w:pPr>
      <w:r>
        <w:rPr>
          <w:noProof/>
        </w:rPr>
        <w:drawing>
          <wp:inline distT="0" distB="0" distL="0" distR="0" wp14:anchorId="68417C04" wp14:editId="333F8D61">
            <wp:extent cx="3724275" cy="2022475"/>
            <wp:effectExtent l="0" t="0" r="9526" b="9526"/>
            <wp:docPr id="195067499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16F8AC" w14:textId="13CD30BE" w:rsidR="005E68D4" w:rsidRDefault="00A32143">
      <w:pPr>
        <w:spacing w:line="480" w:lineRule="auto"/>
        <w:rPr>
          <w:rFonts w:ascii="Times New Roman" w:hAnsi="Times New Roman" w:cs="Times New Roman"/>
          <w:bCs/>
        </w:rPr>
      </w:pPr>
      <w:r>
        <w:rPr>
          <w:rFonts w:ascii="Times New Roman" w:hAnsi="Times New Roman" w:cs="Times New Roman"/>
          <w:bCs/>
        </w:rPr>
        <w:t>Figure 1: concentration of microbial biomass activities in URS and RS sample from K-Dere, Ogoni</w:t>
      </w:r>
    </w:p>
    <w:p w14:paraId="114EBE52" w14:textId="77777777" w:rsidR="005E68D4" w:rsidRDefault="005E68D4">
      <w:pPr>
        <w:spacing w:line="480" w:lineRule="auto"/>
        <w:jc w:val="both"/>
        <w:rPr>
          <w:rFonts w:ascii="Times New Roman" w:hAnsi="Times New Roman" w:cs="Times New Roman"/>
        </w:rPr>
      </w:pPr>
    </w:p>
    <w:p w14:paraId="14E80F7B" w14:textId="77777777" w:rsidR="005E68D4" w:rsidRDefault="005E68D4">
      <w:pPr>
        <w:spacing w:line="480" w:lineRule="auto"/>
        <w:jc w:val="both"/>
        <w:rPr>
          <w:rFonts w:ascii="Times New Roman" w:hAnsi="Times New Roman" w:cs="Times New Roman"/>
        </w:rPr>
      </w:pPr>
    </w:p>
    <w:p w14:paraId="25A6A44C" w14:textId="77777777" w:rsidR="005E68D4" w:rsidRDefault="005E68D4">
      <w:pPr>
        <w:spacing w:line="480" w:lineRule="auto"/>
        <w:jc w:val="both"/>
        <w:rPr>
          <w:rFonts w:ascii="Times New Roman" w:hAnsi="Times New Roman" w:cs="Times New Roman"/>
        </w:rPr>
      </w:pPr>
    </w:p>
    <w:p w14:paraId="04F9BD72" w14:textId="77777777" w:rsidR="005E68D4" w:rsidRDefault="00A32143">
      <w:pPr>
        <w:spacing w:line="480" w:lineRule="auto"/>
        <w:jc w:val="both"/>
        <w:rPr>
          <w:rFonts w:ascii="Times New Roman" w:hAnsi="Times New Roman" w:cs="Times New Roman"/>
        </w:rPr>
      </w:pPr>
      <w:r>
        <w:rPr>
          <w:noProof/>
        </w:rPr>
        <w:lastRenderedPageBreak/>
        <w:drawing>
          <wp:inline distT="0" distB="0" distL="0" distR="0" wp14:anchorId="281F999B" wp14:editId="5F54A134">
            <wp:extent cx="4572000" cy="2228850"/>
            <wp:effectExtent l="0" t="0" r="9526" b="9526"/>
            <wp:docPr id="195067499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BE57CFA" w14:textId="705832F3" w:rsidR="005E68D4" w:rsidRDefault="00A32143">
      <w:pPr>
        <w:spacing w:line="480" w:lineRule="auto"/>
        <w:rPr>
          <w:rFonts w:ascii="Times New Roman" w:hAnsi="Times New Roman" w:cs="Times New Roman"/>
          <w:bCs/>
        </w:rPr>
      </w:pPr>
      <w:r>
        <w:rPr>
          <w:rFonts w:ascii="Times New Roman" w:hAnsi="Times New Roman" w:cs="Times New Roman"/>
          <w:bCs/>
        </w:rPr>
        <w:t>Figure 2: concentration of enzymes activities in URS and RS sample from K-Dere, Ogoni</w:t>
      </w:r>
    </w:p>
    <w:p w14:paraId="2DF8765C" w14:textId="77777777" w:rsidR="005E68D4" w:rsidRDefault="00A32143">
      <w:pPr>
        <w:spacing w:line="480" w:lineRule="auto"/>
        <w:rPr>
          <w:rFonts w:ascii="Times New Roman" w:hAnsi="Times New Roman" w:cs="Times New Roman"/>
          <w:bCs/>
        </w:rPr>
      </w:pPr>
      <w:r>
        <w:rPr>
          <w:noProof/>
        </w:rPr>
        <w:drawing>
          <wp:inline distT="0" distB="0" distL="0" distR="0" wp14:anchorId="4CB9362F" wp14:editId="7860914C">
            <wp:extent cx="4448175" cy="2765425"/>
            <wp:effectExtent l="0" t="0" r="9526" b="9526"/>
            <wp:docPr id="195067499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E184DC" w14:textId="723461A3" w:rsidR="005E68D4" w:rsidRDefault="00A32143">
      <w:pPr>
        <w:spacing w:line="480" w:lineRule="auto"/>
        <w:jc w:val="center"/>
        <w:rPr>
          <w:rFonts w:ascii="Times New Roman" w:hAnsi="Times New Roman" w:cs="Times New Roman"/>
        </w:rPr>
      </w:pPr>
      <w:r>
        <w:rPr>
          <w:rFonts w:ascii="Times New Roman" w:hAnsi="Times New Roman" w:cs="Times New Roman"/>
        </w:rPr>
        <w:t>Figure 3: Concentrations of TON and TOC in RS and URS samples from K-Dere, Ogoni.</w:t>
      </w:r>
    </w:p>
    <w:p w14:paraId="79B2B2CD" w14:textId="77777777" w:rsidR="005E68D4" w:rsidRDefault="005E68D4">
      <w:pPr>
        <w:spacing w:line="480" w:lineRule="auto"/>
        <w:jc w:val="both"/>
        <w:rPr>
          <w:rFonts w:ascii="Times New Roman" w:hAnsi="Times New Roman" w:cs="Times New Roman"/>
        </w:rPr>
      </w:pPr>
    </w:p>
    <w:p w14:paraId="57825C3B" w14:textId="77777777" w:rsidR="005E68D4" w:rsidRDefault="005E68D4">
      <w:pPr>
        <w:spacing w:line="480" w:lineRule="auto"/>
        <w:jc w:val="both"/>
        <w:rPr>
          <w:rFonts w:ascii="Times New Roman" w:hAnsi="Times New Roman" w:cs="Times New Roman"/>
        </w:rPr>
      </w:pPr>
    </w:p>
    <w:p w14:paraId="3F1923B8" w14:textId="77777777" w:rsidR="005E68D4" w:rsidRDefault="005E68D4">
      <w:pPr>
        <w:spacing w:line="480" w:lineRule="auto"/>
        <w:jc w:val="both"/>
        <w:rPr>
          <w:rFonts w:ascii="Times New Roman" w:hAnsi="Times New Roman" w:cs="Times New Roman"/>
        </w:rPr>
      </w:pPr>
    </w:p>
    <w:p w14:paraId="427C0CFB" w14:textId="77777777" w:rsidR="005E68D4" w:rsidRDefault="005E68D4">
      <w:pPr>
        <w:spacing w:line="480" w:lineRule="auto"/>
        <w:jc w:val="both"/>
        <w:rPr>
          <w:rFonts w:ascii="Times New Roman" w:hAnsi="Times New Roman" w:cs="Times New Roman"/>
        </w:rPr>
      </w:pPr>
    </w:p>
    <w:p w14:paraId="2C0AC96F" w14:textId="77777777" w:rsidR="005E68D4" w:rsidRDefault="005E68D4">
      <w:pPr>
        <w:spacing w:line="480" w:lineRule="auto"/>
        <w:jc w:val="both"/>
        <w:rPr>
          <w:rFonts w:ascii="Times New Roman" w:hAnsi="Times New Roman" w:cs="Times New Roman"/>
        </w:rPr>
      </w:pPr>
    </w:p>
    <w:p w14:paraId="34DE6F68" w14:textId="77777777" w:rsidR="005E68D4" w:rsidRDefault="00A32143">
      <w:pPr>
        <w:spacing w:line="480" w:lineRule="auto"/>
        <w:jc w:val="both"/>
        <w:rPr>
          <w:rFonts w:ascii="Times New Roman" w:hAnsi="Times New Roman" w:cs="Times New Roman"/>
        </w:rPr>
      </w:pPr>
      <w:r>
        <w:rPr>
          <w:noProof/>
        </w:rPr>
        <w:drawing>
          <wp:inline distT="0" distB="0" distL="0" distR="0" wp14:anchorId="2BB303DA" wp14:editId="0DA783C3">
            <wp:extent cx="5019675" cy="3302000"/>
            <wp:effectExtent l="0" t="0" r="9526" b="9526"/>
            <wp:docPr id="195067499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64B894" w14:textId="3A16E557" w:rsidR="005E68D4" w:rsidRDefault="00A32143">
      <w:pPr>
        <w:rPr>
          <w:rFonts w:ascii="Times New Roman" w:hAnsi="Times New Roman" w:cs="Times New Roman"/>
        </w:rPr>
      </w:pPr>
      <w:r>
        <w:rPr>
          <w:rFonts w:ascii="Times New Roman" w:hAnsi="Times New Roman" w:cs="Times New Roman"/>
        </w:rPr>
        <w:t>Figure 4: Concentrations of nutrient composition in RS and URS samples from K-Dere, Ogoni.</w:t>
      </w:r>
    </w:p>
    <w:p w14:paraId="3709F0C4" w14:textId="77777777" w:rsidR="005E68D4" w:rsidRDefault="005E68D4">
      <w:pPr>
        <w:tabs>
          <w:tab w:val="left" w:pos="2160"/>
        </w:tabs>
        <w:rPr>
          <w:rFonts w:ascii="Times New Roman" w:hAnsi="Times New Roman" w:cs="Times New Roman"/>
        </w:rPr>
      </w:pPr>
    </w:p>
    <w:p w14:paraId="1366515E" w14:textId="77777777" w:rsidR="005E68D4" w:rsidRDefault="005E68D4">
      <w:pPr>
        <w:tabs>
          <w:tab w:val="left" w:pos="2160"/>
        </w:tabs>
        <w:rPr>
          <w:rFonts w:ascii="Times New Roman" w:hAnsi="Times New Roman" w:cs="Times New Roman"/>
        </w:rPr>
      </w:pPr>
    </w:p>
    <w:p w14:paraId="574C4589" w14:textId="77777777" w:rsidR="005E68D4" w:rsidRDefault="005E68D4">
      <w:pPr>
        <w:tabs>
          <w:tab w:val="left" w:pos="2160"/>
        </w:tabs>
        <w:rPr>
          <w:rFonts w:ascii="Times New Roman" w:hAnsi="Times New Roman" w:cs="Times New Roman"/>
        </w:rPr>
      </w:pPr>
    </w:p>
    <w:p w14:paraId="24147010" w14:textId="77777777" w:rsidR="005E68D4" w:rsidRDefault="005E68D4">
      <w:pPr>
        <w:tabs>
          <w:tab w:val="left" w:pos="2160"/>
        </w:tabs>
        <w:rPr>
          <w:rFonts w:ascii="Times New Roman" w:hAnsi="Times New Roman" w:cs="Times New Roman"/>
        </w:rPr>
      </w:pPr>
    </w:p>
    <w:p w14:paraId="3F1BE0BE" w14:textId="77777777" w:rsidR="005E68D4" w:rsidRDefault="005E68D4">
      <w:pPr>
        <w:tabs>
          <w:tab w:val="left" w:pos="2160"/>
        </w:tabs>
        <w:rPr>
          <w:rFonts w:ascii="Times New Roman" w:hAnsi="Times New Roman" w:cs="Times New Roman"/>
        </w:rPr>
      </w:pPr>
    </w:p>
    <w:p w14:paraId="2B89A514" w14:textId="77777777" w:rsidR="005E68D4" w:rsidRDefault="005E68D4">
      <w:pPr>
        <w:tabs>
          <w:tab w:val="left" w:pos="2160"/>
        </w:tabs>
        <w:rPr>
          <w:rFonts w:ascii="Times New Roman" w:hAnsi="Times New Roman" w:cs="Times New Roman"/>
        </w:rPr>
      </w:pPr>
    </w:p>
    <w:p w14:paraId="5A8EB1C0" w14:textId="77777777" w:rsidR="005E68D4" w:rsidRDefault="00A32143">
      <w:pPr>
        <w:tabs>
          <w:tab w:val="left" w:pos="2160"/>
        </w:tabs>
        <w:rPr>
          <w:rFonts w:ascii="Times New Roman" w:hAnsi="Times New Roman" w:cs="Times New Roman"/>
          <w:bCs/>
        </w:rPr>
      </w:pPr>
      <w:r>
        <w:rPr>
          <w:noProof/>
        </w:rPr>
        <w:lastRenderedPageBreak/>
        <w:drawing>
          <wp:inline distT="0" distB="0" distL="0" distR="0" wp14:anchorId="6E7680D7" wp14:editId="5339B05D">
            <wp:extent cx="4572000" cy="2743200"/>
            <wp:effectExtent l="0" t="0" r="9526" b="9526"/>
            <wp:docPr id="195067499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bCs/>
        </w:rPr>
        <w:t xml:space="preserve"> </w:t>
      </w:r>
    </w:p>
    <w:p w14:paraId="2F460983" w14:textId="273FA23D" w:rsidR="005E68D4" w:rsidRDefault="00A32143">
      <w:pPr>
        <w:tabs>
          <w:tab w:val="left" w:pos="2160"/>
        </w:tabs>
        <w:rPr>
          <w:rFonts w:ascii="Times New Roman" w:hAnsi="Times New Roman" w:cs="Times New Roman"/>
        </w:rPr>
      </w:pPr>
      <w:r>
        <w:rPr>
          <w:rFonts w:ascii="Times New Roman" w:hAnsi="Times New Roman" w:cs="Times New Roman"/>
          <w:bCs/>
        </w:rPr>
        <w:t>Figure 5: concentration of Physiochemical Properties in URS and RS sample from K-</w:t>
      </w:r>
      <w:proofErr w:type="gramStart"/>
      <w:r>
        <w:rPr>
          <w:rFonts w:ascii="Times New Roman" w:hAnsi="Times New Roman" w:cs="Times New Roman"/>
          <w:bCs/>
        </w:rPr>
        <w:t xml:space="preserve">Dere,   </w:t>
      </w:r>
      <w:proofErr w:type="gramEnd"/>
      <w:r>
        <w:rPr>
          <w:rFonts w:ascii="Times New Roman" w:hAnsi="Times New Roman" w:cs="Times New Roman"/>
          <w:bCs/>
        </w:rPr>
        <w:t>Ogoni</w:t>
      </w:r>
    </w:p>
    <w:p w14:paraId="2CE7BC9C" w14:textId="77777777" w:rsidR="005E68D4" w:rsidRDefault="005E68D4">
      <w:pPr>
        <w:spacing w:line="480" w:lineRule="auto"/>
        <w:rPr>
          <w:rFonts w:ascii="Times New Roman" w:hAnsi="Times New Roman" w:cs="Times New Roman"/>
          <w:bCs/>
        </w:rPr>
      </w:pPr>
    </w:p>
    <w:tbl>
      <w:tblPr>
        <w:tblStyle w:val="TableGrid"/>
        <w:tblW w:w="9350" w:type="dxa"/>
        <w:tblLook w:val="04A0" w:firstRow="1" w:lastRow="0" w:firstColumn="1" w:lastColumn="0" w:noHBand="0" w:noVBand="1"/>
      </w:tblPr>
      <w:tblGrid>
        <w:gridCol w:w="1709"/>
        <w:gridCol w:w="1137"/>
        <w:gridCol w:w="777"/>
        <w:gridCol w:w="777"/>
        <w:gridCol w:w="777"/>
        <w:gridCol w:w="778"/>
        <w:gridCol w:w="923"/>
        <w:gridCol w:w="1236"/>
        <w:gridCol w:w="1236"/>
      </w:tblGrid>
      <w:tr w:rsidR="005E68D4" w14:paraId="70E6C0D1" w14:textId="77777777">
        <w:tc>
          <w:tcPr>
            <w:tcW w:w="9350" w:type="dxa"/>
            <w:gridSpan w:val="9"/>
            <w:tcBorders>
              <w:top w:val="nil"/>
              <w:left w:val="nil"/>
              <w:bottom w:val="nil"/>
              <w:right w:val="nil"/>
            </w:tcBorders>
          </w:tcPr>
          <w:p w14:paraId="513B743A" w14:textId="77777777" w:rsidR="005E68D4" w:rsidRDefault="00A32143">
            <w:pPr>
              <w:pBdr>
                <w:bottom w:val="single" w:sz="4" w:space="0" w:color="auto"/>
              </w:pBdr>
              <w:rPr>
                <w:rFonts w:ascii="Times New Roman" w:hAnsi="Times New Roman" w:cs="Times New Roman"/>
                <w:bCs/>
              </w:rPr>
            </w:pPr>
            <w:r>
              <w:rPr>
                <w:rFonts w:ascii="Times New Roman" w:hAnsi="Times New Roman" w:cs="Times New Roman"/>
                <w:b/>
                <w:bCs/>
              </w:rPr>
              <w:t>Table 3. Results from the evaluation of Soil Quality Index using scoring functions (</w:t>
            </w:r>
            <w:r>
              <w:rPr>
                <w:rFonts w:ascii="Times New Roman" w:hAnsi="Times New Roman" w:cs="Times New Roman"/>
                <w:b/>
                <w:bCs/>
                <w:color w:val="000000"/>
                <w:lang w:val="en-US"/>
              </w:rPr>
              <w:t>Doran &amp; Parkin, 1994; Andrews et al., 2004 ; USDA-NRCS, 2001).</w:t>
            </w:r>
          </w:p>
        </w:tc>
      </w:tr>
      <w:tr w:rsidR="005E68D4" w14:paraId="0CEC14FC" w14:textId="77777777">
        <w:tc>
          <w:tcPr>
            <w:tcW w:w="1709" w:type="dxa"/>
            <w:tcBorders>
              <w:top w:val="nil"/>
              <w:left w:val="nil"/>
              <w:bottom w:val="single" w:sz="4" w:space="0" w:color="auto"/>
              <w:right w:val="nil"/>
            </w:tcBorders>
          </w:tcPr>
          <w:p w14:paraId="5F7FF368"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Soil Quality Indicator (MDS)</w:t>
            </w:r>
          </w:p>
        </w:tc>
        <w:tc>
          <w:tcPr>
            <w:tcW w:w="1137" w:type="dxa"/>
            <w:tcBorders>
              <w:top w:val="nil"/>
              <w:left w:val="nil"/>
              <w:bottom w:val="single" w:sz="4" w:space="0" w:color="auto"/>
              <w:right w:val="nil"/>
            </w:tcBorders>
          </w:tcPr>
          <w:p w14:paraId="4AA9C2C2"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Scoring rule</w:t>
            </w:r>
          </w:p>
        </w:tc>
        <w:tc>
          <w:tcPr>
            <w:tcW w:w="777" w:type="dxa"/>
            <w:tcBorders>
              <w:top w:val="nil"/>
              <w:left w:val="nil"/>
              <w:bottom w:val="single" w:sz="4" w:space="0" w:color="auto"/>
              <w:right w:val="nil"/>
            </w:tcBorders>
          </w:tcPr>
          <w:p w14:paraId="6DA16E7B"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RS (Xi)</w:t>
            </w:r>
          </w:p>
        </w:tc>
        <w:tc>
          <w:tcPr>
            <w:tcW w:w="777" w:type="dxa"/>
            <w:tcBorders>
              <w:top w:val="nil"/>
              <w:left w:val="nil"/>
              <w:bottom w:val="single" w:sz="4" w:space="0" w:color="auto"/>
              <w:right w:val="nil"/>
            </w:tcBorders>
          </w:tcPr>
          <w:p w14:paraId="65185500"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URS (Yi)</w:t>
            </w:r>
          </w:p>
        </w:tc>
        <w:tc>
          <w:tcPr>
            <w:tcW w:w="777" w:type="dxa"/>
            <w:tcBorders>
              <w:top w:val="nil"/>
              <w:left w:val="nil"/>
              <w:bottom w:val="single" w:sz="4" w:space="0" w:color="auto"/>
              <w:right w:val="nil"/>
            </w:tcBorders>
          </w:tcPr>
          <w:p w14:paraId="7181C5A0"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RS Score (Sx)</w:t>
            </w:r>
          </w:p>
        </w:tc>
        <w:tc>
          <w:tcPr>
            <w:tcW w:w="778" w:type="dxa"/>
            <w:tcBorders>
              <w:top w:val="nil"/>
              <w:left w:val="nil"/>
              <w:bottom w:val="single" w:sz="4" w:space="0" w:color="auto"/>
              <w:right w:val="nil"/>
            </w:tcBorders>
          </w:tcPr>
          <w:p w14:paraId="1A878928"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URS Score (Sy)</w:t>
            </w:r>
          </w:p>
        </w:tc>
        <w:tc>
          <w:tcPr>
            <w:tcW w:w="923" w:type="dxa"/>
            <w:tcBorders>
              <w:top w:val="nil"/>
              <w:left w:val="nil"/>
              <w:bottom w:val="single" w:sz="4" w:space="0" w:color="auto"/>
              <w:right w:val="nil"/>
            </w:tcBorders>
          </w:tcPr>
          <w:p w14:paraId="5CA58B16"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Weight (Wi)</w:t>
            </w:r>
          </w:p>
        </w:tc>
        <w:tc>
          <w:tcPr>
            <w:tcW w:w="1236" w:type="dxa"/>
            <w:tcBorders>
              <w:top w:val="nil"/>
              <w:left w:val="nil"/>
              <w:bottom w:val="single" w:sz="4" w:space="0" w:color="auto"/>
              <w:right w:val="nil"/>
            </w:tcBorders>
          </w:tcPr>
          <w:p w14:paraId="55D5B6BD"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Weighted Score (W-RS)</w:t>
            </w:r>
          </w:p>
        </w:tc>
        <w:tc>
          <w:tcPr>
            <w:tcW w:w="1236" w:type="dxa"/>
            <w:tcBorders>
              <w:top w:val="nil"/>
              <w:left w:val="nil"/>
              <w:bottom w:val="single" w:sz="4" w:space="0" w:color="auto"/>
              <w:right w:val="nil"/>
            </w:tcBorders>
          </w:tcPr>
          <w:p w14:paraId="02D05225" w14:textId="77777777" w:rsidR="005E68D4" w:rsidRDefault="00A32143">
            <w:pPr>
              <w:rPr>
                <w:rFonts w:ascii="Times New Roman" w:hAnsi="Times New Roman" w:cs="Times New Roman"/>
                <w:b/>
                <w:bCs/>
                <w:sz w:val="20"/>
                <w:szCs w:val="20"/>
              </w:rPr>
            </w:pPr>
            <w:r>
              <w:rPr>
                <w:rFonts w:ascii="Times New Roman" w:hAnsi="Times New Roman" w:cs="Times New Roman"/>
                <w:b/>
                <w:bCs/>
                <w:sz w:val="20"/>
                <w:szCs w:val="20"/>
                <w:lang w:val="en-US"/>
              </w:rPr>
              <w:t>Weighted Score (W-URS)</w:t>
            </w:r>
          </w:p>
        </w:tc>
      </w:tr>
      <w:tr w:rsidR="005E68D4" w14:paraId="16596E7D" w14:textId="77777777">
        <w:tc>
          <w:tcPr>
            <w:tcW w:w="1709" w:type="dxa"/>
            <w:tcBorders>
              <w:top w:val="single" w:sz="4" w:space="0" w:color="auto"/>
              <w:left w:val="nil"/>
              <w:bottom w:val="nil"/>
              <w:right w:val="nil"/>
            </w:tcBorders>
          </w:tcPr>
          <w:p w14:paraId="57EDBC39" w14:textId="77777777" w:rsidR="005E68D4" w:rsidRDefault="00A32143">
            <w:pPr>
              <w:rPr>
                <w:rFonts w:ascii="Times New Roman" w:hAnsi="Times New Roman" w:cs="Times New Roman"/>
                <w:bCs/>
              </w:rPr>
            </w:pPr>
            <w:r>
              <w:rPr>
                <w:rFonts w:ascii="Times New Roman" w:hAnsi="Times New Roman" w:cs="Times New Roman"/>
                <w:bCs/>
                <w:lang w:val="en-US"/>
              </w:rPr>
              <w:t>Bacteria</w:t>
            </w:r>
          </w:p>
        </w:tc>
        <w:tc>
          <w:tcPr>
            <w:tcW w:w="1137" w:type="dxa"/>
            <w:tcBorders>
              <w:top w:val="single" w:sz="4" w:space="0" w:color="auto"/>
              <w:left w:val="nil"/>
              <w:bottom w:val="nil"/>
              <w:right w:val="nil"/>
            </w:tcBorders>
          </w:tcPr>
          <w:p w14:paraId="565ABBC6"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single" w:sz="4" w:space="0" w:color="auto"/>
              <w:left w:val="nil"/>
              <w:bottom w:val="nil"/>
              <w:right w:val="nil"/>
            </w:tcBorders>
          </w:tcPr>
          <w:p w14:paraId="71E28D1E" w14:textId="77777777" w:rsidR="005E68D4" w:rsidRDefault="00A32143">
            <w:pPr>
              <w:rPr>
                <w:rFonts w:ascii="Times New Roman" w:hAnsi="Times New Roman" w:cs="Times New Roman"/>
                <w:bCs/>
              </w:rPr>
            </w:pPr>
            <w:r>
              <w:rPr>
                <w:rFonts w:ascii="Times New Roman" w:hAnsi="Times New Roman" w:cs="Times New Roman"/>
                <w:bCs/>
                <w:lang w:val="en-US"/>
              </w:rPr>
              <w:t>3.9 × 10⁵</w:t>
            </w:r>
          </w:p>
        </w:tc>
        <w:tc>
          <w:tcPr>
            <w:tcW w:w="777" w:type="dxa"/>
            <w:tcBorders>
              <w:top w:val="single" w:sz="4" w:space="0" w:color="auto"/>
              <w:left w:val="nil"/>
              <w:bottom w:val="nil"/>
              <w:right w:val="nil"/>
            </w:tcBorders>
          </w:tcPr>
          <w:p w14:paraId="1B4CB136" w14:textId="77777777" w:rsidR="005E68D4" w:rsidRDefault="00A32143">
            <w:pPr>
              <w:rPr>
                <w:rFonts w:ascii="Times New Roman" w:hAnsi="Times New Roman" w:cs="Times New Roman"/>
                <w:bCs/>
              </w:rPr>
            </w:pPr>
            <w:r>
              <w:rPr>
                <w:rFonts w:ascii="Times New Roman" w:hAnsi="Times New Roman" w:cs="Times New Roman"/>
                <w:bCs/>
                <w:lang w:val="en-US"/>
              </w:rPr>
              <w:t>4.0 × 10⁶</w:t>
            </w:r>
          </w:p>
        </w:tc>
        <w:tc>
          <w:tcPr>
            <w:tcW w:w="777" w:type="dxa"/>
            <w:tcBorders>
              <w:top w:val="single" w:sz="4" w:space="0" w:color="auto"/>
              <w:left w:val="nil"/>
              <w:bottom w:val="nil"/>
              <w:right w:val="nil"/>
            </w:tcBorders>
          </w:tcPr>
          <w:p w14:paraId="68371B17" w14:textId="77777777" w:rsidR="005E68D4" w:rsidRDefault="00A32143">
            <w:pPr>
              <w:rPr>
                <w:rFonts w:ascii="Times New Roman" w:hAnsi="Times New Roman" w:cs="Times New Roman"/>
                <w:bCs/>
              </w:rPr>
            </w:pPr>
            <w:r>
              <w:rPr>
                <w:rFonts w:ascii="Times New Roman" w:hAnsi="Times New Roman" w:cs="Times New Roman"/>
                <w:bCs/>
                <w:lang w:val="en-US"/>
              </w:rPr>
              <w:t>0.098</w:t>
            </w:r>
          </w:p>
        </w:tc>
        <w:tc>
          <w:tcPr>
            <w:tcW w:w="778" w:type="dxa"/>
            <w:tcBorders>
              <w:top w:val="single" w:sz="4" w:space="0" w:color="auto"/>
              <w:left w:val="nil"/>
              <w:bottom w:val="nil"/>
              <w:right w:val="nil"/>
            </w:tcBorders>
          </w:tcPr>
          <w:p w14:paraId="25171D38"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single" w:sz="4" w:space="0" w:color="auto"/>
              <w:left w:val="nil"/>
              <w:bottom w:val="nil"/>
              <w:right w:val="nil"/>
            </w:tcBorders>
          </w:tcPr>
          <w:p w14:paraId="02C8BB59"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single" w:sz="4" w:space="0" w:color="auto"/>
              <w:left w:val="nil"/>
              <w:bottom w:val="nil"/>
              <w:right w:val="nil"/>
            </w:tcBorders>
          </w:tcPr>
          <w:p w14:paraId="69C7FC2D" w14:textId="77777777" w:rsidR="005E68D4" w:rsidRDefault="00A32143">
            <w:pPr>
              <w:rPr>
                <w:rFonts w:ascii="Times New Roman" w:hAnsi="Times New Roman" w:cs="Times New Roman"/>
                <w:bCs/>
              </w:rPr>
            </w:pPr>
            <w:r>
              <w:rPr>
                <w:rFonts w:ascii="Times New Roman" w:hAnsi="Times New Roman" w:cs="Times New Roman"/>
                <w:bCs/>
                <w:lang w:val="en-US"/>
              </w:rPr>
              <w:t>0.0066</w:t>
            </w:r>
          </w:p>
        </w:tc>
        <w:tc>
          <w:tcPr>
            <w:tcW w:w="1236" w:type="dxa"/>
            <w:tcBorders>
              <w:top w:val="single" w:sz="4" w:space="0" w:color="auto"/>
              <w:left w:val="nil"/>
              <w:bottom w:val="nil"/>
              <w:right w:val="nil"/>
            </w:tcBorders>
          </w:tcPr>
          <w:p w14:paraId="3822490E"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0C4ED70B" w14:textId="77777777">
        <w:tc>
          <w:tcPr>
            <w:tcW w:w="1709" w:type="dxa"/>
            <w:tcBorders>
              <w:top w:val="nil"/>
              <w:left w:val="nil"/>
              <w:bottom w:val="nil"/>
              <w:right w:val="nil"/>
            </w:tcBorders>
          </w:tcPr>
          <w:p w14:paraId="7FF06110" w14:textId="77777777" w:rsidR="005E68D4" w:rsidRDefault="00A32143">
            <w:pPr>
              <w:rPr>
                <w:rFonts w:ascii="Times New Roman" w:hAnsi="Times New Roman" w:cs="Times New Roman"/>
                <w:bCs/>
              </w:rPr>
            </w:pPr>
            <w:r>
              <w:rPr>
                <w:rFonts w:ascii="Times New Roman" w:hAnsi="Times New Roman" w:cs="Times New Roman"/>
                <w:bCs/>
                <w:lang w:val="en-US"/>
              </w:rPr>
              <w:t>Fungi</w:t>
            </w:r>
          </w:p>
        </w:tc>
        <w:tc>
          <w:tcPr>
            <w:tcW w:w="1137" w:type="dxa"/>
            <w:tcBorders>
              <w:top w:val="nil"/>
              <w:left w:val="nil"/>
              <w:bottom w:val="nil"/>
              <w:right w:val="nil"/>
            </w:tcBorders>
          </w:tcPr>
          <w:p w14:paraId="43C890BB"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006541C2" w14:textId="77777777" w:rsidR="005E68D4" w:rsidRDefault="00A32143">
            <w:pPr>
              <w:rPr>
                <w:rFonts w:ascii="Times New Roman" w:hAnsi="Times New Roman" w:cs="Times New Roman"/>
                <w:bCs/>
              </w:rPr>
            </w:pPr>
            <w:r>
              <w:rPr>
                <w:rFonts w:ascii="Times New Roman" w:hAnsi="Times New Roman" w:cs="Times New Roman"/>
                <w:bCs/>
                <w:lang w:val="en-US"/>
              </w:rPr>
              <w:t>3.0 × 10⁵</w:t>
            </w:r>
          </w:p>
        </w:tc>
        <w:tc>
          <w:tcPr>
            <w:tcW w:w="777" w:type="dxa"/>
            <w:tcBorders>
              <w:top w:val="nil"/>
              <w:left w:val="nil"/>
              <w:bottom w:val="nil"/>
              <w:right w:val="nil"/>
            </w:tcBorders>
          </w:tcPr>
          <w:p w14:paraId="47987190" w14:textId="77777777" w:rsidR="005E68D4" w:rsidRDefault="00A32143">
            <w:pPr>
              <w:rPr>
                <w:rFonts w:ascii="Times New Roman" w:hAnsi="Times New Roman" w:cs="Times New Roman"/>
                <w:bCs/>
              </w:rPr>
            </w:pPr>
            <w:r>
              <w:rPr>
                <w:rFonts w:ascii="Times New Roman" w:hAnsi="Times New Roman" w:cs="Times New Roman"/>
                <w:bCs/>
                <w:lang w:val="en-US"/>
              </w:rPr>
              <w:t>2.6 × 10⁶</w:t>
            </w:r>
          </w:p>
        </w:tc>
        <w:tc>
          <w:tcPr>
            <w:tcW w:w="777" w:type="dxa"/>
            <w:tcBorders>
              <w:top w:val="nil"/>
              <w:left w:val="nil"/>
              <w:bottom w:val="nil"/>
              <w:right w:val="nil"/>
            </w:tcBorders>
          </w:tcPr>
          <w:p w14:paraId="3E498319" w14:textId="77777777" w:rsidR="005E68D4" w:rsidRDefault="00A32143">
            <w:pPr>
              <w:rPr>
                <w:rFonts w:ascii="Times New Roman" w:hAnsi="Times New Roman" w:cs="Times New Roman"/>
                <w:bCs/>
              </w:rPr>
            </w:pPr>
            <w:r>
              <w:rPr>
                <w:rFonts w:ascii="Times New Roman" w:hAnsi="Times New Roman" w:cs="Times New Roman"/>
                <w:bCs/>
                <w:lang w:val="en-US"/>
              </w:rPr>
              <w:t>0.115</w:t>
            </w:r>
          </w:p>
        </w:tc>
        <w:tc>
          <w:tcPr>
            <w:tcW w:w="778" w:type="dxa"/>
            <w:tcBorders>
              <w:top w:val="nil"/>
              <w:left w:val="nil"/>
              <w:bottom w:val="nil"/>
              <w:right w:val="nil"/>
            </w:tcBorders>
          </w:tcPr>
          <w:p w14:paraId="25371985"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4DDAC913"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5D60BBDC" w14:textId="77777777" w:rsidR="005E68D4" w:rsidRDefault="00A32143">
            <w:pPr>
              <w:rPr>
                <w:rFonts w:ascii="Times New Roman" w:hAnsi="Times New Roman" w:cs="Times New Roman"/>
                <w:bCs/>
              </w:rPr>
            </w:pPr>
            <w:r>
              <w:rPr>
                <w:rFonts w:ascii="Times New Roman" w:hAnsi="Times New Roman" w:cs="Times New Roman"/>
                <w:bCs/>
                <w:lang w:val="en-US"/>
              </w:rPr>
              <w:t>0.0077</w:t>
            </w:r>
          </w:p>
        </w:tc>
        <w:tc>
          <w:tcPr>
            <w:tcW w:w="1236" w:type="dxa"/>
            <w:tcBorders>
              <w:top w:val="nil"/>
              <w:left w:val="nil"/>
              <w:bottom w:val="nil"/>
              <w:right w:val="nil"/>
            </w:tcBorders>
          </w:tcPr>
          <w:p w14:paraId="6313DE95"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26A5E4CF" w14:textId="77777777">
        <w:tc>
          <w:tcPr>
            <w:tcW w:w="1709" w:type="dxa"/>
            <w:tcBorders>
              <w:top w:val="nil"/>
              <w:left w:val="nil"/>
              <w:bottom w:val="nil"/>
              <w:right w:val="nil"/>
            </w:tcBorders>
          </w:tcPr>
          <w:p w14:paraId="479C7D77" w14:textId="77777777" w:rsidR="005E68D4" w:rsidRDefault="00A32143">
            <w:pPr>
              <w:rPr>
                <w:rFonts w:ascii="Times New Roman" w:hAnsi="Times New Roman" w:cs="Times New Roman"/>
                <w:bCs/>
              </w:rPr>
            </w:pPr>
            <w:r>
              <w:rPr>
                <w:rFonts w:ascii="Times New Roman" w:hAnsi="Times New Roman" w:cs="Times New Roman"/>
                <w:bCs/>
                <w:lang w:val="en-US"/>
              </w:rPr>
              <w:t>Dehydrogenase</w:t>
            </w:r>
          </w:p>
        </w:tc>
        <w:tc>
          <w:tcPr>
            <w:tcW w:w="1137" w:type="dxa"/>
            <w:tcBorders>
              <w:top w:val="nil"/>
              <w:left w:val="nil"/>
              <w:bottom w:val="nil"/>
              <w:right w:val="nil"/>
            </w:tcBorders>
          </w:tcPr>
          <w:p w14:paraId="5986081C"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05F1F7C3" w14:textId="77777777" w:rsidR="005E68D4" w:rsidRDefault="00A32143">
            <w:pPr>
              <w:rPr>
                <w:rFonts w:ascii="Times New Roman" w:hAnsi="Times New Roman" w:cs="Times New Roman"/>
                <w:bCs/>
              </w:rPr>
            </w:pPr>
            <w:r>
              <w:rPr>
                <w:rFonts w:ascii="Times New Roman" w:hAnsi="Times New Roman" w:cs="Times New Roman"/>
                <w:bCs/>
                <w:lang w:val="en-US"/>
              </w:rPr>
              <w:t>0.7</w:t>
            </w:r>
          </w:p>
        </w:tc>
        <w:tc>
          <w:tcPr>
            <w:tcW w:w="777" w:type="dxa"/>
            <w:tcBorders>
              <w:top w:val="nil"/>
              <w:left w:val="nil"/>
              <w:bottom w:val="nil"/>
              <w:right w:val="nil"/>
            </w:tcBorders>
          </w:tcPr>
          <w:p w14:paraId="2EBAA24C" w14:textId="77777777" w:rsidR="005E68D4" w:rsidRDefault="00A32143">
            <w:pPr>
              <w:rPr>
                <w:rFonts w:ascii="Times New Roman" w:hAnsi="Times New Roman" w:cs="Times New Roman"/>
                <w:bCs/>
              </w:rPr>
            </w:pPr>
            <w:r>
              <w:rPr>
                <w:rFonts w:ascii="Times New Roman" w:hAnsi="Times New Roman" w:cs="Times New Roman"/>
                <w:bCs/>
                <w:lang w:val="en-US"/>
              </w:rPr>
              <w:t>2.6</w:t>
            </w:r>
          </w:p>
        </w:tc>
        <w:tc>
          <w:tcPr>
            <w:tcW w:w="777" w:type="dxa"/>
            <w:tcBorders>
              <w:top w:val="nil"/>
              <w:left w:val="nil"/>
              <w:bottom w:val="nil"/>
              <w:right w:val="nil"/>
            </w:tcBorders>
          </w:tcPr>
          <w:p w14:paraId="48F108C3" w14:textId="77777777" w:rsidR="005E68D4" w:rsidRDefault="00A32143">
            <w:pPr>
              <w:rPr>
                <w:rFonts w:ascii="Times New Roman" w:hAnsi="Times New Roman" w:cs="Times New Roman"/>
                <w:bCs/>
              </w:rPr>
            </w:pPr>
            <w:r>
              <w:rPr>
                <w:rFonts w:ascii="Times New Roman" w:hAnsi="Times New Roman" w:cs="Times New Roman"/>
                <w:bCs/>
                <w:lang w:val="en-US"/>
              </w:rPr>
              <w:t>0.269</w:t>
            </w:r>
          </w:p>
        </w:tc>
        <w:tc>
          <w:tcPr>
            <w:tcW w:w="778" w:type="dxa"/>
            <w:tcBorders>
              <w:top w:val="nil"/>
              <w:left w:val="nil"/>
              <w:bottom w:val="nil"/>
              <w:right w:val="nil"/>
            </w:tcBorders>
          </w:tcPr>
          <w:p w14:paraId="61EA01CC"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6953CA98"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4E90211A" w14:textId="77777777" w:rsidR="005E68D4" w:rsidRDefault="00A32143">
            <w:pPr>
              <w:rPr>
                <w:rFonts w:ascii="Times New Roman" w:hAnsi="Times New Roman" w:cs="Times New Roman"/>
                <w:bCs/>
              </w:rPr>
            </w:pPr>
            <w:r>
              <w:rPr>
                <w:rFonts w:ascii="Times New Roman" w:hAnsi="Times New Roman" w:cs="Times New Roman"/>
                <w:bCs/>
                <w:lang w:val="en-US"/>
              </w:rPr>
              <w:t>0.0179</w:t>
            </w:r>
          </w:p>
        </w:tc>
        <w:tc>
          <w:tcPr>
            <w:tcW w:w="1236" w:type="dxa"/>
            <w:tcBorders>
              <w:top w:val="nil"/>
              <w:left w:val="nil"/>
              <w:bottom w:val="nil"/>
              <w:right w:val="nil"/>
            </w:tcBorders>
          </w:tcPr>
          <w:p w14:paraId="0A52D444"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0B624A2C" w14:textId="77777777">
        <w:tc>
          <w:tcPr>
            <w:tcW w:w="1709" w:type="dxa"/>
            <w:tcBorders>
              <w:top w:val="nil"/>
              <w:left w:val="nil"/>
              <w:bottom w:val="nil"/>
              <w:right w:val="nil"/>
            </w:tcBorders>
          </w:tcPr>
          <w:p w14:paraId="4547A434" w14:textId="77777777" w:rsidR="005E68D4" w:rsidRDefault="00A32143">
            <w:pPr>
              <w:rPr>
                <w:rFonts w:ascii="Times New Roman" w:hAnsi="Times New Roman" w:cs="Times New Roman"/>
                <w:bCs/>
              </w:rPr>
            </w:pPr>
            <w:r>
              <w:rPr>
                <w:rFonts w:ascii="Times New Roman" w:hAnsi="Times New Roman" w:cs="Times New Roman"/>
                <w:bCs/>
                <w:lang w:val="en-US"/>
              </w:rPr>
              <w:t>Urease</w:t>
            </w:r>
          </w:p>
        </w:tc>
        <w:tc>
          <w:tcPr>
            <w:tcW w:w="1137" w:type="dxa"/>
            <w:tcBorders>
              <w:top w:val="nil"/>
              <w:left w:val="nil"/>
              <w:bottom w:val="nil"/>
              <w:right w:val="nil"/>
            </w:tcBorders>
          </w:tcPr>
          <w:p w14:paraId="687331E9"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264E9B60" w14:textId="77777777" w:rsidR="005E68D4" w:rsidRDefault="00A32143">
            <w:pPr>
              <w:rPr>
                <w:rFonts w:ascii="Times New Roman" w:hAnsi="Times New Roman" w:cs="Times New Roman"/>
                <w:bCs/>
              </w:rPr>
            </w:pPr>
            <w:r>
              <w:rPr>
                <w:rFonts w:ascii="Times New Roman" w:hAnsi="Times New Roman" w:cs="Times New Roman"/>
                <w:bCs/>
                <w:lang w:val="en-US"/>
              </w:rPr>
              <w:t>7.1</w:t>
            </w:r>
          </w:p>
        </w:tc>
        <w:tc>
          <w:tcPr>
            <w:tcW w:w="777" w:type="dxa"/>
            <w:tcBorders>
              <w:top w:val="nil"/>
              <w:left w:val="nil"/>
              <w:bottom w:val="nil"/>
              <w:right w:val="nil"/>
            </w:tcBorders>
          </w:tcPr>
          <w:p w14:paraId="30AB82A6" w14:textId="77777777" w:rsidR="005E68D4" w:rsidRDefault="00A32143">
            <w:pPr>
              <w:rPr>
                <w:rFonts w:ascii="Times New Roman" w:hAnsi="Times New Roman" w:cs="Times New Roman"/>
                <w:bCs/>
              </w:rPr>
            </w:pPr>
            <w:r>
              <w:rPr>
                <w:rFonts w:ascii="Times New Roman" w:hAnsi="Times New Roman" w:cs="Times New Roman"/>
                <w:bCs/>
                <w:lang w:val="en-US"/>
              </w:rPr>
              <w:t>28</w:t>
            </w:r>
          </w:p>
        </w:tc>
        <w:tc>
          <w:tcPr>
            <w:tcW w:w="777" w:type="dxa"/>
            <w:tcBorders>
              <w:top w:val="nil"/>
              <w:left w:val="nil"/>
              <w:bottom w:val="nil"/>
              <w:right w:val="nil"/>
            </w:tcBorders>
          </w:tcPr>
          <w:p w14:paraId="3EBFECCD" w14:textId="77777777" w:rsidR="005E68D4" w:rsidRDefault="00A32143">
            <w:pPr>
              <w:rPr>
                <w:rFonts w:ascii="Times New Roman" w:hAnsi="Times New Roman" w:cs="Times New Roman"/>
                <w:bCs/>
              </w:rPr>
            </w:pPr>
            <w:r>
              <w:rPr>
                <w:rFonts w:ascii="Times New Roman" w:hAnsi="Times New Roman" w:cs="Times New Roman"/>
                <w:bCs/>
                <w:lang w:val="en-US"/>
              </w:rPr>
              <w:t>0.254</w:t>
            </w:r>
          </w:p>
        </w:tc>
        <w:tc>
          <w:tcPr>
            <w:tcW w:w="778" w:type="dxa"/>
            <w:tcBorders>
              <w:top w:val="nil"/>
              <w:left w:val="nil"/>
              <w:bottom w:val="nil"/>
              <w:right w:val="nil"/>
            </w:tcBorders>
          </w:tcPr>
          <w:p w14:paraId="63EC4DC9"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7B7105A3"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39F23474" w14:textId="77777777" w:rsidR="005E68D4" w:rsidRDefault="00A32143">
            <w:pPr>
              <w:rPr>
                <w:rFonts w:ascii="Times New Roman" w:hAnsi="Times New Roman" w:cs="Times New Roman"/>
                <w:bCs/>
              </w:rPr>
            </w:pPr>
            <w:r>
              <w:rPr>
                <w:rFonts w:ascii="Times New Roman" w:hAnsi="Times New Roman" w:cs="Times New Roman"/>
                <w:bCs/>
                <w:lang w:val="en-US"/>
              </w:rPr>
              <w:t>0.0169</w:t>
            </w:r>
          </w:p>
        </w:tc>
        <w:tc>
          <w:tcPr>
            <w:tcW w:w="1236" w:type="dxa"/>
            <w:tcBorders>
              <w:top w:val="nil"/>
              <w:left w:val="nil"/>
              <w:bottom w:val="nil"/>
              <w:right w:val="nil"/>
            </w:tcBorders>
          </w:tcPr>
          <w:p w14:paraId="1BD311E5"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219B092A" w14:textId="77777777">
        <w:tc>
          <w:tcPr>
            <w:tcW w:w="1709" w:type="dxa"/>
            <w:tcBorders>
              <w:top w:val="nil"/>
              <w:left w:val="nil"/>
              <w:bottom w:val="nil"/>
              <w:right w:val="nil"/>
            </w:tcBorders>
          </w:tcPr>
          <w:p w14:paraId="54C43481" w14:textId="77777777" w:rsidR="005E68D4" w:rsidRDefault="00A32143">
            <w:pPr>
              <w:rPr>
                <w:rFonts w:ascii="Times New Roman" w:hAnsi="Times New Roman" w:cs="Times New Roman"/>
                <w:bCs/>
              </w:rPr>
            </w:pPr>
            <w:r>
              <w:rPr>
                <w:rFonts w:ascii="Times New Roman" w:hAnsi="Times New Roman" w:cs="Times New Roman"/>
                <w:bCs/>
                <w:lang w:val="en-US"/>
              </w:rPr>
              <w:t>Phosphatase</w:t>
            </w:r>
          </w:p>
        </w:tc>
        <w:tc>
          <w:tcPr>
            <w:tcW w:w="1137" w:type="dxa"/>
            <w:tcBorders>
              <w:top w:val="nil"/>
              <w:left w:val="nil"/>
              <w:bottom w:val="nil"/>
              <w:right w:val="nil"/>
            </w:tcBorders>
          </w:tcPr>
          <w:p w14:paraId="061F0D63"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70513E3E" w14:textId="77777777" w:rsidR="005E68D4" w:rsidRDefault="00A32143">
            <w:pPr>
              <w:rPr>
                <w:rFonts w:ascii="Times New Roman" w:hAnsi="Times New Roman" w:cs="Times New Roman"/>
                <w:bCs/>
              </w:rPr>
            </w:pPr>
            <w:r>
              <w:rPr>
                <w:rFonts w:ascii="Times New Roman" w:hAnsi="Times New Roman" w:cs="Times New Roman"/>
                <w:bCs/>
                <w:lang w:val="en-US"/>
              </w:rPr>
              <w:t>16.5</w:t>
            </w:r>
          </w:p>
        </w:tc>
        <w:tc>
          <w:tcPr>
            <w:tcW w:w="777" w:type="dxa"/>
            <w:tcBorders>
              <w:top w:val="nil"/>
              <w:left w:val="nil"/>
              <w:bottom w:val="nil"/>
              <w:right w:val="nil"/>
            </w:tcBorders>
          </w:tcPr>
          <w:p w14:paraId="77CDC1F6" w14:textId="77777777" w:rsidR="005E68D4" w:rsidRDefault="00A32143">
            <w:pPr>
              <w:rPr>
                <w:rFonts w:ascii="Times New Roman" w:hAnsi="Times New Roman" w:cs="Times New Roman"/>
                <w:bCs/>
              </w:rPr>
            </w:pPr>
            <w:r>
              <w:rPr>
                <w:rFonts w:ascii="Times New Roman" w:hAnsi="Times New Roman" w:cs="Times New Roman"/>
                <w:bCs/>
                <w:lang w:val="en-US"/>
              </w:rPr>
              <w:t>55</w:t>
            </w:r>
          </w:p>
        </w:tc>
        <w:tc>
          <w:tcPr>
            <w:tcW w:w="777" w:type="dxa"/>
            <w:tcBorders>
              <w:top w:val="nil"/>
              <w:left w:val="nil"/>
              <w:bottom w:val="nil"/>
              <w:right w:val="nil"/>
            </w:tcBorders>
          </w:tcPr>
          <w:p w14:paraId="2B96FADF" w14:textId="77777777" w:rsidR="005E68D4" w:rsidRDefault="00A32143">
            <w:pPr>
              <w:rPr>
                <w:rFonts w:ascii="Times New Roman" w:hAnsi="Times New Roman" w:cs="Times New Roman"/>
                <w:bCs/>
              </w:rPr>
            </w:pPr>
            <w:r>
              <w:rPr>
                <w:rFonts w:ascii="Times New Roman" w:hAnsi="Times New Roman" w:cs="Times New Roman"/>
                <w:bCs/>
                <w:lang w:val="en-US"/>
              </w:rPr>
              <w:t>0.3</w:t>
            </w:r>
          </w:p>
        </w:tc>
        <w:tc>
          <w:tcPr>
            <w:tcW w:w="778" w:type="dxa"/>
            <w:tcBorders>
              <w:top w:val="nil"/>
              <w:left w:val="nil"/>
              <w:bottom w:val="nil"/>
              <w:right w:val="nil"/>
            </w:tcBorders>
          </w:tcPr>
          <w:p w14:paraId="5A230444"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0C679AF2"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7DAFDB26" w14:textId="77777777" w:rsidR="005E68D4" w:rsidRDefault="00A32143">
            <w:pPr>
              <w:rPr>
                <w:rFonts w:ascii="Times New Roman" w:hAnsi="Times New Roman" w:cs="Times New Roman"/>
                <w:bCs/>
              </w:rPr>
            </w:pPr>
            <w:r>
              <w:rPr>
                <w:rFonts w:ascii="Times New Roman" w:hAnsi="Times New Roman" w:cs="Times New Roman"/>
                <w:bCs/>
                <w:lang w:val="en-US"/>
              </w:rPr>
              <w:t>0.0199</w:t>
            </w:r>
          </w:p>
        </w:tc>
        <w:tc>
          <w:tcPr>
            <w:tcW w:w="1236" w:type="dxa"/>
            <w:tcBorders>
              <w:top w:val="nil"/>
              <w:left w:val="nil"/>
              <w:bottom w:val="nil"/>
              <w:right w:val="nil"/>
            </w:tcBorders>
          </w:tcPr>
          <w:p w14:paraId="5E774B92"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42754751" w14:textId="77777777">
        <w:tc>
          <w:tcPr>
            <w:tcW w:w="1709" w:type="dxa"/>
            <w:tcBorders>
              <w:top w:val="nil"/>
              <w:left w:val="nil"/>
              <w:bottom w:val="nil"/>
              <w:right w:val="nil"/>
            </w:tcBorders>
          </w:tcPr>
          <w:p w14:paraId="53BB6407" w14:textId="77777777" w:rsidR="005E68D4" w:rsidRDefault="00A32143">
            <w:pPr>
              <w:rPr>
                <w:rFonts w:ascii="Times New Roman" w:hAnsi="Times New Roman" w:cs="Times New Roman"/>
                <w:bCs/>
              </w:rPr>
            </w:pPr>
            <w:r>
              <w:rPr>
                <w:rFonts w:ascii="Times New Roman" w:hAnsi="Times New Roman" w:cs="Times New Roman"/>
                <w:bCs/>
                <w:lang w:val="en-US"/>
              </w:rPr>
              <w:t>pH</w:t>
            </w:r>
          </w:p>
        </w:tc>
        <w:tc>
          <w:tcPr>
            <w:tcW w:w="1137" w:type="dxa"/>
            <w:tcBorders>
              <w:top w:val="nil"/>
              <w:left w:val="nil"/>
              <w:bottom w:val="nil"/>
              <w:right w:val="nil"/>
            </w:tcBorders>
          </w:tcPr>
          <w:p w14:paraId="56F93D3A" w14:textId="77777777" w:rsidR="005E68D4" w:rsidRDefault="00A32143">
            <w:pPr>
              <w:rPr>
                <w:rFonts w:ascii="Times New Roman" w:hAnsi="Times New Roman" w:cs="Times New Roman"/>
                <w:bCs/>
              </w:rPr>
            </w:pPr>
            <w:r>
              <w:rPr>
                <w:rFonts w:ascii="Times New Roman" w:hAnsi="Times New Roman" w:cs="Times New Roman"/>
                <w:bCs/>
                <w:lang w:val="en-US"/>
              </w:rPr>
              <w:t>Optimum</w:t>
            </w:r>
          </w:p>
        </w:tc>
        <w:tc>
          <w:tcPr>
            <w:tcW w:w="777" w:type="dxa"/>
            <w:tcBorders>
              <w:top w:val="nil"/>
              <w:left w:val="nil"/>
              <w:bottom w:val="nil"/>
              <w:right w:val="nil"/>
            </w:tcBorders>
          </w:tcPr>
          <w:p w14:paraId="32AECE5C" w14:textId="77777777" w:rsidR="005E68D4" w:rsidRDefault="00A32143">
            <w:pPr>
              <w:rPr>
                <w:rFonts w:ascii="Times New Roman" w:hAnsi="Times New Roman" w:cs="Times New Roman"/>
                <w:bCs/>
              </w:rPr>
            </w:pPr>
            <w:r>
              <w:rPr>
                <w:rFonts w:ascii="Times New Roman" w:hAnsi="Times New Roman" w:cs="Times New Roman"/>
                <w:bCs/>
                <w:lang w:val="en-US"/>
              </w:rPr>
              <w:t>6.23</w:t>
            </w:r>
          </w:p>
        </w:tc>
        <w:tc>
          <w:tcPr>
            <w:tcW w:w="777" w:type="dxa"/>
            <w:tcBorders>
              <w:top w:val="nil"/>
              <w:left w:val="nil"/>
              <w:bottom w:val="nil"/>
              <w:right w:val="nil"/>
            </w:tcBorders>
          </w:tcPr>
          <w:p w14:paraId="772F75A9" w14:textId="77777777" w:rsidR="005E68D4" w:rsidRDefault="00A32143">
            <w:pPr>
              <w:rPr>
                <w:rFonts w:ascii="Times New Roman" w:hAnsi="Times New Roman" w:cs="Times New Roman"/>
                <w:bCs/>
              </w:rPr>
            </w:pPr>
            <w:r>
              <w:rPr>
                <w:rFonts w:ascii="Times New Roman" w:hAnsi="Times New Roman" w:cs="Times New Roman"/>
                <w:bCs/>
                <w:lang w:val="en-US"/>
              </w:rPr>
              <w:t>6.21</w:t>
            </w:r>
          </w:p>
        </w:tc>
        <w:tc>
          <w:tcPr>
            <w:tcW w:w="777" w:type="dxa"/>
            <w:tcBorders>
              <w:top w:val="nil"/>
              <w:left w:val="nil"/>
              <w:bottom w:val="nil"/>
              <w:right w:val="nil"/>
            </w:tcBorders>
          </w:tcPr>
          <w:p w14:paraId="72C1D737"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116A5EE1"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38C6A7FE"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38279557"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6198EAD1"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58E9AB52" w14:textId="77777777">
        <w:tc>
          <w:tcPr>
            <w:tcW w:w="1709" w:type="dxa"/>
            <w:tcBorders>
              <w:top w:val="nil"/>
              <w:left w:val="nil"/>
              <w:bottom w:val="nil"/>
              <w:right w:val="nil"/>
            </w:tcBorders>
          </w:tcPr>
          <w:p w14:paraId="283DBDC7" w14:textId="77777777" w:rsidR="005E68D4" w:rsidRDefault="00A32143">
            <w:pPr>
              <w:rPr>
                <w:rFonts w:ascii="Times New Roman" w:hAnsi="Times New Roman" w:cs="Times New Roman"/>
                <w:bCs/>
              </w:rPr>
            </w:pPr>
            <w:r>
              <w:rPr>
                <w:rFonts w:ascii="Times New Roman" w:hAnsi="Times New Roman" w:cs="Times New Roman"/>
                <w:bCs/>
                <w:lang w:val="en-US"/>
              </w:rPr>
              <w:t>TOC</w:t>
            </w:r>
          </w:p>
        </w:tc>
        <w:tc>
          <w:tcPr>
            <w:tcW w:w="1137" w:type="dxa"/>
            <w:tcBorders>
              <w:top w:val="nil"/>
              <w:left w:val="nil"/>
              <w:bottom w:val="nil"/>
              <w:right w:val="nil"/>
            </w:tcBorders>
          </w:tcPr>
          <w:p w14:paraId="63A63C7B"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7B6B1591" w14:textId="77777777" w:rsidR="005E68D4" w:rsidRDefault="00A32143">
            <w:pPr>
              <w:rPr>
                <w:rFonts w:ascii="Times New Roman" w:hAnsi="Times New Roman" w:cs="Times New Roman"/>
                <w:bCs/>
              </w:rPr>
            </w:pPr>
            <w:r>
              <w:rPr>
                <w:rFonts w:ascii="Times New Roman" w:hAnsi="Times New Roman" w:cs="Times New Roman"/>
                <w:bCs/>
                <w:lang w:val="en-US"/>
              </w:rPr>
              <w:t>0.55</w:t>
            </w:r>
          </w:p>
        </w:tc>
        <w:tc>
          <w:tcPr>
            <w:tcW w:w="777" w:type="dxa"/>
            <w:tcBorders>
              <w:top w:val="nil"/>
              <w:left w:val="nil"/>
              <w:bottom w:val="nil"/>
              <w:right w:val="nil"/>
            </w:tcBorders>
          </w:tcPr>
          <w:p w14:paraId="5627688A" w14:textId="77777777" w:rsidR="005E68D4" w:rsidRDefault="00A32143">
            <w:pPr>
              <w:rPr>
                <w:rFonts w:ascii="Times New Roman" w:hAnsi="Times New Roman" w:cs="Times New Roman"/>
                <w:bCs/>
              </w:rPr>
            </w:pPr>
            <w:r>
              <w:rPr>
                <w:rFonts w:ascii="Times New Roman" w:hAnsi="Times New Roman" w:cs="Times New Roman"/>
                <w:bCs/>
                <w:lang w:val="en-US"/>
              </w:rPr>
              <w:t>2.1</w:t>
            </w:r>
          </w:p>
        </w:tc>
        <w:tc>
          <w:tcPr>
            <w:tcW w:w="777" w:type="dxa"/>
            <w:tcBorders>
              <w:top w:val="nil"/>
              <w:left w:val="nil"/>
              <w:bottom w:val="nil"/>
              <w:right w:val="nil"/>
            </w:tcBorders>
          </w:tcPr>
          <w:p w14:paraId="40E2628E" w14:textId="77777777" w:rsidR="005E68D4" w:rsidRDefault="00A32143">
            <w:pPr>
              <w:rPr>
                <w:rFonts w:ascii="Times New Roman" w:hAnsi="Times New Roman" w:cs="Times New Roman"/>
                <w:bCs/>
              </w:rPr>
            </w:pPr>
            <w:r>
              <w:rPr>
                <w:rFonts w:ascii="Times New Roman" w:hAnsi="Times New Roman" w:cs="Times New Roman"/>
                <w:bCs/>
                <w:lang w:val="en-US"/>
              </w:rPr>
              <w:t>0.262</w:t>
            </w:r>
          </w:p>
        </w:tc>
        <w:tc>
          <w:tcPr>
            <w:tcW w:w="778" w:type="dxa"/>
            <w:tcBorders>
              <w:top w:val="nil"/>
              <w:left w:val="nil"/>
              <w:bottom w:val="nil"/>
              <w:right w:val="nil"/>
            </w:tcBorders>
          </w:tcPr>
          <w:p w14:paraId="47EBB50E"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388DC143"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313C05C0" w14:textId="77777777" w:rsidR="005E68D4" w:rsidRDefault="00A32143">
            <w:pPr>
              <w:rPr>
                <w:rFonts w:ascii="Times New Roman" w:hAnsi="Times New Roman" w:cs="Times New Roman"/>
                <w:bCs/>
              </w:rPr>
            </w:pPr>
            <w:r>
              <w:rPr>
                <w:rFonts w:ascii="Times New Roman" w:hAnsi="Times New Roman" w:cs="Times New Roman"/>
                <w:bCs/>
                <w:lang w:val="en-US"/>
              </w:rPr>
              <w:t>0.0174</w:t>
            </w:r>
          </w:p>
        </w:tc>
        <w:tc>
          <w:tcPr>
            <w:tcW w:w="1236" w:type="dxa"/>
            <w:tcBorders>
              <w:top w:val="nil"/>
              <w:left w:val="nil"/>
              <w:bottom w:val="nil"/>
              <w:right w:val="nil"/>
            </w:tcBorders>
          </w:tcPr>
          <w:p w14:paraId="66B56B7E"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402944AD" w14:textId="77777777">
        <w:tc>
          <w:tcPr>
            <w:tcW w:w="1709" w:type="dxa"/>
            <w:tcBorders>
              <w:top w:val="nil"/>
              <w:left w:val="nil"/>
              <w:bottom w:val="nil"/>
              <w:right w:val="nil"/>
            </w:tcBorders>
          </w:tcPr>
          <w:p w14:paraId="175E4DDF" w14:textId="77777777" w:rsidR="005E68D4" w:rsidRDefault="00A32143">
            <w:pPr>
              <w:rPr>
                <w:rFonts w:ascii="Times New Roman" w:hAnsi="Times New Roman" w:cs="Times New Roman"/>
                <w:bCs/>
              </w:rPr>
            </w:pPr>
            <w:r>
              <w:rPr>
                <w:rFonts w:ascii="Times New Roman" w:hAnsi="Times New Roman" w:cs="Times New Roman"/>
                <w:bCs/>
                <w:lang w:val="en-US"/>
              </w:rPr>
              <w:t>TON</w:t>
            </w:r>
          </w:p>
        </w:tc>
        <w:tc>
          <w:tcPr>
            <w:tcW w:w="1137" w:type="dxa"/>
            <w:tcBorders>
              <w:top w:val="nil"/>
              <w:left w:val="nil"/>
              <w:bottom w:val="nil"/>
              <w:right w:val="nil"/>
            </w:tcBorders>
          </w:tcPr>
          <w:p w14:paraId="17DE18C4"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3E68C5E2" w14:textId="77777777" w:rsidR="005E68D4" w:rsidRDefault="00A32143">
            <w:pPr>
              <w:rPr>
                <w:rFonts w:ascii="Times New Roman" w:hAnsi="Times New Roman" w:cs="Times New Roman"/>
                <w:bCs/>
              </w:rPr>
            </w:pPr>
            <w:r>
              <w:rPr>
                <w:rFonts w:ascii="Times New Roman" w:hAnsi="Times New Roman" w:cs="Times New Roman"/>
                <w:bCs/>
                <w:lang w:val="en-US"/>
              </w:rPr>
              <w:t>0.4</w:t>
            </w:r>
          </w:p>
        </w:tc>
        <w:tc>
          <w:tcPr>
            <w:tcW w:w="777" w:type="dxa"/>
            <w:tcBorders>
              <w:top w:val="nil"/>
              <w:left w:val="nil"/>
              <w:bottom w:val="nil"/>
              <w:right w:val="nil"/>
            </w:tcBorders>
          </w:tcPr>
          <w:p w14:paraId="547C4F29" w14:textId="77777777" w:rsidR="005E68D4" w:rsidRDefault="00A32143">
            <w:pPr>
              <w:rPr>
                <w:rFonts w:ascii="Times New Roman" w:hAnsi="Times New Roman" w:cs="Times New Roman"/>
                <w:bCs/>
              </w:rPr>
            </w:pPr>
            <w:r>
              <w:rPr>
                <w:rFonts w:ascii="Times New Roman" w:hAnsi="Times New Roman" w:cs="Times New Roman"/>
                <w:bCs/>
                <w:lang w:val="en-US"/>
              </w:rPr>
              <w:t>0.2</w:t>
            </w:r>
          </w:p>
        </w:tc>
        <w:tc>
          <w:tcPr>
            <w:tcW w:w="777" w:type="dxa"/>
            <w:tcBorders>
              <w:top w:val="nil"/>
              <w:left w:val="nil"/>
              <w:bottom w:val="nil"/>
              <w:right w:val="nil"/>
            </w:tcBorders>
          </w:tcPr>
          <w:p w14:paraId="3FF5AC7D"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4EE71405" w14:textId="77777777" w:rsidR="005E68D4" w:rsidRDefault="00A32143">
            <w:pPr>
              <w:rPr>
                <w:rFonts w:ascii="Times New Roman" w:hAnsi="Times New Roman" w:cs="Times New Roman"/>
                <w:bCs/>
              </w:rPr>
            </w:pPr>
            <w:r>
              <w:rPr>
                <w:rFonts w:ascii="Times New Roman" w:hAnsi="Times New Roman" w:cs="Times New Roman"/>
                <w:bCs/>
                <w:lang w:val="en-US"/>
              </w:rPr>
              <w:t>0.5</w:t>
            </w:r>
          </w:p>
        </w:tc>
        <w:tc>
          <w:tcPr>
            <w:tcW w:w="923" w:type="dxa"/>
            <w:tcBorders>
              <w:top w:val="nil"/>
              <w:left w:val="nil"/>
              <w:bottom w:val="nil"/>
              <w:right w:val="nil"/>
            </w:tcBorders>
          </w:tcPr>
          <w:p w14:paraId="11F7F124"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6FEAA613"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17F2295B" w14:textId="77777777" w:rsidR="005E68D4" w:rsidRDefault="00A32143">
            <w:pPr>
              <w:rPr>
                <w:rFonts w:ascii="Times New Roman" w:hAnsi="Times New Roman" w:cs="Times New Roman"/>
                <w:bCs/>
              </w:rPr>
            </w:pPr>
            <w:r>
              <w:rPr>
                <w:rFonts w:ascii="Times New Roman" w:hAnsi="Times New Roman" w:cs="Times New Roman"/>
                <w:bCs/>
                <w:lang w:val="en-US"/>
              </w:rPr>
              <w:t>0.0333</w:t>
            </w:r>
          </w:p>
        </w:tc>
      </w:tr>
      <w:tr w:rsidR="005E68D4" w14:paraId="7DFC49DB" w14:textId="77777777">
        <w:tc>
          <w:tcPr>
            <w:tcW w:w="1709" w:type="dxa"/>
            <w:tcBorders>
              <w:top w:val="nil"/>
              <w:left w:val="nil"/>
              <w:bottom w:val="nil"/>
              <w:right w:val="nil"/>
            </w:tcBorders>
          </w:tcPr>
          <w:p w14:paraId="0A3C78AB"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8"/>
                <w:lang w:val="en-US"/>
              </w:rPr>
            </w:pPr>
            <w:r>
              <w:rPr>
                <w:rFonts w:ascii="Times New Roman" w:hAnsi="Times New Roman" w:cs="Times New Roman"/>
                <w:color w:val="000000"/>
                <w:lang w:val="en-US"/>
              </w:rPr>
              <w:t xml:space="preserve">SO₄² </w:t>
            </w:r>
          </w:p>
          <w:p w14:paraId="4CEDE71A" w14:textId="77777777" w:rsidR="005E68D4" w:rsidRDefault="005E68D4">
            <w:pPr>
              <w:rPr>
                <w:rFonts w:ascii="Times New Roman" w:hAnsi="Times New Roman" w:cs="Times New Roman"/>
                <w:bCs/>
              </w:rPr>
            </w:pPr>
          </w:p>
        </w:tc>
        <w:tc>
          <w:tcPr>
            <w:tcW w:w="1137" w:type="dxa"/>
            <w:tcBorders>
              <w:top w:val="nil"/>
              <w:left w:val="nil"/>
              <w:bottom w:val="nil"/>
              <w:right w:val="nil"/>
            </w:tcBorders>
          </w:tcPr>
          <w:p w14:paraId="5DC7A603"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4F38AB90" w14:textId="77777777" w:rsidR="005E68D4" w:rsidRDefault="00A32143">
            <w:pPr>
              <w:rPr>
                <w:rFonts w:ascii="Times New Roman" w:hAnsi="Times New Roman" w:cs="Times New Roman"/>
                <w:bCs/>
              </w:rPr>
            </w:pPr>
            <w:r>
              <w:rPr>
                <w:rFonts w:ascii="Times New Roman" w:hAnsi="Times New Roman" w:cs="Times New Roman"/>
                <w:bCs/>
                <w:lang w:val="en-US"/>
              </w:rPr>
              <w:t>66.3</w:t>
            </w:r>
          </w:p>
        </w:tc>
        <w:tc>
          <w:tcPr>
            <w:tcW w:w="777" w:type="dxa"/>
            <w:tcBorders>
              <w:top w:val="nil"/>
              <w:left w:val="nil"/>
              <w:bottom w:val="nil"/>
              <w:right w:val="nil"/>
            </w:tcBorders>
          </w:tcPr>
          <w:p w14:paraId="4C1A916C" w14:textId="77777777" w:rsidR="005E68D4" w:rsidRDefault="00A32143">
            <w:pPr>
              <w:rPr>
                <w:rFonts w:ascii="Times New Roman" w:hAnsi="Times New Roman" w:cs="Times New Roman"/>
                <w:bCs/>
              </w:rPr>
            </w:pPr>
            <w:r>
              <w:rPr>
                <w:rFonts w:ascii="Times New Roman" w:hAnsi="Times New Roman" w:cs="Times New Roman"/>
                <w:bCs/>
                <w:lang w:val="en-US"/>
              </w:rPr>
              <w:t>56.98</w:t>
            </w:r>
          </w:p>
        </w:tc>
        <w:tc>
          <w:tcPr>
            <w:tcW w:w="777" w:type="dxa"/>
            <w:tcBorders>
              <w:top w:val="nil"/>
              <w:left w:val="nil"/>
              <w:bottom w:val="nil"/>
              <w:right w:val="nil"/>
            </w:tcBorders>
          </w:tcPr>
          <w:p w14:paraId="3249BB78"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51A9BF43" w14:textId="77777777" w:rsidR="005E68D4" w:rsidRDefault="00A32143">
            <w:pPr>
              <w:rPr>
                <w:rFonts w:ascii="Times New Roman" w:hAnsi="Times New Roman" w:cs="Times New Roman"/>
                <w:bCs/>
              </w:rPr>
            </w:pPr>
            <w:r>
              <w:rPr>
                <w:rFonts w:ascii="Times New Roman" w:hAnsi="Times New Roman" w:cs="Times New Roman"/>
                <w:bCs/>
                <w:lang w:val="en-US"/>
              </w:rPr>
              <w:t>0.859</w:t>
            </w:r>
          </w:p>
        </w:tc>
        <w:tc>
          <w:tcPr>
            <w:tcW w:w="923" w:type="dxa"/>
            <w:tcBorders>
              <w:top w:val="nil"/>
              <w:left w:val="nil"/>
              <w:bottom w:val="nil"/>
              <w:right w:val="nil"/>
            </w:tcBorders>
          </w:tcPr>
          <w:p w14:paraId="781B50EB"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4AFC3092"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47E02BC7" w14:textId="77777777" w:rsidR="005E68D4" w:rsidRDefault="00A32143">
            <w:pPr>
              <w:rPr>
                <w:rFonts w:ascii="Times New Roman" w:hAnsi="Times New Roman" w:cs="Times New Roman"/>
                <w:bCs/>
              </w:rPr>
            </w:pPr>
            <w:r>
              <w:rPr>
                <w:rFonts w:ascii="Times New Roman" w:hAnsi="Times New Roman" w:cs="Times New Roman"/>
                <w:bCs/>
                <w:lang w:val="en-US"/>
              </w:rPr>
              <w:t>0.0572</w:t>
            </w:r>
          </w:p>
        </w:tc>
      </w:tr>
      <w:tr w:rsidR="005E68D4" w14:paraId="6C9C3B58" w14:textId="77777777">
        <w:tc>
          <w:tcPr>
            <w:tcW w:w="1709" w:type="dxa"/>
            <w:tcBorders>
              <w:top w:val="nil"/>
              <w:left w:val="nil"/>
              <w:bottom w:val="nil"/>
              <w:right w:val="nil"/>
            </w:tcBorders>
          </w:tcPr>
          <w:p w14:paraId="52AA4B39"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sz w:val="18"/>
                <w:lang w:val="en-US"/>
              </w:rPr>
            </w:pPr>
            <w:r>
              <w:rPr>
                <w:rFonts w:ascii="Times New Roman" w:hAnsi="Times New Roman" w:cs="Times New Roman"/>
                <w:color w:val="000000"/>
                <w:lang w:val="en-US"/>
              </w:rPr>
              <w:t xml:space="preserve">NO₃⁻ </w:t>
            </w:r>
          </w:p>
          <w:p w14:paraId="6A149C80" w14:textId="77777777" w:rsidR="005E68D4" w:rsidRDefault="005E68D4">
            <w:pPr>
              <w:rPr>
                <w:rFonts w:ascii="Times New Roman" w:hAnsi="Times New Roman" w:cs="Times New Roman"/>
                <w:bCs/>
              </w:rPr>
            </w:pPr>
          </w:p>
        </w:tc>
        <w:tc>
          <w:tcPr>
            <w:tcW w:w="1137" w:type="dxa"/>
            <w:tcBorders>
              <w:top w:val="nil"/>
              <w:left w:val="nil"/>
              <w:bottom w:val="nil"/>
              <w:right w:val="nil"/>
            </w:tcBorders>
          </w:tcPr>
          <w:p w14:paraId="33C4CFB0"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20607013" w14:textId="77777777" w:rsidR="005E68D4" w:rsidRDefault="00A32143">
            <w:pPr>
              <w:rPr>
                <w:rFonts w:ascii="Times New Roman" w:hAnsi="Times New Roman" w:cs="Times New Roman"/>
                <w:bCs/>
              </w:rPr>
            </w:pPr>
            <w:r>
              <w:rPr>
                <w:rFonts w:ascii="Times New Roman" w:hAnsi="Times New Roman" w:cs="Times New Roman"/>
                <w:bCs/>
                <w:lang w:val="en-US"/>
              </w:rPr>
              <w:t>10.7</w:t>
            </w:r>
          </w:p>
        </w:tc>
        <w:tc>
          <w:tcPr>
            <w:tcW w:w="777" w:type="dxa"/>
            <w:tcBorders>
              <w:top w:val="nil"/>
              <w:left w:val="nil"/>
              <w:bottom w:val="nil"/>
              <w:right w:val="nil"/>
            </w:tcBorders>
          </w:tcPr>
          <w:p w14:paraId="2EB85A47" w14:textId="77777777" w:rsidR="005E68D4" w:rsidRDefault="00A32143">
            <w:pPr>
              <w:rPr>
                <w:rFonts w:ascii="Times New Roman" w:hAnsi="Times New Roman" w:cs="Times New Roman"/>
                <w:bCs/>
              </w:rPr>
            </w:pPr>
            <w:r>
              <w:rPr>
                <w:rFonts w:ascii="Times New Roman" w:hAnsi="Times New Roman" w:cs="Times New Roman"/>
                <w:bCs/>
                <w:lang w:val="en-US"/>
              </w:rPr>
              <w:t>4.6</w:t>
            </w:r>
          </w:p>
        </w:tc>
        <w:tc>
          <w:tcPr>
            <w:tcW w:w="777" w:type="dxa"/>
            <w:tcBorders>
              <w:top w:val="nil"/>
              <w:left w:val="nil"/>
              <w:bottom w:val="nil"/>
              <w:right w:val="nil"/>
            </w:tcBorders>
          </w:tcPr>
          <w:p w14:paraId="716C134E"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5A2D9C68" w14:textId="77777777" w:rsidR="005E68D4" w:rsidRDefault="00A32143">
            <w:pPr>
              <w:rPr>
                <w:rFonts w:ascii="Times New Roman" w:hAnsi="Times New Roman" w:cs="Times New Roman"/>
                <w:bCs/>
              </w:rPr>
            </w:pPr>
            <w:r>
              <w:rPr>
                <w:rFonts w:ascii="Times New Roman" w:hAnsi="Times New Roman" w:cs="Times New Roman"/>
                <w:bCs/>
                <w:lang w:val="en-US"/>
              </w:rPr>
              <w:t>0.43</w:t>
            </w:r>
          </w:p>
        </w:tc>
        <w:tc>
          <w:tcPr>
            <w:tcW w:w="923" w:type="dxa"/>
            <w:tcBorders>
              <w:top w:val="nil"/>
              <w:left w:val="nil"/>
              <w:bottom w:val="nil"/>
              <w:right w:val="nil"/>
            </w:tcBorders>
          </w:tcPr>
          <w:p w14:paraId="22D63267"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0E584D1F"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6C935E79" w14:textId="77777777" w:rsidR="005E68D4" w:rsidRDefault="00A32143">
            <w:pPr>
              <w:rPr>
                <w:rFonts w:ascii="Times New Roman" w:hAnsi="Times New Roman" w:cs="Times New Roman"/>
                <w:bCs/>
              </w:rPr>
            </w:pPr>
            <w:r>
              <w:rPr>
                <w:rFonts w:ascii="Times New Roman" w:hAnsi="Times New Roman" w:cs="Times New Roman"/>
                <w:bCs/>
                <w:lang w:val="en-US"/>
              </w:rPr>
              <w:t>0.0286</w:t>
            </w:r>
          </w:p>
        </w:tc>
      </w:tr>
      <w:tr w:rsidR="005E68D4" w14:paraId="3B66D159" w14:textId="77777777">
        <w:tc>
          <w:tcPr>
            <w:tcW w:w="1709" w:type="dxa"/>
            <w:tcBorders>
              <w:top w:val="nil"/>
              <w:left w:val="nil"/>
              <w:bottom w:val="nil"/>
              <w:right w:val="nil"/>
            </w:tcBorders>
          </w:tcPr>
          <w:p w14:paraId="409D94AE"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rPr>
                <w:rFonts w:ascii="Times New Roman" w:hAnsi="Times New Roman" w:cs="Times New Roman"/>
                <w:color w:val="000000"/>
                <w:lang w:val="en-US"/>
              </w:rPr>
            </w:pPr>
            <w:r>
              <w:rPr>
                <w:rFonts w:ascii="Times New Roman" w:hAnsi="Times New Roman" w:cs="Times New Roman"/>
                <w:color w:val="000000"/>
                <w:lang w:val="en-US"/>
              </w:rPr>
              <w:t xml:space="preserve">PO₄³ </w:t>
            </w:r>
          </w:p>
          <w:p w14:paraId="785DBED5" w14:textId="77777777" w:rsidR="005E68D4" w:rsidRDefault="005E68D4">
            <w:pPr>
              <w:rPr>
                <w:rFonts w:ascii="Times New Roman" w:hAnsi="Times New Roman" w:cs="Times New Roman"/>
                <w:bCs/>
              </w:rPr>
            </w:pPr>
          </w:p>
        </w:tc>
        <w:tc>
          <w:tcPr>
            <w:tcW w:w="1137" w:type="dxa"/>
            <w:tcBorders>
              <w:top w:val="nil"/>
              <w:left w:val="nil"/>
              <w:bottom w:val="nil"/>
              <w:right w:val="nil"/>
            </w:tcBorders>
          </w:tcPr>
          <w:p w14:paraId="3F6EF999"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1F6A451D" w14:textId="77777777" w:rsidR="005E68D4" w:rsidRDefault="00A32143">
            <w:pPr>
              <w:rPr>
                <w:rFonts w:ascii="Times New Roman" w:hAnsi="Times New Roman" w:cs="Times New Roman"/>
                <w:bCs/>
              </w:rPr>
            </w:pPr>
            <w:r>
              <w:rPr>
                <w:rFonts w:ascii="Times New Roman" w:hAnsi="Times New Roman" w:cs="Times New Roman"/>
                <w:bCs/>
                <w:lang w:val="en-US"/>
              </w:rPr>
              <w:t>23.4</w:t>
            </w:r>
          </w:p>
        </w:tc>
        <w:tc>
          <w:tcPr>
            <w:tcW w:w="777" w:type="dxa"/>
            <w:tcBorders>
              <w:top w:val="nil"/>
              <w:left w:val="nil"/>
              <w:bottom w:val="nil"/>
              <w:right w:val="nil"/>
            </w:tcBorders>
          </w:tcPr>
          <w:p w14:paraId="4AEA3DE7" w14:textId="77777777" w:rsidR="005E68D4" w:rsidRDefault="00A32143">
            <w:pPr>
              <w:rPr>
                <w:rFonts w:ascii="Times New Roman" w:hAnsi="Times New Roman" w:cs="Times New Roman"/>
                <w:bCs/>
              </w:rPr>
            </w:pPr>
            <w:r>
              <w:rPr>
                <w:rFonts w:ascii="Times New Roman" w:hAnsi="Times New Roman" w:cs="Times New Roman"/>
                <w:bCs/>
                <w:lang w:val="en-US"/>
              </w:rPr>
              <w:t>5.88</w:t>
            </w:r>
          </w:p>
        </w:tc>
        <w:tc>
          <w:tcPr>
            <w:tcW w:w="777" w:type="dxa"/>
            <w:tcBorders>
              <w:top w:val="nil"/>
              <w:left w:val="nil"/>
              <w:bottom w:val="nil"/>
              <w:right w:val="nil"/>
            </w:tcBorders>
          </w:tcPr>
          <w:p w14:paraId="1755B4FE"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4E0D213B" w14:textId="77777777" w:rsidR="005E68D4" w:rsidRDefault="00A32143">
            <w:pPr>
              <w:rPr>
                <w:rFonts w:ascii="Times New Roman" w:hAnsi="Times New Roman" w:cs="Times New Roman"/>
                <w:bCs/>
              </w:rPr>
            </w:pPr>
            <w:r>
              <w:rPr>
                <w:rFonts w:ascii="Times New Roman" w:hAnsi="Times New Roman" w:cs="Times New Roman"/>
                <w:bCs/>
                <w:lang w:val="en-US"/>
              </w:rPr>
              <w:t>0.251</w:t>
            </w:r>
          </w:p>
        </w:tc>
        <w:tc>
          <w:tcPr>
            <w:tcW w:w="923" w:type="dxa"/>
            <w:tcBorders>
              <w:top w:val="nil"/>
              <w:left w:val="nil"/>
              <w:bottom w:val="nil"/>
              <w:right w:val="nil"/>
            </w:tcBorders>
          </w:tcPr>
          <w:p w14:paraId="68C0ADAC"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42D38623"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47CDC0B6" w14:textId="77777777" w:rsidR="005E68D4" w:rsidRDefault="00A32143">
            <w:pPr>
              <w:rPr>
                <w:rFonts w:ascii="Times New Roman" w:hAnsi="Times New Roman" w:cs="Times New Roman"/>
                <w:bCs/>
              </w:rPr>
            </w:pPr>
            <w:r>
              <w:rPr>
                <w:rFonts w:ascii="Times New Roman" w:hAnsi="Times New Roman" w:cs="Times New Roman"/>
                <w:bCs/>
                <w:lang w:val="en-US"/>
              </w:rPr>
              <w:t>0.0167</w:t>
            </w:r>
          </w:p>
        </w:tc>
      </w:tr>
      <w:tr w:rsidR="005E68D4" w14:paraId="35FB128C" w14:textId="77777777">
        <w:tc>
          <w:tcPr>
            <w:tcW w:w="1709" w:type="dxa"/>
            <w:tcBorders>
              <w:top w:val="nil"/>
              <w:left w:val="nil"/>
              <w:bottom w:val="nil"/>
              <w:right w:val="nil"/>
            </w:tcBorders>
          </w:tcPr>
          <w:p w14:paraId="727A04E4" w14:textId="77777777" w:rsidR="005E68D4" w:rsidRDefault="00A32143">
            <w:pPr>
              <w:rPr>
                <w:rFonts w:ascii="Times New Roman" w:hAnsi="Times New Roman" w:cs="Times New Roman"/>
                <w:bCs/>
              </w:rPr>
            </w:pPr>
            <w:r>
              <w:rPr>
                <w:rFonts w:ascii="Times New Roman" w:hAnsi="Times New Roman" w:cs="Times New Roman"/>
                <w:bCs/>
                <w:lang w:val="en-US"/>
              </w:rPr>
              <w:lastRenderedPageBreak/>
              <w:t>Bulk Density</w:t>
            </w:r>
          </w:p>
        </w:tc>
        <w:tc>
          <w:tcPr>
            <w:tcW w:w="1137" w:type="dxa"/>
            <w:tcBorders>
              <w:top w:val="nil"/>
              <w:left w:val="nil"/>
              <w:bottom w:val="nil"/>
              <w:right w:val="nil"/>
            </w:tcBorders>
          </w:tcPr>
          <w:p w14:paraId="4E1A9C8F" w14:textId="77777777" w:rsidR="005E68D4" w:rsidRDefault="00A32143">
            <w:pPr>
              <w:rPr>
                <w:rFonts w:ascii="Times New Roman" w:hAnsi="Times New Roman" w:cs="Times New Roman"/>
                <w:bCs/>
              </w:rPr>
            </w:pPr>
            <w:r>
              <w:rPr>
                <w:rFonts w:ascii="Times New Roman" w:hAnsi="Times New Roman" w:cs="Times New Roman"/>
                <w:bCs/>
                <w:lang w:val="en-US"/>
              </w:rPr>
              <w:t xml:space="preserve">Less is better </w:t>
            </w:r>
          </w:p>
        </w:tc>
        <w:tc>
          <w:tcPr>
            <w:tcW w:w="777" w:type="dxa"/>
            <w:tcBorders>
              <w:top w:val="nil"/>
              <w:left w:val="nil"/>
              <w:bottom w:val="nil"/>
              <w:right w:val="nil"/>
            </w:tcBorders>
          </w:tcPr>
          <w:p w14:paraId="6DF4EBFE" w14:textId="77777777" w:rsidR="005E68D4" w:rsidRDefault="00A32143">
            <w:pPr>
              <w:rPr>
                <w:rFonts w:ascii="Times New Roman" w:hAnsi="Times New Roman" w:cs="Times New Roman"/>
                <w:bCs/>
              </w:rPr>
            </w:pPr>
            <w:r>
              <w:rPr>
                <w:rFonts w:ascii="Times New Roman" w:hAnsi="Times New Roman" w:cs="Times New Roman"/>
                <w:bCs/>
                <w:lang w:val="en-US"/>
              </w:rPr>
              <w:t>5.24</w:t>
            </w:r>
          </w:p>
        </w:tc>
        <w:tc>
          <w:tcPr>
            <w:tcW w:w="777" w:type="dxa"/>
            <w:tcBorders>
              <w:top w:val="nil"/>
              <w:left w:val="nil"/>
              <w:bottom w:val="nil"/>
              <w:right w:val="nil"/>
            </w:tcBorders>
          </w:tcPr>
          <w:p w14:paraId="680E6B81" w14:textId="77777777" w:rsidR="005E68D4" w:rsidRDefault="00A32143">
            <w:pPr>
              <w:rPr>
                <w:rFonts w:ascii="Times New Roman" w:hAnsi="Times New Roman" w:cs="Times New Roman"/>
                <w:bCs/>
              </w:rPr>
            </w:pPr>
            <w:r>
              <w:rPr>
                <w:rFonts w:ascii="Times New Roman" w:hAnsi="Times New Roman" w:cs="Times New Roman"/>
                <w:bCs/>
                <w:lang w:val="en-US"/>
              </w:rPr>
              <w:t>7.59</w:t>
            </w:r>
          </w:p>
        </w:tc>
        <w:tc>
          <w:tcPr>
            <w:tcW w:w="777" w:type="dxa"/>
            <w:tcBorders>
              <w:top w:val="nil"/>
              <w:left w:val="nil"/>
              <w:bottom w:val="nil"/>
              <w:right w:val="nil"/>
            </w:tcBorders>
          </w:tcPr>
          <w:p w14:paraId="0C3F1400"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6AEEF932" w14:textId="77777777" w:rsidR="005E68D4" w:rsidRDefault="00A32143">
            <w:pPr>
              <w:rPr>
                <w:rFonts w:ascii="Times New Roman" w:hAnsi="Times New Roman" w:cs="Times New Roman"/>
                <w:bCs/>
              </w:rPr>
            </w:pPr>
            <w:r>
              <w:rPr>
                <w:rFonts w:ascii="Times New Roman" w:hAnsi="Times New Roman" w:cs="Times New Roman"/>
                <w:bCs/>
                <w:lang w:val="en-US"/>
              </w:rPr>
              <w:t>0.69</w:t>
            </w:r>
          </w:p>
        </w:tc>
        <w:tc>
          <w:tcPr>
            <w:tcW w:w="923" w:type="dxa"/>
            <w:tcBorders>
              <w:top w:val="nil"/>
              <w:left w:val="nil"/>
              <w:bottom w:val="nil"/>
              <w:right w:val="nil"/>
            </w:tcBorders>
          </w:tcPr>
          <w:p w14:paraId="6CDAF204"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2683713A"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1B9B7598" w14:textId="77777777" w:rsidR="005E68D4" w:rsidRDefault="00A32143">
            <w:pPr>
              <w:rPr>
                <w:rFonts w:ascii="Times New Roman" w:hAnsi="Times New Roman" w:cs="Times New Roman"/>
                <w:bCs/>
              </w:rPr>
            </w:pPr>
            <w:r>
              <w:rPr>
                <w:rFonts w:ascii="Times New Roman" w:hAnsi="Times New Roman" w:cs="Times New Roman"/>
                <w:bCs/>
                <w:lang w:val="en-US"/>
              </w:rPr>
              <w:t>0.0459</w:t>
            </w:r>
          </w:p>
        </w:tc>
      </w:tr>
      <w:tr w:rsidR="005E68D4" w14:paraId="377AE191" w14:textId="77777777">
        <w:tc>
          <w:tcPr>
            <w:tcW w:w="1709" w:type="dxa"/>
            <w:tcBorders>
              <w:top w:val="nil"/>
              <w:left w:val="nil"/>
              <w:bottom w:val="nil"/>
              <w:right w:val="nil"/>
            </w:tcBorders>
          </w:tcPr>
          <w:p w14:paraId="7C0365E3" w14:textId="77777777" w:rsidR="005E68D4" w:rsidRDefault="00A32143">
            <w:pPr>
              <w:rPr>
                <w:rFonts w:ascii="Times New Roman" w:hAnsi="Times New Roman" w:cs="Times New Roman"/>
                <w:bCs/>
              </w:rPr>
            </w:pPr>
            <w:r>
              <w:rPr>
                <w:rFonts w:ascii="Times New Roman" w:hAnsi="Times New Roman" w:cs="Times New Roman"/>
                <w:bCs/>
                <w:lang w:val="en-US"/>
              </w:rPr>
              <w:t>Water Retention</w:t>
            </w:r>
          </w:p>
        </w:tc>
        <w:tc>
          <w:tcPr>
            <w:tcW w:w="1137" w:type="dxa"/>
            <w:tcBorders>
              <w:top w:val="nil"/>
              <w:left w:val="nil"/>
              <w:bottom w:val="nil"/>
              <w:right w:val="nil"/>
            </w:tcBorders>
          </w:tcPr>
          <w:p w14:paraId="2968BE49"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3258C412" w14:textId="77777777" w:rsidR="005E68D4" w:rsidRDefault="00A32143">
            <w:pPr>
              <w:rPr>
                <w:rFonts w:ascii="Times New Roman" w:hAnsi="Times New Roman" w:cs="Times New Roman"/>
                <w:bCs/>
              </w:rPr>
            </w:pPr>
            <w:r>
              <w:rPr>
                <w:rFonts w:ascii="Times New Roman" w:hAnsi="Times New Roman" w:cs="Times New Roman"/>
                <w:bCs/>
                <w:lang w:val="en-US"/>
              </w:rPr>
              <w:t>0.433</w:t>
            </w:r>
          </w:p>
        </w:tc>
        <w:tc>
          <w:tcPr>
            <w:tcW w:w="777" w:type="dxa"/>
            <w:tcBorders>
              <w:top w:val="nil"/>
              <w:left w:val="nil"/>
              <w:bottom w:val="nil"/>
              <w:right w:val="nil"/>
            </w:tcBorders>
          </w:tcPr>
          <w:p w14:paraId="1266C04E" w14:textId="77777777" w:rsidR="005E68D4" w:rsidRDefault="00A32143">
            <w:pPr>
              <w:rPr>
                <w:rFonts w:ascii="Times New Roman" w:hAnsi="Times New Roman" w:cs="Times New Roman"/>
                <w:bCs/>
              </w:rPr>
            </w:pPr>
            <w:r>
              <w:rPr>
                <w:rFonts w:ascii="Times New Roman" w:hAnsi="Times New Roman" w:cs="Times New Roman"/>
                <w:bCs/>
                <w:lang w:val="en-US"/>
              </w:rPr>
              <w:t>0.375</w:t>
            </w:r>
          </w:p>
        </w:tc>
        <w:tc>
          <w:tcPr>
            <w:tcW w:w="777" w:type="dxa"/>
            <w:tcBorders>
              <w:top w:val="nil"/>
              <w:left w:val="nil"/>
              <w:bottom w:val="nil"/>
              <w:right w:val="nil"/>
            </w:tcBorders>
          </w:tcPr>
          <w:p w14:paraId="0AEC3B0B"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23A1CC25" w14:textId="77777777" w:rsidR="005E68D4" w:rsidRDefault="00A32143">
            <w:pPr>
              <w:rPr>
                <w:rFonts w:ascii="Times New Roman" w:hAnsi="Times New Roman" w:cs="Times New Roman"/>
                <w:bCs/>
              </w:rPr>
            </w:pPr>
            <w:r>
              <w:rPr>
                <w:rFonts w:ascii="Times New Roman" w:hAnsi="Times New Roman" w:cs="Times New Roman"/>
                <w:bCs/>
                <w:lang w:val="en-US"/>
              </w:rPr>
              <w:t>0.866</w:t>
            </w:r>
          </w:p>
        </w:tc>
        <w:tc>
          <w:tcPr>
            <w:tcW w:w="923" w:type="dxa"/>
            <w:tcBorders>
              <w:top w:val="nil"/>
              <w:left w:val="nil"/>
              <w:bottom w:val="nil"/>
              <w:right w:val="nil"/>
            </w:tcBorders>
          </w:tcPr>
          <w:p w14:paraId="1121754C"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4B9D8D85"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764B07E5" w14:textId="77777777" w:rsidR="005E68D4" w:rsidRDefault="00A32143">
            <w:pPr>
              <w:rPr>
                <w:rFonts w:ascii="Times New Roman" w:hAnsi="Times New Roman" w:cs="Times New Roman"/>
                <w:bCs/>
              </w:rPr>
            </w:pPr>
            <w:r>
              <w:rPr>
                <w:rFonts w:ascii="Times New Roman" w:hAnsi="Times New Roman" w:cs="Times New Roman"/>
                <w:bCs/>
                <w:lang w:val="en-US"/>
              </w:rPr>
              <w:t>0.0577</w:t>
            </w:r>
          </w:p>
        </w:tc>
      </w:tr>
      <w:tr w:rsidR="005E68D4" w14:paraId="33334AC0" w14:textId="77777777">
        <w:tc>
          <w:tcPr>
            <w:tcW w:w="1709" w:type="dxa"/>
            <w:tcBorders>
              <w:top w:val="nil"/>
              <w:left w:val="nil"/>
              <w:bottom w:val="nil"/>
              <w:right w:val="nil"/>
            </w:tcBorders>
          </w:tcPr>
          <w:p w14:paraId="002C3772" w14:textId="77777777" w:rsidR="005E68D4" w:rsidRDefault="00A32143">
            <w:pPr>
              <w:rPr>
                <w:rFonts w:ascii="Times New Roman" w:hAnsi="Times New Roman" w:cs="Times New Roman"/>
                <w:bCs/>
              </w:rPr>
            </w:pPr>
            <w:r>
              <w:rPr>
                <w:rFonts w:ascii="Times New Roman" w:hAnsi="Times New Roman" w:cs="Times New Roman"/>
                <w:bCs/>
                <w:lang w:val="en-US"/>
              </w:rPr>
              <w:t>Soil Compaction</w:t>
            </w:r>
          </w:p>
        </w:tc>
        <w:tc>
          <w:tcPr>
            <w:tcW w:w="1137" w:type="dxa"/>
            <w:tcBorders>
              <w:top w:val="nil"/>
              <w:left w:val="nil"/>
              <w:bottom w:val="nil"/>
              <w:right w:val="nil"/>
            </w:tcBorders>
          </w:tcPr>
          <w:p w14:paraId="3B57B3A2" w14:textId="77777777" w:rsidR="005E68D4" w:rsidRDefault="00A32143">
            <w:pPr>
              <w:rPr>
                <w:rFonts w:ascii="Times New Roman" w:hAnsi="Times New Roman" w:cs="Times New Roman"/>
                <w:bCs/>
              </w:rPr>
            </w:pPr>
            <w:r>
              <w:rPr>
                <w:rFonts w:ascii="Times New Roman" w:hAnsi="Times New Roman" w:cs="Times New Roman"/>
                <w:bCs/>
                <w:lang w:val="en-US"/>
              </w:rPr>
              <w:t xml:space="preserve">Less is better </w:t>
            </w:r>
          </w:p>
        </w:tc>
        <w:tc>
          <w:tcPr>
            <w:tcW w:w="777" w:type="dxa"/>
            <w:tcBorders>
              <w:top w:val="nil"/>
              <w:left w:val="nil"/>
              <w:bottom w:val="nil"/>
              <w:right w:val="nil"/>
            </w:tcBorders>
          </w:tcPr>
          <w:p w14:paraId="2E930F91" w14:textId="77777777" w:rsidR="005E68D4" w:rsidRDefault="00A32143">
            <w:pPr>
              <w:rPr>
                <w:rFonts w:ascii="Times New Roman" w:hAnsi="Times New Roman" w:cs="Times New Roman"/>
                <w:bCs/>
              </w:rPr>
            </w:pPr>
            <w:r>
              <w:rPr>
                <w:rFonts w:ascii="Times New Roman" w:hAnsi="Times New Roman" w:cs="Times New Roman"/>
                <w:bCs/>
                <w:lang w:val="en-US"/>
              </w:rPr>
              <w:t>45.8</w:t>
            </w:r>
          </w:p>
        </w:tc>
        <w:tc>
          <w:tcPr>
            <w:tcW w:w="777" w:type="dxa"/>
            <w:tcBorders>
              <w:top w:val="nil"/>
              <w:left w:val="nil"/>
              <w:bottom w:val="nil"/>
              <w:right w:val="nil"/>
            </w:tcBorders>
          </w:tcPr>
          <w:p w14:paraId="5AC8FB00" w14:textId="77777777" w:rsidR="005E68D4" w:rsidRDefault="00A32143">
            <w:pPr>
              <w:rPr>
                <w:rFonts w:ascii="Times New Roman" w:hAnsi="Times New Roman" w:cs="Times New Roman"/>
                <w:bCs/>
              </w:rPr>
            </w:pPr>
            <w:r>
              <w:rPr>
                <w:rFonts w:ascii="Times New Roman" w:hAnsi="Times New Roman" w:cs="Times New Roman"/>
                <w:bCs/>
                <w:lang w:val="en-US"/>
              </w:rPr>
              <w:t>12.1</w:t>
            </w:r>
          </w:p>
        </w:tc>
        <w:tc>
          <w:tcPr>
            <w:tcW w:w="777" w:type="dxa"/>
            <w:tcBorders>
              <w:top w:val="nil"/>
              <w:left w:val="nil"/>
              <w:bottom w:val="nil"/>
              <w:right w:val="nil"/>
            </w:tcBorders>
          </w:tcPr>
          <w:p w14:paraId="6B521A38" w14:textId="77777777" w:rsidR="005E68D4" w:rsidRDefault="00A32143">
            <w:pPr>
              <w:rPr>
                <w:rFonts w:ascii="Times New Roman" w:hAnsi="Times New Roman" w:cs="Times New Roman"/>
                <w:bCs/>
              </w:rPr>
            </w:pPr>
            <w:r>
              <w:rPr>
                <w:rFonts w:ascii="Times New Roman" w:hAnsi="Times New Roman" w:cs="Times New Roman"/>
                <w:bCs/>
                <w:lang w:val="en-US"/>
              </w:rPr>
              <w:t>0.264</w:t>
            </w:r>
          </w:p>
        </w:tc>
        <w:tc>
          <w:tcPr>
            <w:tcW w:w="778" w:type="dxa"/>
            <w:tcBorders>
              <w:top w:val="nil"/>
              <w:left w:val="nil"/>
              <w:bottom w:val="nil"/>
              <w:right w:val="nil"/>
            </w:tcBorders>
          </w:tcPr>
          <w:p w14:paraId="47C4D3C6"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923" w:type="dxa"/>
            <w:tcBorders>
              <w:top w:val="nil"/>
              <w:left w:val="nil"/>
              <w:bottom w:val="nil"/>
              <w:right w:val="nil"/>
            </w:tcBorders>
          </w:tcPr>
          <w:p w14:paraId="64FD2F77"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6012CE95" w14:textId="77777777" w:rsidR="005E68D4" w:rsidRDefault="00A32143">
            <w:pPr>
              <w:rPr>
                <w:rFonts w:ascii="Times New Roman" w:hAnsi="Times New Roman" w:cs="Times New Roman"/>
                <w:bCs/>
              </w:rPr>
            </w:pPr>
            <w:r>
              <w:rPr>
                <w:rFonts w:ascii="Times New Roman" w:hAnsi="Times New Roman" w:cs="Times New Roman"/>
                <w:bCs/>
                <w:lang w:val="en-US"/>
              </w:rPr>
              <w:t>0.0176</w:t>
            </w:r>
          </w:p>
        </w:tc>
        <w:tc>
          <w:tcPr>
            <w:tcW w:w="1236" w:type="dxa"/>
            <w:tcBorders>
              <w:top w:val="nil"/>
              <w:left w:val="nil"/>
              <w:bottom w:val="nil"/>
              <w:right w:val="nil"/>
            </w:tcBorders>
          </w:tcPr>
          <w:p w14:paraId="4C8C089D" w14:textId="77777777" w:rsidR="005E68D4" w:rsidRDefault="00A32143">
            <w:pPr>
              <w:rPr>
                <w:rFonts w:ascii="Times New Roman" w:hAnsi="Times New Roman" w:cs="Times New Roman"/>
                <w:bCs/>
              </w:rPr>
            </w:pPr>
            <w:r>
              <w:rPr>
                <w:rFonts w:ascii="Times New Roman" w:hAnsi="Times New Roman" w:cs="Times New Roman"/>
                <w:bCs/>
                <w:lang w:val="en-US"/>
              </w:rPr>
              <w:t>0.0666</w:t>
            </w:r>
          </w:p>
        </w:tc>
      </w:tr>
      <w:tr w:rsidR="005E68D4" w14:paraId="43DC7FDD" w14:textId="77777777">
        <w:tc>
          <w:tcPr>
            <w:tcW w:w="1709" w:type="dxa"/>
            <w:tcBorders>
              <w:top w:val="nil"/>
              <w:left w:val="nil"/>
              <w:bottom w:val="nil"/>
              <w:right w:val="nil"/>
            </w:tcBorders>
          </w:tcPr>
          <w:p w14:paraId="51C767D0" w14:textId="77777777" w:rsidR="005E68D4" w:rsidRDefault="00A32143">
            <w:pPr>
              <w:rPr>
                <w:rFonts w:ascii="Times New Roman" w:hAnsi="Times New Roman" w:cs="Times New Roman"/>
                <w:bCs/>
              </w:rPr>
            </w:pPr>
            <w:r>
              <w:rPr>
                <w:rFonts w:ascii="Times New Roman" w:hAnsi="Times New Roman" w:cs="Times New Roman"/>
                <w:bCs/>
                <w:lang w:val="en-US"/>
              </w:rPr>
              <w:t>CEC</w:t>
            </w:r>
          </w:p>
        </w:tc>
        <w:tc>
          <w:tcPr>
            <w:tcW w:w="1137" w:type="dxa"/>
            <w:tcBorders>
              <w:top w:val="nil"/>
              <w:left w:val="nil"/>
              <w:bottom w:val="nil"/>
              <w:right w:val="nil"/>
            </w:tcBorders>
          </w:tcPr>
          <w:p w14:paraId="69E67C03" w14:textId="77777777" w:rsidR="005E68D4" w:rsidRDefault="00A32143">
            <w:pPr>
              <w:rPr>
                <w:rFonts w:ascii="Times New Roman" w:hAnsi="Times New Roman" w:cs="Times New Roman"/>
                <w:bCs/>
              </w:rPr>
            </w:pPr>
            <w:r>
              <w:rPr>
                <w:rFonts w:ascii="Times New Roman" w:hAnsi="Times New Roman" w:cs="Times New Roman"/>
                <w:bCs/>
                <w:lang w:val="en-US"/>
              </w:rPr>
              <w:t xml:space="preserve">More is better </w:t>
            </w:r>
          </w:p>
        </w:tc>
        <w:tc>
          <w:tcPr>
            <w:tcW w:w="777" w:type="dxa"/>
            <w:tcBorders>
              <w:top w:val="nil"/>
              <w:left w:val="nil"/>
              <w:bottom w:val="nil"/>
              <w:right w:val="nil"/>
            </w:tcBorders>
          </w:tcPr>
          <w:p w14:paraId="4A307D0B" w14:textId="77777777" w:rsidR="005E68D4" w:rsidRDefault="00A32143">
            <w:pPr>
              <w:rPr>
                <w:rFonts w:ascii="Times New Roman" w:hAnsi="Times New Roman" w:cs="Times New Roman"/>
                <w:bCs/>
              </w:rPr>
            </w:pPr>
            <w:r>
              <w:rPr>
                <w:rFonts w:ascii="Times New Roman" w:hAnsi="Times New Roman" w:cs="Times New Roman"/>
                <w:bCs/>
                <w:lang w:val="en-US"/>
              </w:rPr>
              <w:t>18.5</w:t>
            </w:r>
          </w:p>
        </w:tc>
        <w:tc>
          <w:tcPr>
            <w:tcW w:w="777" w:type="dxa"/>
            <w:tcBorders>
              <w:top w:val="nil"/>
              <w:left w:val="nil"/>
              <w:bottom w:val="nil"/>
              <w:right w:val="nil"/>
            </w:tcBorders>
          </w:tcPr>
          <w:p w14:paraId="4139F5CC" w14:textId="77777777" w:rsidR="005E68D4" w:rsidRDefault="00A32143">
            <w:pPr>
              <w:rPr>
                <w:rFonts w:ascii="Times New Roman" w:hAnsi="Times New Roman" w:cs="Times New Roman"/>
                <w:bCs/>
              </w:rPr>
            </w:pPr>
            <w:r>
              <w:rPr>
                <w:rFonts w:ascii="Times New Roman" w:hAnsi="Times New Roman" w:cs="Times New Roman"/>
                <w:bCs/>
                <w:lang w:val="en-US"/>
              </w:rPr>
              <w:t>5.1</w:t>
            </w:r>
          </w:p>
        </w:tc>
        <w:tc>
          <w:tcPr>
            <w:tcW w:w="777" w:type="dxa"/>
            <w:tcBorders>
              <w:top w:val="nil"/>
              <w:left w:val="nil"/>
              <w:bottom w:val="nil"/>
              <w:right w:val="nil"/>
            </w:tcBorders>
          </w:tcPr>
          <w:p w14:paraId="6797750A" w14:textId="77777777" w:rsidR="005E68D4" w:rsidRDefault="00A32143">
            <w:pPr>
              <w:rPr>
                <w:rFonts w:ascii="Times New Roman" w:hAnsi="Times New Roman" w:cs="Times New Roman"/>
                <w:bCs/>
              </w:rPr>
            </w:pPr>
            <w:r>
              <w:rPr>
                <w:rFonts w:ascii="Times New Roman" w:hAnsi="Times New Roman" w:cs="Times New Roman"/>
                <w:bCs/>
                <w:lang w:val="en-US"/>
              </w:rPr>
              <w:t>1</w:t>
            </w:r>
          </w:p>
        </w:tc>
        <w:tc>
          <w:tcPr>
            <w:tcW w:w="778" w:type="dxa"/>
            <w:tcBorders>
              <w:top w:val="nil"/>
              <w:left w:val="nil"/>
              <w:bottom w:val="nil"/>
              <w:right w:val="nil"/>
            </w:tcBorders>
          </w:tcPr>
          <w:p w14:paraId="3871E9FC" w14:textId="77777777" w:rsidR="005E68D4" w:rsidRDefault="00A32143">
            <w:pPr>
              <w:rPr>
                <w:rFonts w:ascii="Times New Roman" w:hAnsi="Times New Roman" w:cs="Times New Roman"/>
                <w:bCs/>
              </w:rPr>
            </w:pPr>
            <w:r>
              <w:rPr>
                <w:rFonts w:ascii="Times New Roman" w:hAnsi="Times New Roman" w:cs="Times New Roman"/>
                <w:bCs/>
                <w:lang w:val="en-US"/>
              </w:rPr>
              <w:t>0.276</w:t>
            </w:r>
          </w:p>
        </w:tc>
        <w:tc>
          <w:tcPr>
            <w:tcW w:w="923" w:type="dxa"/>
            <w:tcBorders>
              <w:top w:val="nil"/>
              <w:left w:val="nil"/>
              <w:bottom w:val="nil"/>
              <w:right w:val="nil"/>
            </w:tcBorders>
          </w:tcPr>
          <w:p w14:paraId="052A2ADD" w14:textId="77777777" w:rsidR="005E68D4" w:rsidRDefault="00A32143">
            <w:pPr>
              <w:rPr>
                <w:rFonts w:ascii="Times New Roman" w:hAnsi="Times New Roman" w:cs="Times New Roman"/>
                <w:bCs/>
              </w:rPr>
            </w:pPr>
            <w:r>
              <w:rPr>
                <w:rFonts w:ascii="Times New Roman" w:hAnsi="Times New Roman" w:cs="Times New Roman"/>
                <w:bCs/>
                <w:lang w:val="en-US"/>
              </w:rPr>
              <w:t>0.066</w:t>
            </w:r>
          </w:p>
        </w:tc>
        <w:tc>
          <w:tcPr>
            <w:tcW w:w="1236" w:type="dxa"/>
            <w:tcBorders>
              <w:top w:val="nil"/>
              <w:left w:val="nil"/>
              <w:bottom w:val="nil"/>
              <w:right w:val="nil"/>
            </w:tcBorders>
          </w:tcPr>
          <w:p w14:paraId="3DBB0A3F" w14:textId="77777777" w:rsidR="005E68D4" w:rsidRDefault="00A32143">
            <w:pPr>
              <w:rPr>
                <w:rFonts w:ascii="Times New Roman" w:hAnsi="Times New Roman" w:cs="Times New Roman"/>
                <w:bCs/>
              </w:rPr>
            </w:pPr>
            <w:r>
              <w:rPr>
                <w:rFonts w:ascii="Times New Roman" w:hAnsi="Times New Roman" w:cs="Times New Roman"/>
                <w:bCs/>
                <w:lang w:val="en-US"/>
              </w:rPr>
              <w:t>0.0666</w:t>
            </w:r>
          </w:p>
        </w:tc>
        <w:tc>
          <w:tcPr>
            <w:tcW w:w="1236" w:type="dxa"/>
            <w:tcBorders>
              <w:top w:val="nil"/>
              <w:left w:val="nil"/>
              <w:bottom w:val="nil"/>
              <w:right w:val="nil"/>
            </w:tcBorders>
          </w:tcPr>
          <w:p w14:paraId="4B84E1F0" w14:textId="77777777" w:rsidR="005E68D4" w:rsidRDefault="00A32143">
            <w:pPr>
              <w:rPr>
                <w:rFonts w:ascii="Times New Roman" w:hAnsi="Times New Roman" w:cs="Times New Roman"/>
                <w:bCs/>
              </w:rPr>
            </w:pPr>
            <w:r>
              <w:rPr>
                <w:rFonts w:ascii="Times New Roman" w:hAnsi="Times New Roman" w:cs="Times New Roman"/>
                <w:bCs/>
                <w:lang w:val="en-US"/>
              </w:rPr>
              <w:t>0.0184</w:t>
            </w:r>
          </w:p>
        </w:tc>
      </w:tr>
      <w:tr w:rsidR="005E68D4" w14:paraId="703C6A3F" w14:textId="77777777">
        <w:tc>
          <w:tcPr>
            <w:tcW w:w="1709" w:type="dxa"/>
            <w:tcBorders>
              <w:top w:val="nil"/>
              <w:left w:val="nil"/>
              <w:bottom w:val="nil"/>
              <w:right w:val="nil"/>
            </w:tcBorders>
          </w:tcPr>
          <w:p w14:paraId="7D222CA7" w14:textId="77777777" w:rsidR="005E68D4" w:rsidRDefault="00A32143">
            <w:pPr>
              <w:pBdr>
                <w:bottom w:val="single" w:sz="4" w:space="0" w:color="auto"/>
              </w:pBdr>
              <w:rPr>
                <w:rFonts w:ascii="Times New Roman" w:hAnsi="Times New Roman" w:cs="Times New Roman"/>
                <w:b/>
                <w:bCs/>
              </w:rPr>
            </w:pPr>
            <w:r>
              <w:rPr>
                <w:rFonts w:ascii="Times New Roman" w:hAnsi="Times New Roman" w:cs="Times New Roman"/>
                <w:b/>
                <w:bCs/>
                <w:lang w:val="en-US"/>
              </w:rPr>
              <w:t>TOTAL SQI</w:t>
            </w:r>
          </w:p>
        </w:tc>
        <w:tc>
          <w:tcPr>
            <w:tcW w:w="1137" w:type="dxa"/>
            <w:tcBorders>
              <w:top w:val="nil"/>
              <w:left w:val="nil"/>
              <w:bottom w:val="nil"/>
              <w:right w:val="nil"/>
            </w:tcBorders>
          </w:tcPr>
          <w:p w14:paraId="23180E09" w14:textId="77777777" w:rsidR="005E68D4" w:rsidRDefault="005E68D4">
            <w:pPr>
              <w:pBdr>
                <w:bottom w:val="single" w:sz="4" w:space="0" w:color="auto"/>
              </w:pBdr>
              <w:rPr>
                <w:rFonts w:ascii="Times New Roman" w:hAnsi="Times New Roman" w:cs="Times New Roman"/>
                <w:b/>
                <w:bCs/>
              </w:rPr>
            </w:pPr>
          </w:p>
        </w:tc>
        <w:tc>
          <w:tcPr>
            <w:tcW w:w="777" w:type="dxa"/>
            <w:tcBorders>
              <w:top w:val="nil"/>
              <w:left w:val="nil"/>
              <w:bottom w:val="nil"/>
              <w:right w:val="nil"/>
            </w:tcBorders>
          </w:tcPr>
          <w:p w14:paraId="6CDF4369" w14:textId="77777777" w:rsidR="005E68D4" w:rsidRDefault="005E68D4">
            <w:pPr>
              <w:pBdr>
                <w:bottom w:val="single" w:sz="4" w:space="0" w:color="auto"/>
              </w:pBdr>
              <w:rPr>
                <w:rFonts w:ascii="Times New Roman" w:hAnsi="Times New Roman" w:cs="Times New Roman"/>
                <w:b/>
                <w:bCs/>
              </w:rPr>
            </w:pPr>
          </w:p>
        </w:tc>
        <w:tc>
          <w:tcPr>
            <w:tcW w:w="777" w:type="dxa"/>
            <w:tcBorders>
              <w:top w:val="nil"/>
              <w:left w:val="nil"/>
              <w:bottom w:val="nil"/>
              <w:right w:val="nil"/>
            </w:tcBorders>
          </w:tcPr>
          <w:p w14:paraId="4C2A12AC" w14:textId="77777777" w:rsidR="005E68D4" w:rsidRDefault="005E68D4">
            <w:pPr>
              <w:pBdr>
                <w:bottom w:val="single" w:sz="4" w:space="0" w:color="auto"/>
              </w:pBdr>
              <w:rPr>
                <w:rFonts w:ascii="Times New Roman" w:hAnsi="Times New Roman" w:cs="Times New Roman"/>
                <w:b/>
                <w:bCs/>
              </w:rPr>
            </w:pPr>
          </w:p>
        </w:tc>
        <w:tc>
          <w:tcPr>
            <w:tcW w:w="777" w:type="dxa"/>
            <w:tcBorders>
              <w:top w:val="nil"/>
              <w:left w:val="nil"/>
              <w:bottom w:val="nil"/>
              <w:right w:val="nil"/>
            </w:tcBorders>
          </w:tcPr>
          <w:p w14:paraId="051B3052" w14:textId="77777777" w:rsidR="005E68D4" w:rsidRDefault="005E68D4">
            <w:pPr>
              <w:pBdr>
                <w:bottom w:val="single" w:sz="4" w:space="0" w:color="auto"/>
              </w:pBdr>
              <w:rPr>
                <w:rFonts w:ascii="Times New Roman" w:hAnsi="Times New Roman" w:cs="Times New Roman"/>
                <w:b/>
                <w:bCs/>
              </w:rPr>
            </w:pPr>
          </w:p>
        </w:tc>
        <w:tc>
          <w:tcPr>
            <w:tcW w:w="778" w:type="dxa"/>
            <w:tcBorders>
              <w:top w:val="nil"/>
              <w:left w:val="nil"/>
              <w:bottom w:val="nil"/>
              <w:right w:val="nil"/>
            </w:tcBorders>
          </w:tcPr>
          <w:p w14:paraId="7F197979" w14:textId="77777777" w:rsidR="005E68D4" w:rsidRDefault="005E68D4">
            <w:pPr>
              <w:pBdr>
                <w:bottom w:val="single" w:sz="4" w:space="0" w:color="auto"/>
              </w:pBdr>
              <w:rPr>
                <w:rFonts w:ascii="Times New Roman" w:hAnsi="Times New Roman" w:cs="Times New Roman"/>
                <w:b/>
                <w:bCs/>
              </w:rPr>
            </w:pPr>
          </w:p>
        </w:tc>
        <w:tc>
          <w:tcPr>
            <w:tcW w:w="923" w:type="dxa"/>
            <w:tcBorders>
              <w:top w:val="nil"/>
              <w:left w:val="nil"/>
              <w:bottom w:val="nil"/>
              <w:right w:val="nil"/>
            </w:tcBorders>
          </w:tcPr>
          <w:p w14:paraId="0F56264C" w14:textId="77777777" w:rsidR="005E68D4" w:rsidRDefault="005E68D4">
            <w:pPr>
              <w:pBdr>
                <w:bottom w:val="single" w:sz="4" w:space="0" w:color="auto"/>
              </w:pBdr>
              <w:rPr>
                <w:rFonts w:ascii="Times New Roman" w:hAnsi="Times New Roman" w:cs="Times New Roman"/>
                <w:b/>
                <w:bCs/>
              </w:rPr>
            </w:pPr>
          </w:p>
        </w:tc>
        <w:tc>
          <w:tcPr>
            <w:tcW w:w="1236" w:type="dxa"/>
            <w:tcBorders>
              <w:top w:val="nil"/>
              <w:left w:val="nil"/>
              <w:bottom w:val="nil"/>
              <w:right w:val="nil"/>
            </w:tcBorders>
          </w:tcPr>
          <w:p w14:paraId="7707F784" w14:textId="77777777" w:rsidR="005E68D4" w:rsidRDefault="00A32143">
            <w:pPr>
              <w:pBdr>
                <w:bottom w:val="single" w:sz="4" w:space="0" w:color="auto"/>
              </w:pBdr>
              <w:rPr>
                <w:rFonts w:ascii="Times New Roman" w:hAnsi="Times New Roman" w:cs="Times New Roman"/>
                <w:b/>
                <w:bCs/>
              </w:rPr>
            </w:pPr>
            <w:r>
              <w:rPr>
                <w:rFonts w:ascii="Times New Roman" w:hAnsi="Times New Roman" w:cs="Times New Roman"/>
                <w:b/>
                <w:bCs/>
                <w:lang w:val="en-US"/>
              </w:rPr>
              <w:t>0.6368</w:t>
            </w:r>
          </w:p>
        </w:tc>
        <w:tc>
          <w:tcPr>
            <w:tcW w:w="1236" w:type="dxa"/>
            <w:tcBorders>
              <w:top w:val="nil"/>
              <w:left w:val="nil"/>
              <w:bottom w:val="nil"/>
              <w:right w:val="nil"/>
            </w:tcBorders>
          </w:tcPr>
          <w:p w14:paraId="07AF6EDB" w14:textId="77777777" w:rsidR="005E68D4" w:rsidRDefault="00A32143">
            <w:pPr>
              <w:pBdr>
                <w:bottom w:val="single" w:sz="4" w:space="0" w:color="auto"/>
              </w:pBdr>
              <w:rPr>
                <w:rFonts w:ascii="Times New Roman" w:hAnsi="Times New Roman" w:cs="Times New Roman"/>
                <w:b/>
                <w:bCs/>
              </w:rPr>
            </w:pPr>
            <w:r>
              <w:rPr>
                <w:rFonts w:ascii="Times New Roman" w:hAnsi="Times New Roman" w:cs="Times New Roman"/>
                <w:b/>
                <w:bCs/>
                <w:lang w:val="en-US"/>
              </w:rPr>
              <w:t>0.7906</w:t>
            </w:r>
          </w:p>
        </w:tc>
      </w:tr>
    </w:tbl>
    <w:p w14:paraId="58C4F6E9" w14:textId="77777777" w:rsidR="005E68D4" w:rsidRDefault="005E68D4">
      <w:pPr>
        <w:spacing w:line="480" w:lineRule="auto"/>
        <w:rPr>
          <w:rFonts w:ascii="Times New Roman" w:hAnsi="Times New Roman" w:cs="Times New Roman"/>
          <w:bCs/>
        </w:rPr>
      </w:pPr>
    </w:p>
    <w:p w14:paraId="17412496" w14:textId="77777777" w:rsidR="005E68D4" w:rsidRDefault="005E68D4">
      <w:pPr>
        <w:spacing w:line="480" w:lineRule="auto"/>
        <w:rPr>
          <w:rFonts w:ascii="Times New Roman" w:hAnsi="Times New Roman" w:cs="Times New Roman"/>
          <w:bCs/>
        </w:rPr>
      </w:pPr>
    </w:p>
    <w:p w14:paraId="39253D19" w14:textId="77777777" w:rsidR="005E68D4" w:rsidRDefault="00A32143">
      <w:pPr>
        <w:spacing w:line="480" w:lineRule="auto"/>
        <w:rPr>
          <w:rFonts w:ascii="Times New Roman" w:hAnsi="Times New Roman" w:cs="Times New Roman"/>
          <w:bCs/>
        </w:rPr>
      </w:pPr>
      <w:r>
        <w:rPr>
          <w:noProof/>
        </w:rPr>
        <w:drawing>
          <wp:inline distT="0" distB="0" distL="0" distR="0" wp14:anchorId="672FCE27" wp14:editId="30049D5D">
            <wp:extent cx="6045200" cy="3064510"/>
            <wp:effectExtent l="0" t="0" r="9526" b="9526"/>
            <wp:docPr id="195067499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A5C12B" w14:textId="5ACD9D88" w:rsidR="005E68D4" w:rsidRDefault="00A32143">
      <w:pPr>
        <w:spacing w:line="480" w:lineRule="auto"/>
        <w:rPr>
          <w:rFonts w:ascii="Times New Roman" w:hAnsi="Times New Roman" w:cs="Times New Roman"/>
          <w:bCs/>
        </w:rPr>
      </w:pPr>
      <w:r>
        <w:rPr>
          <w:rFonts w:ascii="Times New Roman" w:hAnsi="Times New Roman" w:cs="Times New Roman"/>
          <w:bCs/>
        </w:rPr>
        <w:t xml:space="preserve">Figure 6: concentration of </w:t>
      </w:r>
      <w:r>
        <w:rPr>
          <w:rFonts w:ascii="Times New Roman" w:hAnsi="Times New Roman" w:cs="Times New Roman"/>
        </w:rPr>
        <w:t>Soil Quality Index using scoring functions</w:t>
      </w:r>
      <w:r>
        <w:rPr>
          <w:rFonts w:ascii="Times New Roman" w:hAnsi="Times New Roman" w:cs="Times New Roman"/>
          <w:bCs/>
        </w:rPr>
        <w:t xml:space="preserve"> activities in URS and RS sample from K-Dere, Ogoni</w:t>
      </w:r>
    </w:p>
    <w:p w14:paraId="45F08DB3" w14:textId="77777777" w:rsidR="005E68D4" w:rsidRDefault="005E68D4">
      <w:pPr>
        <w:spacing w:line="480" w:lineRule="auto"/>
        <w:rPr>
          <w:rFonts w:ascii="Times New Roman" w:hAnsi="Times New Roman" w:cs="Times New Roman"/>
          <w:bCs/>
        </w:rPr>
      </w:pPr>
    </w:p>
    <w:p w14:paraId="3878E844" w14:textId="77777777" w:rsidR="005E68D4" w:rsidRDefault="005E68D4">
      <w:pPr>
        <w:spacing w:line="480" w:lineRule="auto"/>
        <w:rPr>
          <w:rFonts w:ascii="Times New Roman" w:hAnsi="Times New Roman" w:cs="Times New Roman"/>
          <w:bCs/>
        </w:rPr>
      </w:pPr>
    </w:p>
    <w:p w14:paraId="1173432F" w14:textId="77777777" w:rsidR="005E68D4" w:rsidRDefault="005E68D4">
      <w:pPr>
        <w:spacing w:line="480" w:lineRule="auto"/>
        <w:rPr>
          <w:rFonts w:ascii="Times New Roman" w:hAnsi="Times New Roman" w:cs="Times New Roman"/>
          <w:bCs/>
        </w:rPr>
      </w:pPr>
    </w:p>
    <w:p w14:paraId="0DE52AAF" w14:textId="77777777" w:rsidR="005E68D4" w:rsidRDefault="005E68D4">
      <w:pPr>
        <w:spacing w:line="480" w:lineRule="auto"/>
        <w:rPr>
          <w:rFonts w:ascii="Times New Roman" w:hAnsi="Times New Roman" w:cs="Times New Roman"/>
          <w:bCs/>
        </w:rPr>
      </w:pPr>
    </w:p>
    <w:p w14:paraId="2BA32F6D" w14:textId="77777777" w:rsidR="005E68D4" w:rsidRDefault="00A32143">
      <w:pPr>
        <w:spacing w:line="480" w:lineRule="auto"/>
        <w:jc w:val="both"/>
        <w:rPr>
          <w:rFonts w:ascii="Times New Roman" w:hAnsi="Times New Roman" w:cs="Times New Roman"/>
          <w:b/>
          <w:bCs/>
        </w:rPr>
      </w:pPr>
      <w:r>
        <w:rPr>
          <w:rFonts w:ascii="Times New Roman" w:hAnsi="Times New Roman" w:cs="Times New Roman"/>
          <w:b/>
          <w:bCs/>
        </w:rPr>
        <w:lastRenderedPageBreak/>
        <w:t xml:space="preserve">4.0      Discussion           </w:t>
      </w:r>
    </w:p>
    <w:p w14:paraId="2E5F36C0" w14:textId="77777777" w:rsidR="005E68D4" w:rsidRDefault="00A32143">
      <w:pPr>
        <w:spacing w:line="360" w:lineRule="auto"/>
        <w:jc w:val="both"/>
        <w:rPr>
          <w:rFonts w:ascii="Times New Roman" w:hAnsi="Times New Roman" w:cs="Times New Roman"/>
          <w:b/>
          <w:bCs/>
          <w:i/>
          <w:iCs/>
          <w:lang w:val="en-US"/>
        </w:rPr>
      </w:pPr>
      <w:r>
        <w:rPr>
          <w:rFonts w:ascii="Times New Roman" w:hAnsi="Times New Roman" w:cs="Times New Roman"/>
          <w:b/>
          <w:bCs/>
          <w:i/>
          <w:iCs/>
          <w:lang w:val="en-US"/>
        </w:rPr>
        <w:t>Physicochemical properties of RS and URS</w:t>
      </w:r>
    </w:p>
    <w:p w14:paraId="15C42889"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The post-remediation assessment of soils from K-Dere revealed clear numerical variations between remediated soil (RS) and unremediated soil (URS), as presented in Tables 1, 2, and 3 indicating that remediation activities significantly influenced soil chemical, physical, and biological properties.</w:t>
      </w:r>
      <w:r>
        <w:rPr>
          <w:rFonts w:ascii="Times New Roman" w:hAnsi="Times New Roman" w:cs="Times New Roman"/>
        </w:rPr>
        <w:t xml:space="preserve"> </w:t>
      </w:r>
      <w:r>
        <w:rPr>
          <w:rFonts w:ascii="Times New Roman" w:hAnsi="Times New Roman" w:cs="Times New Roman"/>
          <w:lang w:val="en-US"/>
        </w:rPr>
        <w:t xml:space="preserve">From the results in Table 2, total organic carbon (TOC) declined from 2.10% in the unremediated soil (URS) to 0.55% in the remediated soil (RS) (74.0% reduction). This level of TOC reduction is comparable to the 71–78% decreases reported by Bessong et al. (2023) and </w:t>
      </w:r>
      <w:r>
        <w:rPr>
          <w:rFonts w:ascii="Times New Roman" w:hAnsi="Times New Roman" w:cs="Times New Roman"/>
        </w:rPr>
        <w:t>Sang</w:t>
      </w:r>
      <w:r>
        <w:rPr>
          <w:rFonts w:ascii="Times New Roman" w:hAnsi="Times New Roman" w:cs="Times New Roman"/>
          <w:lang w:val="en-US"/>
        </w:rPr>
        <w:t xml:space="preserve"> et al. (2020) following active remediation of hydrocarbon-impacted soils using organic amendments. Similar reductions were also reported by </w:t>
      </w:r>
      <w:r>
        <w:rPr>
          <w:rFonts w:ascii="Times New Roman" w:hAnsi="Times New Roman" w:cs="Times New Roman"/>
        </w:rPr>
        <w:t>Michael-Igolima</w:t>
      </w:r>
      <w:r>
        <w:rPr>
          <w:rFonts w:ascii="Times New Roman" w:hAnsi="Times New Roman" w:cs="Times New Roman"/>
          <w:lang w:val="en-US"/>
        </w:rPr>
        <w:t xml:space="preserve"> et al. (2022), who attributed TOC decline to enhanced mineralization and removal of petroleum-derived carbon during remediation. The observed reduction therefore indicates effective contaminant removal rather than nutrient depletion.</w:t>
      </w:r>
    </w:p>
    <w:p w14:paraId="2153DFDF"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 xml:space="preserve">Total organic nitrogen (TON), however, increased from 0.20% in URS to 0.40% in RS (100% increase) as shown in Table 2. This trend aligns fairly with findings by </w:t>
      </w:r>
      <w:r>
        <w:rPr>
          <w:rFonts w:ascii="Times New Roman" w:hAnsi="Times New Roman" w:cs="Times New Roman"/>
        </w:rPr>
        <w:t>Sang</w:t>
      </w:r>
      <w:r>
        <w:rPr>
          <w:rFonts w:ascii="Times New Roman" w:hAnsi="Times New Roman" w:cs="Times New Roman"/>
          <w:lang w:val="en-US"/>
        </w:rPr>
        <w:t xml:space="preserve"> et al. (2020) and </w:t>
      </w:r>
      <w:r>
        <w:rPr>
          <w:rFonts w:ascii="Times New Roman" w:hAnsi="Times New Roman" w:cs="Times New Roman"/>
        </w:rPr>
        <w:t>Elgazali</w:t>
      </w:r>
      <w:r>
        <w:rPr>
          <w:rFonts w:ascii="Times New Roman" w:hAnsi="Times New Roman" w:cs="Times New Roman"/>
          <w:lang w:val="en-US"/>
        </w:rPr>
        <w:t xml:space="preserve"> et al. (2023), who reported nitrogen increases ranging from 60–120% following soil remediation, attributed to microbial nitrogen fixation and improved nitrogen cycling. The increase observed in this study suggests partial restoration of soil fertility despite carbon loss.</w:t>
      </w:r>
    </w:p>
    <w:p w14:paraId="29C02828" w14:textId="77777777" w:rsidR="005E68D4" w:rsidRDefault="00A32143">
      <w:pPr>
        <w:spacing w:line="360" w:lineRule="auto"/>
        <w:jc w:val="both"/>
        <w:rPr>
          <w:rFonts w:ascii="Times New Roman" w:hAnsi="Times New Roman" w:cs="Times New Roman"/>
        </w:rPr>
      </w:pPr>
      <w:r>
        <w:rPr>
          <w:rFonts w:ascii="Times New Roman" w:hAnsi="Times New Roman" w:cs="Times New Roman"/>
          <w:lang w:val="en-US"/>
        </w:rPr>
        <w:t xml:space="preserve">Inorganic nutrient availability also improved markedly after remediation. Sulphate concentration increased from 56.98 mg/kg in URS to 66.3 mg/kg in RS (16.4% increase), nitrate from 4.6 mg/kg to 10.7 mg/kg (132.6% increase), and phosphate from 5.88 mg/kg to 23.4 mg/kg (298.0% increase), as presented in Table 2. Comparable phosphate increases of 200–350% have been reported by Kumar et al. (2025) and </w:t>
      </w:r>
      <w:r>
        <w:rPr>
          <w:rFonts w:ascii="Times New Roman" w:hAnsi="Times New Roman" w:cs="Times New Roman"/>
        </w:rPr>
        <w:t>Huck</w:t>
      </w:r>
      <w:r>
        <w:rPr>
          <w:rFonts w:ascii="Times New Roman" w:hAnsi="Times New Roman" w:cs="Times New Roman"/>
          <w:lang w:val="en-US"/>
        </w:rPr>
        <w:t xml:space="preserve"> et al. (2014), who linked such improvements to increased mineralization and reduced hydrocarbon inhibition of phosphorus-solubilizing microbes. The pronounced nitrate increase further suggests enhanced nitrification processes post-remediation.</w:t>
      </w:r>
    </w:p>
    <w:p w14:paraId="4BD15E92"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Pr>
          <w:rFonts w:ascii="Times New Roman" w:hAnsi="Times New Roman" w:cs="Times New Roman"/>
          <w:lang w:val="en-US"/>
        </w:rPr>
        <w:t xml:space="preserve">Physical soil properties also reflected significant modification. Bulk density decreased from 7.59 g/cm³ in URS to 5.24 g/cm³ in RS (31.0% reduction), while water retention capacity increased from 0.375 to 0.433 (15.5% increase) as shown in Table 2. Contrary reductions in bulk density </w:t>
      </w:r>
      <w:r>
        <w:rPr>
          <w:rFonts w:ascii="Times New Roman" w:hAnsi="Times New Roman" w:cs="Times New Roman"/>
          <w:lang w:val="en-US"/>
        </w:rPr>
        <w:lastRenderedPageBreak/>
        <w:t xml:space="preserve">(12%) were documented by </w:t>
      </w:r>
      <w:r>
        <w:rPr>
          <w:rFonts w:ascii="Times New Roman" w:hAnsi="Times New Roman" w:cs="Times New Roman"/>
        </w:rPr>
        <w:t>Toková</w:t>
      </w:r>
      <w:r>
        <w:rPr>
          <w:rFonts w:ascii="Times New Roman" w:hAnsi="Times New Roman" w:cs="Times New Roman"/>
          <w:lang w:val="en-US"/>
        </w:rPr>
        <w:t xml:space="preserve"> et al. (2020) following soil rehabilitation, attributed to improved aggregation and pore distribution. The increase in cation exchange capacity from 5.1 cmol/kg to 18.5 cmol/kg (262.7% increase) further corroborates improved nutrient retention capacity, consistent with findings by </w:t>
      </w:r>
      <w:r>
        <w:rPr>
          <w:rFonts w:ascii="Times New Roman" w:hAnsi="Times New Roman" w:cs="Times New Roman"/>
        </w:rPr>
        <w:t>Zubairu</w:t>
      </w:r>
      <w:r>
        <w:rPr>
          <w:rFonts w:ascii="Times New Roman" w:hAnsi="Times New Roman" w:cs="Times New Roman"/>
          <w:lang w:val="en-US"/>
        </w:rPr>
        <w:t xml:space="preserve"> et al. (2023) who reported CEC increases exceeding 50% in remediated Nigeria soils. </w:t>
      </w:r>
    </w:p>
    <w:p w14:paraId="3A25F14A"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Pr>
          <w:rFonts w:ascii="Times New Roman" w:hAnsi="Times New Roman" w:cs="Times New Roman"/>
          <w:highlight w:val="white"/>
          <w:lang w:val="en-US"/>
        </w:rPr>
        <w:t>The sharp increase in soil compaction from 12.1$ to 45.8 is a major detrimental physical change in the RS.This is not merely a surface effect; high compaction combined with the loss of TOC creates a vicious cycle. Without organic matter to provide structural resilience and without microbes to create biological pores, the soil will remain compacted, further inhibiting the very biological recovery needed to improve it</w:t>
      </w:r>
      <w:r>
        <w:rPr>
          <w:rFonts w:ascii="Times New Roman" w:hAnsi="Times New Roman" w:cs="Times New Roman"/>
          <w:lang w:val="en-US"/>
        </w:rPr>
        <w:t xml:space="preserve"> (USDA-NRCS, 2019). Heavy duty motors such as caterpillars used for excavations, bulldozers, tipers, etc are common equipments used during the remediation process that could significantly contribute to the observed high soil (RS) compaction at the study area. High soil compaction has been attributed to restriction of roots, worms, aeration, and availability of nutrients. (USDA-NRCS, 2019). </w:t>
      </w:r>
    </w:p>
    <w:p w14:paraId="5CA66D16"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rPr>
          <w:rFonts w:ascii="Segoe UI"/>
          <w:color w:val="000000"/>
          <w:sz w:val="18"/>
          <w:lang w:val="en-US"/>
        </w:rPr>
      </w:pPr>
      <w:r>
        <w:rPr>
          <w:rFonts w:ascii="Times New Roman" w:hAnsi="Times New Roman" w:cs="Times New Roman"/>
          <w:color w:val="000000"/>
          <w:lang w:val="en-US"/>
        </w:rPr>
        <w:t xml:space="preserve"> </w:t>
      </w:r>
    </w:p>
    <w:p w14:paraId="77B3D096"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lang w:val="en-US"/>
        </w:rPr>
      </w:pPr>
    </w:p>
    <w:p w14:paraId="48560466"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rPr>
          <w:rFonts w:ascii="Times New Roman" w:hAnsi="Times New Roman" w:cs="Times New Roman"/>
          <w:lang w:val="en-US"/>
        </w:rPr>
      </w:pPr>
      <w:r>
        <w:rPr>
          <w:rFonts w:ascii="Times New Roman" w:hAnsi="Times New Roman" w:cs="Times New Roman"/>
          <w:b/>
          <w:bCs/>
          <w:i/>
          <w:iCs/>
          <w:color w:val="000000"/>
          <w:lang w:val="en-US"/>
        </w:rPr>
        <w:t>Soil microbial biomass</w:t>
      </w:r>
    </w:p>
    <w:p w14:paraId="26F3AB47"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Pr>
          <w:rFonts w:ascii="Times New Roman" w:hAnsi="Times New Roman" w:cs="Times New Roman"/>
          <w:lang w:val="en-US"/>
        </w:rPr>
        <w:t xml:space="preserve">Results presented in Table 1 indicate a total bacterial counts decrease from 4.0 × 10⁶ cfu/g in URS to 3.9 × 10⁵ cfu/g in RS (90.3% reduction), while fungal counts declined from 2.6 × 10⁶ cfu/g to 3.0 × 10⁵ cfu/g (88.5% reduction). Studies vital functions of </w:t>
      </w:r>
      <w:r>
        <w:rPr>
          <w:rFonts w:ascii="Times New Roman" w:hAnsi="Times New Roman" w:cs="Times New Roman"/>
          <w:color w:val="1F1F1F"/>
          <w:lang w:val="en-US"/>
        </w:rPr>
        <w:t xml:space="preserve">fungi in soil aggregation and the symbiotic acquisition of nutrients by plants </w:t>
      </w:r>
      <w:r>
        <w:rPr>
          <w:rFonts w:ascii="Times New Roman" w:hAnsi="Times New Roman" w:cs="Times New Roman"/>
          <w:color w:val="000000"/>
          <w:lang w:val="en-US"/>
        </w:rPr>
        <w:t xml:space="preserve">(Bogati et al., 2025). </w:t>
      </w:r>
      <w:r>
        <w:rPr>
          <w:rFonts w:ascii="Times New Roman" w:hAnsi="Times New Roman" w:cs="Times New Roman"/>
          <w:color w:val="1F1F1F"/>
          <w:lang w:val="en-US"/>
        </w:rPr>
        <w:t xml:space="preserve"> However, this significant</w:t>
      </w:r>
      <w:r>
        <w:rPr>
          <w:rFonts w:ascii="Times New Roman" w:hAnsi="Times New Roman" w:cs="Times New Roman"/>
          <w:lang w:val="en-US"/>
        </w:rPr>
        <w:t xml:space="preserve"> fungal population decline</w:t>
      </w:r>
      <w:r>
        <w:rPr>
          <w:rFonts w:ascii="Times New Roman" w:hAnsi="Times New Roman" w:cs="Times New Roman"/>
          <w:color w:val="1F1F1F"/>
          <w:lang w:val="en-US"/>
        </w:rPr>
        <w:t xml:space="preserve"> is known to impair soil's biological resilience and its ability to recover from future environmental stresses (</w:t>
      </w:r>
      <w:r>
        <w:rPr>
          <w:rFonts w:ascii="Times New Roman" w:hAnsi="Times New Roman" w:cs="Times New Roman"/>
          <w:color w:val="000000"/>
          <w:lang w:val="en-US"/>
        </w:rPr>
        <w:t>Melo et al., 2024).</w:t>
      </w:r>
    </w:p>
    <w:p w14:paraId="6CFE7DAF" w14:textId="77777777" w:rsidR="005E68D4" w:rsidRDefault="00A32143">
      <w:pPr>
        <w:spacing w:line="360" w:lineRule="auto"/>
        <w:jc w:val="both"/>
        <w:rPr>
          <w:rFonts w:ascii="Times New Roman" w:hAnsi="Times New Roman" w:cs="Times New Roman"/>
          <w:color w:val="000000"/>
          <w:lang w:val="en-US"/>
        </w:rPr>
      </w:pPr>
      <w:r>
        <w:rPr>
          <w:rFonts w:ascii="Times New Roman" w:hAnsi="Times New Roman" w:cs="Times New Roman"/>
          <w:lang w:val="en-US"/>
        </w:rPr>
        <w:t xml:space="preserve">Dehydrogenase activity reduced from 2.6 to 0.7 µg TPF g⁻¹ h⁻¹ (73.1% reduction), urease from 28.0 to 7.1 µg NH₄⁺ g⁻¹ h⁻¹ (74.6% reduction), and phosphatase from 55.0 to 16.5 µg pNP g⁻¹ h⁻¹ (70.0% reduction). These declines are consistent with reports by </w:t>
      </w:r>
      <w:r>
        <w:rPr>
          <w:rFonts w:ascii="Times New Roman" w:hAnsi="Times New Roman" w:cs="Times New Roman"/>
        </w:rPr>
        <w:t>Sang</w:t>
      </w:r>
      <w:r>
        <w:rPr>
          <w:rFonts w:ascii="Times New Roman" w:hAnsi="Times New Roman" w:cs="Times New Roman"/>
          <w:lang w:val="en-US"/>
        </w:rPr>
        <w:t xml:space="preserve"> et al., (2020) and </w:t>
      </w:r>
      <w:r>
        <w:rPr>
          <w:rFonts w:ascii="Times New Roman" w:hAnsi="Times New Roman" w:cs="Times New Roman"/>
        </w:rPr>
        <w:t>Gospodarek</w:t>
      </w:r>
      <w:r>
        <w:rPr>
          <w:rFonts w:ascii="Times New Roman" w:hAnsi="Times New Roman" w:cs="Times New Roman"/>
          <w:lang w:val="en-US"/>
        </w:rPr>
        <w:t xml:space="preserve"> et al. (2021), who observed temporary microbial suppression following aggressive remediation treatments. </w:t>
      </w:r>
      <w:r>
        <w:rPr>
          <w:rFonts w:ascii="Times New Roman" w:hAnsi="Times New Roman" w:cs="Times New Roman"/>
          <w:color w:val="1F1F1F"/>
          <w:lang w:val="en-US"/>
        </w:rPr>
        <w:t>Because dehydrogenase only exists in living, metabolically active cells and is not stabilized in the soil matrix like other enzymes, this parameter serves as a definitive indicator of current microbial oxidative activity. The 73.1% drop in dehydrogenase activity confirms that the microbial biomass in the remediated soil (RS) is not only lower in quantity but also significantly less active.</w:t>
      </w:r>
    </w:p>
    <w:p w14:paraId="7A2899EF"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color w:val="000000"/>
          <w:lang w:val="en-US"/>
        </w:rPr>
      </w:pPr>
      <w:r>
        <w:rPr>
          <w:rFonts w:ascii="Times New Roman" w:hAnsi="Times New Roman" w:cs="Times New Roman"/>
          <w:color w:val="1F1F1F"/>
          <w:lang w:val="en-US"/>
        </w:rPr>
        <w:lastRenderedPageBreak/>
        <w:t xml:space="preserve">Urease is known for converting urea into ammonia. This activity decrease by </w:t>
      </w:r>
      <w:r>
        <w:rPr>
          <w:rFonts w:ascii="Times New Roman" w:hAnsi="Times New Roman" w:cs="Times New Roman"/>
          <w:lang w:val="en-US"/>
        </w:rPr>
        <w:t>74.6%</w:t>
      </w:r>
      <w:r>
        <w:rPr>
          <w:rFonts w:ascii="Times New Roman" w:hAnsi="Times New Roman" w:cs="Times New Roman"/>
          <w:color w:val="1F1F1F"/>
          <w:lang w:val="en-US"/>
        </w:rPr>
        <w:t xml:space="preserve"> may be linked to the reduction in organic carbon (TOC) available as a substrate for urease-producing microbes, or the presence of residual remediation chemicals that act as urease inhibitors </w:t>
      </w:r>
      <w:r>
        <w:rPr>
          <w:rFonts w:ascii="Times New Roman" w:hAnsi="Times New Roman" w:cs="Times New Roman"/>
          <w:color w:val="000000"/>
          <w:lang w:val="en-US"/>
        </w:rPr>
        <w:t>(Ward Laboratories, Inc., 2019)</w:t>
      </w:r>
      <w:r>
        <w:rPr>
          <w:rFonts w:ascii="Times New Roman" w:hAnsi="Times New Roman" w:cs="Times New Roman"/>
          <w:color w:val="1F1F1F"/>
          <w:lang w:val="en-US"/>
        </w:rPr>
        <w:t xml:space="preserve">. </w:t>
      </w:r>
    </w:p>
    <w:p w14:paraId="02A64D4E"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rPr>
      </w:pPr>
      <w:r>
        <w:rPr>
          <w:rFonts w:ascii="Times New Roman" w:hAnsi="Times New Roman" w:cs="Times New Roman"/>
          <w:color w:val="1F1F1F"/>
          <w:lang w:val="en-US"/>
        </w:rPr>
        <w:t>The activities of dehydrogenase, urease, and phosphatase provide a direct measure of the soil's metabolic capacity across carbon, nitrogen, and phosphorus cycles (</w:t>
      </w:r>
      <w:r>
        <w:rPr>
          <w:rFonts w:ascii="Times New Roman" w:hAnsi="Times New Roman" w:cs="Times New Roman"/>
          <w:color w:val="000000"/>
          <w:lang w:val="en-US"/>
        </w:rPr>
        <w:t xml:space="preserve">Rana et al. 2025). </w:t>
      </w:r>
      <w:r>
        <w:rPr>
          <w:rFonts w:ascii="Times New Roman" w:hAnsi="Times New Roman" w:cs="Times New Roman"/>
          <w:color w:val="000000"/>
          <w:lang w:val="en-US"/>
        </w:rPr>
        <w:br/>
      </w:r>
      <w:r>
        <w:rPr>
          <w:rFonts w:ascii="Times New Roman" w:hAnsi="Times New Roman" w:cs="Times New Roman"/>
          <w:lang w:val="en-US"/>
        </w:rPr>
        <w:t xml:space="preserve">The reduced microbial diversity observed in Table 1, with fewer bacterial and fungal taxa in RS compared to URS, further supports the assertion that biological recovery lags behind chemical and physical restoration. Similar biodiversity reductions have been reported by </w:t>
      </w:r>
      <w:r>
        <w:rPr>
          <w:rFonts w:ascii="Times New Roman" w:hAnsi="Times New Roman" w:cs="Times New Roman"/>
        </w:rPr>
        <w:t>Ramadass</w:t>
      </w:r>
      <w:r>
        <w:rPr>
          <w:rFonts w:ascii="Times New Roman" w:hAnsi="Times New Roman" w:cs="Times New Roman"/>
          <w:lang w:val="en-US"/>
        </w:rPr>
        <w:t xml:space="preserve"> et al. (2017), who emphasized that microbial communities require extended post-remediation periods to re-establish functional stability. </w:t>
      </w:r>
      <w:r>
        <w:rPr>
          <w:rFonts w:ascii="Times New Roman" w:hAnsi="Times New Roman" w:cs="Times New Roman"/>
        </w:rPr>
        <w:t xml:space="preserve"> Generally speaking</w:t>
      </w:r>
      <w:r>
        <w:rPr>
          <w:rFonts w:ascii="Times New Roman" w:hAnsi="Times New Roman" w:cs="Times New Roman"/>
          <w:lang w:val="en-US"/>
        </w:rPr>
        <w:t>, the results from this present study demonstrate that remediation activities in K-Dere improved nutrient availability, soil structure, water retention capacity, and cation exchange capacity. However, the simultaneous reductions in organic carbon, microbial biomass, enzyme activities, and biodiversity indicate that biological restoration has not progressed at the same pace as chemical and physical recovery.</w:t>
      </w:r>
    </w:p>
    <w:p w14:paraId="40F056F8"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b/>
          <w:bCs/>
          <w:color w:val="000000"/>
          <w:sz w:val="18"/>
          <w:lang w:val="en-US"/>
        </w:rPr>
      </w:pPr>
    </w:p>
    <w:p w14:paraId="5F453353"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r>
        <w:rPr>
          <w:rFonts w:ascii="Times New Roman" w:hAnsi="Times New Roman" w:cs="Times New Roman"/>
          <w:b/>
          <w:bCs/>
          <w:i/>
          <w:iCs/>
          <w:color w:val="000000"/>
          <w:lang w:val="en-US"/>
        </w:rPr>
        <w:t>Soil Quality Index</w:t>
      </w:r>
    </w:p>
    <w:p w14:paraId="7CCECFB7"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25039425"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Pr>
          <w:rFonts w:ascii="Times New Roman" w:hAnsi="Times New Roman" w:cs="Times New Roman"/>
          <w:lang w:val="en-US"/>
        </w:rPr>
        <w:t xml:space="preserve">The Soil Quality Index (SQI) based on the selected minimum data set indicated a very good soil quality status for the unremediated soil (SQI = </w:t>
      </w:r>
      <w:r>
        <w:rPr>
          <w:rFonts w:ascii="Times New Roman" w:hAnsi="Times New Roman" w:cs="Times New Roman"/>
          <w:bdr w:val="nil"/>
        </w:rPr>
        <w:t>0.79 &gt;7.0</w:t>
      </w:r>
      <w:r>
        <w:rPr>
          <w:rFonts w:ascii="Times New Roman" w:hAnsi="Times New Roman" w:cs="Times New Roman"/>
          <w:lang w:val="en-US"/>
        </w:rPr>
        <w:t xml:space="preserve">). This observation is largely driven by high microbial abundance and enzyme activities. The remediated soil exhibited good overall soil quality (SQI = 0.64 &lt;7.0) substantially driven by improvement in physicochemical properties such as nutrient availability (RS: TOC, TON, SO₄²⁻, NO₃⁻, PO₄³⁻ &gt;, URS: TOC, TON, SO₄²⁻, NO₃⁻, PO₄³⁻), greater cation exchange capacity, and water retention. However, reduced biological indicator scores suggest delayed recovery of soil microbial functions following remediation. </w:t>
      </w:r>
    </w:p>
    <w:p w14:paraId="1557223D" w14:textId="77777777" w:rsidR="005E68D4" w:rsidRDefault="00A32143">
      <w:pPr>
        <w:spacing w:line="360" w:lineRule="auto"/>
        <w:jc w:val="both"/>
        <w:rPr>
          <w:rFonts w:ascii="Times New Roman" w:hAnsi="Times New Roman" w:cs="Times New Roman"/>
          <w:b/>
        </w:rPr>
      </w:pPr>
      <w:r>
        <w:rPr>
          <w:rFonts w:ascii="Times New Roman" w:hAnsi="Times New Roman" w:cs="Times New Roman"/>
          <w:b/>
          <w:lang w:val="en-US"/>
        </w:rPr>
        <w:t>5.0     Conclusion</w:t>
      </w:r>
    </w:p>
    <w:p w14:paraId="4AC94CFC" w14:textId="77777777" w:rsidR="005E68D4" w:rsidRDefault="00A32143">
      <w:pPr>
        <w:spacing w:after="0" w:line="360" w:lineRule="auto"/>
        <w:jc w:val="both"/>
        <w:rPr>
          <w:rFonts w:ascii="Times New Roman" w:hAnsi="Times New Roman" w:cs="Times New Roman"/>
          <w:lang w:val="en-US"/>
        </w:rPr>
      </w:pPr>
      <w:r>
        <w:rPr>
          <w:rFonts w:ascii="Times New Roman" w:hAnsi="Times New Roman" w:cs="Times New Roman"/>
          <w:lang w:val="en-US"/>
        </w:rPr>
        <w:t xml:space="preserve">The study demonstrates that remediation activities in K-Dere have significantly altered soil health indicators. Improvements in nutrient composition, bulk density, water retention capacity, and cation exchange capacity suggest partial restoration of soil fertility. However, reductions in organic carbon, microbial biomass, and enzyme activities indicate that biological functioning has not fully recovered. </w:t>
      </w:r>
    </w:p>
    <w:p w14:paraId="279B3CAF"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lang w:val="en-US"/>
        </w:rPr>
      </w:pPr>
      <w:r>
        <w:rPr>
          <w:rFonts w:ascii="Times New Roman" w:hAnsi="Times New Roman" w:cs="Times New Roman"/>
          <w:highlight w:val="white"/>
          <w:lang w:val="en-US"/>
        </w:rPr>
        <w:lastRenderedPageBreak/>
        <w:t>The SQI assessment for the studied MDS confirms that the remediation process resulted in a 19.1% decrease in overall soil quality. While the remediated soil (RS) shows improved nutrient concentrations and cation exchange capacity, it suffers from severe biological suppression, a massive loss of organic carbon, and a critical increase in soil compaction</w:t>
      </w:r>
      <w:r>
        <w:rPr>
          <w:rFonts w:ascii="Times New Roman" w:hAnsi="Times New Roman" w:cs="Times New Roman"/>
          <w:lang w:val="en-US"/>
        </w:rPr>
        <w:t xml:space="preserve">.  </w:t>
      </w:r>
    </w:p>
    <w:p w14:paraId="0973D6F3" w14:textId="77777777" w:rsidR="005E68D4" w:rsidRDefault="00A32143">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rPr>
      </w:pPr>
      <w:r>
        <w:rPr>
          <w:rFonts w:ascii="Times New Roman" w:hAnsi="Times New Roman" w:cs="Times New Roman"/>
          <w:lang w:val="en-US"/>
        </w:rPr>
        <w:t>These findings highlight that remediation success should be evaluated beyond contaminant removal, incorporating biological and functional soil indicators to ensure long-term sustainability.</w:t>
      </w:r>
      <w:r>
        <w:rPr>
          <w:rFonts w:ascii="Times New Roman" w:hAnsi="Times New Roman" w:cs="Times New Roman"/>
        </w:rPr>
        <w:t xml:space="preserve"> The study recommends that </w:t>
      </w:r>
      <w:r>
        <w:rPr>
          <w:rFonts w:ascii="Times New Roman" w:hAnsi="Times New Roman" w:cs="Times New Roman"/>
          <w:lang w:val="en-US"/>
        </w:rPr>
        <w:t>an integrated remediation approach that combines physicochemical clean-up with biological enhancement measures such as organic amendments (</w:t>
      </w:r>
      <w:r>
        <w:rPr>
          <w:rFonts w:ascii="Times New Roman" w:hAnsi="Times New Roman" w:cs="Times New Roman"/>
          <w:highlight w:val="white"/>
          <w:lang w:val="en-US"/>
        </w:rPr>
        <w:t>compost or bio-solids</w:t>
      </w:r>
      <w:r>
        <w:rPr>
          <w:rFonts w:ascii="Times New Roman" w:hAnsi="Times New Roman" w:cs="Times New Roman"/>
          <w:lang w:val="en-US"/>
        </w:rPr>
        <w:t xml:space="preserve">: biochar), microbial inoculation and structural remediation practices that can prevent, reduce and </w:t>
      </w:r>
      <w:r>
        <w:rPr>
          <w:rFonts w:ascii="Times New Roman" w:hAnsi="Times New Roman" w:cs="Times New Roman"/>
          <w:highlight w:val="white"/>
          <w:lang w:val="en-US"/>
        </w:rPr>
        <w:t xml:space="preserve"> break up compacted layers and restore oxygen and water pathways</w:t>
      </w:r>
      <w:r>
        <w:rPr>
          <w:rFonts w:ascii="Times New Roman" w:hAnsi="Times New Roman" w:cs="Times New Roman"/>
          <w:lang w:val="en-US"/>
        </w:rPr>
        <w:t xml:space="preserve"> after remediation operations.  Long-term soil monitoring should be institutionalized to track post-remediation recovery trends. Regulatory agencies, including NOSDRA and NESREA, should enforce continuous environmental monitoring and ensure that remediation programmes incorporate site-specific soil management strategies tailored to local ecological conditions in K-Dere.</w:t>
      </w:r>
    </w:p>
    <w:p w14:paraId="3C09E5CB" w14:textId="77777777" w:rsidR="005E68D4" w:rsidRDefault="00A32143">
      <w:pPr>
        <w:spacing w:line="360" w:lineRule="auto"/>
        <w:rPr>
          <w:rFonts w:ascii="Times New Roman" w:hAnsi="Times New Roman" w:cs="Times New Roman"/>
          <w:bCs/>
        </w:rPr>
      </w:pPr>
      <w:r>
        <w:rPr>
          <w:rFonts w:ascii="Times New Roman" w:hAnsi="Times New Roman" w:cs="Times New Roman"/>
          <w:bCs/>
        </w:rPr>
        <w:t xml:space="preserve">                                </w:t>
      </w:r>
    </w:p>
    <w:p w14:paraId="62C17B74" w14:textId="77777777" w:rsidR="005E68D4" w:rsidRDefault="005E68D4">
      <w:pPr>
        <w:tabs>
          <w:tab w:val="left" w:pos="2160"/>
        </w:tabs>
        <w:spacing w:line="360" w:lineRule="auto"/>
        <w:rPr>
          <w:rFonts w:ascii="Times New Roman" w:hAnsi="Times New Roman" w:cs="Times New Roman"/>
        </w:rPr>
      </w:pPr>
    </w:p>
    <w:p w14:paraId="33AA01C2" w14:textId="77777777" w:rsidR="005E68D4" w:rsidRDefault="005E68D4">
      <w:pPr>
        <w:tabs>
          <w:tab w:val="left" w:pos="2160"/>
        </w:tabs>
        <w:spacing w:line="360" w:lineRule="auto"/>
        <w:rPr>
          <w:rFonts w:ascii="Times New Roman" w:hAnsi="Times New Roman" w:cs="Times New Roman"/>
        </w:rPr>
      </w:pPr>
    </w:p>
    <w:p w14:paraId="1C12498B" w14:textId="77777777" w:rsidR="005E68D4" w:rsidRDefault="005E68D4">
      <w:pPr>
        <w:tabs>
          <w:tab w:val="left" w:pos="2160"/>
        </w:tabs>
        <w:spacing w:line="360" w:lineRule="auto"/>
        <w:rPr>
          <w:rFonts w:ascii="Times New Roman" w:hAnsi="Times New Roman" w:cs="Times New Roman"/>
        </w:rPr>
      </w:pPr>
    </w:p>
    <w:p w14:paraId="049C19B7" w14:textId="77777777" w:rsidR="005E68D4" w:rsidRDefault="005E68D4">
      <w:pPr>
        <w:tabs>
          <w:tab w:val="left" w:pos="2160"/>
        </w:tabs>
        <w:spacing w:line="360" w:lineRule="auto"/>
        <w:rPr>
          <w:rFonts w:ascii="Times New Roman" w:hAnsi="Times New Roman" w:cs="Times New Roman"/>
        </w:rPr>
      </w:pPr>
    </w:p>
    <w:p w14:paraId="73932824" w14:textId="77777777" w:rsidR="005E68D4" w:rsidRDefault="005E68D4">
      <w:pPr>
        <w:rPr>
          <w:rFonts w:ascii="Times New Roman" w:hAnsi="Times New Roman" w:cs="Times New Roman"/>
          <w:b/>
          <w:lang w:val="en-US"/>
        </w:rPr>
      </w:pPr>
    </w:p>
    <w:p w14:paraId="6F77E2CA" w14:textId="77777777" w:rsidR="005E68D4" w:rsidRDefault="005E68D4">
      <w:pPr>
        <w:rPr>
          <w:rFonts w:ascii="Times New Roman" w:hAnsi="Times New Roman" w:cs="Times New Roman"/>
          <w:b/>
          <w:lang w:val="en-US"/>
        </w:rPr>
      </w:pPr>
    </w:p>
    <w:p w14:paraId="65444702" w14:textId="77777777" w:rsidR="005E68D4" w:rsidRDefault="005E68D4">
      <w:pPr>
        <w:rPr>
          <w:rFonts w:ascii="Times New Roman" w:hAnsi="Times New Roman" w:cs="Times New Roman"/>
          <w:b/>
          <w:lang w:val="en-US"/>
        </w:rPr>
      </w:pPr>
    </w:p>
    <w:p w14:paraId="0764F9A9" w14:textId="77777777" w:rsidR="005E68D4" w:rsidRDefault="005E68D4">
      <w:pPr>
        <w:rPr>
          <w:rFonts w:ascii="Times New Roman" w:hAnsi="Times New Roman" w:cs="Times New Roman"/>
          <w:b/>
          <w:lang w:val="en-US"/>
        </w:rPr>
      </w:pPr>
    </w:p>
    <w:p w14:paraId="47CA8B61" w14:textId="77777777" w:rsidR="005E68D4" w:rsidRDefault="005E68D4">
      <w:pPr>
        <w:rPr>
          <w:rFonts w:ascii="Times New Roman" w:hAnsi="Times New Roman" w:cs="Times New Roman"/>
          <w:b/>
          <w:lang w:val="en-US"/>
        </w:rPr>
      </w:pPr>
    </w:p>
    <w:p w14:paraId="4051F0EA" w14:textId="77777777" w:rsidR="005E68D4" w:rsidRDefault="005E68D4">
      <w:pPr>
        <w:rPr>
          <w:rFonts w:ascii="Times New Roman" w:hAnsi="Times New Roman" w:cs="Times New Roman"/>
          <w:b/>
          <w:lang w:val="en-US"/>
        </w:rPr>
      </w:pPr>
    </w:p>
    <w:p w14:paraId="22941155" w14:textId="77777777" w:rsidR="005E68D4" w:rsidRDefault="005E68D4">
      <w:pPr>
        <w:rPr>
          <w:rFonts w:ascii="Times New Roman" w:hAnsi="Times New Roman" w:cs="Times New Roman"/>
          <w:b/>
          <w:lang w:val="en-US"/>
        </w:rPr>
      </w:pPr>
    </w:p>
    <w:p w14:paraId="2569B8EE" w14:textId="77777777" w:rsidR="005E68D4" w:rsidRDefault="005E68D4">
      <w:pPr>
        <w:rPr>
          <w:rFonts w:ascii="Times New Roman" w:hAnsi="Times New Roman" w:cs="Times New Roman"/>
          <w:b/>
          <w:lang w:val="en-US"/>
        </w:rPr>
      </w:pPr>
    </w:p>
    <w:p w14:paraId="63E84E23" w14:textId="77777777" w:rsidR="005E68D4" w:rsidRDefault="005E68D4">
      <w:pPr>
        <w:rPr>
          <w:rFonts w:ascii="Times New Roman" w:hAnsi="Times New Roman" w:cs="Times New Roman"/>
          <w:b/>
          <w:lang w:val="en-US"/>
        </w:rPr>
      </w:pPr>
    </w:p>
    <w:p w14:paraId="620A8016" w14:textId="77777777" w:rsidR="005E68D4" w:rsidRDefault="005E68D4">
      <w:pPr>
        <w:rPr>
          <w:rFonts w:ascii="Times New Roman" w:hAnsi="Times New Roman" w:cs="Times New Roman"/>
          <w:b/>
          <w:lang w:val="en-US"/>
        </w:rPr>
      </w:pPr>
    </w:p>
    <w:p w14:paraId="47E0B0FF" w14:textId="77777777" w:rsidR="005E68D4" w:rsidRDefault="005E68D4">
      <w:pPr>
        <w:rPr>
          <w:rFonts w:ascii="Times New Roman" w:hAnsi="Times New Roman" w:cs="Times New Roman"/>
          <w:b/>
          <w:lang w:val="en-US"/>
        </w:rPr>
      </w:pPr>
    </w:p>
    <w:p w14:paraId="11F2FAC9" w14:textId="77777777" w:rsidR="005E68D4" w:rsidRDefault="005E68D4">
      <w:pPr>
        <w:rPr>
          <w:rFonts w:ascii="Times New Roman" w:hAnsi="Times New Roman" w:cs="Times New Roman"/>
          <w:b/>
          <w:lang w:val="en-US"/>
        </w:rPr>
      </w:pPr>
    </w:p>
    <w:p w14:paraId="318BA3D2" w14:textId="77777777" w:rsidR="005E68D4" w:rsidRDefault="005E68D4">
      <w:pPr>
        <w:rPr>
          <w:rFonts w:ascii="Times New Roman" w:hAnsi="Times New Roman" w:cs="Times New Roman"/>
          <w:b/>
          <w:lang w:val="en-US"/>
        </w:rPr>
      </w:pPr>
    </w:p>
    <w:p w14:paraId="55188EF9" w14:textId="77777777" w:rsidR="005E68D4" w:rsidRDefault="005E68D4">
      <w:pPr>
        <w:rPr>
          <w:rFonts w:ascii="Times New Roman" w:hAnsi="Times New Roman" w:cs="Times New Roman"/>
          <w:b/>
          <w:lang w:val="en-US"/>
        </w:rPr>
      </w:pPr>
    </w:p>
    <w:p w14:paraId="2A31BE93" w14:textId="77777777" w:rsidR="005E68D4" w:rsidRDefault="005E68D4">
      <w:pPr>
        <w:rPr>
          <w:rFonts w:ascii="Times New Roman" w:hAnsi="Times New Roman" w:cs="Times New Roman"/>
          <w:b/>
          <w:lang w:val="en-US"/>
        </w:rPr>
      </w:pPr>
    </w:p>
    <w:p w14:paraId="5168D841" w14:textId="77777777" w:rsidR="005E68D4" w:rsidRDefault="005E68D4">
      <w:pPr>
        <w:rPr>
          <w:rFonts w:ascii="Times New Roman" w:hAnsi="Times New Roman" w:cs="Times New Roman"/>
          <w:b/>
          <w:lang w:val="en-US"/>
        </w:rPr>
      </w:pPr>
    </w:p>
    <w:p w14:paraId="3E3D2110" w14:textId="77777777" w:rsidR="005E68D4" w:rsidRDefault="005E68D4">
      <w:pPr>
        <w:rPr>
          <w:rFonts w:ascii="Times New Roman" w:hAnsi="Times New Roman" w:cs="Times New Roman"/>
          <w:b/>
          <w:lang w:val="en-US"/>
        </w:rPr>
      </w:pPr>
    </w:p>
    <w:p w14:paraId="4A2A286C" w14:textId="77777777" w:rsidR="005E68D4" w:rsidRDefault="005E68D4">
      <w:pPr>
        <w:rPr>
          <w:rFonts w:ascii="Times New Roman" w:hAnsi="Times New Roman" w:cs="Times New Roman"/>
          <w:b/>
          <w:lang w:val="en-US"/>
        </w:rPr>
      </w:pPr>
    </w:p>
    <w:p w14:paraId="4E5D8742" w14:textId="77777777" w:rsidR="005E68D4" w:rsidRDefault="00A32143">
      <w:pPr>
        <w:rPr>
          <w:rFonts w:ascii="Times New Roman" w:hAnsi="Times New Roman" w:cs="Times New Roman"/>
          <w:b/>
          <w:lang w:val="en-US"/>
        </w:rPr>
      </w:pPr>
      <w:r>
        <w:rPr>
          <w:rFonts w:ascii="Times New Roman" w:hAnsi="Times New Roman" w:cs="Times New Roman"/>
          <w:b/>
          <w:lang w:val="en-US"/>
        </w:rPr>
        <w:t xml:space="preserve">References </w:t>
      </w:r>
    </w:p>
    <w:p w14:paraId="751AC883"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American Public Health Association. (2017). Standard methods for the examination of water and wastewater (23rd ed.). APHA, American Water Works Association, &amp; Water Environment Federation.</w:t>
      </w:r>
    </w:p>
    <w:p w14:paraId="1F8B4C1E"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American Society for Testing and Materials. (2011). ASTM D7263-09(2011): Standard test method for bulk density of soil for compaction control. ASTM International. https://www.astm.org/d7263-09r11.html</w:t>
      </w:r>
    </w:p>
    <w:p w14:paraId="3DF3DE8F"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American Society for Testing and Materials. (2017). ASTM D4327-97(2017): Standard test method for sulfate (sulfate-sulfur) in water by automated colorimetry. ASTM International. https://www.astm.org/d4327-97r17.html</w:t>
      </w:r>
    </w:p>
    <w:p w14:paraId="4FADEE9D"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 xml:space="preserve">Andrews, S. S., Karlen, D. L., &amp; Cambardella, C. A. (2004). The soil management assessment framework: A quantitative soil quality evaluation method. </w:t>
      </w:r>
      <w:r>
        <w:rPr>
          <w:rFonts w:ascii="Times New Roman" w:hAnsi="Times New Roman" w:cs="Times New Roman"/>
          <w:i/>
          <w:lang w:val="en-US"/>
        </w:rPr>
        <w:t>Soil Science Society of America Journal, 68</w:t>
      </w:r>
      <w:r>
        <w:rPr>
          <w:rFonts w:ascii="Times New Roman" w:hAnsi="Times New Roman" w:cs="Times New Roman"/>
          <w:lang w:val="en-US"/>
        </w:rPr>
        <w:t>(6), 1945–1962. https://doi.org/10.2136/sssaj2004.1945</w:t>
      </w:r>
    </w:p>
    <w:p w14:paraId="5EA7CEA1"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Association of Official Analytical Chemists. (2019). Official methods of analysis of AOAC International (21st ed.). AOAC International. https://www.aoac.org/official-method-of-analysis-21st-edition/</w:t>
      </w:r>
    </w:p>
    <w:p w14:paraId="66AEEF45" w14:textId="77777777" w:rsidR="005E68D4" w:rsidRDefault="00A32143">
      <w:pPr>
        <w:ind w:left="810" w:hanging="810"/>
        <w:jc w:val="both"/>
        <w:rPr>
          <w:rFonts w:ascii="Times New Roman" w:hAnsi="Times New Roman" w:cs="Times New Roman"/>
        </w:rPr>
      </w:pPr>
      <w:r>
        <w:rPr>
          <w:rFonts w:ascii="Times New Roman" w:hAnsi="Times New Roman" w:cs="Times New Roman"/>
        </w:rPr>
        <w:t>Bessong</w:t>
      </w:r>
      <w:r>
        <w:rPr>
          <w:rFonts w:ascii="Times New Roman" w:hAnsi="Times New Roman" w:cs="Times New Roman"/>
          <w:lang w:val="en-US"/>
        </w:rPr>
        <w:t xml:space="preserve">, A. R., Edu, E. N., Asuquo, N. E., Ivon, E. A., Inah, A. S., &amp; Bebia, O. (2023). Enhanced microbial and total petroleum hydrocarbon degradation in crude-oil polluted soils using agro-wastes. </w:t>
      </w:r>
      <w:r>
        <w:rPr>
          <w:rFonts w:ascii="Times New Roman" w:hAnsi="Times New Roman" w:cs="Times New Roman"/>
          <w:i/>
          <w:lang w:val="en-US"/>
        </w:rPr>
        <w:t>Pollution, 9</w:t>
      </w:r>
      <w:r>
        <w:rPr>
          <w:rFonts w:ascii="Times New Roman" w:hAnsi="Times New Roman" w:cs="Times New Roman"/>
          <w:lang w:val="en-US"/>
        </w:rPr>
        <w:t>(4), 1741–1753. https://doi.org/10.22059/poll.2023.357572.1863</w:t>
      </w:r>
    </w:p>
    <w:p w14:paraId="601E22C6"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 xml:space="preserve">Bogati, K. A., Sewerniak, P., &amp; Walczak, M. (2025). Unraveling the effect of soil moisture on microbial diversity and enzymatic activity in agricultural soils. </w:t>
      </w:r>
      <w:r>
        <w:rPr>
          <w:rFonts w:ascii="Times New Roman" w:hAnsi="Times New Roman" w:cs="Times New Roman"/>
          <w:i/>
          <w:lang w:val="en-US"/>
        </w:rPr>
        <w:t>Microorganisms, 13</w:t>
      </w:r>
      <w:r>
        <w:rPr>
          <w:rFonts w:ascii="Times New Roman" w:hAnsi="Times New Roman" w:cs="Times New Roman"/>
          <w:lang w:val="en-US"/>
        </w:rPr>
        <w:t>(6), 1245. https://doi.org/10.3390/microorganisms13061245</w:t>
      </w:r>
    </w:p>
    <w:p w14:paraId="7F28F7AB"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lastRenderedPageBreak/>
        <w:t xml:space="preserve">Doran, J. W., &amp; Parkin, T. B. (1994). Defining and assessing soil quality. In J. W. Doran, D. C. Coleman, D. F. Bezdicek, &amp; B. A. Stewart (Eds.), Defining soil quality for a sustainable environment. </w:t>
      </w:r>
      <w:r>
        <w:rPr>
          <w:rFonts w:ascii="Times New Roman" w:hAnsi="Times New Roman" w:cs="Times New Roman"/>
          <w:i/>
          <w:lang w:val="en-US"/>
        </w:rPr>
        <w:t>Soil Science Society of America. 35</w:t>
      </w:r>
      <w:r>
        <w:rPr>
          <w:rFonts w:ascii="Times New Roman" w:hAnsi="Times New Roman" w:cs="Times New Roman"/>
          <w:lang w:val="en-US"/>
        </w:rPr>
        <w:t>, 3-21</w:t>
      </w:r>
    </w:p>
    <w:p w14:paraId="61B250FB"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Elgazali, A., Althalb, H., Elmusrati, I., Ahmed, H. M., &amp; Banat, I. M. (2023). Remediation approaches to reduce hydrocarbon contamination in petroleum-polluted soil. </w:t>
      </w:r>
      <w:r>
        <w:rPr>
          <w:rFonts w:ascii="Times New Roman" w:hAnsi="Times New Roman" w:cs="Times New Roman"/>
          <w:i/>
          <w:lang w:val="en-US"/>
        </w:rPr>
        <w:t>Microorganisms, 11</w:t>
      </w:r>
      <w:r>
        <w:rPr>
          <w:rFonts w:ascii="Times New Roman" w:hAnsi="Times New Roman" w:cs="Times New Roman"/>
          <w:lang w:val="en-US"/>
        </w:rPr>
        <w:t>, 1–15. https://doi.org/10.3390/microorganisms11102577</w:t>
      </w:r>
    </w:p>
    <w:p w14:paraId="10D9A2C0"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Food and Agriculture Organization of the United Nations. (2006). Guidelines for soil description (4th ed.). FAO.</w:t>
      </w:r>
    </w:p>
    <w:p w14:paraId="08455301"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Gospodarek, J., Rusin, M., Barczyk, G., &amp; Nadgórska-Socha, A. (2021). The effect of petroleum-derived substances and their bioremediation on soil enzymatic activity and soil invertebrates. </w:t>
      </w:r>
      <w:r>
        <w:rPr>
          <w:rFonts w:ascii="Times New Roman" w:hAnsi="Times New Roman" w:cs="Times New Roman"/>
          <w:i/>
          <w:lang w:val="en-US"/>
        </w:rPr>
        <w:t>Agronomy, 11</w:t>
      </w:r>
      <w:r>
        <w:rPr>
          <w:rFonts w:ascii="Times New Roman" w:hAnsi="Times New Roman" w:cs="Times New Roman"/>
          <w:lang w:val="en-US"/>
        </w:rPr>
        <w:t>, 1–20. https://doi.org/10.3390/agronomy11010080</w:t>
      </w:r>
    </w:p>
    <w:p w14:paraId="668E0A21"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Huck, Y. C., Ahmed, O. H., &amp; Majid, N. M. (2014). Improving phosphorus availability in an acid soil using organic amendments produced from agro-industrial wastes. </w:t>
      </w:r>
      <w:r>
        <w:rPr>
          <w:rFonts w:ascii="Times New Roman" w:hAnsi="Times New Roman" w:cs="Times New Roman"/>
          <w:i/>
          <w:lang w:val="en-US"/>
        </w:rPr>
        <w:t>The Scientific World Journal,</w:t>
      </w:r>
      <w:r>
        <w:rPr>
          <w:rFonts w:ascii="Times New Roman" w:hAnsi="Times New Roman" w:cs="Times New Roman"/>
          <w:lang w:val="en-US"/>
        </w:rPr>
        <w:t xml:space="preserve"> </w:t>
      </w:r>
      <w:r>
        <w:rPr>
          <w:rFonts w:ascii="Times New Roman" w:hAnsi="Times New Roman" w:cs="Times New Roman"/>
          <w:i/>
          <w:lang w:val="en-US"/>
        </w:rPr>
        <w:t>1,</w:t>
      </w:r>
      <w:r>
        <w:rPr>
          <w:rFonts w:ascii="Times New Roman" w:hAnsi="Times New Roman" w:cs="Times New Roman"/>
          <w:lang w:val="en-US"/>
        </w:rPr>
        <w:t xml:space="preserve"> 1–6.</w:t>
      </w:r>
    </w:p>
    <w:p w14:paraId="722779BD"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International Organization for Standardization. (2005). ISO 11260: Soil quality—Determination of effective cation exchange capacity and base saturation level using ammonium acetate extract at pH 7. ISO. https://www.iso.org/standard/37607.html</w:t>
      </w:r>
    </w:p>
    <w:p w14:paraId="6F763B1F"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International Organization for Standardization. (2006). ISO 11464: Soil quality—Pretreatment of samples for physico-chemical analysis. ISO.</w:t>
      </w:r>
    </w:p>
    <w:p w14:paraId="25C71105"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International Organization for Standardization. (2013). ISO 4833-1: Microbiology of the food chain—Horizontal method for the enumeration of microorganisms—Part 1: Colony count at 30 °C by the pour plate technique. ISO.</w:t>
      </w:r>
    </w:p>
    <w:p w14:paraId="60E4B0ED"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Kahsay, A., Haile, M., Gebresamuel, G., &amp; Mohammed, M. (2024). Developing soil quality indices to investigate degradation impacts of different land use types in Northern Ethiopia. Heliyon, 11(1), 1-10. https://doi.org/10.1016/j.heliyon.2024.e41185</w:t>
      </w:r>
    </w:p>
    <w:p w14:paraId="40645235"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Kumar, S., Srivastava, A., &amp; Gupta, A. (2015). Effect of organic amendments on availability of different chemical fractions of phosphorus. </w:t>
      </w:r>
      <w:r>
        <w:rPr>
          <w:rFonts w:ascii="Times New Roman" w:hAnsi="Times New Roman" w:cs="Times New Roman"/>
          <w:i/>
          <w:lang w:val="en-US"/>
        </w:rPr>
        <w:t>Agricultural Science Digest, 35</w:t>
      </w:r>
      <w:r>
        <w:rPr>
          <w:rFonts w:ascii="Times New Roman" w:hAnsi="Times New Roman" w:cs="Times New Roman"/>
          <w:lang w:val="en-US"/>
        </w:rPr>
        <w:t>(2), 83–88. https://doi.org/10.5958/0976-0547.2015.00033.6</w:t>
      </w:r>
    </w:p>
    <w:p w14:paraId="63B29A7C"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 xml:space="preserve">Melo, D. M. A. de, Pérez-Marín, A. M., Araújo, A. E. de, Oliveira, M. R. G. de, Macedo, R. S., &amp; Nascimento, S. M. S. G. do. (2024). Soil quality indicators in peasant agroecosystems in Paraíba State, Brazil. </w:t>
      </w:r>
      <w:r>
        <w:rPr>
          <w:rFonts w:ascii="Times New Roman" w:hAnsi="Times New Roman" w:cs="Times New Roman"/>
          <w:i/>
          <w:lang w:val="en-US"/>
        </w:rPr>
        <w:t>Tropical Conservation Science, 17</w:t>
      </w:r>
      <w:r>
        <w:rPr>
          <w:rFonts w:ascii="Times New Roman" w:hAnsi="Times New Roman" w:cs="Times New Roman"/>
          <w:lang w:val="en-US"/>
        </w:rPr>
        <w:t>(1), 1-5. https://doi.org/10.1177/19400829231215492</w:t>
      </w:r>
    </w:p>
    <w:p w14:paraId="55DD8214"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Michael-Igolima, U., Abbey, S. J., &amp; Ifelebuegu, A. O. (2022). A systematic review on the effectiveness of remediation methods for oil-contaminated soils. </w:t>
      </w:r>
      <w:r>
        <w:rPr>
          <w:rFonts w:ascii="Times New Roman" w:hAnsi="Times New Roman" w:cs="Times New Roman"/>
          <w:i/>
          <w:lang w:val="en-US"/>
        </w:rPr>
        <w:t>Environmental Advances, 9</w:t>
      </w:r>
      <w:r>
        <w:rPr>
          <w:rFonts w:ascii="Times New Roman" w:hAnsi="Times New Roman" w:cs="Times New Roman"/>
          <w:lang w:val="en-US"/>
        </w:rPr>
        <w:t>, 1–20.</w:t>
      </w:r>
    </w:p>
    <w:p w14:paraId="2DD41CD9"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lastRenderedPageBreak/>
        <w:t xml:space="preserve">Nwokoro, C. V., &amp; Chima, F. O. (2017). Impact of environmental degradation on agricultural production and poverty in rural Nigeria. </w:t>
      </w:r>
      <w:r>
        <w:rPr>
          <w:rFonts w:ascii="Times New Roman" w:hAnsi="Times New Roman" w:cs="Times New Roman"/>
          <w:i/>
          <w:lang w:val="en-US"/>
        </w:rPr>
        <w:t>American International Journal of Contemporary Research, 7</w:t>
      </w:r>
      <w:r>
        <w:rPr>
          <w:rFonts w:ascii="Times New Roman" w:hAnsi="Times New Roman" w:cs="Times New Roman"/>
          <w:lang w:val="en-US"/>
        </w:rPr>
        <w:t>(2), 1–9.</w:t>
      </w:r>
    </w:p>
    <w:p w14:paraId="3D6373AB"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Nwokoro, C. V., &amp; Chima, F. O. (2018). Evaluation of impact of unsustainable agricultural practices on rural poverty and environmental resource management in Ogoni, Nigeria. </w:t>
      </w:r>
      <w:r>
        <w:rPr>
          <w:rFonts w:ascii="Times New Roman" w:hAnsi="Times New Roman" w:cs="Times New Roman"/>
          <w:i/>
          <w:lang w:val="en-US"/>
        </w:rPr>
        <w:t>International Journal of Education and Human Developments, 4</w:t>
      </w:r>
      <w:r>
        <w:rPr>
          <w:rFonts w:ascii="Times New Roman" w:hAnsi="Times New Roman" w:cs="Times New Roman"/>
          <w:lang w:val="en-US"/>
        </w:rPr>
        <w:t>(4), 11–25.</w:t>
      </w:r>
    </w:p>
    <w:p w14:paraId="2B5941DC"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Omokaro, G. O. (2024). Oil extraction and the environment in Nigeria’s Niger Delta: A political-industrial ecology (PIE) perspective. </w:t>
      </w:r>
      <w:r>
        <w:rPr>
          <w:rFonts w:ascii="Times New Roman" w:hAnsi="Times New Roman" w:cs="Times New Roman"/>
          <w:i/>
          <w:lang w:val="en-US"/>
        </w:rPr>
        <w:t>Asian Journal of Advanced Research and Reports, 18</w:t>
      </w:r>
      <w:r>
        <w:rPr>
          <w:rFonts w:ascii="Times New Roman" w:hAnsi="Times New Roman" w:cs="Times New Roman"/>
          <w:lang w:val="en-US"/>
        </w:rPr>
        <w:t>(11), 161–169. https://doi.org/10.9734/ajarr/2024/v18i11784</w:t>
      </w:r>
    </w:p>
    <w:p w14:paraId="1A406D7D"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Ramadass, K., Megharaj, M., Venkateswarlu, K., &amp; Naidu, R. (2017). Ecotoxicity of measured concentrations of soil-applied diesel: Effects on earthworm survival, dehydrogenase, urease and nitrification activities. </w:t>
      </w:r>
      <w:r>
        <w:rPr>
          <w:rFonts w:ascii="Times New Roman" w:hAnsi="Times New Roman" w:cs="Times New Roman"/>
          <w:i/>
          <w:lang w:val="en-US"/>
        </w:rPr>
        <w:t>Applied Soil Ecology, 119</w:t>
      </w:r>
      <w:r>
        <w:rPr>
          <w:rFonts w:ascii="Times New Roman" w:hAnsi="Times New Roman" w:cs="Times New Roman"/>
          <w:lang w:val="en-US"/>
        </w:rPr>
        <w:t>, 1–7.</w:t>
      </w:r>
    </w:p>
    <w:p w14:paraId="34B522B6"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Rana, S., Swain, D. K., Bhattacharya, P., Roy, A., Samanta, S., Seleiman, M. F., Ali, N., &amp; Dey, P. (2025). Soil biochemical quality indices can capture transitional changes of tillage and residue regime in lateritic soils</w:t>
      </w:r>
      <w:r>
        <w:rPr>
          <w:rFonts w:ascii="Times New Roman" w:hAnsi="Times New Roman" w:cs="Times New Roman"/>
          <w:i/>
          <w:lang w:val="en-US"/>
        </w:rPr>
        <w:t>. BMC Plant Biology, 25</w:t>
      </w:r>
      <w:r>
        <w:rPr>
          <w:rFonts w:ascii="Times New Roman" w:hAnsi="Times New Roman" w:cs="Times New Roman"/>
          <w:lang w:val="en-US"/>
        </w:rPr>
        <w:t>, 1-8. https://doi.org/10.1186/s12870-025-07212-3</w:t>
      </w:r>
    </w:p>
    <w:p w14:paraId="240172D7" w14:textId="77777777" w:rsidR="005E68D4" w:rsidRDefault="00A32143">
      <w:pPr>
        <w:ind w:left="810" w:hanging="810"/>
        <w:jc w:val="both"/>
        <w:rPr>
          <w:rFonts w:ascii="Times New Roman" w:hAnsi="Times New Roman" w:cs="Times New Roman"/>
        </w:rPr>
      </w:pPr>
      <w:r>
        <w:rPr>
          <w:rFonts w:ascii="Times New Roman" w:hAnsi="Times New Roman" w:cs="Times New Roman"/>
        </w:rPr>
        <w:t>Sang</w:t>
      </w:r>
      <w:r>
        <w:rPr>
          <w:rFonts w:ascii="Times New Roman" w:hAnsi="Times New Roman" w:cs="Times New Roman"/>
          <w:lang w:val="en-US"/>
        </w:rPr>
        <w:t xml:space="preserve">, L. H., Lee, J. H., Jung, W. C., Park, M., Kim, M. S., Lee, S. J., &amp; Park, H. (2020). Changes in soil health with remediation of petroleum hydrocarbon contaminated soils using two different remediation technologies. </w:t>
      </w:r>
      <w:r>
        <w:rPr>
          <w:rFonts w:ascii="Times New Roman" w:hAnsi="Times New Roman" w:cs="Times New Roman"/>
          <w:i/>
          <w:lang w:val="en-US"/>
        </w:rPr>
        <w:t>Sustainability, 12</w:t>
      </w:r>
      <w:r>
        <w:rPr>
          <w:rFonts w:ascii="Times New Roman" w:hAnsi="Times New Roman" w:cs="Times New Roman"/>
          <w:lang w:val="en-US"/>
        </w:rPr>
        <w:t>, 1-8. https://doi.org/10.3390/su122310078</w:t>
      </w:r>
    </w:p>
    <w:p w14:paraId="669F69F6" w14:textId="77777777" w:rsidR="005E68D4" w:rsidRDefault="00A32143">
      <w:pPr>
        <w:ind w:left="810" w:hanging="810"/>
        <w:jc w:val="both"/>
        <w:rPr>
          <w:rFonts w:ascii="Times New Roman" w:hAnsi="Times New Roman" w:cs="Times New Roman"/>
          <w:lang w:val="en-US"/>
        </w:rPr>
      </w:pPr>
      <w:r>
        <w:rPr>
          <w:rFonts w:ascii="Times New Roman" w:hAnsi="Times New Roman" w:cs="Times New Roman"/>
          <w:lang w:val="en-US"/>
        </w:rPr>
        <w:t xml:space="preserve">Tajudeen, A. S., &amp; Nyiayaana, K. (2024). Oil exploitation and conflict in Kegbara Dere community in Rivers State, Nigeria. </w:t>
      </w:r>
      <w:r>
        <w:rPr>
          <w:rFonts w:ascii="Times New Roman" w:hAnsi="Times New Roman" w:cs="Times New Roman"/>
          <w:i/>
          <w:lang w:val="en-US"/>
        </w:rPr>
        <w:t>American Journal of Social and Humanitarian Research, 5</w:t>
      </w:r>
      <w:r>
        <w:rPr>
          <w:rFonts w:ascii="Times New Roman" w:hAnsi="Times New Roman" w:cs="Times New Roman"/>
          <w:lang w:val="en-US"/>
        </w:rPr>
        <w:t>(3), 73–85.</w:t>
      </w:r>
    </w:p>
    <w:p w14:paraId="0CB0E3A1" w14:textId="77777777" w:rsidR="005E68D4" w:rsidRDefault="00A32143">
      <w:pPr>
        <w:ind w:left="810" w:hanging="810"/>
        <w:jc w:val="both"/>
        <w:rPr>
          <w:rFonts w:ascii="Times New Roman" w:hAnsi="Times New Roman" w:cs="Times New Roman"/>
        </w:rPr>
      </w:pPr>
      <w:r>
        <w:rPr>
          <w:rFonts w:ascii="Times New Roman" w:hAnsi="Times New Roman" w:cs="Times New Roman"/>
        </w:rPr>
        <w:t xml:space="preserve">Tapan Gorai*, Pankaj Kumar Yadav and Ruby Saha (2021). Conservation of soil biodiversity for agricultural productivity and sus tainability. </w:t>
      </w:r>
      <w:r>
        <w:rPr>
          <w:rFonts w:ascii="Times New Roman" w:hAnsi="Times New Roman" w:cs="Times New Roman"/>
          <w:i/>
        </w:rPr>
        <w:t>Agriculture Letters 2</w:t>
      </w:r>
      <w:r>
        <w:rPr>
          <w:rFonts w:ascii="Times New Roman" w:hAnsi="Times New Roman" w:cs="Times New Roman"/>
        </w:rPr>
        <w:t>(1), 24-25.</w:t>
      </w:r>
    </w:p>
    <w:p w14:paraId="7919421F"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Toková, L., Igaz, D., Horák, J., &amp; Aydin, E. (2020). Effect of biochar application and re-application on soil bulk density, porosity, saturated hydraulic conductivity, water content and soil water availability in a silty loam Haplic Luvisol. </w:t>
      </w:r>
      <w:r>
        <w:rPr>
          <w:rFonts w:ascii="Times New Roman" w:hAnsi="Times New Roman" w:cs="Times New Roman"/>
          <w:i/>
          <w:lang w:val="en-US"/>
        </w:rPr>
        <w:t>Agronomy, 10</w:t>
      </w:r>
      <w:r>
        <w:rPr>
          <w:rFonts w:ascii="Times New Roman" w:hAnsi="Times New Roman" w:cs="Times New Roman"/>
          <w:lang w:val="en-US"/>
        </w:rPr>
        <w:t>, 1–17. https://doi.org/10.3390/agronomy10071005</w:t>
      </w:r>
    </w:p>
    <w:p w14:paraId="590A86A9"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United States Department of Agriculture, Natural Resources Conservation Service. (2001). Guidelines for soil quality assessment in conservation planning. https://www.nrcs.usda.gov/sites/default/files/2023-04/nrcs142p2_050963.pdf</w:t>
      </w:r>
    </w:p>
    <w:p w14:paraId="03DCF4B7"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 xml:space="preserve">United States Department of Agriculture, Natural Resources Conservation Service. (2015a). Soil quality indicators: Physical, chemical, and biological indicators for soil quality assessment </w:t>
      </w:r>
      <w:r>
        <w:rPr>
          <w:rFonts w:ascii="Times New Roman" w:hAnsi="Times New Roman" w:cs="Times New Roman"/>
          <w:lang w:val="en-US"/>
        </w:rPr>
        <w:lastRenderedPageBreak/>
        <w:t>and management. https://www.nrcs.usda.gov/sites/default/files/2022-10/indicator_sheet_guide_sheet.pdf</w:t>
      </w:r>
    </w:p>
    <w:p w14:paraId="4EA4B27F"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United States Department of Agriculture, Natural Resources Conservation Service. (2015b). Soil quality indicators: Chemical indicators and soil functions. https://www.nrcs.usda.gov/sites/default/files/2022-10/chemical_indicators_overview.pdf</w:t>
      </w:r>
    </w:p>
    <w:p w14:paraId="1F609DD0" w14:textId="77777777" w:rsidR="005E68D4" w:rsidRDefault="00A32143">
      <w:pPr>
        <w:ind w:left="720" w:hanging="720"/>
        <w:jc w:val="both"/>
        <w:rPr>
          <w:rFonts w:ascii="Times New Roman" w:hAnsi="Times New Roman" w:cs="Times New Roman"/>
        </w:rPr>
      </w:pPr>
      <w:r>
        <w:rPr>
          <w:rFonts w:ascii="Times New Roman" w:hAnsi="Times New Roman" w:cs="Times New Roman"/>
          <w:lang w:val="en-US"/>
        </w:rPr>
        <w:t>United States Department of Agriculture, Natural Resources Conservation Service. (2019). Soil health—Bulk density, moisture, and aeration: Guide for educators. https://www.nrcs.usda.gov/sites/default/files/2022-10/Soil%20Bulk%20Density%20Moisture%20Aeration.pdf</w:t>
      </w:r>
    </w:p>
    <w:p w14:paraId="5892E8B6"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Wang, S., Wu, M., Zhong, S., Sun, J., Mao, X., Qiu, N., &amp; Zhou, F. (2023). A rapid and quantitative method for determining seed viability using 2,3,5-triphenyl tetrazolium chloride (TTC): With the example of wheat seed. </w:t>
      </w:r>
      <w:r>
        <w:rPr>
          <w:rFonts w:ascii="Times New Roman" w:hAnsi="Times New Roman" w:cs="Times New Roman"/>
          <w:i/>
          <w:lang w:val="en-US"/>
        </w:rPr>
        <w:t>Molecules, 28</w:t>
      </w:r>
      <w:r>
        <w:rPr>
          <w:rFonts w:ascii="Times New Roman" w:hAnsi="Times New Roman" w:cs="Times New Roman"/>
          <w:lang w:val="en-US"/>
        </w:rPr>
        <w:t>, 1-8. https://doi.org/10.3390/molecules28196828</w:t>
      </w:r>
    </w:p>
    <w:p w14:paraId="16F67825" w14:textId="77777777" w:rsidR="005E68D4" w:rsidRDefault="00A32143">
      <w:pPr>
        <w:ind w:left="720" w:hanging="720"/>
        <w:jc w:val="both"/>
        <w:rPr>
          <w:rFonts w:ascii="Times New Roman" w:hAnsi="Times New Roman" w:cs="Times New Roman"/>
          <w:lang w:val="en-US"/>
        </w:rPr>
      </w:pPr>
      <w:r>
        <w:rPr>
          <w:rFonts w:ascii="Times New Roman" w:hAnsi="Times New Roman" w:cs="Times New Roman"/>
          <w:lang w:val="en-US"/>
        </w:rPr>
        <w:t xml:space="preserve">Ward Laboratories, Inc. (2019). Soil enzyme interpretation guide (Rev. 1.0). </w:t>
      </w:r>
      <w:hyperlink r:id="rId15" w:history="1">
        <w:r>
          <w:rPr>
            <w:rStyle w:val="Hyperlink"/>
            <w:rFonts w:ascii="Times New Roman" w:hAnsi="Times New Roman" w:cs="Times New Roman"/>
            <w:lang w:val="en-US"/>
          </w:rPr>
          <w:t>https://www.wardlab.com/wp-content/uploads/2019/09/Soil-Enzyme-Interpretation-Guide-Rev-1.0-1.pdf</w:t>
        </w:r>
      </w:hyperlink>
    </w:p>
    <w:p w14:paraId="086BD7BF" w14:textId="77777777" w:rsidR="005E68D4" w:rsidRDefault="00A32143">
      <w:pPr>
        <w:ind w:left="810" w:hanging="810"/>
        <w:rPr>
          <w:rFonts w:ascii="Times New Roman" w:hAnsi="Times New Roman" w:cs="Times New Roman"/>
        </w:rPr>
      </w:pPr>
      <w:r>
        <w:rPr>
          <w:rFonts w:ascii="Times New Roman" w:hAnsi="Times New Roman" w:cs="Times New Roman"/>
        </w:rPr>
        <w:t xml:space="preserve">Wonodi., A &amp; Ekpete, O.A. (2021). Impact of cement production factories on the physical and chemical characteristics of soil within production areas in Port Harcourt metropolis, Rivers State, Niger Delta, Nigeria. </w:t>
      </w:r>
      <w:r>
        <w:rPr>
          <w:rFonts w:ascii="Times New Roman" w:hAnsi="Times New Roman" w:cs="Times New Roman"/>
          <w:i/>
        </w:rPr>
        <w:t>Faculty of Natural and Applied Sciences Journal of Scientific Innovations, 3</w:t>
      </w:r>
      <w:r>
        <w:rPr>
          <w:rFonts w:ascii="Times New Roman" w:hAnsi="Times New Roman" w:cs="Times New Roman"/>
        </w:rPr>
        <w:t>(1), 50-59.</w:t>
      </w:r>
    </w:p>
    <w:p w14:paraId="2C40659F" w14:textId="77777777" w:rsidR="005E68D4" w:rsidRDefault="00A32143">
      <w:pPr>
        <w:ind w:left="810" w:hanging="810"/>
        <w:jc w:val="both"/>
        <w:rPr>
          <w:rFonts w:ascii="Times New Roman" w:hAnsi="Times New Roman" w:cs="Times New Roman"/>
        </w:rPr>
      </w:pPr>
      <w:r>
        <w:rPr>
          <w:rFonts w:ascii="Times New Roman" w:hAnsi="Times New Roman" w:cs="Times New Roman"/>
          <w:lang w:val="en-US"/>
        </w:rPr>
        <w:t xml:space="preserve">Zubairu, A. M., Michéli, E., Ocansey, C. M., Boros, N., Rétháti, G., Lehoczky, É., &amp; Gulyás, M. (2023). Biochar improves soil fertility and crop performance: A case study of Nigeria. </w:t>
      </w:r>
      <w:r>
        <w:rPr>
          <w:rFonts w:ascii="Times New Roman" w:hAnsi="Times New Roman" w:cs="Times New Roman"/>
          <w:i/>
          <w:lang w:val="en-US"/>
        </w:rPr>
        <w:t>Soil Systems, 7</w:t>
      </w:r>
      <w:r>
        <w:rPr>
          <w:rFonts w:ascii="Times New Roman" w:hAnsi="Times New Roman" w:cs="Times New Roman"/>
          <w:lang w:val="en-US"/>
        </w:rPr>
        <w:t>, 1–32. https://doi.org/10.3390/soilsystems7040105</w:t>
      </w:r>
    </w:p>
    <w:p w14:paraId="3D87572F" w14:textId="77777777" w:rsidR="005E68D4" w:rsidRDefault="005E68D4">
      <w:pPr>
        <w:rPr>
          <w:rFonts w:ascii="Times New Roman" w:hAnsi="Times New Roman" w:cs="Times New Roman"/>
        </w:rPr>
      </w:pPr>
    </w:p>
    <w:p w14:paraId="0C28786D"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07A0929E"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36256089"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52F536E5"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2447C1D7"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6FE415FE"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1C2C96A7"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759C555D"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0983C2AE"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1ED04449"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36D86B67"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279D21D1"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522708C5" w14:textId="77777777" w:rsidR="005E68D4" w:rsidRDefault="005E68D4">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hAnsi="Times New Roman" w:cs="Times New Roman"/>
          <w:color w:val="000000"/>
          <w:lang w:val="en-US"/>
        </w:rPr>
      </w:pPr>
    </w:p>
    <w:p w14:paraId="3E885019" w14:textId="77777777" w:rsidR="005E68D4" w:rsidRDefault="005E68D4"/>
    <w:sectPr w:rsidR="005E68D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3026" w14:textId="77777777" w:rsidR="00025F41" w:rsidRDefault="00025F41" w:rsidP="004E14DC">
      <w:pPr>
        <w:spacing w:after="0" w:line="240" w:lineRule="auto"/>
      </w:pPr>
      <w:r>
        <w:separator/>
      </w:r>
    </w:p>
  </w:endnote>
  <w:endnote w:type="continuationSeparator" w:id="0">
    <w:p w14:paraId="5A1646B3" w14:textId="77777777" w:rsidR="00025F41" w:rsidRDefault="00025F41" w:rsidP="004E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CDCB" w14:textId="77777777" w:rsidR="004E14DC" w:rsidRDefault="004E1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1A2E" w14:textId="77777777" w:rsidR="004E14DC" w:rsidRDefault="004E1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59BF" w14:textId="77777777" w:rsidR="004E14DC" w:rsidRDefault="004E1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D799" w14:textId="77777777" w:rsidR="00025F41" w:rsidRDefault="00025F41" w:rsidP="004E14DC">
      <w:pPr>
        <w:spacing w:after="0" w:line="240" w:lineRule="auto"/>
      </w:pPr>
      <w:r>
        <w:separator/>
      </w:r>
    </w:p>
  </w:footnote>
  <w:footnote w:type="continuationSeparator" w:id="0">
    <w:p w14:paraId="49047E57" w14:textId="77777777" w:rsidR="00025F41" w:rsidRDefault="00025F41" w:rsidP="004E1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3799" w14:textId="2485D496" w:rsidR="004E14DC" w:rsidRDefault="004E14DC">
    <w:pPr>
      <w:pStyle w:val="Header"/>
    </w:pPr>
    <w:r>
      <w:rPr>
        <w:noProof/>
      </w:rPr>
      <w:pict w14:anchorId="39B30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93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0B707" w14:textId="3AB9076C" w:rsidR="004E14DC" w:rsidRDefault="004E14DC">
    <w:pPr>
      <w:pStyle w:val="Header"/>
    </w:pPr>
    <w:r>
      <w:rPr>
        <w:noProof/>
      </w:rPr>
      <w:pict w14:anchorId="34B5B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93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B7F5" w14:textId="425FA272" w:rsidR="004E14DC" w:rsidRDefault="004E14DC">
    <w:pPr>
      <w:pStyle w:val="Header"/>
    </w:pPr>
    <w:r>
      <w:rPr>
        <w:noProof/>
      </w:rPr>
      <w:pict w14:anchorId="0FE0E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593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48"/>
    <w:rsid w:val="00025F41"/>
    <w:rsid w:val="00043064"/>
    <w:rsid w:val="00321648"/>
    <w:rsid w:val="00385E43"/>
    <w:rsid w:val="00455107"/>
    <w:rsid w:val="004E14DC"/>
    <w:rsid w:val="005E68D4"/>
    <w:rsid w:val="0073307A"/>
    <w:rsid w:val="00803EA3"/>
    <w:rsid w:val="00877164"/>
    <w:rsid w:val="00890E03"/>
    <w:rsid w:val="00A32143"/>
    <w:rsid w:val="00C13822"/>
    <w:rsid w:val="00CB03B1"/>
    <w:rsid w:val="00DB2A59"/>
    <w:rsid w:val="00EA647B"/>
    <w:rsid w:val="00EC4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DC76"/>
  <w15:chartTrackingRefBased/>
  <w15:docId w15:val="{3A84E460-C550-48B2-ACD4-53ECFB1D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SimSun" w:hAnsi="Calibri" w:cs="SimSun"/>
      <w:lang w:val="en-GB"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lang w:val="en-US" w:eastAsia="en-US"/>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lang w:val="en-US" w:eastAsia="en-US"/>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lang w:val="en-US" w:eastAsia="en-US"/>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lang w:val="en-US" w:eastAsia="en-US"/>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lang w:val="en-US" w:eastAsia="en-US"/>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ED7D31" w:themeColor="accent2"/>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lang w:val="en-US"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rFonts w:asciiTheme="minorHAnsi" w:eastAsiaTheme="minorHAnsi" w:hAnsiTheme="minorHAnsi" w:cstheme="minorBidi"/>
      <w:i/>
      <w:iCs/>
      <w:color w:val="404040" w:themeColor="text1" w:themeTint="BF"/>
      <w:lang w:val="en-US" w:eastAsia="en-US"/>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rPr>
      <w:rFonts w:asciiTheme="minorHAnsi" w:eastAsiaTheme="minorHAnsi" w:hAnsiTheme="minorHAnsi" w:cstheme="minorBidi"/>
      <w:lang w:val="en-US" w:eastAsia="en-US"/>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US" w:eastAsia="en-US"/>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7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hart" Target="charts/chart3.xml"/><Relationship Id="rId5" Type="http://schemas.openxmlformats.org/officeDocument/2006/relationships/endnotes" Target="endnotes.xml"/><Relationship Id="rId15" Type="http://schemas.openxmlformats.org/officeDocument/2006/relationships/hyperlink" Target="https://www.wardlab.com/wp-content/uploads/2019/09/Soil-Enzyme-Interpretation-Guide-Rev-1.0-1.pdf"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Bacteria (cfu/g)</c:v>
                </c:pt>
                <c:pt idx="1">
                  <c:v>Fungi (cfu/g)</c:v>
                </c:pt>
              </c:strCache>
            </c:strRef>
          </c:cat>
          <c:val>
            <c:numRef>
              <c:f>Sheet1!$B$2:$B$3</c:f>
              <c:numCache>
                <c:formatCode>0.00E+00</c:formatCode>
                <c:ptCount val="2"/>
                <c:pt idx="0">
                  <c:v>4000000</c:v>
                </c:pt>
                <c:pt idx="1">
                  <c:v>2600000</c:v>
                </c:pt>
              </c:numCache>
            </c:numRef>
          </c:val>
          <c:extLst>
            <c:ext xmlns:c16="http://schemas.microsoft.com/office/drawing/2014/chart" uri="{C3380CC4-5D6E-409C-BE32-E72D297353CC}">
              <c16:uniqueId val="{00000000-3397-4A71-8B3E-64B165771A54}"/>
            </c:ext>
          </c:extLst>
        </c:ser>
        <c:ser>
          <c:idx val="1"/>
          <c:order val="1"/>
          <c:tx>
            <c:strRef>
              <c:f>Sheet1!$C$1</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Bacteria (cfu/g)</c:v>
                </c:pt>
                <c:pt idx="1">
                  <c:v>Fungi (cfu/g)</c:v>
                </c:pt>
              </c:strCache>
            </c:strRef>
          </c:cat>
          <c:val>
            <c:numRef>
              <c:f>Sheet1!$C$2:$C$3</c:f>
              <c:numCache>
                <c:formatCode>0.00E+00</c:formatCode>
                <c:ptCount val="2"/>
                <c:pt idx="0">
                  <c:v>390000</c:v>
                </c:pt>
                <c:pt idx="1">
                  <c:v>300000</c:v>
                </c:pt>
              </c:numCache>
            </c:numRef>
          </c:val>
          <c:extLst>
            <c:ext xmlns:c16="http://schemas.microsoft.com/office/drawing/2014/chart" uri="{C3380CC4-5D6E-409C-BE32-E72D297353CC}">
              <c16:uniqueId val="{00000001-3397-4A71-8B3E-64B165771A54}"/>
            </c:ext>
          </c:extLst>
        </c:ser>
        <c:dLbls>
          <c:dLblPos val="outEnd"/>
          <c:showLegendKey val="0"/>
          <c:showVal val="1"/>
          <c:showCatName val="0"/>
          <c:showSerName val="0"/>
          <c:showPercent val="0"/>
          <c:showBubbleSize val="0"/>
        </c:dLbls>
        <c:gapWidth val="219"/>
        <c:axId val="909883808"/>
        <c:axId val="909885248"/>
      </c:barChart>
      <c:catAx>
        <c:axId val="909883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885248"/>
        <c:crosses val="autoZero"/>
        <c:auto val="1"/>
        <c:lblAlgn val="ctr"/>
        <c:lblOffset val="100"/>
        <c:noMultiLvlLbl val="0"/>
      </c:catAx>
      <c:valAx>
        <c:axId val="909885248"/>
        <c:scaling>
          <c:orientation val="minMax"/>
        </c:scaling>
        <c:delete val="0"/>
        <c:axPos val="b"/>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9883808"/>
        <c:crosses val="autoZero"/>
        <c:crossBetween val="between"/>
      </c:valAx>
      <c:spPr>
        <a:noFill/>
        <a:ln>
          <a:noFill/>
        </a:ln>
        <a:effectLst/>
      </c:spPr>
    </c:plotArea>
    <c:legend>
      <c:legendPos val="t"/>
      <c:layout>
        <c:manualLayout>
          <c:xMode val="edge"/>
          <c:yMode val="edge"/>
          <c:x val="0.78251337508642604"/>
          <c:y val="0.18210361067503925"/>
          <c:w val="0.17836625920481167"/>
          <c:h val="0.105966204773853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Sheet1!$A$7:$A$9</c:f>
              <c:strCache>
                <c:ptCount val="3"/>
                <c:pt idx="0">
                  <c:v>DHA</c:v>
                </c:pt>
                <c:pt idx="1">
                  <c:v>UREASE</c:v>
                </c:pt>
                <c:pt idx="2">
                  <c:v>PHOSPHATE</c:v>
                </c:pt>
              </c:strCache>
            </c:strRef>
          </c:cat>
          <c:val>
            <c:numRef>
              <c:f>Sheet1!$B$7:$B$9</c:f>
              <c:numCache>
                <c:formatCode>General</c:formatCode>
                <c:ptCount val="3"/>
                <c:pt idx="0">
                  <c:v>2.6</c:v>
                </c:pt>
                <c:pt idx="1">
                  <c:v>28</c:v>
                </c:pt>
                <c:pt idx="2">
                  <c:v>55</c:v>
                </c:pt>
              </c:numCache>
            </c:numRef>
          </c:val>
          <c:extLst>
            <c:ext xmlns:c16="http://schemas.microsoft.com/office/drawing/2014/chart" uri="{C3380CC4-5D6E-409C-BE32-E72D297353CC}">
              <c16:uniqueId val="{00000000-45D5-468A-BF37-3C6F882A0F02}"/>
            </c:ext>
          </c:extLst>
        </c:ser>
        <c:ser>
          <c:idx val="1"/>
          <c:order val="1"/>
          <c:tx>
            <c:strRef>
              <c:f>Sheet1!$C$6</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Sheet1!$A$7:$A$9</c:f>
              <c:strCache>
                <c:ptCount val="3"/>
                <c:pt idx="0">
                  <c:v>DHA</c:v>
                </c:pt>
                <c:pt idx="1">
                  <c:v>UREASE</c:v>
                </c:pt>
                <c:pt idx="2">
                  <c:v>PHOSPHATE</c:v>
                </c:pt>
              </c:strCache>
            </c:strRef>
          </c:cat>
          <c:val>
            <c:numRef>
              <c:f>Sheet1!$C$7:$C$9</c:f>
              <c:numCache>
                <c:formatCode>General</c:formatCode>
                <c:ptCount val="3"/>
                <c:pt idx="0">
                  <c:v>0.7</c:v>
                </c:pt>
                <c:pt idx="1">
                  <c:v>7.1</c:v>
                </c:pt>
                <c:pt idx="2">
                  <c:v>16.5</c:v>
                </c:pt>
              </c:numCache>
            </c:numRef>
          </c:val>
          <c:extLst>
            <c:ext xmlns:c16="http://schemas.microsoft.com/office/drawing/2014/chart" uri="{C3380CC4-5D6E-409C-BE32-E72D297353CC}">
              <c16:uniqueId val="{00000001-45D5-468A-BF37-3C6F882A0F02}"/>
            </c:ext>
          </c:extLst>
        </c:ser>
        <c:dLbls>
          <c:dLblPos val="outEnd"/>
          <c:showLegendKey val="0"/>
          <c:showVal val="1"/>
          <c:showCatName val="0"/>
          <c:showSerName val="0"/>
          <c:showPercent val="0"/>
          <c:showBubbleSize val="0"/>
        </c:dLbls>
        <c:gapWidth val="219"/>
        <c:overlap val="-27"/>
        <c:axId val="1575506480"/>
        <c:axId val="1575507440"/>
      </c:barChart>
      <c:catAx>
        <c:axId val="1575506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507440"/>
        <c:crosses val="autoZero"/>
        <c:auto val="1"/>
        <c:lblAlgn val="ctr"/>
        <c:lblOffset val="100"/>
        <c:noMultiLvlLbl val="0"/>
      </c:catAx>
      <c:valAx>
        <c:axId val="15755074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5506480"/>
        <c:crosses val="autoZero"/>
        <c:crossBetween val="between"/>
      </c:valAx>
      <c:spPr>
        <a:noFill/>
        <a:ln>
          <a:noFill/>
        </a:ln>
        <a:effectLst/>
      </c:spPr>
    </c:plotArea>
    <c:legend>
      <c:legendPos val="t"/>
      <c:layout>
        <c:manualLayout>
          <c:xMode val="edge"/>
          <c:yMode val="edge"/>
          <c:x val="0.82179724409448818"/>
          <c:y val="3.4188034188034191E-2"/>
          <c:w val="0.14529418197725286"/>
          <c:h val="9.61545191466451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Sheet1!$B$15</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Sheet1!$A$16:$A$17</c:f>
              <c:strCache>
                <c:ptCount val="2"/>
                <c:pt idx="0">
                  <c:v>TOC </c:v>
                </c:pt>
                <c:pt idx="1">
                  <c:v>TON </c:v>
                </c:pt>
              </c:strCache>
            </c:strRef>
          </c:cat>
          <c:val>
            <c:numRef>
              <c:f>Sheet1!$B$16:$B$17</c:f>
              <c:numCache>
                <c:formatCode>General</c:formatCode>
                <c:ptCount val="2"/>
                <c:pt idx="0">
                  <c:v>2.1</c:v>
                </c:pt>
                <c:pt idx="1">
                  <c:v>0.2</c:v>
                </c:pt>
              </c:numCache>
            </c:numRef>
          </c:val>
          <c:extLst>
            <c:ext xmlns:c16="http://schemas.microsoft.com/office/drawing/2014/chart" uri="{C3380CC4-5D6E-409C-BE32-E72D297353CC}">
              <c16:uniqueId val="{00000000-EF2B-447E-8810-93F9BD663589}"/>
            </c:ext>
          </c:extLst>
        </c:ser>
        <c:ser>
          <c:idx val="1"/>
          <c:order val="1"/>
          <c:tx>
            <c:strRef>
              <c:f>Sheet1!$C$15</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Sheet1!$A$16:$A$17</c:f>
              <c:strCache>
                <c:ptCount val="2"/>
                <c:pt idx="0">
                  <c:v>TOC </c:v>
                </c:pt>
                <c:pt idx="1">
                  <c:v>TON </c:v>
                </c:pt>
              </c:strCache>
            </c:strRef>
          </c:cat>
          <c:val>
            <c:numRef>
              <c:f>Sheet1!$C$16:$C$17</c:f>
              <c:numCache>
                <c:formatCode>General</c:formatCode>
                <c:ptCount val="2"/>
                <c:pt idx="0">
                  <c:v>0.55000000000000004</c:v>
                </c:pt>
                <c:pt idx="1">
                  <c:v>0.4</c:v>
                </c:pt>
              </c:numCache>
            </c:numRef>
          </c:val>
          <c:extLst>
            <c:ext xmlns:c16="http://schemas.microsoft.com/office/drawing/2014/chart" uri="{C3380CC4-5D6E-409C-BE32-E72D297353CC}">
              <c16:uniqueId val="{00000001-EF2B-447E-8810-93F9BD663589}"/>
            </c:ext>
          </c:extLst>
        </c:ser>
        <c:dLbls>
          <c:dLblPos val="outEnd"/>
          <c:showLegendKey val="0"/>
          <c:showVal val="1"/>
          <c:showCatName val="0"/>
          <c:showSerName val="0"/>
          <c:showPercent val="0"/>
          <c:showBubbleSize val="0"/>
        </c:dLbls>
        <c:gapWidth val="219"/>
        <c:overlap val="-27"/>
        <c:axId val="1581493280"/>
        <c:axId val="1581494240"/>
      </c:barChart>
      <c:catAx>
        <c:axId val="1581493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94240"/>
        <c:crosses val="autoZero"/>
        <c:auto val="1"/>
        <c:lblAlgn val="ctr"/>
        <c:lblOffset val="100"/>
        <c:noMultiLvlLbl val="0"/>
      </c:catAx>
      <c:valAx>
        <c:axId val="1581494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1493280"/>
        <c:crosses val="autoZero"/>
        <c:crossBetween val="between"/>
      </c:valAx>
      <c:spPr>
        <a:noFill/>
        <a:ln>
          <a:noFill/>
        </a:ln>
        <a:effectLst/>
      </c:spPr>
    </c:plotArea>
    <c:legend>
      <c:legendPos val="t"/>
      <c:layout>
        <c:manualLayout>
          <c:xMode val="edge"/>
          <c:yMode val="edge"/>
          <c:x val="0.82504510276686505"/>
          <c:y val="2.2962112514351322E-2"/>
          <c:w val="0.14933877376676952"/>
          <c:h val="7.7497672148042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Sheet1!$B$22</c:f>
              <c:strCache>
                <c:ptCount val="1"/>
                <c:pt idx="0">
                  <c:v>URS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5"/>
                <c:pt idx="0">
                  <c:v>SO₄²⁻ (mg/kg)</c:v>
                </c:pt>
                <c:pt idx="2">
                  <c:v>NO₃⁻ (mg/kg)</c:v>
                </c:pt>
                <c:pt idx="4">
                  <c:v>PO₄³⁻ (mg/kg)</c:v>
                </c:pt>
              </c:strCache>
            </c:strRef>
          </c:cat>
          <c:val>
            <c:numRef>
              <c:f>Sheet1!$B$23:$B$28</c:f>
              <c:numCache>
                <c:formatCode>General</c:formatCode>
                <c:ptCount val="6"/>
                <c:pt idx="0">
                  <c:v>56.98</c:v>
                </c:pt>
                <c:pt idx="2">
                  <c:v>5.88</c:v>
                </c:pt>
                <c:pt idx="4">
                  <c:v>4.5999999999999996</c:v>
                </c:pt>
              </c:numCache>
            </c:numRef>
          </c:val>
          <c:extLst>
            <c:ext xmlns:c16="http://schemas.microsoft.com/office/drawing/2014/chart" uri="{C3380CC4-5D6E-409C-BE32-E72D297353CC}">
              <c16:uniqueId val="{00000000-6FD2-4E3A-965E-2DA614EEEB35}"/>
            </c:ext>
          </c:extLst>
        </c:ser>
        <c:ser>
          <c:idx val="1"/>
          <c:order val="1"/>
          <c:tx>
            <c:strRef>
              <c:f>Sheet1!$C$22</c:f>
              <c:strCache>
                <c:ptCount val="1"/>
                <c:pt idx="0">
                  <c:v>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Sheet1!$A$23:$A$28</c:f>
              <c:strCache>
                <c:ptCount val="5"/>
                <c:pt idx="0">
                  <c:v>SO₄²⁻ (mg/kg)</c:v>
                </c:pt>
                <c:pt idx="2">
                  <c:v>NO₃⁻ (mg/kg)</c:v>
                </c:pt>
                <c:pt idx="4">
                  <c:v>PO₄³⁻ (mg/kg)</c:v>
                </c:pt>
              </c:strCache>
            </c:strRef>
          </c:cat>
          <c:val>
            <c:numRef>
              <c:f>Sheet1!$C$23:$C$28</c:f>
              <c:numCache>
                <c:formatCode>General</c:formatCode>
                <c:ptCount val="6"/>
                <c:pt idx="0">
                  <c:v>66.3</c:v>
                </c:pt>
                <c:pt idx="2">
                  <c:v>23.4</c:v>
                </c:pt>
                <c:pt idx="4">
                  <c:v>10.7</c:v>
                </c:pt>
              </c:numCache>
            </c:numRef>
          </c:val>
          <c:extLst>
            <c:ext xmlns:c16="http://schemas.microsoft.com/office/drawing/2014/chart" uri="{C3380CC4-5D6E-409C-BE32-E72D297353CC}">
              <c16:uniqueId val="{00000001-6FD2-4E3A-965E-2DA614EEEB35}"/>
            </c:ext>
          </c:extLst>
        </c:ser>
        <c:dLbls>
          <c:dLblPos val="outEnd"/>
          <c:showLegendKey val="0"/>
          <c:showVal val="1"/>
          <c:showCatName val="0"/>
          <c:showSerName val="0"/>
          <c:showPercent val="0"/>
          <c:showBubbleSize val="0"/>
        </c:dLbls>
        <c:gapWidth val="219"/>
        <c:overlap val="-27"/>
        <c:axId val="928914016"/>
        <c:axId val="928915456"/>
      </c:barChart>
      <c:catAx>
        <c:axId val="92891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15456"/>
        <c:crosses val="autoZero"/>
        <c:auto val="1"/>
        <c:lblAlgn val="ctr"/>
        <c:lblOffset val="100"/>
        <c:noMultiLvlLbl val="0"/>
      </c:catAx>
      <c:valAx>
        <c:axId val="9289154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8914016"/>
        <c:crosses val="autoZero"/>
        <c:crossBetween val="between"/>
      </c:valAx>
      <c:spPr>
        <a:noFill/>
        <a:ln>
          <a:noFill/>
        </a:ln>
        <a:effectLst/>
      </c:spPr>
    </c:plotArea>
    <c:legend>
      <c:legendPos val="t"/>
      <c:layout>
        <c:manualLayout>
          <c:xMode val="edge"/>
          <c:yMode val="edge"/>
          <c:x val="0.84116899998505879"/>
          <c:y val="1.5384615384615385E-2"/>
          <c:w val="0.13233625682937641"/>
          <c:h val="6.49043004239854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Sheet1!$B$31</c:f>
              <c:strCache>
                <c:ptCount val="1"/>
                <c:pt idx="0">
                  <c:v>URS</c:v>
                </c:pt>
              </c:strCache>
            </c:strRef>
          </c:tx>
          <c:spPr>
            <a:solidFill>
              <a:schemeClr val="accent1"/>
            </a:solidFill>
            <a:ln>
              <a:noFill/>
            </a:ln>
            <a:effectLst/>
          </c:spPr>
          <c:invertIfNegative val="0"/>
          <c:cat>
            <c:strRef>
              <c:f>Sheet1!$A$32:$A$39</c:f>
              <c:strCache>
                <c:ptCount val="7"/>
                <c:pt idx="0">
                  <c:v>Bulk density (g/cm³)</c:v>
                </c:pt>
                <c:pt idx="2">
                  <c:v>Water retention capacity</c:v>
                </c:pt>
                <c:pt idx="4">
                  <c:v>Soil compaction</c:v>
                </c:pt>
                <c:pt idx="6">
                  <c:v>CEC (cmol/kg)</c:v>
                </c:pt>
              </c:strCache>
            </c:strRef>
          </c:cat>
          <c:val>
            <c:numRef>
              <c:f>Sheet1!$B$32:$B$39</c:f>
              <c:numCache>
                <c:formatCode>General</c:formatCode>
                <c:ptCount val="8"/>
                <c:pt idx="0">
                  <c:v>7.59</c:v>
                </c:pt>
                <c:pt idx="2">
                  <c:v>0.375</c:v>
                </c:pt>
                <c:pt idx="4">
                  <c:v>12.1</c:v>
                </c:pt>
                <c:pt idx="6">
                  <c:v>5.0999999999999996</c:v>
                </c:pt>
              </c:numCache>
            </c:numRef>
          </c:val>
          <c:extLst>
            <c:ext xmlns:c16="http://schemas.microsoft.com/office/drawing/2014/chart" uri="{C3380CC4-5D6E-409C-BE32-E72D297353CC}">
              <c16:uniqueId val="{00000000-50E4-49FE-880F-17B8D61E0BF5}"/>
            </c:ext>
          </c:extLst>
        </c:ser>
        <c:ser>
          <c:idx val="1"/>
          <c:order val="1"/>
          <c:tx>
            <c:strRef>
              <c:f>Sheet1!$C$31</c:f>
              <c:strCache>
                <c:ptCount val="1"/>
                <c:pt idx="0">
                  <c:v>RS</c:v>
                </c:pt>
              </c:strCache>
            </c:strRef>
          </c:tx>
          <c:spPr>
            <a:solidFill>
              <a:schemeClr val="accent2"/>
            </a:solidFill>
            <a:ln>
              <a:noFill/>
            </a:ln>
            <a:effectLst/>
          </c:spPr>
          <c:invertIfNegative val="0"/>
          <c:cat>
            <c:strRef>
              <c:f>Sheet1!$A$32:$A$39</c:f>
              <c:strCache>
                <c:ptCount val="7"/>
                <c:pt idx="0">
                  <c:v>Bulk density (g/cm³)</c:v>
                </c:pt>
                <c:pt idx="2">
                  <c:v>Water retention capacity</c:v>
                </c:pt>
                <c:pt idx="4">
                  <c:v>Soil compaction</c:v>
                </c:pt>
                <c:pt idx="6">
                  <c:v>CEC (cmol/kg)</c:v>
                </c:pt>
              </c:strCache>
            </c:strRef>
          </c:cat>
          <c:val>
            <c:numRef>
              <c:f>Sheet1!$C$32:$C$39</c:f>
              <c:numCache>
                <c:formatCode>General</c:formatCode>
                <c:ptCount val="8"/>
                <c:pt idx="0">
                  <c:v>5.24</c:v>
                </c:pt>
                <c:pt idx="2">
                  <c:v>0.433</c:v>
                </c:pt>
                <c:pt idx="4">
                  <c:v>45.8</c:v>
                </c:pt>
                <c:pt idx="6">
                  <c:v>18.5</c:v>
                </c:pt>
              </c:numCache>
            </c:numRef>
          </c:val>
          <c:extLst>
            <c:ext xmlns:c16="http://schemas.microsoft.com/office/drawing/2014/chart" uri="{C3380CC4-5D6E-409C-BE32-E72D297353CC}">
              <c16:uniqueId val="{00000001-50E4-49FE-880F-17B8D61E0BF5}"/>
            </c:ext>
          </c:extLst>
        </c:ser>
        <c:dLbls>
          <c:showLegendKey val="0"/>
          <c:showVal val="0"/>
          <c:showCatName val="0"/>
          <c:showSerName val="0"/>
          <c:showPercent val="0"/>
          <c:showBubbleSize val="0"/>
        </c:dLbls>
        <c:gapWidth val="182"/>
        <c:axId val="1557642336"/>
        <c:axId val="1557644736"/>
      </c:barChart>
      <c:catAx>
        <c:axId val="1557642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644736"/>
        <c:crosses val="autoZero"/>
        <c:auto val="1"/>
        <c:lblAlgn val="ctr"/>
        <c:lblOffset val="100"/>
        <c:noMultiLvlLbl val="0"/>
      </c:catAx>
      <c:valAx>
        <c:axId val="15576447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642336"/>
        <c:crosses val="autoZero"/>
        <c:crossBetween val="between"/>
      </c:valAx>
      <c:spPr>
        <a:noFill/>
        <a:ln>
          <a:noFill/>
        </a:ln>
        <a:effectLst/>
      </c:spPr>
    </c:plotArea>
    <c:legend>
      <c:legendPos val="t"/>
      <c:layout>
        <c:manualLayout>
          <c:xMode val="edge"/>
          <c:yMode val="edge"/>
          <c:x val="0.80513057742782146"/>
          <c:y val="2.3148148148148147E-2"/>
          <c:w val="0.1452941819772528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Sheet2!$H$2</c:f>
              <c:strCache>
                <c:ptCount val="1"/>
                <c:pt idx="0">
                  <c:v>Weighted Score (W-RS)</c:v>
                </c:pt>
              </c:strCache>
            </c:strRef>
          </c:tx>
          <c:spPr>
            <a:solidFill>
              <a:schemeClr val="accent1"/>
            </a:solidFill>
            <a:ln>
              <a:noFill/>
            </a:ln>
            <a:effectLst/>
          </c:spPr>
          <c:invertIfNegative val="0"/>
          <c:cat>
            <c:strRef>
              <c:f>Sheet2!$A$3:$A$20</c:f>
              <c:strCache>
                <c:ptCount val="18"/>
                <c:pt idx="0">
                  <c:v>Bacteria</c:v>
                </c:pt>
                <c:pt idx="1">
                  <c:v>Fungi</c:v>
                </c:pt>
                <c:pt idx="2">
                  <c:v>Dehydrogenase</c:v>
                </c:pt>
                <c:pt idx="3">
                  <c:v>Urease</c:v>
                </c:pt>
                <c:pt idx="4">
                  <c:v>Phosphatase</c:v>
                </c:pt>
                <c:pt idx="5">
                  <c:v>pH</c:v>
                </c:pt>
                <c:pt idx="6">
                  <c:v>TOC</c:v>
                </c:pt>
                <c:pt idx="7">
                  <c:v>TON</c:v>
                </c:pt>
                <c:pt idx="8">
                  <c:v>SO₄² </c:v>
                </c:pt>
                <c:pt idx="10">
                  <c:v>NO₃⁻ </c:v>
                </c:pt>
                <c:pt idx="12">
                  <c:v>PO₄³ </c:v>
                </c:pt>
                <c:pt idx="14">
                  <c:v>Bulk Density</c:v>
                </c:pt>
                <c:pt idx="15">
                  <c:v>Water Retention</c:v>
                </c:pt>
                <c:pt idx="16">
                  <c:v>Soil Compaction</c:v>
                </c:pt>
                <c:pt idx="17">
                  <c:v>CEC</c:v>
                </c:pt>
              </c:strCache>
            </c:strRef>
          </c:cat>
          <c:val>
            <c:numRef>
              <c:f>Sheet2!$H$3:$H$20</c:f>
              <c:numCache>
                <c:formatCode>General</c:formatCode>
                <c:ptCount val="18"/>
                <c:pt idx="0">
                  <c:v>6.6E-3</c:v>
                </c:pt>
                <c:pt idx="1">
                  <c:v>7.7000000000000002E-3</c:v>
                </c:pt>
                <c:pt idx="2">
                  <c:v>1.7899999999999999E-2</c:v>
                </c:pt>
                <c:pt idx="3">
                  <c:v>1.6899999999999998E-2</c:v>
                </c:pt>
                <c:pt idx="4">
                  <c:v>1.9900000000000001E-2</c:v>
                </c:pt>
                <c:pt idx="5">
                  <c:v>6.6600000000000006E-2</c:v>
                </c:pt>
                <c:pt idx="6">
                  <c:v>1.7399999999999999E-2</c:v>
                </c:pt>
                <c:pt idx="7">
                  <c:v>6.6600000000000006E-2</c:v>
                </c:pt>
                <c:pt idx="8">
                  <c:v>6.6600000000000006E-2</c:v>
                </c:pt>
                <c:pt idx="10">
                  <c:v>6.6600000000000006E-2</c:v>
                </c:pt>
                <c:pt idx="12">
                  <c:v>6.6600000000000006E-2</c:v>
                </c:pt>
                <c:pt idx="14">
                  <c:v>6.6600000000000006E-2</c:v>
                </c:pt>
                <c:pt idx="15">
                  <c:v>6.6600000000000006E-2</c:v>
                </c:pt>
                <c:pt idx="16">
                  <c:v>1.7600000000000001E-2</c:v>
                </c:pt>
                <c:pt idx="17">
                  <c:v>6.6600000000000006E-2</c:v>
                </c:pt>
              </c:numCache>
            </c:numRef>
          </c:val>
          <c:extLst>
            <c:ext xmlns:c16="http://schemas.microsoft.com/office/drawing/2014/chart" uri="{C3380CC4-5D6E-409C-BE32-E72D297353CC}">
              <c16:uniqueId val="{00000000-55A0-4260-9153-986995BD1401}"/>
            </c:ext>
          </c:extLst>
        </c:ser>
        <c:ser>
          <c:idx val="1"/>
          <c:order val="1"/>
          <c:tx>
            <c:strRef>
              <c:f>Sheet2!$I$2</c:f>
              <c:strCache>
                <c:ptCount val="1"/>
                <c:pt idx="0">
                  <c:v>Weighted Score (W-URS)</c:v>
                </c:pt>
              </c:strCache>
            </c:strRef>
          </c:tx>
          <c:spPr>
            <a:solidFill>
              <a:schemeClr val="accent2"/>
            </a:solidFill>
            <a:ln>
              <a:noFill/>
            </a:ln>
            <a:effectLst/>
          </c:spPr>
          <c:invertIfNegative val="0"/>
          <c:cat>
            <c:strRef>
              <c:f>Sheet2!$A$3:$A$20</c:f>
              <c:strCache>
                <c:ptCount val="18"/>
                <c:pt idx="0">
                  <c:v>Bacteria</c:v>
                </c:pt>
                <c:pt idx="1">
                  <c:v>Fungi</c:v>
                </c:pt>
                <c:pt idx="2">
                  <c:v>Dehydrogenase</c:v>
                </c:pt>
                <c:pt idx="3">
                  <c:v>Urease</c:v>
                </c:pt>
                <c:pt idx="4">
                  <c:v>Phosphatase</c:v>
                </c:pt>
                <c:pt idx="5">
                  <c:v>pH</c:v>
                </c:pt>
                <c:pt idx="6">
                  <c:v>TOC</c:v>
                </c:pt>
                <c:pt idx="7">
                  <c:v>TON</c:v>
                </c:pt>
                <c:pt idx="8">
                  <c:v>SO₄² </c:v>
                </c:pt>
                <c:pt idx="10">
                  <c:v>NO₃⁻ </c:v>
                </c:pt>
                <c:pt idx="12">
                  <c:v>PO₄³ </c:v>
                </c:pt>
                <c:pt idx="14">
                  <c:v>Bulk Density</c:v>
                </c:pt>
                <c:pt idx="15">
                  <c:v>Water Retention</c:v>
                </c:pt>
                <c:pt idx="16">
                  <c:v>Soil Compaction</c:v>
                </c:pt>
                <c:pt idx="17">
                  <c:v>CEC</c:v>
                </c:pt>
              </c:strCache>
            </c:strRef>
          </c:cat>
          <c:val>
            <c:numRef>
              <c:f>Sheet2!$I$3:$I$20</c:f>
              <c:numCache>
                <c:formatCode>General</c:formatCode>
                <c:ptCount val="18"/>
                <c:pt idx="0">
                  <c:v>6.6600000000000006E-2</c:v>
                </c:pt>
                <c:pt idx="1">
                  <c:v>6.6600000000000006E-2</c:v>
                </c:pt>
                <c:pt idx="2">
                  <c:v>6.6600000000000006E-2</c:v>
                </c:pt>
                <c:pt idx="3">
                  <c:v>6.6600000000000006E-2</c:v>
                </c:pt>
                <c:pt idx="4">
                  <c:v>6.6600000000000006E-2</c:v>
                </c:pt>
                <c:pt idx="5">
                  <c:v>6.6600000000000006E-2</c:v>
                </c:pt>
                <c:pt idx="6">
                  <c:v>6.6600000000000006E-2</c:v>
                </c:pt>
                <c:pt idx="7">
                  <c:v>3.3300000000000003E-2</c:v>
                </c:pt>
                <c:pt idx="8">
                  <c:v>5.7200000000000001E-2</c:v>
                </c:pt>
                <c:pt idx="10">
                  <c:v>2.86E-2</c:v>
                </c:pt>
                <c:pt idx="12">
                  <c:v>1.67E-2</c:v>
                </c:pt>
                <c:pt idx="14">
                  <c:v>4.5900000000000003E-2</c:v>
                </c:pt>
                <c:pt idx="15">
                  <c:v>5.7700000000000001E-2</c:v>
                </c:pt>
                <c:pt idx="16">
                  <c:v>6.6600000000000006E-2</c:v>
                </c:pt>
                <c:pt idx="17">
                  <c:v>1.84E-2</c:v>
                </c:pt>
              </c:numCache>
            </c:numRef>
          </c:val>
          <c:extLst>
            <c:ext xmlns:c16="http://schemas.microsoft.com/office/drawing/2014/chart" uri="{C3380CC4-5D6E-409C-BE32-E72D297353CC}">
              <c16:uniqueId val="{00000001-55A0-4260-9153-986995BD1401}"/>
            </c:ext>
          </c:extLst>
        </c:ser>
        <c:dLbls>
          <c:showLegendKey val="0"/>
          <c:showVal val="0"/>
          <c:showCatName val="0"/>
          <c:showSerName val="0"/>
          <c:showPercent val="0"/>
          <c:showBubbleSize val="0"/>
        </c:dLbls>
        <c:gapWidth val="219"/>
        <c:overlap val="-27"/>
        <c:axId val="1568253936"/>
        <c:axId val="1568257776"/>
      </c:barChart>
      <c:catAx>
        <c:axId val="156825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57776"/>
        <c:crosses val="autoZero"/>
        <c:auto val="1"/>
        <c:lblAlgn val="ctr"/>
        <c:lblOffset val="100"/>
        <c:noMultiLvlLbl val="0"/>
      </c:catAx>
      <c:valAx>
        <c:axId val="15682577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253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4374</Words>
  <Characters>24933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Prosper Ezekiel</dc:creator>
  <cp:lastModifiedBy>SDI 1166</cp:lastModifiedBy>
  <cp:revision>7</cp:revision>
  <dcterms:created xsi:type="dcterms:W3CDTF">2026-05-28T09:13:00Z</dcterms:created>
  <dcterms:modified xsi:type="dcterms:W3CDTF">2026-06-06T13:42:00Z</dcterms:modified>
</cp:coreProperties>
</file>