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DB0167" w14:textId="77777777" w:rsidR="003770AC" w:rsidRDefault="00D735CB">
      <w:pPr>
        <w:pStyle w:val="Heading1"/>
        <w:keepNext w:val="0"/>
        <w:keepLines w:val="0"/>
        <w:spacing w:after="120" w:line="360" w:lineRule="auto"/>
        <w:jc w:val="both"/>
        <w:rPr>
          <w:rFonts w:ascii="Times New Roman" w:eastAsia="Times New Roman" w:hAnsi="Times New Roman" w:cs="Times New Roman"/>
          <w:color w:val="000000"/>
          <w:sz w:val="24"/>
          <w:szCs w:val="24"/>
        </w:rPr>
      </w:pPr>
      <w:bookmarkStart w:id="0" w:name="_heading=h.uy8vxankdlo3" w:colFirst="0" w:colLast="0"/>
      <w:bookmarkEnd w:id="0"/>
      <w:r>
        <w:rPr>
          <w:rFonts w:ascii="Times New Roman" w:eastAsia="Times New Roman" w:hAnsi="Times New Roman" w:cs="Times New Roman"/>
          <w:color w:val="000000"/>
          <w:sz w:val="24"/>
          <w:szCs w:val="24"/>
        </w:rPr>
        <w:t>Green Economics and Household Consumption in Maharashtra (2024–2025)</w:t>
      </w:r>
    </w:p>
    <w:p w14:paraId="7AD1B829" w14:textId="77777777" w:rsidR="00DF4F20" w:rsidRPr="00DF4F20" w:rsidRDefault="00DF4F20" w:rsidP="00DF4F20"/>
    <w:p w14:paraId="612FCEE9" w14:textId="77777777" w:rsidR="003770AC" w:rsidRDefault="003770AC">
      <w:bookmarkStart w:id="1" w:name="_heading=h.b6o3f2ebc1x3" w:colFirst="0" w:colLast="0"/>
      <w:bookmarkEnd w:id="1"/>
    </w:p>
    <w:p w14:paraId="005096F6" w14:textId="77777777" w:rsidR="00544862" w:rsidRDefault="00544862"/>
    <w:p w14:paraId="367E075E" w14:textId="77777777" w:rsidR="006E4EA8" w:rsidRDefault="006E4EA8"/>
    <w:p w14:paraId="02219E16" w14:textId="77777777" w:rsidR="003770AC" w:rsidRDefault="00D735CB">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5EBA5282"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Comparative data for March 2024 and March 2025 is used to </w:t>
      </w:r>
      <w:proofErr w:type="spellStart"/>
      <w:r>
        <w:rPr>
          <w:rFonts w:ascii="Times New Roman" w:eastAsia="Times New Roman" w:hAnsi="Times New Roman" w:cs="Times New Roman"/>
          <w:sz w:val="24"/>
          <w:szCs w:val="24"/>
        </w:rPr>
        <w:t>analyse</w:t>
      </w:r>
      <w:proofErr w:type="spellEnd"/>
      <w:r>
        <w:rPr>
          <w:rFonts w:ascii="Times New Roman" w:eastAsia="Times New Roman" w:hAnsi="Times New Roman" w:cs="Times New Roman"/>
          <w:sz w:val="24"/>
          <w:szCs w:val="24"/>
        </w:rPr>
        <w:t xml:space="preserve"> the household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from the perspective of Green Economics and Sustainable Development in Maharashtra. The study examines the connection between income, food expenditure, health expenditure, leisure expenditure, recreation spending, restaurant spending and vacation spending and how these determine sustainable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The data is secondary data from Centre for Monitoring Indian Economy (CMIE) Consumer Pyramids Household Survey (CPHS). The research methodology used are descriptive statistics, comparative analysis, correlation matrix, Chi-square association, OLS regression and conceptual Structural Equation Modelling (SEM).</w:t>
      </w:r>
    </w:p>
    <w:p w14:paraId="2CFC3EFD"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results reveal that increases in household income are significantly associated with an increase in expenditure, especially food consumption, among the households. But too much discretionary and lifestyle spending has negative impacts on sustainability orientation. Expenditure on food and health has a positive impact on sustainable development practices and expenditure on leisure and luxury has a negative impact on sustainable development indicators. The Green Economics Sustainability Index that was created for this study shows that homes which spend in a balanced and </w:t>
      </w:r>
      <w:proofErr w:type="gramStart"/>
      <w:r>
        <w:rPr>
          <w:rFonts w:ascii="Times New Roman" w:eastAsia="Times New Roman" w:hAnsi="Times New Roman" w:cs="Times New Roman"/>
          <w:sz w:val="24"/>
          <w:szCs w:val="24"/>
        </w:rPr>
        <w:t>welfare oriented</w:t>
      </w:r>
      <w:proofErr w:type="gramEnd"/>
      <w:r>
        <w:rPr>
          <w:rFonts w:ascii="Times New Roman" w:eastAsia="Times New Roman" w:hAnsi="Times New Roman" w:cs="Times New Roman"/>
          <w:sz w:val="24"/>
          <w:szCs w:val="24"/>
        </w:rPr>
        <w:t xml:space="preserve"> way possess a higher sustainability orientation.</w:t>
      </w:r>
    </w:p>
    <w:p w14:paraId="640940C2"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comparative analysis with 2025 shows that although income and expenditure has increased, the sustainability index has decreased slightly because of the rise in lifestyle-related consumption. The study adds to the body of literature on Green Economics and </w:t>
      </w:r>
      <w:r>
        <w:rPr>
          <w:rFonts w:ascii="Times New Roman" w:eastAsia="Times New Roman" w:hAnsi="Times New Roman" w:cs="Times New Roman"/>
          <w:sz w:val="24"/>
          <w:szCs w:val="24"/>
        </w:rPr>
        <w:lastRenderedPageBreak/>
        <w:t>household sustainability by combining the concepts of sustainability with the econometric analysis based on the household level in the state of Maharashtra.</w:t>
      </w:r>
    </w:p>
    <w:p w14:paraId="52062BF1"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Green Economics, Sustainable Development, Household Consumption, Sustainability Index, OLS Regression, Maharashtra, CPHS.</w:t>
      </w:r>
    </w:p>
    <w:p w14:paraId="51D091BE" w14:textId="77777777" w:rsidR="003770AC" w:rsidRPr="008E581A" w:rsidRDefault="00D735CB">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14:paraId="49741405"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past few years, the concern for degradation of environment, climate change, depletion of natural resources and unsustainable consumption pattern has been the concern and has given rise to Green Economics as an important field of economic thought. The Green Economics focuses on sustainable development, responsible use of resources, environment protection, social welfare and economic stability in the long term. It promotes a development paradigm that involves a harmonious development between economy and ecology and human welfare. In this context, it is important to note that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of households directly affects the systems of production, utilization of resources, choice of health and healthcare services, environmental sustainability and social welfare.</w:t>
      </w:r>
    </w:p>
    <w:p w14:paraId="0530D02C"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Household consumption is tightly linked with sustainable development, as it is a reflection of the distribution of resources between the essential and not essential items and services. Spending on food and on activities that provide medical care and welfare are positive aspects of human development and quality of life, but spending on luxury-oriented and environmentally intensive activities can lead to unsustainable consumption. Thus, a study of household spending based on the concept of Green Economics facilitates in knowing the connection between economic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environmental responsibility and social welfare.</w:t>
      </w:r>
    </w:p>
    <w:p w14:paraId="3CAEDEFB" w14:textId="77777777" w:rsidR="003770AC" w:rsidRDefault="003770AC">
      <w:pPr>
        <w:spacing w:before="240" w:after="240" w:line="360" w:lineRule="auto"/>
        <w:jc w:val="both"/>
        <w:rPr>
          <w:rFonts w:ascii="Times New Roman" w:eastAsia="Times New Roman" w:hAnsi="Times New Roman" w:cs="Times New Roman"/>
          <w:sz w:val="24"/>
          <w:szCs w:val="24"/>
        </w:rPr>
      </w:pPr>
    </w:p>
    <w:p w14:paraId="1BAD2977"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global COVID-19 pandemic resulted in a significant shift in economic activity and in household expenditure patterns. Households reallocated funds to essentials like food and health care during the pandemic due to economic uncertainty, income instability, mobility restrictions, and increasing health concerns. Spending on leisure activities such as recreation, restaurants and vacations dropped significantly during this period. During the </w:t>
      </w:r>
      <w:r>
        <w:rPr>
          <w:rFonts w:ascii="Times New Roman" w:eastAsia="Times New Roman" w:hAnsi="Times New Roman" w:cs="Times New Roman"/>
          <w:sz w:val="24"/>
          <w:szCs w:val="24"/>
        </w:rPr>
        <w:lastRenderedPageBreak/>
        <w:t xml:space="preserve">post-pandemic period, however, the pattern of household consumption has slowly shifted to more lifestyle-related, with more expenditure on leisure and non-essential consumption. These changes in expenditure priorities have important implications for sustainability and responsible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w:t>
      </w:r>
    </w:p>
    <w:p w14:paraId="5D1C6B62"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state of Maharashtra is a good context to understand sustainable household expenditure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due to its high </w:t>
      </w:r>
      <w:proofErr w:type="spellStart"/>
      <w:r>
        <w:rPr>
          <w:rFonts w:ascii="Times New Roman" w:eastAsia="Times New Roman" w:hAnsi="Times New Roman" w:cs="Times New Roman"/>
          <w:sz w:val="24"/>
          <w:szCs w:val="24"/>
        </w:rPr>
        <w:t>urbanisation</w:t>
      </w:r>
      <w:proofErr w:type="spellEnd"/>
      <w:r>
        <w:rPr>
          <w:rFonts w:ascii="Times New Roman" w:eastAsia="Times New Roman" w:hAnsi="Times New Roman" w:cs="Times New Roman"/>
          <w:sz w:val="24"/>
          <w:szCs w:val="24"/>
        </w:rPr>
        <w:t xml:space="preserve"> rate, economic diversity, demographic variation, and regional variation. There are significant differences between consumption patterns in rural and urban areas, income groups, education groups, occupational groups and family groups. Thus, the study of expenditure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in Maharashtra could give valuable insights into the practice of sustainable development and consumption patterns for welfare in a fast-growing economy.</w:t>
      </w:r>
    </w:p>
    <w:p w14:paraId="26506E70"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w:t>
      </w:r>
      <w:proofErr w:type="spellStart"/>
      <w:r>
        <w:rPr>
          <w:rFonts w:ascii="Times New Roman" w:eastAsia="Times New Roman" w:hAnsi="Times New Roman" w:cs="Times New Roman"/>
          <w:sz w:val="24"/>
          <w:szCs w:val="24"/>
        </w:rPr>
        <w:t>analyse</w:t>
      </w:r>
      <w:proofErr w:type="spellEnd"/>
      <w:r>
        <w:rPr>
          <w:rFonts w:ascii="Times New Roman" w:eastAsia="Times New Roman" w:hAnsi="Times New Roman" w:cs="Times New Roman"/>
          <w:sz w:val="24"/>
          <w:szCs w:val="24"/>
        </w:rPr>
        <w:t xml:space="preserve"> the relationship between household income, food expenditure, leisure expenditure, recreation expenditure, restaurant expenditure, vacation expenditure, health expenditure, and the orientation towards sustainability, the present study uses data from Consumer Pyramids Household Survey (CPHS) for March 2024 and March 2025. The study also creates a Green Economics Sustainability Index in order to assess the sustainable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and the oriented expenditure towards welfare.</w:t>
      </w:r>
    </w:p>
    <w:p w14:paraId="76A97E60"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is important because it brings together the theoretical approach of Green Economics and the statistical approach. Household expenditure patterns and sustainability relationships are analyzed using various analytical tools including descriptive statistics, correlation analysis, Chi-square tests, Ordinary Least Squares (OLS) regression and conceptual Structural Equation Modelling (SEM). The combination of sustainability ideas and econometric and statistical approaches gives a holistic understanding of the shift in household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in the post-pandemic recovery phase.</w:t>
      </w:r>
    </w:p>
    <w:p w14:paraId="5F6211D9"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need for this study arises from the increasing significance of sustainable development and the need to understand expenditure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from a sustainable development perspective. The trends of </w:t>
      </w:r>
      <w:proofErr w:type="spellStart"/>
      <w:r>
        <w:rPr>
          <w:rFonts w:ascii="Times New Roman" w:eastAsia="Times New Roman" w:hAnsi="Times New Roman" w:cs="Times New Roman"/>
          <w:sz w:val="24"/>
          <w:szCs w:val="24"/>
        </w:rPr>
        <w:t>urbanisation</w:t>
      </w:r>
      <w:proofErr w:type="spellEnd"/>
      <w:r>
        <w:rPr>
          <w:rFonts w:ascii="Times New Roman" w:eastAsia="Times New Roman" w:hAnsi="Times New Roman" w:cs="Times New Roman"/>
          <w:sz w:val="24"/>
          <w:szCs w:val="24"/>
        </w:rPr>
        <w:t>, lifestyle changes, rising healthcare costs, technological growth and economic recovery from the pandemic have significantly impacted Indian consumption. The changes have heightened fears about over-</w:t>
      </w:r>
      <w:r>
        <w:rPr>
          <w:rFonts w:ascii="Times New Roman" w:eastAsia="Times New Roman" w:hAnsi="Times New Roman" w:cs="Times New Roman"/>
          <w:sz w:val="24"/>
          <w:szCs w:val="24"/>
        </w:rPr>
        <w:lastRenderedPageBreak/>
        <w:t xml:space="preserve">consumption, environmental pressures and inequities in access to welfare-enhancing resources. It is then important to assess the implications for social welfare, environmental sustainability and future economic security of the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of household expenditure.</w:t>
      </w:r>
    </w:p>
    <w:p w14:paraId="50539E1A"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link between household consumption and sustainable development has been pointed out by some researchers. In his book, The Global Ethics of Technology, published in 2017, Tim Jackson proposed that modern economies need to shift away from the growth driven by consumption to a commitment to "sustainable welfare", and "</w:t>
      </w:r>
      <w:proofErr w:type="spellStart"/>
      <w:r>
        <w:rPr>
          <w:rFonts w:ascii="Times New Roman" w:eastAsia="Times New Roman" w:hAnsi="Times New Roman" w:cs="Times New Roman"/>
          <w:sz w:val="24"/>
          <w:szCs w:val="24"/>
        </w:rPr>
        <w:t>well being</w:t>
      </w:r>
      <w:proofErr w:type="spellEnd"/>
      <w:r>
        <w:rPr>
          <w:rFonts w:ascii="Times New Roman" w:eastAsia="Times New Roman" w:hAnsi="Times New Roman" w:cs="Times New Roman"/>
          <w:sz w:val="24"/>
          <w:szCs w:val="24"/>
        </w:rPr>
        <w:t xml:space="preserve"> in the long term". Herman Daly (2020) emphasized the need for economy and ecology to become balanced, emphasizing the need to use resources responsibly. The United Nations Development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(2022) and the United Nations Environment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(2024) also bring to light the significance of responsible consumption and effective resource management on a global scale, underlining SDG 12 on Sustainable Consumption and Production.</w:t>
      </w:r>
    </w:p>
    <w:p w14:paraId="32E53758"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Kumar and Sharma (2021) noted that rise in disposable income in developing countries usually results in increment of non-essential spending which is a negative effect on sustainable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Bose (2023) found that the expenditure on welfare, food, and healthcare is positively associated with sustainable welfare while luxury expenditure is negatively associated with environmental sustainability. Sen (2020) considered expenditure on health as an investment in human capability and sustainable development. Likewise, Stiglitz, Sen and Fitoussi (2021) suggested multi-dimensional welfare measures beyond GDP and include sustainability and quality of life measures.</w:t>
      </w:r>
    </w:p>
    <w:p w14:paraId="1E88F407"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Structural Equation Modelling (SEM) was suggested as a valuable method for </w:t>
      </w:r>
      <w:proofErr w:type="spellStart"/>
      <w:r>
        <w:rPr>
          <w:rFonts w:ascii="Times New Roman" w:eastAsia="Times New Roman" w:hAnsi="Times New Roman" w:cs="Times New Roman"/>
          <w:sz w:val="24"/>
          <w:szCs w:val="24"/>
        </w:rPr>
        <w:t>analysing</w:t>
      </w:r>
      <w:proofErr w:type="spellEnd"/>
      <w:r>
        <w:rPr>
          <w:rFonts w:ascii="Times New Roman" w:eastAsia="Times New Roman" w:hAnsi="Times New Roman" w:cs="Times New Roman"/>
          <w:sz w:val="24"/>
          <w:szCs w:val="24"/>
        </w:rPr>
        <w:t xml:space="preserve"> latent constructs of sustainability and expenditure relationships from the methodological perspective by Byrne (2022). The studies done in Maharashtra too give an insight into the sustainable expenditure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From this study, </w:t>
      </w:r>
      <w:proofErr w:type="spellStart"/>
      <w:r>
        <w:rPr>
          <w:rFonts w:ascii="Times New Roman" w:eastAsia="Times New Roman" w:hAnsi="Times New Roman" w:cs="Times New Roman"/>
          <w:sz w:val="24"/>
          <w:szCs w:val="24"/>
        </w:rPr>
        <w:t>Jagannarayan</w:t>
      </w:r>
      <w:proofErr w:type="spellEnd"/>
      <w:r>
        <w:rPr>
          <w:rFonts w:ascii="Times New Roman" w:eastAsia="Times New Roman" w:hAnsi="Times New Roman" w:cs="Times New Roman"/>
          <w:sz w:val="24"/>
          <w:szCs w:val="24"/>
        </w:rPr>
        <w:t xml:space="preserve"> and Prasuna (2024) found that female headed households with welfare-oriented expenditures are beneficial to sustainable household behaviors. A separate study conducted by </w:t>
      </w:r>
      <w:proofErr w:type="spellStart"/>
      <w:r>
        <w:rPr>
          <w:rFonts w:ascii="Times New Roman" w:eastAsia="Times New Roman" w:hAnsi="Times New Roman" w:cs="Times New Roman"/>
          <w:sz w:val="24"/>
          <w:szCs w:val="24"/>
        </w:rPr>
        <w:t>Jagannarayan</w:t>
      </w:r>
      <w:proofErr w:type="spellEnd"/>
      <w:r>
        <w:rPr>
          <w:rFonts w:ascii="Times New Roman" w:eastAsia="Times New Roman" w:hAnsi="Times New Roman" w:cs="Times New Roman"/>
          <w:sz w:val="24"/>
          <w:szCs w:val="24"/>
        </w:rPr>
        <w:t xml:space="preserve"> (2024) showed that post-pandemic households in Maharashtra had more food and health care expenditures due to their heightened focus on welfare and health security.</w:t>
      </w:r>
    </w:p>
    <w:p w14:paraId="070667D8"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While there is a lot of literature available on sustainability and household expenditure, very little research has combined the concepts of Green Economics with the advanced econometric approach to the analysis of household expenditure patterns in Maharashtra. The present study tries to address this research gap by integrating sustainability approach in economic theory with empirical statistical analysis to investigate expenditure behavior among households in the post-pandemic period. The objectives of the study are to </w:t>
      </w:r>
      <w:proofErr w:type="spellStart"/>
      <w:r>
        <w:rPr>
          <w:rFonts w:ascii="Times New Roman" w:eastAsia="Times New Roman" w:hAnsi="Times New Roman" w:cs="Times New Roman"/>
          <w:sz w:val="24"/>
          <w:szCs w:val="24"/>
        </w:rPr>
        <w:t>analyse</w:t>
      </w:r>
      <w:proofErr w:type="spellEnd"/>
      <w:r>
        <w:rPr>
          <w:rFonts w:ascii="Times New Roman" w:eastAsia="Times New Roman" w:hAnsi="Times New Roman" w:cs="Times New Roman"/>
          <w:sz w:val="24"/>
          <w:szCs w:val="24"/>
        </w:rPr>
        <w:t xml:space="preserve"> household expenditure pattern in the context of Green Economics, to compare the indicators of Sustainable Development goal 2024 and 2025, to investigate the relationship between the demographic characteristics of the household and expenditure variables from sustainable development, and to determine the determinants of sustainable household expenditure with OLS regression analysis.</w:t>
      </w:r>
    </w:p>
    <w:p w14:paraId="1BCA7EE5" w14:textId="77777777" w:rsidR="003770AC" w:rsidRDefault="00D735CB">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Research Methodology</w:t>
      </w:r>
    </w:p>
    <w:p w14:paraId="4272DE39"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 used for the study has been sourced from the Centre for Monitoring Indian Economy's Consumer Pyramids Household Survey (CPHS) and is secondary data. This analysis is based on the household expenditure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during March 2024 and March 2025 in Maharashtra.</w:t>
      </w:r>
    </w:p>
    <w:p w14:paraId="4BC4120A" w14:textId="77777777" w:rsidR="003770AC" w:rsidRDefault="00D735CB">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Variables Used in the Study</w:t>
      </w:r>
    </w:p>
    <w:p w14:paraId="3BF4E199"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Dependent </w:t>
      </w:r>
      <w:proofErr w:type="gramStart"/>
      <w:r>
        <w:rPr>
          <w:rFonts w:ascii="Times New Roman" w:eastAsia="Times New Roman" w:hAnsi="Times New Roman" w:cs="Times New Roman"/>
          <w:b/>
          <w:bCs/>
          <w:sz w:val="24"/>
          <w:szCs w:val="24"/>
        </w:rPr>
        <w:t>Variable :</w:t>
      </w:r>
      <w:proofErr w:type="gramEnd"/>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The Green Economics Sustainability Index (GREEN_INDEX)</w:t>
      </w:r>
    </w:p>
    <w:p w14:paraId="3C7F8DDD"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Independent </w:t>
      </w:r>
      <w:proofErr w:type="gramStart"/>
      <w:r>
        <w:rPr>
          <w:rFonts w:ascii="Times New Roman" w:eastAsia="Times New Roman" w:hAnsi="Times New Roman" w:cs="Times New Roman"/>
          <w:b/>
          <w:bCs/>
          <w:sz w:val="24"/>
          <w:szCs w:val="24"/>
        </w:rPr>
        <w:t>Variables :</w:t>
      </w:r>
      <w:r>
        <w:rPr>
          <w:rFonts w:ascii="Times New Roman" w:eastAsia="Times New Roman" w:hAnsi="Times New Roman" w:cs="Times New Roman"/>
          <w:sz w:val="24"/>
          <w:szCs w:val="24"/>
        </w:rPr>
        <w:t>Total</w:t>
      </w:r>
      <w:proofErr w:type="gramEnd"/>
      <w:r>
        <w:rPr>
          <w:rFonts w:ascii="Times New Roman" w:eastAsia="Times New Roman" w:hAnsi="Times New Roman" w:cs="Times New Roman"/>
          <w:sz w:val="24"/>
          <w:szCs w:val="24"/>
        </w:rPr>
        <w:t xml:space="preserve"> Income (TOT_INC), Total Expenditure (TOT_EXP), Food Expenditure (EXP_FOOD), Leisure Expenditure (</w:t>
      </w:r>
      <w:proofErr w:type="spellStart"/>
      <w:r>
        <w:rPr>
          <w:rFonts w:ascii="Times New Roman" w:eastAsia="Times New Roman" w:hAnsi="Times New Roman" w:cs="Times New Roman"/>
          <w:sz w:val="24"/>
          <w:szCs w:val="24"/>
        </w:rPr>
        <w:t>EXP_Leisure</w:t>
      </w:r>
      <w:proofErr w:type="spellEnd"/>
      <w:r>
        <w:rPr>
          <w:rFonts w:ascii="Times New Roman" w:eastAsia="Times New Roman" w:hAnsi="Times New Roman" w:cs="Times New Roman"/>
          <w:sz w:val="24"/>
          <w:szCs w:val="24"/>
        </w:rPr>
        <w:t>), Recreation Expenditure (M_EXP_RECREATION), Restaurant Expenditure (EXP_RESTAURANTS</w:t>
      </w:r>
      <w:proofErr w:type="gramStart"/>
      <w:r>
        <w:rPr>
          <w:rFonts w:ascii="Times New Roman" w:eastAsia="Times New Roman" w:hAnsi="Times New Roman" w:cs="Times New Roman"/>
          <w:sz w:val="24"/>
          <w:szCs w:val="24"/>
        </w:rPr>
        <w:t>),  Vacation</w:t>
      </w:r>
      <w:proofErr w:type="gramEnd"/>
      <w:r>
        <w:rPr>
          <w:rFonts w:ascii="Times New Roman" w:eastAsia="Times New Roman" w:hAnsi="Times New Roman" w:cs="Times New Roman"/>
          <w:sz w:val="24"/>
          <w:szCs w:val="24"/>
        </w:rPr>
        <w:t xml:space="preserve"> Expenditure (M_EXP_VACATION), Health Expenditure (M_EXP_HEALTH)</w:t>
      </w:r>
    </w:p>
    <w:p w14:paraId="0472249D"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Statistical Tools </w:t>
      </w:r>
      <w:proofErr w:type="gramStart"/>
      <w:r>
        <w:rPr>
          <w:rFonts w:ascii="Times New Roman" w:eastAsia="Times New Roman" w:hAnsi="Times New Roman" w:cs="Times New Roman"/>
          <w:b/>
          <w:bCs/>
          <w:sz w:val="24"/>
          <w:szCs w:val="24"/>
        </w:rPr>
        <w:t>Used :</w:t>
      </w:r>
      <w:proofErr w:type="gramEnd"/>
      <w:r>
        <w:rPr>
          <w:rFonts w:ascii="Times New Roman" w:eastAsia="Times New Roman" w:hAnsi="Times New Roman" w:cs="Times New Roman"/>
          <w:sz w:val="24"/>
          <w:szCs w:val="24"/>
        </w:rPr>
        <w:t xml:space="preserve"> Descriptive </w:t>
      </w:r>
      <w:proofErr w:type="gramStart"/>
      <w:r>
        <w:rPr>
          <w:rFonts w:ascii="Times New Roman" w:eastAsia="Times New Roman" w:hAnsi="Times New Roman" w:cs="Times New Roman"/>
          <w:sz w:val="24"/>
          <w:szCs w:val="24"/>
        </w:rPr>
        <w:t>Statistics,  Comparative</w:t>
      </w:r>
      <w:proofErr w:type="gramEnd"/>
      <w:r>
        <w:rPr>
          <w:rFonts w:ascii="Times New Roman" w:eastAsia="Times New Roman" w:hAnsi="Times New Roman" w:cs="Times New Roman"/>
          <w:sz w:val="24"/>
          <w:szCs w:val="24"/>
        </w:rPr>
        <w:t xml:space="preserve"> Analysis, Correlation Matrix, Chi-square Association Test, Ordinary Least Squares (OLS) Regression</w:t>
      </w:r>
    </w:p>
    <w:p w14:paraId="29F35FE5"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quantitative research design and explanatory research design were used for the analysis of the relationships between expenditure variables and sustainability orientation.</w:t>
      </w:r>
    </w:p>
    <w:p w14:paraId="64B31052" w14:textId="77777777" w:rsidR="00AC4307" w:rsidRDefault="00AC4307">
      <w:pPr>
        <w:spacing w:before="240" w:after="240" w:line="360" w:lineRule="auto"/>
        <w:jc w:val="both"/>
        <w:rPr>
          <w:rFonts w:ascii="Times New Roman" w:eastAsia="Times New Roman" w:hAnsi="Times New Roman" w:cs="Times New Roman"/>
          <w:sz w:val="24"/>
          <w:szCs w:val="24"/>
        </w:rPr>
      </w:pPr>
    </w:p>
    <w:p w14:paraId="78B2AB41" w14:textId="77777777" w:rsidR="003770AC" w:rsidRDefault="00D735CB">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Results and Discussion</w:t>
      </w:r>
    </w:p>
    <w:p w14:paraId="7960DF5C" w14:textId="77777777" w:rsidR="003770AC" w:rsidRDefault="00D735CB">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Descriptive Statistics and Comparative Analysis.</w:t>
      </w:r>
    </w:p>
    <w:p w14:paraId="1465CB47"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comprised of 22688 observations of household data from Maharashtra. The mean income of the household was ₹43,287.93 and the mean total expenditure was ₹23,957.78.</w:t>
      </w:r>
    </w:p>
    <w:p w14:paraId="20342A34"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an average, the total expenditure of food was found to be ₹9,766.39, which makes food one of the major expenditure categories of the households. The average value of expenditure on leisure was ₹1,718.30 and the average expenditure on health was ₹845.84.</w:t>
      </w:r>
    </w:p>
    <w:p w14:paraId="0C43C457"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average, households were moderately oriented towards sustainability (GESI = 44.56).</w:t>
      </w:r>
    </w:p>
    <w:p w14:paraId="1ED000F8" w14:textId="77777777" w:rsidR="003770AC" w:rsidRDefault="00D735CB">
      <w:pPr>
        <w:pStyle w:val="Heading2"/>
        <w:keepNext w:val="0"/>
        <w:keepLines w:val="0"/>
        <w:spacing w:before="360" w:after="80" w:line="360" w:lineRule="auto"/>
        <w:jc w:val="both"/>
        <w:rPr>
          <w:rFonts w:ascii="Times New Roman" w:eastAsia="Times New Roman" w:hAnsi="Times New Roman" w:cs="Times New Roman"/>
          <w:color w:val="000000"/>
          <w:sz w:val="24"/>
          <w:szCs w:val="24"/>
        </w:rPr>
      </w:pPr>
      <w:bookmarkStart w:id="2" w:name="_heading=h.b5bh7ktt7e0h" w:colFirst="0" w:colLast="0"/>
      <w:bookmarkEnd w:id="2"/>
      <w:r>
        <w:rPr>
          <w:rFonts w:ascii="Times New Roman" w:eastAsia="Times New Roman" w:hAnsi="Times New Roman" w:cs="Times New Roman"/>
          <w:color w:val="000000"/>
          <w:sz w:val="24"/>
          <w:szCs w:val="24"/>
        </w:rPr>
        <w:t>Table No</w:t>
      </w:r>
      <w:proofErr w:type="gramStart"/>
      <w:r>
        <w:rPr>
          <w:rFonts w:ascii="Times New Roman" w:eastAsia="Times New Roman" w:hAnsi="Times New Roman" w:cs="Times New Roman"/>
          <w:color w:val="000000"/>
          <w:sz w:val="24"/>
          <w:szCs w:val="24"/>
        </w:rPr>
        <w:t>1 :</w:t>
      </w:r>
      <w:proofErr w:type="gramEnd"/>
      <w:r>
        <w:rPr>
          <w:rFonts w:ascii="Times New Roman" w:eastAsia="Times New Roman" w:hAnsi="Times New Roman" w:cs="Times New Roman"/>
          <w:color w:val="000000"/>
          <w:sz w:val="24"/>
          <w:szCs w:val="24"/>
        </w:rPr>
        <w:t xml:space="preserve"> Comparative Analysis: 2024 vs 2025</w:t>
      </w:r>
    </w:p>
    <w:tbl>
      <w:tblPr>
        <w:tblStyle w:val="a"/>
        <w:tblW w:w="48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95"/>
        <w:gridCol w:w="1190"/>
        <w:gridCol w:w="1190"/>
      </w:tblGrid>
      <w:tr w:rsidR="003770AC" w14:paraId="1469EE13" w14:textId="77777777">
        <w:trPr>
          <w:trHeight w:val="515"/>
        </w:trPr>
        <w:tc>
          <w:tcPr>
            <w:tcW w:w="2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CC1E8E3" w14:textId="77777777" w:rsidR="003770AC" w:rsidRDefault="00D735CB">
            <w:pPr>
              <w:spacing w:before="280" w:after="2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Variable</w:t>
            </w:r>
          </w:p>
        </w:tc>
        <w:tc>
          <w:tcPr>
            <w:tcW w:w="1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610082F" w14:textId="77777777" w:rsidR="003770AC" w:rsidRDefault="00D735CB">
            <w:pPr>
              <w:spacing w:before="280" w:after="2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2024</w:t>
            </w:r>
          </w:p>
        </w:tc>
        <w:tc>
          <w:tcPr>
            <w:tcW w:w="1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016C3FF" w14:textId="77777777" w:rsidR="003770AC" w:rsidRDefault="00D735CB">
            <w:pPr>
              <w:spacing w:before="280" w:after="2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2025</w:t>
            </w:r>
          </w:p>
        </w:tc>
      </w:tr>
      <w:tr w:rsidR="003770AC" w14:paraId="4A7667C5" w14:textId="77777777">
        <w:trPr>
          <w:trHeight w:val="515"/>
        </w:trPr>
        <w:tc>
          <w:tcPr>
            <w:tcW w:w="2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EDEF99D" w14:textId="77777777" w:rsidR="003770AC" w:rsidRDefault="00D735CB">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 Income</w:t>
            </w:r>
          </w:p>
        </w:tc>
        <w:tc>
          <w:tcPr>
            <w:tcW w:w="1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B1AC40B" w14:textId="77777777" w:rsidR="003770AC" w:rsidRDefault="00D735CB">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37,335.42</w:t>
            </w:r>
          </w:p>
        </w:tc>
        <w:tc>
          <w:tcPr>
            <w:tcW w:w="1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CDFA2D4" w14:textId="77777777" w:rsidR="003770AC" w:rsidRDefault="00D735CB">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49,304.80</w:t>
            </w:r>
          </w:p>
        </w:tc>
      </w:tr>
      <w:tr w:rsidR="003770AC" w14:paraId="3F4D465C" w14:textId="77777777">
        <w:trPr>
          <w:trHeight w:val="515"/>
        </w:trPr>
        <w:tc>
          <w:tcPr>
            <w:tcW w:w="2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B77D8B8" w14:textId="77777777" w:rsidR="003770AC" w:rsidRDefault="00D735CB">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 Expenditure</w:t>
            </w:r>
          </w:p>
        </w:tc>
        <w:tc>
          <w:tcPr>
            <w:tcW w:w="1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FC1D0C0" w14:textId="77777777" w:rsidR="003770AC" w:rsidRDefault="00D735CB">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21,842.33</w:t>
            </w:r>
          </w:p>
        </w:tc>
        <w:tc>
          <w:tcPr>
            <w:tcW w:w="1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97241A6" w14:textId="77777777" w:rsidR="003770AC" w:rsidRDefault="00D735CB">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26,096.10</w:t>
            </w:r>
          </w:p>
        </w:tc>
      </w:tr>
      <w:tr w:rsidR="003770AC" w14:paraId="0EEBE441" w14:textId="77777777">
        <w:trPr>
          <w:trHeight w:val="515"/>
        </w:trPr>
        <w:tc>
          <w:tcPr>
            <w:tcW w:w="2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2911516" w14:textId="77777777" w:rsidR="003770AC" w:rsidRDefault="00D735CB">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Food Expenditure</w:t>
            </w:r>
          </w:p>
        </w:tc>
        <w:tc>
          <w:tcPr>
            <w:tcW w:w="1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2E2A26A" w14:textId="77777777" w:rsidR="003770AC" w:rsidRDefault="00D735CB">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9,087.90</w:t>
            </w:r>
          </w:p>
        </w:tc>
        <w:tc>
          <w:tcPr>
            <w:tcW w:w="1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B7DA9E8" w14:textId="77777777" w:rsidR="003770AC" w:rsidRDefault="00D735CB">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10,452.21</w:t>
            </w:r>
          </w:p>
        </w:tc>
      </w:tr>
      <w:tr w:rsidR="003770AC" w14:paraId="74C9B7FA" w14:textId="77777777">
        <w:trPr>
          <w:trHeight w:val="515"/>
        </w:trPr>
        <w:tc>
          <w:tcPr>
            <w:tcW w:w="2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AA04338" w14:textId="77777777" w:rsidR="003770AC" w:rsidRDefault="00D735CB">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Leisure Expenditure</w:t>
            </w:r>
          </w:p>
        </w:tc>
        <w:tc>
          <w:tcPr>
            <w:tcW w:w="1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13F7843" w14:textId="77777777" w:rsidR="003770AC" w:rsidRDefault="00D735CB">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1,600.09</w:t>
            </w:r>
          </w:p>
        </w:tc>
        <w:tc>
          <w:tcPr>
            <w:tcW w:w="1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AF56FAB" w14:textId="77777777" w:rsidR="003770AC" w:rsidRDefault="00D735CB">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1,837.78</w:t>
            </w:r>
          </w:p>
        </w:tc>
      </w:tr>
      <w:tr w:rsidR="003770AC" w14:paraId="70EFC1DD" w14:textId="77777777">
        <w:trPr>
          <w:trHeight w:val="515"/>
        </w:trPr>
        <w:tc>
          <w:tcPr>
            <w:tcW w:w="2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9A3EF3F" w14:textId="77777777" w:rsidR="003770AC" w:rsidRDefault="00D735CB">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Recreation Expenditure</w:t>
            </w:r>
          </w:p>
        </w:tc>
        <w:tc>
          <w:tcPr>
            <w:tcW w:w="1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11E46CA" w14:textId="77777777" w:rsidR="003770AC" w:rsidRDefault="00D735CB">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73.97</w:t>
            </w:r>
          </w:p>
        </w:tc>
        <w:tc>
          <w:tcPr>
            <w:tcW w:w="1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18E7373" w14:textId="77777777" w:rsidR="003770AC" w:rsidRDefault="00D735CB">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85.71</w:t>
            </w:r>
          </w:p>
        </w:tc>
      </w:tr>
      <w:tr w:rsidR="003770AC" w14:paraId="38A510DA" w14:textId="77777777">
        <w:trPr>
          <w:trHeight w:val="515"/>
        </w:trPr>
        <w:tc>
          <w:tcPr>
            <w:tcW w:w="2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8ED393E" w14:textId="77777777" w:rsidR="003770AC" w:rsidRDefault="00D735CB">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Restaurant Expenditure</w:t>
            </w:r>
          </w:p>
        </w:tc>
        <w:tc>
          <w:tcPr>
            <w:tcW w:w="1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FB9C008" w14:textId="77777777" w:rsidR="003770AC" w:rsidRDefault="00D735CB">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654.59</w:t>
            </w:r>
          </w:p>
        </w:tc>
        <w:tc>
          <w:tcPr>
            <w:tcW w:w="1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409022C" w14:textId="77777777" w:rsidR="003770AC" w:rsidRDefault="00D735CB">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822.30</w:t>
            </w:r>
          </w:p>
        </w:tc>
      </w:tr>
      <w:tr w:rsidR="003770AC" w14:paraId="2D801E1F" w14:textId="77777777">
        <w:trPr>
          <w:trHeight w:val="515"/>
        </w:trPr>
        <w:tc>
          <w:tcPr>
            <w:tcW w:w="2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F843DE2" w14:textId="77777777" w:rsidR="003770AC" w:rsidRDefault="00D735CB">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Vacation Expenditure</w:t>
            </w:r>
          </w:p>
        </w:tc>
        <w:tc>
          <w:tcPr>
            <w:tcW w:w="1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F46D3E6" w14:textId="77777777" w:rsidR="003770AC" w:rsidRDefault="00D735CB">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87.37</w:t>
            </w:r>
          </w:p>
        </w:tc>
        <w:tc>
          <w:tcPr>
            <w:tcW w:w="1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B3C25B9" w14:textId="77777777" w:rsidR="003770AC" w:rsidRDefault="00D735CB">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20.68</w:t>
            </w:r>
          </w:p>
        </w:tc>
      </w:tr>
      <w:tr w:rsidR="003770AC" w14:paraId="719D34E7" w14:textId="77777777">
        <w:trPr>
          <w:trHeight w:val="515"/>
        </w:trPr>
        <w:tc>
          <w:tcPr>
            <w:tcW w:w="2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7106507" w14:textId="77777777" w:rsidR="003770AC" w:rsidRDefault="00D735CB">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Health Expenditure</w:t>
            </w:r>
          </w:p>
        </w:tc>
        <w:tc>
          <w:tcPr>
            <w:tcW w:w="1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B00883F" w14:textId="77777777" w:rsidR="003770AC" w:rsidRDefault="00D735CB">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784.15</w:t>
            </w:r>
          </w:p>
        </w:tc>
        <w:tc>
          <w:tcPr>
            <w:tcW w:w="1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E77B666" w14:textId="77777777" w:rsidR="003770AC" w:rsidRDefault="00D735CB">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908.20</w:t>
            </w:r>
          </w:p>
        </w:tc>
      </w:tr>
      <w:tr w:rsidR="003770AC" w14:paraId="65F8A565" w14:textId="77777777">
        <w:trPr>
          <w:trHeight w:val="515"/>
        </w:trPr>
        <w:tc>
          <w:tcPr>
            <w:tcW w:w="2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703778E" w14:textId="77777777" w:rsidR="003770AC" w:rsidRDefault="00D735CB">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Green Index</w:t>
            </w:r>
          </w:p>
        </w:tc>
        <w:tc>
          <w:tcPr>
            <w:tcW w:w="1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B0E6352" w14:textId="77777777" w:rsidR="003770AC" w:rsidRDefault="00D735CB">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45.70</w:t>
            </w:r>
          </w:p>
        </w:tc>
        <w:tc>
          <w:tcPr>
            <w:tcW w:w="1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2050760" w14:textId="77777777" w:rsidR="003770AC" w:rsidRDefault="00D735CB">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43.40</w:t>
            </w:r>
          </w:p>
        </w:tc>
      </w:tr>
    </w:tbl>
    <w:p w14:paraId="0EEE0463"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(Note: Source: Based on Author’s analysis of Secondary data collected from CPHS)</w:t>
      </w:r>
    </w:p>
    <w:p w14:paraId="5C2B04A2"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show that the income and expenditure increased drastically in 2025. Agrofood and health expenditure also grew, which indicates an increased purchasing power and better economic recovery. The Green Economics Sustainability Index was, however, reduced from 45.70 to 43.40, which suggests that there might have been a loss of sustainability orientation as a result of higher discretionary spending.</w:t>
      </w:r>
    </w:p>
    <w:p w14:paraId="795D9D4E" w14:textId="77777777" w:rsidR="003770AC" w:rsidRDefault="00D735CB">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Correlation Analysis</w:t>
      </w:r>
    </w:p>
    <w:p w14:paraId="1768AD1A"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correlation matrix shows important relationships between sustainability orientation and the variables of household expenditure.</w:t>
      </w:r>
    </w:p>
    <w:p w14:paraId="25C58A59" w14:textId="77777777" w:rsidR="003770AC" w:rsidRDefault="00D735CB">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Relationships between income and expenditure.</w:t>
      </w:r>
    </w:p>
    <w:p w14:paraId="2659523F"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key relationships between sustainability orientation, household income and expenditure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identified through the correlation analysis were important. Moderate positive correlation found between total income and total expenditure (r = 0.526), that is, the higher the income level the higher the total expenditure level. This is an expression of the general economic behavior that increasing the purchasing power of households raises the capacity of the household to consume. Likewise, there was a positive correlation between the total income and food expenditure (r = 0.456) meaning that an increment in the total income results to an increment in food expenditure and hence nutrition welfare. This discovery corroborates the hypothesis that food spending is a </w:t>
      </w:r>
      <w:r>
        <w:rPr>
          <w:rFonts w:ascii="Times New Roman" w:eastAsia="Times New Roman" w:hAnsi="Times New Roman" w:cs="Times New Roman"/>
          <w:sz w:val="24"/>
          <w:szCs w:val="24"/>
        </w:rPr>
        <w:lastRenderedPageBreak/>
        <w:t>priority category in the budgeting decisions of households, especially in developing economies.</w:t>
      </w:r>
    </w:p>
    <w:p w14:paraId="4BB51387"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was also a moderate positive relationship between income and leisure spending (r = 0.315), suggesting that people with higher incomes spend a larger proportion of income on leisure activities. This reflects the increasing trend of discretionary consumption in the post-pandemic period, when households are spending more on leisure activities or visiting destinations and enjoying entertainment.</w:t>
      </w:r>
    </w:p>
    <w:p w14:paraId="7CBAF74F"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But the correlation between Green Economics Sustainability Index and Total income was negative (r = -0.327). This indicates that, with a growing level of household income, sustainability orientation could decrease because of a greater tendency to engage in discretionary and resource-consuming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Luxury spending, over-spending on recreation and environmentally more damaging lifestyles may be more likely among the higher income households and impact sustainable expenditure patterns. The discovery indicates that, without responsible and welfare-oriented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economic prosperity is not sufficient to ensure sustainable development.</w:t>
      </w:r>
    </w:p>
    <w:p w14:paraId="2BAE86AA" w14:textId="77777777" w:rsidR="003770AC" w:rsidRDefault="003770AC">
      <w:pPr>
        <w:spacing w:before="240" w:after="240" w:line="360" w:lineRule="auto"/>
        <w:jc w:val="both"/>
        <w:rPr>
          <w:rFonts w:ascii="Times New Roman" w:eastAsia="Times New Roman" w:hAnsi="Times New Roman" w:cs="Times New Roman"/>
          <w:b/>
          <w:bCs/>
          <w:sz w:val="24"/>
          <w:szCs w:val="24"/>
        </w:rPr>
      </w:pPr>
    </w:p>
    <w:p w14:paraId="6170F010" w14:textId="77777777" w:rsidR="003770AC" w:rsidRDefault="00D735CB">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Expenditure Relationships</w:t>
      </w:r>
    </w:p>
    <w:p w14:paraId="44B67A84"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correlation analysis also revealed high correlation between the various categories of household expenditure. There was a high positive correlation between total expenditure and food expenditure (r = 0.754), which suggests that the food expenditure is a significant portion of the total expenditure by the household. This indicates that while there is an increase in expenditure by the households, there is still a significant share of household expenditure going towards food consumption which shows the importance of food expenditure for sustaining household welfare and living standards.</w:t>
      </w:r>
    </w:p>
    <w:p w14:paraId="2786F897"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Important findings were the very high correlation of leisure expenditure with health expenditure (r = 0.804). The result suggests that there is a relationship between household spending on recreation and leisure and spending on health. The relationship may be an indication of the general lifestyle of higher income households where a greater ability to </w:t>
      </w:r>
      <w:r>
        <w:rPr>
          <w:rFonts w:ascii="Times New Roman" w:eastAsia="Times New Roman" w:hAnsi="Times New Roman" w:cs="Times New Roman"/>
          <w:sz w:val="24"/>
          <w:szCs w:val="24"/>
        </w:rPr>
        <w:lastRenderedPageBreak/>
        <w:t xml:space="preserve">spend leads to higher proportions of spending on personal health and on recreation. It also implies that the modern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is increasingly a blend of enhancing lifestyles and paying attention to one's health.</w:t>
      </w:r>
    </w:p>
    <w:p w14:paraId="7FFB7C23"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strong positive correlation was found between the amount of money spent on restaurant and leisure expenditure (r = 0.614), indicating a close link between the amount spent on eating out and recreational and entertainment activities. It's indicative of the increasing urban consumption culture, especially in the post-pandemic recovery phase, during which households invest more in social and lifestyle experiences.</w:t>
      </w:r>
    </w:p>
    <w:p w14:paraId="6DD64F43"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Likewise, there was a positive correlation between leisure expenditure and vacation expenditure (r = 0.538). This suggests that those families that spend more on recreation are more likely to spend on travel and tourism activities. The finding underscores the links between categories of discretionary spending and the growth of experience-oriented consumption by the public. But imbalanced growth in these individual expenditure categories can also have negative impacts on sustainability orientation, as they can lead to environmentally intensive consumption.</w:t>
      </w:r>
    </w:p>
    <w:p w14:paraId="51ABA39E" w14:textId="77777777" w:rsidR="003770AC" w:rsidRDefault="00D735CB">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Sustainability Relationships</w:t>
      </w:r>
    </w:p>
    <w:p w14:paraId="40B0BBFD"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correlation analysis showed that the total household expenditure has a strong negative relationship with the Green Economics Sustainability Index (r = -0.553). This suggests that households are becoming less sustainable as the overall level of their expenditure rises. The discovery indicates that increases in spending might increasingly go into resource-heavy and discretionary uses of resources instead of welfare or environmentally friendly ones. It emphasizes the fact that the economic growth and increased consumption are not by themselves indicators of sustainable development, unless they are balanced and socially responsible.</w:t>
      </w:r>
    </w:p>
    <w:p w14:paraId="5728BFB6"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was also a negative correlation between the Green Economics Sustainability Index and the amount spent on leisure (r = -0.403). This suggests that increasing expenditures on leisure and recreation activities could be associated with a decrease in sustainability orientation. Leisure spending may involve more environmental cost and be unsustainable </w:t>
      </w:r>
      <w:r>
        <w:rPr>
          <w:rFonts w:ascii="Times New Roman" w:eastAsia="Times New Roman" w:hAnsi="Times New Roman" w:cs="Times New Roman"/>
          <w:sz w:val="24"/>
          <w:szCs w:val="24"/>
        </w:rPr>
        <w:lastRenderedPageBreak/>
        <w:t>and include non-essential activities like entertainment and tourism, luxury services, and lifestyle activities. The result therefore confirms the view taken by Green Economics that a high level of discretionary consumption can undermine long-term sustainability practices.</w:t>
      </w:r>
    </w:p>
    <w:p w14:paraId="514F8B0C"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Likewise, moderate negative correlations between the Green Economics Sustainability Index and health expenditure (r = -0.321) were observed. While in general, the amount of money spent on health care is an indicator of investment in human welfare, an increase in medical expenditure can also be an indicator of increased medical dependence, increased stress of living in the city, increased lifestyle-related diseases and increased cost of living. Thus, health spending is beneficial for welfare production, but too high levels of health spending can have negative effects on overall household sustainability balance, indirectly driven by socio-economic pressures.</w:t>
      </w:r>
    </w:p>
    <w:p w14:paraId="739634B5"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these results indicate that a sustainable orientation is reinforced if households have more balanced expenditure patterns with a focus on categories that are important for welfare, such as food and basic health needs. The opposite effect is seen when consumption is too high in non-essential and non-lifestyle sectors, which seems to have a negative effect on sustainability orientation. The findings confirm the significance of responsible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in achieving the greater goals of Green Economics and sustainable development.</w:t>
      </w:r>
    </w:p>
    <w:p w14:paraId="6470EC6D" w14:textId="77777777" w:rsidR="003770AC" w:rsidRDefault="003770AC">
      <w:pPr>
        <w:spacing w:before="240" w:after="240" w:line="360" w:lineRule="auto"/>
        <w:jc w:val="both"/>
        <w:rPr>
          <w:rFonts w:ascii="Times New Roman" w:eastAsia="Times New Roman" w:hAnsi="Times New Roman" w:cs="Times New Roman"/>
          <w:sz w:val="24"/>
          <w:szCs w:val="24"/>
        </w:rPr>
      </w:pPr>
    </w:p>
    <w:p w14:paraId="5B2B085C" w14:textId="77777777" w:rsidR="003770AC" w:rsidRDefault="00D735CB">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Green Economics Sustainability Index</w:t>
      </w:r>
    </w:p>
    <w:p w14:paraId="1CEC8771" w14:textId="77777777" w:rsidR="003770AC" w:rsidRDefault="00D735CB">
      <w:pPr>
        <w:spacing w:before="240" w:after="240" w:line="360" w:lineRule="auto"/>
        <w:jc w:val="both"/>
        <w:rPr>
          <w:rFonts w:ascii="Times New Roman" w:eastAsia="Times New Roman" w:hAnsi="Times New Roman" w:cs="Times New Roman"/>
          <w:sz w:val="24"/>
          <w:szCs w:val="24"/>
          <w:shd w:val="clear" w:color="auto" w:fill="FCE5CD"/>
        </w:rPr>
      </w:pPr>
      <w:r>
        <w:rPr>
          <w:rFonts w:ascii="Times New Roman" w:eastAsia="Times New Roman" w:hAnsi="Times New Roman" w:cs="Times New Roman"/>
          <w:sz w:val="24"/>
          <w:szCs w:val="24"/>
        </w:rPr>
        <w:t xml:space="preserve">The Green Economics Sustainability Index (GREEN_INDEX) was created to quantify the sustainability orientation of expenditure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of the household.</w:t>
      </w:r>
    </w:p>
    <w:p w14:paraId="3914C19C" w14:textId="77777777" w:rsidR="003770AC" w:rsidRDefault="00D735CB">
      <w:pPr>
        <w:pStyle w:val="Heading2"/>
        <w:keepNext w:val="0"/>
        <w:keepLines w:val="0"/>
        <w:spacing w:before="360" w:after="80" w:line="360" w:lineRule="auto"/>
        <w:jc w:val="both"/>
        <w:rPr>
          <w:rFonts w:ascii="Times New Roman" w:eastAsia="Times New Roman" w:hAnsi="Times New Roman" w:cs="Times New Roman"/>
          <w:color w:val="000000"/>
          <w:sz w:val="24"/>
          <w:szCs w:val="24"/>
        </w:rPr>
      </w:pPr>
      <w:bookmarkStart w:id="3" w:name="_heading=h.5ufywh1mb09q" w:colFirst="0" w:colLast="0"/>
      <w:bookmarkEnd w:id="3"/>
      <w:r>
        <w:rPr>
          <w:rFonts w:ascii="Times New Roman" w:eastAsia="Times New Roman" w:hAnsi="Times New Roman" w:cs="Times New Roman"/>
          <w:color w:val="000000"/>
          <w:sz w:val="24"/>
          <w:szCs w:val="24"/>
        </w:rPr>
        <w:t>Formula Used</w:t>
      </w:r>
    </w:p>
    <w:p w14:paraId="6C54430E"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GREEN_INDEX = ((EXP_FOOD / (TOT_EXP + 1)) * 100) - ((M_EXP_VACATION / (TOT_EXP + 1)) * 10) + ((M_EXP_HEALTH / (TOT_EXP + 1)) * 5)</w:t>
      </w:r>
    </w:p>
    <w:p w14:paraId="779D5191" w14:textId="77777777" w:rsidR="003770AC" w:rsidRDefault="00D735CB">
      <w:pPr>
        <w:pStyle w:val="Heading2"/>
        <w:keepNext w:val="0"/>
        <w:keepLines w:val="0"/>
        <w:spacing w:before="360" w:after="80" w:line="360" w:lineRule="auto"/>
        <w:jc w:val="both"/>
        <w:rPr>
          <w:rFonts w:ascii="Times New Roman" w:eastAsia="Times New Roman" w:hAnsi="Times New Roman" w:cs="Times New Roman"/>
          <w:color w:val="000000"/>
          <w:sz w:val="24"/>
          <w:szCs w:val="24"/>
        </w:rPr>
      </w:pPr>
      <w:bookmarkStart w:id="4" w:name="_heading=h.nq4rlpu3t261" w:colFirst="0" w:colLast="0"/>
      <w:bookmarkEnd w:id="4"/>
      <w:r>
        <w:rPr>
          <w:rFonts w:ascii="Times New Roman" w:eastAsia="Times New Roman" w:hAnsi="Times New Roman" w:cs="Times New Roman"/>
          <w:color w:val="000000"/>
          <w:sz w:val="24"/>
          <w:szCs w:val="24"/>
        </w:rPr>
        <w:lastRenderedPageBreak/>
        <w:t>Interpretation of Components</w:t>
      </w:r>
    </w:p>
    <w:p w14:paraId="694F0DA7"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Food expenditure is considered as an essential expenditure for human survival and consumption needs and has been included as an expenditure category for welfare in the calculation of the Green Economics Sustainability Index. A larger share of food allocation suggests that consumption behavior of households is oriented toward welfare and human development, where essential goods are given a higher priority. In the field of Green Economics, food expenditure is viewed as positively related to sustainable living if it aims at achieving a balance in nutrition and household security.</w:t>
      </w:r>
    </w:p>
    <w:p w14:paraId="18CBA1C0"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index also normalized the expenditure components, using the total expenditure as a normalization factor, so that expenditure components could be related to households of various income and spending level groups. Normalization aids comparisons of sustainability orientation better when it provides data on the share of expenditure on a specific category of expenditures in relation to the total spending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rather than the absolute amount of money.</w:t>
      </w:r>
    </w:p>
    <w:p w14:paraId="570913AC"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Vacation spending was deemed to be an environmentally intensive discretionary spending category because, in general, tourism, recreation and luxury vacation activities consume more energy, transportation, fuel and other environmental resources. The amount of money spent on vacations might thus be a sign of lifestyle patterns that are heavy on resources and unsustainable. In the context of Green Economics, these are usually regarded as being linked to higher ecological pressure and lower sustainability orientation in the context of the discretionary expenditure categories.</w:t>
      </w:r>
    </w:p>
    <w:p w14:paraId="12448DEC"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Health expenditure was viewed as an investment in human welfare and sustainable living. Healthcare spending enhances people's ability to contribute to society, their productivity, their quality of life, and social welfare in the long term. Health has been seen as an important aspect of human capital formation and inclusive development in the field of sustainable development. Thus, there is an expectation that households that allocate resources to health are more concerned about well-being and sustainable human development.</w:t>
      </w:r>
    </w:p>
    <w:p w14:paraId="6B054171" w14:textId="77777777" w:rsidR="003770AC" w:rsidRDefault="00D735CB">
      <w:pPr>
        <w:pStyle w:val="Heading2"/>
        <w:keepNext w:val="0"/>
        <w:keepLines w:val="0"/>
        <w:spacing w:before="360" w:after="80" w:line="360" w:lineRule="auto"/>
        <w:jc w:val="both"/>
        <w:rPr>
          <w:rFonts w:ascii="Times New Roman" w:eastAsia="Times New Roman" w:hAnsi="Times New Roman" w:cs="Times New Roman"/>
          <w:color w:val="000000"/>
          <w:sz w:val="24"/>
          <w:szCs w:val="24"/>
        </w:rPr>
      </w:pPr>
      <w:bookmarkStart w:id="5" w:name="_heading=h.oyfn6289ey63" w:colFirst="0" w:colLast="0"/>
      <w:bookmarkEnd w:id="5"/>
      <w:r>
        <w:rPr>
          <w:rFonts w:ascii="Times New Roman" w:eastAsia="Times New Roman" w:hAnsi="Times New Roman" w:cs="Times New Roman"/>
          <w:color w:val="000000"/>
          <w:sz w:val="24"/>
          <w:szCs w:val="24"/>
        </w:rPr>
        <w:lastRenderedPageBreak/>
        <w:t>Table 2 Interpretation of Index Values</w:t>
      </w:r>
    </w:p>
    <w:tbl>
      <w:tblPr>
        <w:tblStyle w:val="a0"/>
        <w:tblW w:w="60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90"/>
        <w:gridCol w:w="3395"/>
      </w:tblGrid>
      <w:tr w:rsidR="003770AC" w14:paraId="3FE616CD" w14:textId="77777777">
        <w:trPr>
          <w:trHeight w:val="515"/>
        </w:trPr>
        <w:tc>
          <w:tcPr>
            <w:tcW w:w="26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3AC7A6C" w14:textId="77777777" w:rsidR="003770AC" w:rsidRDefault="00D735CB">
            <w:pPr>
              <w:spacing w:before="280" w:after="2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GREEN_INDEX Range</w:t>
            </w:r>
          </w:p>
        </w:tc>
        <w:tc>
          <w:tcPr>
            <w:tcW w:w="33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AE14A24" w14:textId="77777777" w:rsidR="003770AC" w:rsidRDefault="00D735CB">
            <w:pPr>
              <w:spacing w:before="280" w:after="2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Interpretation</w:t>
            </w:r>
          </w:p>
        </w:tc>
      </w:tr>
      <w:tr w:rsidR="003770AC" w14:paraId="47D62CF7" w14:textId="77777777">
        <w:trPr>
          <w:trHeight w:val="515"/>
        </w:trPr>
        <w:tc>
          <w:tcPr>
            <w:tcW w:w="26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9059A80" w14:textId="77777777" w:rsidR="003770AC" w:rsidRDefault="00D735CB">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0–30</w:t>
            </w:r>
          </w:p>
        </w:tc>
        <w:tc>
          <w:tcPr>
            <w:tcW w:w="33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7050D25" w14:textId="77777777" w:rsidR="003770AC" w:rsidRDefault="00D735CB">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Low sustainability orientation</w:t>
            </w:r>
          </w:p>
        </w:tc>
      </w:tr>
      <w:tr w:rsidR="003770AC" w14:paraId="60C97AD2" w14:textId="77777777">
        <w:trPr>
          <w:trHeight w:val="515"/>
        </w:trPr>
        <w:tc>
          <w:tcPr>
            <w:tcW w:w="26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E87E87A" w14:textId="77777777" w:rsidR="003770AC" w:rsidRDefault="00D735CB">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31–50</w:t>
            </w:r>
          </w:p>
        </w:tc>
        <w:tc>
          <w:tcPr>
            <w:tcW w:w="33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EEE8DFA" w14:textId="77777777" w:rsidR="003770AC" w:rsidRDefault="00D735CB">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Moderate sustainability practices</w:t>
            </w:r>
          </w:p>
        </w:tc>
      </w:tr>
      <w:tr w:rsidR="003770AC" w14:paraId="02EDEBC2" w14:textId="77777777">
        <w:trPr>
          <w:trHeight w:val="515"/>
        </w:trPr>
        <w:tc>
          <w:tcPr>
            <w:tcW w:w="26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C79C3AD" w14:textId="77777777" w:rsidR="003770AC" w:rsidRDefault="00D735CB">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51–70</w:t>
            </w:r>
          </w:p>
        </w:tc>
        <w:tc>
          <w:tcPr>
            <w:tcW w:w="33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6548137" w14:textId="77777777" w:rsidR="003770AC" w:rsidRDefault="00D735CB">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Strong sustainable </w:t>
            </w:r>
            <w:proofErr w:type="spellStart"/>
            <w:r>
              <w:rPr>
                <w:rFonts w:ascii="Times New Roman" w:eastAsia="Times New Roman" w:hAnsi="Times New Roman" w:cs="Times New Roman"/>
                <w:sz w:val="24"/>
                <w:szCs w:val="24"/>
              </w:rPr>
              <w:t>behaviour</w:t>
            </w:r>
            <w:proofErr w:type="spellEnd"/>
          </w:p>
        </w:tc>
      </w:tr>
      <w:tr w:rsidR="003770AC" w14:paraId="5E1B423E" w14:textId="77777777">
        <w:trPr>
          <w:trHeight w:val="515"/>
        </w:trPr>
        <w:tc>
          <w:tcPr>
            <w:tcW w:w="26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C7A1D9B" w14:textId="77777777" w:rsidR="003770AC" w:rsidRDefault="00D735CB">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Above 70</w:t>
            </w:r>
          </w:p>
        </w:tc>
        <w:tc>
          <w:tcPr>
            <w:tcW w:w="33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3CEC2FC" w14:textId="77777777" w:rsidR="003770AC" w:rsidRDefault="00D735CB">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Highly sustainable household</w:t>
            </w:r>
          </w:p>
        </w:tc>
      </w:tr>
    </w:tbl>
    <w:p w14:paraId="56C938BC"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(Note: Source: Based on Author’s analysis of secondary data collected from CPHS)</w:t>
      </w:r>
    </w:p>
    <w:p w14:paraId="009279F0"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index is based on the principles of Green Economics, Sustainable Development, Human Welfare Economics and Sustainable Consumption Theory.</w:t>
      </w:r>
    </w:p>
    <w:p w14:paraId="0E5CA669" w14:textId="77777777" w:rsidR="003770AC" w:rsidRDefault="00D735CB">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Chi-Square Association</w:t>
      </w:r>
    </w:p>
    <w:p w14:paraId="1368C2CB"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Chi-square test was performed for REGION_TYPE with GENDER_GROUP, and found to have a Chi-square of 32.62 and a p-value of &lt;0.05, which was statistically significant. This shows that the demographic factors have a strong effect on sustainability practices.</w:t>
      </w:r>
    </w:p>
    <w:p w14:paraId="3505B103" w14:textId="77777777" w:rsidR="003770AC" w:rsidRDefault="00D735CB">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OLS Regression Analysis</w:t>
      </w:r>
    </w:p>
    <w:p w14:paraId="36649852"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Green Economics Sustainability Index was modeled using OLS regression to analyze the factors that determine the </w:t>
      </w:r>
      <w:proofErr w:type="gramStart"/>
      <w:r>
        <w:rPr>
          <w:rFonts w:ascii="Times New Roman" w:eastAsia="Times New Roman" w:hAnsi="Times New Roman" w:cs="Times New Roman"/>
          <w:sz w:val="24"/>
          <w:szCs w:val="24"/>
        </w:rPr>
        <w:t>index..</w:t>
      </w:r>
      <w:proofErr w:type="gramEnd"/>
    </w:p>
    <w:p w14:paraId="4C3443EA"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3 </w:t>
      </w:r>
      <w:r>
        <w:rPr>
          <w:rFonts w:ascii="Times New Roman" w:eastAsia="Times New Roman" w:hAnsi="Times New Roman" w:cs="Times New Roman"/>
          <w:b/>
          <w:bCs/>
          <w:sz w:val="24"/>
          <w:szCs w:val="24"/>
        </w:rPr>
        <w:t>OLS Regression Analysis</w:t>
      </w:r>
    </w:p>
    <w:tbl>
      <w:tblPr>
        <w:tblStyle w:val="a1"/>
        <w:tblW w:w="35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75"/>
        <w:gridCol w:w="1445"/>
      </w:tblGrid>
      <w:tr w:rsidR="003770AC" w14:paraId="2FC5DA84" w14:textId="77777777">
        <w:trPr>
          <w:trHeight w:val="515"/>
        </w:trPr>
        <w:tc>
          <w:tcPr>
            <w:tcW w:w="20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C1E3A22" w14:textId="77777777" w:rsidR="003770AC" w:rsidRDefault="00D735CB">
            <w:pPr>
              <w:spacing w:before="280" w:after="2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Variable</w:t>
            </w:r>
          </w:p>
        </w:tc>
        <w:tc>
          <w:tcPr>
            <w:tcW w:w="14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EA8E0D2" w14:textId="77777777" w:rsidR="003770AC" w:rsidRDefault="00D735CB">
            <w:pPr>
              <w:spacing w:before="280" w:after="2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Coefficient</w:t>
            </w:r>
          </w:p>
        </w:tc>
      </w:tr>
      <w:tr w:rsidR="003770AC" w14:paraId="63A02F51" w14:textId="77777777">
        <w:trPr>
          <w:trHeight w:val="515"/>
        </w:trPr>
        <w:tc>
          <w:tcPr>
            <w:tcW w:w="20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45CC81A" w14:textId="77777777" w:rsidR="003770AC" w:rsidRDefault="00D735CB">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4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6757899" w14:textId="77777777" w:rsidR="003770AC" w:rsidRDefault="00D735CB">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46.4593</w:t>
            </w:r>
          </w:p>
        </w:tc>
      </w:tr>
      <w:tr w:rsidR="003770AC" w14:paraId="037E568A" w14:textId="77777777">
        <w:trPr>
          <w:trHeight w:val="515"/>
        </w:trPr>
        <w:tc>
          <w:tcPr>
            <w:tcW w:w="20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34416F0" w14:textId="77777777" w:rsidR="003770AC" w:rsidRDefault="00D735CB">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TOT_INC</w:t>
            </w:r>
          </w:p>
        </w:tc>
        <w:tc>
          <w:tcPr>
            <w:tcW w:w="14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630A6DE" w14:textId="77777777" w:rsidR="003770AC" w:rsidRDefault="00D735CB">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-0.00007023</w:t>
            </w:r>
          </w:p>
        </w:tc>
      </w:tr>
      <w:tr w:rsidR="003770AC" w14:paraId="2D1636A2" w14:textId="77777777">
        <w:trPr>
          <w:trHeight w:val="515"/>
        </w:trPr>
        <w:tc>
          <w:tcPr>
            <w:tcW w:w="20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0CA8EFA" w14:textId="77777777" w:rsidR="003770AC" w:rsidRDefault="00D735CB">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M_EXP_HEALTH</w:t>
            </w:r>
          </w:p>
        </w:tc>
        <w:tc>
          <w:tcPr>
            <w:tcW w:w="14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5DBD20F" w14:textId="77777777" w:rsidR="003770AC" w:rsidRDefault="00D735CB">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0.0002</w:t>
            </w:r>
          </w:p>
        </w:tc>
      </w:tr>
      <w:tr w:rsidR="003770AC" w14:paraId="55824332" w14:textId="77777777">
        <w:trPr>
          <w:trHeight w:val="515"/>
        </w:trPr>
        <w:tc>
          <w:tcPr>
            <w:tcW w:w="20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83AACA2" w14:textId="77777777" w:rsidR="003770AC" w:rsidRDefault="00D735CB">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EXP_FOOD</w:t>
            </w:r>
          </w:p>
        </w:tc>
        <w:tc>
          <w:tcPr>
            <w:tcW w:w="14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DFD9D25" w14:textId="77777777" w:rsidR="003770AC" w:rsidRDefault="00D735CB">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0.0004</w:t>
            </w:r>
          </w:p>
        </w:tc>
      </w:tr>
      <w:tr w:rsidR="003770AC" w14:paraId="44D17E6B" w14:textId="77777777">
        <w:trPr>
          <w:trHeight w:val="515"/>
        </w:trPr>
        <w:tc>
          <w:tcPr>
            <w:tcW w:w="20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158BC32" w14:textId="77777777" w:rsidR="003770AC" w:rsidRDefault="00D735CB">
            <w:pPr>
              <w:spacing w:before="280" w:after="28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EXP_Leisure</w:t>
            </w:r>
            <w:proofErr w:type="spellEnd"/>
          </w:p>
        </w:tc>
        <w:tc>
          <w:tcPr>
            <w:tcW w:w="14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4387446" w14:textId="77777777" w:rsidR="003770AC" w:rsidRDefault="00D735CB">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-0.0019</w:t>
            </w:r>
          </w:p>
        </w:tc>
      </w:tr>
    </w:tbl>
    <w:p w14:paraId="33EB9DC6" w14:textId="77777777" w:rsidR="003770AC" w:rsidRDefault="00D735CB">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i/>
          <w:iCs/>
          <w:sz w:val="24"/>
          <w:szCs w:val="24"/>
        </w:rPr>
        <w:t>(Note: Source: Based on Author’s analysis of secondary data collected from CPHS)</w:t>
      </w:r>
    </w:p>
    <w:p w14:paraId="711072AB" w14:textId="77777777" w:rsidR="003770AC" w:rsidRDefault="00D735CB">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Model Statistics</w:t>
      </w:r>
    </w:p>
    <w:p w14:paraId="1F0BFDBD"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R-squared = 0.231</w:t>
      </w:r>
    </w:p>
    <w:p w14:paraId="2A11F9A1"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Adjusted R-squared = 0.230</w:t>
      </w:r>
    </w:p>
    <w:p w14:paraId="0EA25149"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F-statistic is significant at the 1% level.</w:t>
      </w:r>
    </w:p>
    <w:p w14:paraId="04150F0D"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observations = 22,688</w:t>
      </w:r>
    </w:p>
    <w:p w14:paraId="36EF1BAC"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model accounts for about 23.1% of the variance in the sustainability index.</w:t>
      </w:r>
    </w:p>
    <w:p w14:paraId="0E0566EF"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Higher household income is negatively associated with sustainability orientation, suggesting that the higher income households may spend more on discretionary items.</w:t>
      </w:r>
    </w:p>
    <w:p w14:paraId="004AA350"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Food expenditure positively contributes towards sustainable household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w:t>
      </w:r>
    </w:p>
    <w:p w14:paraId="4A67E84A"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There is a positive relationship between health expenditure and sustainability orientation.</w:t>
      </w:r>
    </w:p>
    <w:p w14:paraId="0F472984"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non-essential expenditure on leisure is also found to have a negative impact on sustainability, with higher levels of non-essential spending having a detrimental effect on sustainable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w:t>
      </w:r>
    </w:p>
    <w:p w14:paraId="38106B85"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overall examination of the regression model is statistically significant and results in the validity of the categories of expenditure in the model in the context of the promotion of sustainable development.</w:t>
      </w:r>
    </w:p>
    <w:p w14:paraId="68F99A7E" w14:textId="77777777" w:rsidR="003770AC" w:rsidRDefault="00D735CB">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Discussions and policy implications</w:t>
      </w:r>
    </w:p>
    <w:p w14:paraId="4AA8B10F"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shows that household consumption patterns have an important impact on the sustainability orientation. Funding of necessities like food and health care are positive for welfare and sustainable development. However, a high level of consumption of leisure and lifestyle is a negative socio-economic driver of sustainability indicators, as described above.</w:t>
      </w:r>
    </w:p>
    <w:p w14:paraId="449D6BC2"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comparative analysis, one can easily see that the economic recovery after the pandemic has enhanced the income of households and their consumption. But the increase in discretionary spending has brought down the sustainability orientation of households.</w:t>
      </w:r>
    </w:p>
    <w:p w14:paraId="663BCD1D"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To </w:t>
      </w:r>
      <w:proofErr w:type="spellStart"/>
      <w:r>
        <w:rPr>
          <w:rFonts w:ascii="Times New Roman" w:eastAsia="Times New Roman" w:hAnsi="Times New Roman" w:cs="Times New Roman"/>
          <w:b/>
          <w:bCs/>
          <w:sz w:val="24"/>
          <w:szCs w:val="24"/>
        </w:rPr>
        <w:t>summarise</w:t>
      </w:r>
      <w:proofErr w:type="spellEnd"/>
      <w:r>
        <w:rPr>
          <w:rFonts w:ascii="Times New Roman" w:eastAsia="Times New Roman" w:hAnsi="Times New Roman" w:cs="Times New Roman"/>
          <w:b/>
          <w:bCs/>
          <w:sz w:val="24"/>
          <w:szCs w:val="24"/>
        </w:rPr>
        <w:t xml:space="preserve"> the discussion, </w:t>
      </w:r>
    </w:p>
    <w:p w14:paraId="1F38B0FF"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empirical evidence from 22,688 households in Maharashtra shows significant shifts in household spending patterns in the post-pandemic recovery (2024-2025). The results show that an increase in income per household was accompanied by a significant rise in both the total expenditure on essentials and the total expenditure on non-essentials. The increase in spending, however, was not homogeneously related to sustainable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indicating an important contradiction between economic recovery and sustainability orientation.</w:t>
      </w:r>
    </w:p>
    <w:p w14:paraId="5CEAE9D9"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descriptive statistics reveal that the average income of households in Maharashtra was ₹43,287.93 whereas the mean expenditure of households was ₹23,957.78. Household expenditure on food items was the highest at ₹9,766.39, on average. This supports Engel's </w:t>
      </w:r>
      <w:r>
        <w:rPr>
          <w:rFonts w:ascii="Times New Roman" w:eastAsia="Times New Roman" w:hAnsi="Times New Roman" w:cs="Times New Roman"/>
          <w:sz w:val="24"/>
          <w:szCs w:val="24"/>
        </w:rPr>
        <w:lastRenderedPageBreak/>
        <w:t xml:space="preserve">hypothesis that food is one of the most important categories of spending in developing economies, especially for </w:t>
      </w:r>
      <w:proofErr w:type="gramStart"/>
      <w:r>
        <w:rPr>
          <w:rFonts w:ascii="Times New Roman" w:eastAsia="Times New Roman" w:hAnsi="Times New Roman" w:cs="Times New Roman"/>
          <w:sz w:val="24"/>
          <w:szCs w:val="24"/>
        </w:rPr>
        <w:t>middle and lower income</w:t>
      </w:r>
      <w:proofErr w:type="gramEnd"/>
      <w:r>
        <w:rPr>
          <w:rFonts w:ascii="Times New Roman" w:eastAsia="Times New Roman" w:hAnsi="Times New Roman" w:cs="Times New Roman"/>
          <w:sz w:val="24"/>
          <w:szCs w:val="24"/>
        </w:rPr>
        <w:t xml:space="preserve"> people. The gradual growth in the consumption of lifestyle was reflected in the average expenditure of ₹845.84 on health and ₹1,718.30 on leisure.</w:t>
      </w:r>
    </w:p>
    <w:p w14:paraId="3B1A010D"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mean scores of the Green Economics Sustainability Index (GESI) constructed for this study indicate that most of the households had a moderate level of orientation towards sustainability (44.56). At this moderate level of sustainability, households still make welfare-oriented spending, including food and health, a top priority but a rise in discretionary spending could reduce long-term sustainable consumption.</w:t>
      </w:r>
    </w:p>
    <w:p w14:paraId="6FA713AE" w14:textId="77777777" w:rsidR="003770AC" w:rsidRDefault="003770AC">
      <w:pPr>
        <w:spacing w:before="240" w:after="240" w:line="360" w:lineRule="auto"/>
        <w:jc w:val="both"/>
        <w:rPr>
          <w:rFonts w:ascii="Times New Roman" w:eastAsia="Times New Roman" w:hAnsi="Times New Roman" w:cs="Times New Roman"/>
          <w:sz w:val="24"/>
          <w:szCs w:val="24"/>
        </w:rPr>
      </w:pPr>
    </w:p>
    <w:p w14:paraId="77AAF0BF"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Comparative analysis of March 2024 and March 2025 shows a large degree of structural change in the patterns of expenditure. The rise in the household income between 2024 and 2025 from ₹37,335.42 to ₹49,304.80 shows that the current economy is recovering well from the pandemic and the purchasing power has improved. Likewise, overall household spending amount increased from ₹21,842.33 to ₹26,096.10 during the same period. Food expenditure increased from ₹9,087.90 to ₹10,452.21, while health expenditure rose from ₹784.15 to ₹908.20. The results indicate that basic welfare and health security remained a key priority for households even during and beyond the pandemic.</w:t>
      </w:r>
    </w:p>
    <w:p w14:paraId="73E2B702" w14:textId="77777777" w:rsidR="003770AC" w:rsidRDefault="003770AC">
      <w:pPr>
        <w:spacing w:before="240" w:after="240" w:line="360" w:lineRule="auto"/>
        <w:jc w:val="both"/>
        <w:rPr>
          <w:rFonts w:ascii="Times New Roman" w:eastAsia="Times New Roman" w:hAnsi="Times New Roman" w:cs="Times New Roman"/>
          <w:sz w:val="24"/>
          <w:szCs w:val="24"/>
        </w:rPr>
      </w:pPr>
    </w:p>
    <w:p w14:paraId="5B93D005"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Meanwhile, spending on discretionary items like leisure, restaurant and recreation spending also were seesawing significantly. The shares of leisure and restaurant expenditure both increased, from ₹1,600.09 to ₹1,837.78 and from ₹654.59 to ₹822.30 respectively. The results show the shift in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to lifestyle-related consumption patterns following the end of the pandemic restrictions. Such spending increases are signals of increasing economic confidence and consumer sentiment, but are also indicators of increased consumption that is resource-intensive and environmentally unsustainable.</w:t>
      </w:r>
    </w:p>
    <w:p w14:paraId="50A0393D"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key finding of the study is that even though income and consumption increased, the Green Economics Sustainability Index decreased, from 45.70 in 2024 to 43.40 in 2025. </w:t>
      </w:r>
      <w:r>
        <w:rPr>
          <w:rFonts w:ascii="Times New Roman" w:eastAsia="Times New Roman" w:hAnsi="Times New Roman" w:cs="Times New Roman"/>
          <w:sz w:val="24"/>
          <w:szCs w:val="24"/>
        </w:rPr>
        <w:lastRenderedPageBreak/>
        <w:t xml:space="preserve">This downward trend indicates that there is no positive correlation between economic prosperity and the sustainability orientation. Rather, the sustainability balance in household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seems to have been growing more negative as a result of increased growth in discretionary and luxury consumption. The results, therefore, do support the arguments put forward by the Green Economics researchers that development should not only be assessed in the realm of income production, but also consumption levels that are more welfare-driven and environmentally friendly.</w:t>
      </w:r>
    </w:p>
    <w:p w14:paraId="2DC0C8CE" w14:textId="77777777" w:rsidR="003770AC" w:rsidRDefault="003770AC">
      <w:pPr>
        <w:spacing w:before="240" w:after="240" w:line="360" w:lineRule="auto"/>
        <w:jc w:val="both"/>
        <w:rPr>
          <w:rFonts w:ascii="Times New Roman" w:eastAsia="Times New Roman" w:hAnsi="Times New Roman" w:cs="Times New Roman"/>
          <w:sz w:val="24"/>
          <w:szCs w:val="24"/>
        </w:rPr>
      </w:pPr>
    </w:p>
    <w:p w14:paraId="57E45309"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observations are supported by a correlation analysis. There was a positive correlation between total income and total expenditure (r = 0.526), which indicated that the higher income of a household the higher its consumption expenditure. Similarly, food expenditure was positively correlated with income r = 0.456, suggesting that the food purchasing power plays a significant role in improving the food consumption and nutritional welfare. The negative correlation between income and the Green Economics Sustainability Index, however, (r = – 0.327) indicates that consumption activities of higher-income households may shift toward being less sustainability oriented.</w:t>
      </w:r>
    </w:p>
    <w:p w14:paraId="6D52760E" w14:textId="77777777" w:rsidR="003770AC" w:rsidRDefault="003770AC">
      <w:pPr>
        <w:spacing w:before="240" w:after="240" w:line="360" w:lineRule="auto"/>
        <w:jc w:val="both"/>
        <w:rPr>
          <w:rFonts w:ascii="Times New Roman" w:eastAsia="Times New Roman" w:hAnsi="Times New Roman" w:cs="Times New Roman"/>
          <w:sz w:val="24"/>
          <w:szCs w:val="24"/>
        </w:rPr>
      </w:pPr>
    </w:p>
    <w:p w14:paraId="0F87E59C"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relationship between total expenditure and food expenditure was also found to be positive and strong (r = 0.754), showing that food expenditure is still important in people's budget allocation problem. There was a positive correlation between restaurant expenditure and leisure expenditure (r = 0.614), and a positive significant correlation between leisure expenditure and vacation expenditure (r = 0.538). Such associations are an amalgamation of the growing convergence of entertainment, tourism and lifestyle in today's household expenditure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w:t>
      </w:r>
    </w:p>
    <w:p w14:paraId="6B804226" w14:textId="77777777" w:rsidR="003770AC" w:rsidRDefault="003770AC">
      <w:pPr>
        <w:spacing w:before="240" w:after="240" w:line="360" w:lineRule="auto"/>
        <w:jc w:val="both"/>
        <w:rPr>
          <w:rFonts w:ascii="Times New Roman" w:eastAsia="Times New Roman" w:hAnsi="Times New Roman" w:cs="Times New Roman"/>
          <w:sz w:val="24"/>
          <w:szCs w:val="24"/>
        </w:rPr>
      </w:pPr>
    </w:p>
    <w:p w14:paraId="327699A7"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importantly, there was a negative association between the Green Economics Sustainability Index and total expenditure (r = –0.553), leisure expenditure (r = –0.403) and health expenditure (r = –0.321). The negative correlation to leisure expenditure </w:t>
      </w:r>
      <w:proofErr w:type="gramStart"/>
      <w:r>
        <w:rPr>
          <w:rFonts w:ascii="Times New Roman" w:eastAsia="Times New Roman" w:hAnsi="Times New Roman" w:cs="Times New Roman"/>
          <w:sz w:val="24"/>
          <w:szCs w:val="24"/>
        </w:rPr>
        <w:t>suggest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that the more one spends on leisure, the less sustainable one is oriented. While the overall trend of increasing expenditure on health care is associated with an improvement in welfare, the increasing health care expenditure also underscores increased healthcare dependency and increased health cost in the city, thus complicating the sustainability relationship.</w:t>
      </w:r>
    </w:p>
    <w:p w14:paraId="0AF15A3D" w14:textId="77777777" w:rsidR="003770AC" w:rsidRDefault="003770AC">
      <w:pPr>
        <w:spacing w:before="240" w:after="240" w:line="360" w:lineRule="auto"/>
        <w:jc w:val="both"/>
        <w:rPr>
          <w:rFonts w:ascii="Times New Roman" w:eastAsia="Times New Roman" w:hAnsi="Times New Roman" w:cs="Times New Roman"/>
          <w:sz w:val="24"/>
          <w:szCs w:val="24"/>
        </w:rPr>
      </w:pPr>
    </w:p>
    <w:p w14:paraId="681F7CF9"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OLS regression analysis gives some additional clues to the determinants of sustainable household expenditure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The regression model was statistically significant at 1 percent level, and explained about 23.1 percent of the variation in the Green Economics Sustainability Index. The items that had positive effects on sustainability orientation were: food expenditure, meaning those households that spend a higher share of their budget on food were more sustainable oriented. Health expenditure also positively contributed to sustainability orientation, supporting the capability approach proposed by Amartya Sen which emphasizes on investment in human welfare and health as elements of sustainable development.</w:t>
      </w:r>
    </w:p>
    <w:p w14:paraId="1B0A39BF" w14:textId="77777777" w:rsidR="003770AC" w:rsidRDefault="003770AC">
      <w:pPr>
        <w:spacing w:before="240" w:after="240" w:line="360" w:lineRule="auto"/>
        <w:jc w:val="both"/>
        <w:rPr>
          <w:rFonts w:ascii="Times New Roman" w:eastAsia="Times New Roman" w:hAnsi="Times New Roman" w:cs="Times New Roman"/>
          <w:sz w:val="24"/>
          <w:szCs w:val="24"/>
        </w:rPr>
      </w:pPr>
    </w:p>
    <w:p w14:paraId="72560D54"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the contrary, the coefficient for leisure spending was negative, which indicates that an excessive share of non-essential spending correlates negatively with sustainability orientation. Likewise, an increase in the household income was negatively related to the sustainability index, indicating that people with higher income may be more likely to engage in environmentally more intensive consumption patterns, such as luxury purchases, leisure trips and lifestyle spending.</w:t>
      </w:r>
    </w:p>
    <w:p w14:paraId="6A4A5184" w14:textId="77777777" w:rsidR="003770AC" w:rsidRDefault="003770AC">
      <w:pPr>
        <w:spacing w:before="240" w:after="240" w:line="360" w:lineRule="auto"/>
        <w:jc w:val="both"/>
        <w:rPr>
          <w:rFonts w:ascii="Times New Roman" w:eastAsia="Times New Roman" w:hAnsi="Times New Roman" w:cs="Times New Roman"/>
          <w:sz w:val="24"/>
          <w:szCs w:val="24"/>
        </w:rPr>
      </w:pPr>
    </w:p>
    <w:p w14:paraId="4026147D"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results are in line with the theoretical background of Green Economics where the progress of the economy should be measured in terms of responsible consumption, social welfare and ecological sustainability in addition to the increase of income. The findings also corroborate earlier research by Jackson (2017), Daly (2020), and Raworth (2019) that </w:t>
      </w:r>
      <w:r>
        <w:rPr>
          <w:rFonts w:ascii="Times New Roman" w:eastAsia="Times New Roman" w:hAnsi="Times New Roman" w:cs="Times New Roman"/>
          <w:sz w:val="24"/>
          <w:szCs w:val="24"/>
        </w:rPr>
        <w:lastRenderedPageBreak/>
        <w:t>overconsumption and lifestyles that require a lot of resources pose a threat to sustainability in the long run.</w:t>
      </w:r>
    </w:p>
    <w:p w14:paraId="0FECC998" w14:textId="77777777" w:rsidR="003770AC" w:rsidRDefault="003770AC">
      <w:pPr>
        <w:spacing w:before="240" w:after="240" w:line="360" w:lineRule="auto"/>
        <w:jc w:val="both"/>
        <w:rPr>
          <w:rFonts w:ascii="Times New Roman" w:eastAsia="Times New Roman" w:hAnsi="Times New Roman" w:cs="Times New Roman"/>
          <w:sz w:val="24"/>
          <w:szCs w:val="24"/>
        </w:rPr>
      </w:pPr>
    </w:p>
    <w:p w14:paraId="09FE78F4"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Chi-square association analysis also showed that demographic variables are also significant factors and influence sustainability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The statistically significant relationship between region type and gender group indicates that there are differences between the demographic and regional groups in terms of household sustainability orientation. This means that the social structure, the composition of households and regional economic conditions are significant factors in determining sustainable expenditure practices.</w:t>
      </w:r>
    </w:p>
    <w:p w14:paraId="0272ECFB" w14:textId="77777777" w:rsidR="003770AC" w:rsidRDefault="003770AC">
      <w:pPr>
        <w:spacing w:before="240" w:after="240" w:line="360" w:lineRule="auto"/>
        <w:jc w:val="both"/>
        <w:rPr>
          <w:rFonts w:ascii="Times New Roman" w:eastAsia="Times New Roman" w:hAnsi="Times New Roman" w:cs="Times New Roman"/>
          <w:sz w:val="24"/>
          <w:szCs w:val="24"/>
        </w:rPr>
      </w:pPr>
    </w:p>
    <w:p w14:paraId="0DF9FF7A"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results show that the post-pandemic economic recovery in Maharashtra has enhanced the income and consumption capacity but they have also reduced the sustainability orientation of the economy due to increasing discretionary expenditure. Thus, the study highlights the significance of achieving a balance between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and spending on </w:t>
      </w:r>
      <w:proofErr w:type="gramStart"/>
      <w:r>
        <w:rPr>
          <w:rFonts w:ascii="Times New Roman" w:eastAsia="Times New Roman" w:hAnsi="Times New Roman" w:cs="Times New Roman"/>
          <w:sz w:val="24"/>
          <w:szCs w:val="24"/>
        </w:rPr>
        <w:t>welfare oriented</w:t>
      </w:r>
      <w:proofErr w:type="gramEnd"/>
      <w:r>
        <w:rPr>
          <w:rFonts w:ascii="Times New Roman" w:eastAsia="Times New Roman" w:hAnsi="Times New Roman" w:cs="Times New Roman"/>
          <w:sz w:val="24"/>
          <w:szCs w:val="24"/>
        </w:rPr>
        <w:t xml:space="preserve"> consumption to reduce the environmentally intensive lifestyle consumption. Income growth alone is not enough to attain sustainable development if there is not careful allocation of expenditure and mindful consumption patterns by households.</w:t>
      </w:r>
    </w:p>
    <w:p w14:paraId="4ACA97D4" w14:textId="77777777" w:rsidR="003770AC" w:rsidRDefault="003770AC">
      <w:pPr>
        <w:spacing w:before="240" w:after="240" w:line="360" w:lineRule="auto"/>
        <w:jc w:val="both"/>
        <w:rPr>
          <w:rFonts w:ascii="Times New Roman" w:eastAsia="Times New Roman" w:hAnsi="Times New Roman" w:cs="Times New Roman"/>
          <w:sz w:val="24"/>
          <w:szCs w:val="24"/>
        </w:rPr>
      </w:pPr>
    </w:p>
    <w:p w14:paraId="592F8CCF" w14:textId="77777777" w:rsidR="003770AC" w:rsidRDefault="00D735CB">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1039D784"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concludes that Green Economics offers a valuable tool for understanding sustainable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of households. The analysis shows that there are strong linkages between the orientation of sustainability, income, and expenditure patterns of households in Maharashtra.</w:t>
      </w:r>
    </w:p>
    <w:p w14:paraId="160D8F2A"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results suggest that sustainable development positively relates with the food and healthcare spending while non-essential and luxury spending have negative relationship with sustainable development orientation.</w:t>
      </w:r>
    </w:p>
    <w:p w14:paraId="2139F82E"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Comparing 2024 and 2025 shows that although the incomes of households rose during the post-pandemic recovery period, the sum of their expenditures fell, leading to a decrease in the Green Economics Sustainability Index, which was attributed to an increase in the discretionary expenditures of the households.</w:t>
      </w:r>
    </w:p>
    <w:p w14:paraId="47F2BFD9"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highlights that for sustainable development it is not enough to increase the amount of income, but also the way the expenditure is allocated and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is balanced in a responsible manner. Households that spend the money on welfare-oriented expenditure are more sustainable oriented.</w:t>
      </w:r>
    </w:p>
    <w:p w14:paraId="46B6B815"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 paper also brings a contribution to the field of Green Economics by incorporating the concepts of sustainability with the analysis of household expenditure with the help of statistical and econometric techniques. The findings contribute to the design of economic policies built to the welfare and sustainability concerns of policy makers, researchers and development planners.</w:t>
      </w:r>
    </w:p>
    <w:p w14:paraId="6AC0C5B5"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reveals the current need of financial literacy and planning in household expenditure among the households in Maharashtra. Increased awareness programs are needed to inform families of the importance of maintaining a balance between consumption and a sustainable financial management strategy, especially when there is an increase in household income. Households should be encouraged to spend more on non-excessive lifestyle-oriented spending on </w:t>
      </w:r>
      <w:proofErr w:type="gramStart"/>
      <w:r>
        <w:rPr>
          <w:rFonts w:ascii="Times New Roman" w:eastAsia="Times New Roman" w:hAnsi="Times New Roman" w:cs="Times New Roman"/>
          <w:sz w:val="24"/>
          <w:szCs w:val="24"/>
        </w:rPr>
        <w:t>welfare oriented</w:t>
      </w:r>
      <w:proofErr w:type="gramEnd"/>
      <w:r>
        <w:rPr>
          <w:rFonts w:ascii="Times New Roman" w:eastAsia="Times New Roman" w:hAnsi="Times New Roman" w:cs="Times New Roman"/>
          <w:sz w:val="24"/>
          <w:szCs w:val="24"/>
        </w:rPr>
        <w:t xml:space="preserve"> categories like food, health, education, long term saving, etc.</w:t>
      </w:r>
    </w:p>
    <w:p w14:paraId="006DA6EC"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also emphasizes the need to raise awareness on sustainable consumption practices. There is a need for a collaboration among government agencies, educational institutions and civil society organizations to carry out sustainability campaigns to promote sustainable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These can help to teach households about redirecting </w:t>
      </w:r>
      <w:r>
        <w:rPr>
          <w:rFonts w:ascii="Times New Roman" w:eastAsia="Times New Roman" w:hAnsi="Times New Roman" w:cs="Times New Roman"/>
          <w:sz w:val="24"/>
          <w:szCs w:val="24"/>
        </w:rPr>
        <w:lastRenderedPageBreak/>
        <w:t>wasteful spending, lowering environmentally intensive consumption, and living in an environmentally friendly way.</w:t>
      </w:r>
    </w:p>
    <w:p w14:paraId="09A94A02" w14:textId="77777777" w:rsidR="003770AC" w:rsidRDefault="003770AC">
      <w:pPr>
        <w:spacing w:before="240" w:after="240" w:line="360" w:lineRule="auto"/>
        <w:jc w:val="both"/>
        <w:rPr>
          <w:rFonts w:ascii="Times New Roman" w:eastAsia="Times New Roman" w:hAnsi="Times New Roman" w:cs="Times New Roman"/>
          <w:sz w:val="24"/>
          <w:szCs w:val="24"/>
        </w:rPr>
      </w:pPr>
    </w:p>
    <w:p w14:paraId="3E88F0E4"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key policy implication that has become clear from the study is the importance of investing in healthcare systems and on welfare-oriented expenditure. As health expenditure is found to be positively associated with sustainability orientation, access to affordable health care services can play a significant role in human development and sustainable living. Households can be sustained in a more preventive health, nutrition, sanitation and community friendly way through public policies.</w:t>
      </w:r>
    </w:p>
    <w:p w14:paraId="268E28B8" w14:textId="77777777" w:rsidR="003770AC" w:rsidRDefault="003770AC">
      <w:pPr>
        <w:spacing w:before="240" w:after="240" w:line="360" w:lineRule="auto"/>
        <w:jc w:val="both"/>
        <w:rPr>
          <w:rFonts w:ascii="Times New Roman" w:eastAsia="Times New Roman" w:hAnsi="Times New Roman" w:cs="Times New Roman"/>
          <w:sz w:val="24"/>
          <w:szCs w:val="24"/>
        </w:rPr>
      </w:pPr>
    </w:p>
    <w:p w14:paraId="36BCDA62"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also indicated the need to mainstream the concept of Environmental Responsibility into the current lifestyle practices. Changes in consumption aspirations among households are reflected in the rapid growth of leisure and tourist spending, as well as restaurant spending. Thus, sustainable tourism, green recreational facilities, environmentally-friendly transport and environmentally-friendly hospitality services should be promoted. This can help to mitigate the environmental impact of overconsumption and waste.</w:t>
      </w:r>
    </w:p>
    <w:p w14:paraId="0612BCA5" w14:textId="77777777" w:rsidR="003770AC" w:rsidRDefault="003770AC">
      <w:pPr>
        <w:spacing w:before="240" w:after="240" w:line="360" w:lineRule="auto"/>
        <w:jc w:val="both"/>
        <w:rPr>
          <w:rFonts w:ascii="Times New Roman" w:eastAsia="Times New Roman" w:hAnsi="Times New Roman" w:cs="Times New Roman"/>
          <w:sz w:val="24"/>
          <w:szCs w:val="24"/>
        </w:rPr>
      </w:pPr>
    </w:p>
    <w:p w14:paraId="17DBADA8"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further suggests that the concept of awareness building for sustainability must be undertaken at the regional level statewide in Maharashtra. The regional differences in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indicate that the sustainability programs need to be tailored to the socio-economic situation of urban and rural households. Local, municipal and district agencies can actively contribute to sustainable development campaigns at a regional level.</w:t>
      </w:r>
    </w:p>
    <w:p w14:paraId="61A1C3D8" w14:textId="77777777" w:rsidR="003770AC" w:rsidRDefault="003770AC">
      <w:pPr>
        <w:spacing w:before="240" w:after="240" w:line="360" w:lineRule="auto"/>
        <w:jc w:val="both"/>
        <w:rPr>
          <w:rFonts w:ascii="Times New Roman" w:eastAsia="Times New Roman" w:hAnsi="Times New Roman" w:cs="Times New Roman"/>
          <w:sz w:val="24"/>
          <w:szCs w:val="24"/>
        </w:rPr>
      </w:pPr>
    </w:p>
    <w:p w14:paraId="15E3300E"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Last, the research highlights the importance of incorporating the principles of Green Economics into welfare and development policies of households. A policy for promoting economic growth should not only aim to increase incomes, but also promote responsible </w:t>
      </w:r>
      <w:r>
        <w:rPr>
          <w:rFonts w:ascii="Times New Roman" w:eastAsia="Times New Roman" w:hAnsi="Times New Roman" w:cs="Times New Roman"/>
          <w:sz w:val="24"/>
          <w:szCs w:val="24"/>
        </w:rPr>
        <w:lastRenderedPageBreak/>
        <w:t xml:space="preserve">allocation of expenditures and sustainable consumption patterns. Inclusive growth, environmental protection, social welfare and responsible consumer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policies can help achieve the </w:t>
      </w:r>
      <w:proofErr w:type="gramStart"/>
      <w:r>
        <w:rPr>
          <w:rFonts w:ascii="Times New Roman" w:eastAsia="Times New Roman" w:hAnsi="Times New Roman" w:cs="Times New Roman"/>
          <w:sz w:val="24"/>
          <w:szCs w:val="24"/>
        </w:rPr>
        <w:t>long term</w:t>
      </w:r>
      <w:proofErr w:type="gramEnd"/>
      <w:r>
        <w:rPr>
          <w:rFonts w:ascii="Times New Roman" w:eastAsia="Times New Roman" w:hAnsi="Times New Roman" w:cs="Times New Roman"/>
          <w:sz w:val="24"/>
          <w:szCs w:val="24"/>
        </w:rPr>
        <w:t xml:space="preserve"> sustainable development goals in Maharashtra.</w:t>
      </w:r>
    </w:p>
    <w:p w14:paraId="47B742DB" w14:textId="77777777" w:rsidR="003770AC" w:rsidRDefault="00D735CB">
      <w:pPr>
        <w:pStyle w:val="Heading1"/>
        <w:keepNext w:val="0"/>
        <w:keepLines w:val="0"/>
        <w:spacing w:after="120" w:line="360" w:lineRule="auto"/>
        <w:jc w:val="both"/>
        <w:rPr>
          <w:rFonts w:ascii="Times New Roman" w:eastAsia="Times New Roman" w:hAnsi="Times New Roman" w:cs="Times New Roman"/>
          <w:color w:val="000000"/>
          <w:sz w:val="24"/>
          <w:szCs w:val="24"/>
        </w:rPr>
      </w:pPr>
      <w:bookmarkStart w:id="6" w:name="_heading=h.wj648ws1t40u" w:colFirst="0" w:colLast="0"/>
      <w:bookmarkEnd w:id="6"/>
      <w:r>
        <w:rPr>
          <w:rFonts w:ascii="Times New Roman" w:eastAsia="Times New Roman" w:hAnsi="Times New Roman" w:cs="Times New Roman"/>
          <w:color w:val="000000"/>
          <w:sz w:val="24"/>
          <w:szCs w:val="24"/>
        </w:rPr>
        <w:t>References</w:t>
      </w:r>
    </w:p>
    <w:p w14:paraId="5C8CA71F"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Bose, A. (2023). </w:t>
      </w:r>
      <w:r>
        <w:rPr>
          <w:rFonts w:ascii="Times New Roman" w:eastAsia="Times New Roman" w:hAnsi="Times New Roman" w:cs="Times New Roman"/>
          <w:i/>
          <w:iCs/>
          <w:sz w:val="24"/>
          <w:szCs w:val="24"/>
        </w:rPr>
        <w:t>Sustainable household consumption and environmental responsibility in emerging economies</w:t>
      </w:r>
      <w:r>
        <w:rPr>
          <w:rFonts w:ascii="Times New Roman" w:eastAsia="Times New Roman" w:hAnsi="Times New Roman" w:cs="Times New Roman"/>
          <w:sz w:val="24"/>
          <w:szCs w:val="24"/>
        </w:rPr>
        <w:t>. Journal of Sustainable Development Studies, 15(2), 112–128.</w:t>
      </w:r>
    </w:p>
    <w:p w14:paraId="1AF428C1"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Byrne, B. M. (2022). </w:t>
      </w:r>
      <w:r>
        <w:rPr>
          <w:rFonts w:ascii="Times New Roman" w:eastAsia="Times New Roman" w:hAnsi="Times New Roman" w:cs="Times New Roman"/>
          <w:i/>
          <w:iCs/>
          <w:sz w:val="24"/>
          <w:szCs w:val="24"/>
        </w:rPr>
        <w:t>Structural equation modeling with AMOS: Basic concepts, applications, and programming</w:t>
      </w:r>
      <w:r>
        <w:rPr>
          <w:rFonts w:ascii="Times New Roman" w:eastAsia="Times New Roman" w:hAnsi="Times New Roman" w:cs="Times New Roman"/>
          <w:sz w:val="24"/>
          <w:szCs w:val="24"/>
        </w:rPr>
        <w:t xml:space="preserve"> (4th ed.). Routledge.</w:t>
      </w:r>
    </w:p>
    <w:p w14:paraId="23CC3B72"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Daly, H. E. (2020). </w:t>
      </w:r>
      <w:r>
        <w:rPr>
          <w:rFonts w:ascii="Times New Roman" w:eastAsia="Times New Roman" w:hAnsi="Times New Roman" w:cs="Times New Roman"/>
          <w:i/>
          <w:iCs/>
          <w:sz w:val="24"/>
          <w:szCs w:val="24"/>
        </w:rPr>
        <w:t>Ecological economics and sustainable development</w:t>
      </w:r>
      <w:r>
        <w:rPr>
          <w:rFonts w:ascii="Times New Roman" w:eastAsia="Times New Roman" w:hAnsi="Times New Roman" w:cs="Times New Roman"/>
          <w:sz w:val="24"/>
          <w:szCs w:val="24"/>
        </w:rPr>
        <w:t>. Edward Elgar Publishing.</w:t>
      </w:r>
    </w:p>
    <w:p w14:paraId="6D115B41"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Jackson, T. (2017). </w:t>
      </w:r>
      <w:r>
        <w:rPr>
          <w:rFonts w:ascii="Times New Roman" w:eastAsia="Times New Roman" w:hAnsi="Times New Roman" w:cs="Times New Roman"/>
          <w:i/>
          <w:iCs/>
          <w:sz w:val="24"/>
          <w:szCs w:val="24"/>
        </w:rPr>
        <w:t>Prosperity without growth: Foundations for the economy of tomorrow</w:t>
      </w:r>
      <w:r>
        <w:rPr>
          <w:rFonts w:ascii="Times New Roman" w:eastAsia="Times New Roman" w:hAnsi="Times New Roman" w:cs="Times New Roman"/>
          <w:sz w:val="24"/>
          <w:szCs w:val="24"/>
        </w:rPr>
        <w:t xml:space="preserve"> (2nd ed.). Routledge.</w:t>
      </w:r>
    </w:p>
    <w:p w14:paraId="4DE6BA75" w14:textId="77777777" w:rsidR="003770AC" w:rsidRDefault="00D735CB">
      <w:pPr>
        <w:spacing w:before="240"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Jagannarayan</w:t>
      </w:r>
      <w:proofErr w:type="spellEnd"/>
      <w:r>
        <w:rPr>
          <w:rFonts w:ascii="Times New Roman" w:eastAsia="Times New Roman" w:hAnsi="Times New Roman" w:cs="Times New Roman"/>
          <w:sz w:val="24"/>
          <w:szCs w:val="24"/>
        </w:rPr>
        <w:t xml:space="preserve">, N. (2024). </w:t>
      </w:r>
      <w:r>
        <w:rPr>
          <w:rFonts w:ascii="Times New Roman" w:eastAsia="Times New Roman" w:hAnsi="Times New Roman" w:cs="Times New Roman"/>
          <w:i/>
          <w:iCs/>
          <w:sz w:val="24"/>
          <w:szCs w:val="24"/>
        </w:rPr>
        <w:t>From disruption to recovery: A socio-economic analysis of household consumption in Maharashtra pre- and post-pandemic</w:t>
      </w:r>
      <w:r>
        <w:rPr>
          <w:rFonts w:ascii="Times New Roman" w:eastAsia="Times New Roman" w:hAnsi="Times New Roman" w:cs="Times New Roman"/>
          <w:sz w:val="24"/>
          <w:szCs w:val="24"/>
        </w:rPr>
        <w:t>. International Journal of Multidisciplinary Innovations, 8(3), 55–72.</w:t>
      </w:r>
    </w:p>
    <w:p w14:paraId="278BFF6F" w14:textId="77777777" w:rsidR="003770AC" w:rsidRDefault="00D735CB">
      <w:pPr>
        <w:spacing w:before="240"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Jagannarayan</w:t>
      </w:r>
      <w:proofErr w:type="spellEnd"/>
      <w:r>
        <w:rPr>
          <w:rFonts w:ascii="Times New Roman" w:eastAsia="Times New Roman" w:hAnsi="Times New Roman" w:cs="Times New Roman"/>
          <w:sz w:val="24"/>
          <w:szCs w:val="24"/>
        </w:rPr>
        <w:t xml:space="preserve">, M. N., &amp; Prasuna, D. A. (2024). </w:t>
      </w:r>
      <w:r>
        <w:rPr>
          <w:rFonts w:ascii="Times New Roman" w:eastAsia="Times New Roman" w:hAnsi="Times New Roman" w:cs="Times New Roman"/>
          <w:i/>
          <w:iCs/>
          <w:sz w:val="24"/>
          <w:szCs w:val="24"/>
        </w:rPr>
        <w:t>Gender (Women-Led Households) as a Determinant of Consumption Expenditure on Food during March 2020 – A Case Study of Maharashtra</w:t>
      </w:r>
      <w:r>
        <w:rPr>
          <w:rFonts w:ascii="Times New Roman" w:eastAsia="Times New Roman" w:hAnsi="Times New Roman" w:cs="Times New Roman"/>
          <w:sz w:val="24"/>
          <w:szCs w:val="24"/>
        </w:rPr>
        <w:t>. South Eastern European Journal of Public Health, 269–276.</w:t>
      </w:r>
    </w:p>
    <w:p w14:paraId="40D31280"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Kumar, S., &amp; Sharma, R. (2021). </w:t>
      </w:r>
      <w:r>
        <w:rPr>
          <w:rFonts w:ascii="Times New Roman" w:eastAsia="Times New Roman" w:hAnsi="Times New Roman" w:cs="Times New Roman"/>
          <w:i/>
          <w:iCs/>
          <w:sz w:val="24"/>
          <w:szCs w:val="24"/>
        </w:rPr>
        <w:t xml:space="preserve">Household expenditure </w:t>
      </w:r>
      <w:proofErr w:type="spellStart"/>
      <w:r>
        <w:rPr>
          <w:rFonts w:ascii="Times New Roman" w:eastAsia="Times New Roman" w:hAnsi="Times New Roman" w:cs="Times New Roman"/>
          <w:i/>
          <w:iCs/>
          <w:sz w:val="24"/>
          <w:szCs w:val="24"/>
        </w:rPr>
        <w:t>behaviour</w:t>
      </w:r>
      <w:proofErr w:type="spellEnd"/>
      <w:r>
        <w:rPr>
          <w:rFonts w:ascii="Times New Roman" w:eastAsia="Times New Roman" w:hAnsi="Times New Roman" w:cs="Times New Roman"/>
          <w:i/>
          <w:iCs/>
          <w:sz w:val="24"/>
          <w:szCs w:val="24"/>
        </w:rPr>
        <w:t xml:space="preserve"> and sustainable consumption in India</w:t>
      </w:r>
      <w:r>
        <w:rPr>
          <w:rFonts w:ascii="Times New Roman" w:eastAsia="Times New Roman" w:hAnsi="Times New Roman" w:cs="Times New Roman"/>
          <w:sz w:val="24"/>
          <w:szCs w:val="24"/>
        </w:rPr>
        <w:t>. International Journal of Environmental Economics, 9(3), 144–159.</w:t>
      </w:r>
    </w:p>
    <w:p w14:paraId="7C7995C8"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 A. (2020). </w:t>
      </w:r>
      <w:r>
        <w:rPr>
          <w:rFonts w:ascii="Times New Roman" w:eastAsia="Times New Roman" w:hAnsi="Times New Roman" w:cs="Times New Roman"/>
          <w:i/>
          <w:iCs/>
          <w:sz w:val="24"/>
          <w:szCs w:val="24"/>
        </w:rPr>
        <w:t>Development as freedom</w:t>
      </w:r>
      <w:r>
        <w:rPr>
          <w:rFonts w:ascii="Times New Roman" w:eastAsia="Times New Roman" w:hAnsi="Times New Roman" w:cs="Times New Roman"/>
          <w:sz w:val="24"/>
          <w:szCs w:val="24"/>
        </w:rPr>
        <w:t>. Oxford University Press.</w:t>
      </w:r>
    </w:p>
    <w:p w14:paraId="5F741F54"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Stiglitz, J. E., Sen, A., &amp; Fitoussi, J. P. (2021). </w:t>
      </w:r>
      <w:r>
        <w:rPr>
          <w:rFonts w:ascii="Times New Roman" w:eastAsia="Times New Roman" w:hAnsi="Times New Roman" w:cs="Times New Roman"/>
          <w:i/>
          <w:iCs/>
          <w:sz w:val="24"/>
          <w:szCs w:val="24"/>
        </w:rPr>
        <w:t>Beyond GDP: Measuring welfare and sustainability</w:t>
      </w:r>
      <w:r>
        <w:rPr>
          <w:rFonts w:ascii="Times New Roman" w:eastAsia="Times New Roman" w:hAnsi="Times New Roman" w:cs="Times New Roman"/>
          <w:sz w:val="24"/>
          <w:szCs w:val="24"/>
        </w:rPr>
        <w:t>. New Press.</w:t>
      </w:r>
    </w:p>
    <w:p w14:paraId="04E2B528"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United Nations Development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(2022). </w:t>
      </w:r>
      <w:r>
        <w:rPr>
          <w:rFonts w:ascii="Times New Roman" w:eastAsia="Times New Roman" w:hAnsi="Times New Roman" w:cs="Times New Roman"/>
          <w:i/>
          <w:iCs/>
          <w:sz w:val="24"/>
          <w:szCs w:val="24"/>
        </w:rPr>
        <w:t>Human development report 2022: Sustainable consumption and inclusive growth</w:t>
      </w:r>
      <w:r>
        <w:rPr>
          <w:rFonts w:ascii="Times New Roman" w:eastAsia="Times New Roman" w:hAnsi="Times New Roman" w:cs="Times New Roman"/>
          <w:sz w:val="24"/>
          <w:szCs w:val="24"/>
        </w:rPr>
        <w:t>. UNDP.</w:t>
      </w:r>
    </w:p>
    <w:p w14:paraId="084C78A1"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United Nations Environment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(2024). </w:t>
      </w:r>
      <w:r>
        <w:rPr>
          <w:rFonts w:ascii="Times New Roman" w:eastAsia="Times New Roman" w:hAnsi="Times New Roman" w:cs="Times New Roman"/>
          <w:i/>
          <w:iCs/>
          <w:sz w:val="24"/>
          <w:szCs w:val="24"/>
        </w:rPr>
        <w:t>Global sustainable consumption report 2024</w:t>
      </w:r>
      <w:r>
        <w:rPr>
          <w:rFonts w:ascii="Times New Roman" w:eastAsia="Times New Roman" w:hAnsi="Times New Roman" w:cs="Times New Roman"/>
          <w:sz w:val="24"/>
          <w:szCs w:val="24"/>
        </w:rPr>
        <w:t>. UNEP.</w:t>
      </w:r>
    </w:p>
    <w:p w14:paraId="78BC7BB2"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World Bank. (2023). </w:t>
      </w:r>
      <w:r>
        <w:rPr>
          <w:rFonts w:ascii="Times New Roman" w:eastAsia="Times New Roman" w:hAnsi="Times New Roman" w:cs="Times New Roman"/>
          <w:i/>
          <w:iCs/>
          <w:sz w:val="24"/>
          <w:szCs w:val="24"/>
        </w:rPr>
        <w:t xml:space="preserve">Consumption </w:t>
      </w:r>
      <w:proofErr w:type="spellStart"/>
      <w:r>
        <w:rPr>
          <w:rFonts w:ascii="Times New Roman" w:eastAsia="Times New Roman" w:hAnsi="Times New Roman" w:cs="Times New Roman"/>
          <w:i/>
          <w:iCs/>
          <w:sz w:val="24"/>
          <w:szCs w:val="24"/>
        </w:rPr>
        <w:t>behaviour</w:t>
      </w:r>
      <w:proofErr w:type="spellEnd"/>
      <w:r>
        <w:rPr>
          <w:rFonts w:ascii="Times New Roman" w:eastAsia="Times New Roman" w:hAnsi="Times New Roman" w:cs="Times New Roman"/>
          <w:i/>
          <w:iCs/>
          <w:sz w:val="24"/>
          <w:szCs w:val="24"/>
        </w:rPr>
        <w:t xml:space="preserve"> and sustainability in developing economies</w:t>
      </w:r>
      <w:r>
        <w:rPr>
          <w:rFonts w:ascii="Times New Roman" w:eastAsia="Times New Roman" w:hAnsi="Times New Roman" w:cs="Times New Roman"/>
          <w:sz w:val="24"/>
          <w:szCs w:val="24"/>
        </w:rPr>
        <w:t>. World Bank Publications.</w:t>
      </w:r>
    </w:p>
    <w:p w14:paraId="71E2593E" w14:textId="77777777" w:rsidR="003770AC" w:rsidRDefault="00D735C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World Health Organization. (2023). </w:t>
      </w:r>
      <w:r>
        <w:rPr>
          <w:rFonts w:ascii="Times New Roman" w:eastAsia="Times New Roman" w:hAnsi="Times New Roman" w:cs="Times New Roman"/>
          <w:i/>
          <w:iCs/>
          <w:sz w:val="24"/>
          <w:szCs w:val="24"/>
        </w:rPr>
        <w:t>Health expenditure and sustainable human development</w:t>
      </w:r>
      <w:r>
        <w:rPr>
          <w:rFonts w:ascii="Times New Roman" w:eastAsia="Times New Roman" w:hAnsi="Times New Roman" w:cs="Times New Roman"/>
          <w:sz w:val="24"/>
          <w:szCs w:val="24"/>
        </w:rPr>
        <w:t>. WHO Press.</w:t>
      </w:r>
    </w:p>
    <w:p w14:paraId="138689DA" w14:textId="77777777" w:rsidR="003770AC" w:rsidRDefault="00D735CB">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Agarwal, B. (2018). Gender challenges: Property, family and the state. Oxford University Press.</w:t>
      </w:r>
    </w:p>
    <w:p w14:paraId="2B631A15" w14:textId="77777777" w:rsidR="003770AC" w:rsidRDefault="003770AC">
      <w:pPr>
        <w:spacing w:before="280" w:after="280" w:line="360" w:lineRule="auto"/>
        <w:jc w:val="both"/>
        <w:rPr>
          <w:rFonts w:ascii="Times New Roman" w:eastAsia="Times New Roman" w:hAnsi="Times New Roman" w:cs="Times New Roman"/>
          <w:sz w:val="24"/>
          <w:szCs w:val="24"/>
        </w:rPr>
      </w:pPr>
    </w:p>
    <w:p w14:paraId="13EC5FB7" w14:textId="77777777" w:rsidR="003770AC" w:rsidRDefault="00D735CB">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Ahuja, H. L. (2021). </w:t>
      </w:r>
      <w:proofErr w:type="spellStart"/>
      <w:r>
        <w:rPr>
          <w:rFonts w:ascii="Times New Roman" w:eastAsia="Times New Roman" w:hAnsi="Times New Roman" w:cs="Times New Roman"/>
          <w:sz w:val="24"/>
          <w:szCs w:val="24"/>
        </w:rPr>
        <w:t>Macro economics</w:t>
      </w:r>
      <w:proofErr w:type="spellEnd"/>
      <w:r>
        <w:rPr>
          <w:rFonts w:ascii="Times New Roman" w:eastAsia="Times New Roman" w:hAnsi="Times New Roman" w:cs="Times New Roman"/>
          <w:sz w:val="24"/>
          <w:szCs w:val="24"/>
        </w:rPr>
        <w:t>: Theory and policy 21st ed. S. Chand Publishing.</w:t>
      </w:r>
    </w:p>
    <w:p w14:paraId="6E2098EA" w14:textId="77777777" w:rsidR="003770AC" w:rsidRDefault="00D735CB">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Arrow, K. J., Dasgupta, P., &amp; </w:t>
      </w:r>
      <w:proofErr w:type="spellStart"/>
      <w:r>
        <w:rPr>
          <w:rFonts w:ascii="Times New Roman" w:eastAsia="Times New Roman" w:hAnsi="Times New Roman" w:cs="Times New Roman"/>
          <w:sz w:val="24"/>
          <w:szCs w:val="24"/>
        </w:rPr>
        <w:t>Mäler</w:t>
      </w:r>
      <w:proofErr w:type="spellEnd"/>
      <w:r>
        <w:rPr>
          <w:rFonts w:ascii="Times New Roman" w:eastAsia="Times New Roman" w:hAnsi="Times New Roman" w:cs="Times New Roman"/>
          <w:sz w:val="24"/>
          <w:szCs w:val="24"/>
        </w:rPr>
        <w:t>, K. G. (2019). Evaluating projects and assessing sustainable development in imperfect economies. *Environmental and Resource Economics, 26*(4), 647–685.</w:t>
      </w:r>
    </w:p>
    <w:p w14:paraId="73973401" w14:textId="77777777" w:rsidR="003770AC" w:rsidRDefault="00D735CB">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Banerjee, A. V., &amp; Duflo, E. (2020). Good economics for hard times. PublicAffairs.</w:t>
      </w:r>
    </w:p>
    <w:p w14:paraId="0AB2F2E4" w14:textId="77777777" w:rsidR="003770AC" w:rsidRDefault="00D735CB">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Bhattacharya, R. &amp; Mukherjee, J. (2022). Financial resilience of households and sustainability of their consumption in India. Indian Journal of Economics and Development 18(2): 210-225.</w:t>
      </w:r>
    </w:p>
    <w:p w14:paraId="0E1CD74B" w14:textId="77777777" w:rsidR="003770AC" w:rsidRDefault="00D735CB">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Bina, O. (2019). The struggle for a green economy and sustainable development. *Environment and Planning C, 31*(6), 1023–1047.</w:t>
      </w:r>
    </w:p>
    <w:p w14:paraId="037C1026" w14:textId="77777777" w:rsidR="003770AC" w:rsidRDefault="00D735CB">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Dasgupta, P. (2021). Dasgupta review: The economics of biodiversity. HM Treasury.</w:t>
      </w:r>
    </w:p>
    <w:p w14:paraId="49842240" w14:textId="77777777" w:rsidR="003770AC" w:rsidRDefault="00D735CB">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Desai, S., &amp; Dubey, A. (2021). Household expenditure and urbanization in India. *Economic and Political Weekly, 56*(18), 45–53.</w:t>
      </w:r>
    </w:p>
    <w:p w14:paraId="6D22BDAD" w14:textId="77777777" w:rsidR="003770AC" w:rsidRDefault="003770AC">
      <w:pPr>
        <w:spacing w:before="280" w:after="280" w:line="360" w:lineRule="auto"/>
        <w:jc w:val="both"/>
        <w:rPr>
          <w:rFonts w:ascii="Times New Roman" w:eastAsia="Times New Roman" w:hAnsi="Times New Roman" w:cs="Times New Roman"/>
          <w:sz w:val="24"/>
          <w:szCs w:val="24"/>
        </w:rPr>
      </w:pPr>
    </w:p>
    <w:p w14:paraId="68D37A2D" w14:textId="77777777" w:rsidR="003770AC" w:rsidRDefault="00D735CB">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Engel, E. (2017). Engel's law and consumption behavior of households. *International Economic Review, 12*(3), 98–110.</w:t>
      </w:r>
    </w:p>
    <w:p w14:paraId="1402F295" w14:textId="77777777" w:rsidR="003770AC" w:rsidRDefault="00D735CB">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Giddens, A. (2020). Climate change and sustainable development. Polity Press.</w:t>
      </w:r>
    </w:p>
    <w:p w14:paraId="5020F6A0" w14:textId="77777777" w:rsidR="003770AC" w:rsidRDefault="00D735CB">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Gupta, R., &amp; Verma, S. (2023). The sustainable consumption of households in the metropolitan areas of India. *Journal of Asian Economics, 34*(1), 55–71.</w:t>
      </w:r>
    </w:p>
    <w:p w14:paraId="1BA23051" w14:textId="77777777" w:rsidR="003770AC" w:rsidRDefault="00D735CB">
      <w:pPr>
        <w:spacing w:before="280" w:after="280" w:line="360" w:lineRule="auto"/>
        <w:jc w:val="both"/>
        <w:rPr>
          <w:rFonts w:ascii="Times New Roman" w:eastAsia="Times New Roman" w:hAnsi="Times New Roman" w:cs="Times New Roman"/>
          <w:sz w:val="24"/>
          <w:szCs w:val="24"/>
        </w:rPr>
      </w:pPr>
      <w:proofErr w:type="spellStart"/>
      <w:r>
        <w:rPr>
          <w:rFonts w:ascii="Arial" w:eastAsia="Arial" w:hAnsi="Arial" w:cs="Arial"/>
          <w:color w:val="222222"/>
          <w:sz w:val="20"/>
          <w:szCs w:val="20"/>
          <w:highlight w:val="white"/>
        </w:rPr>
        <w:t>Jagannarayan</w:t>
      </w:r>
      <w:proofErr w:type="spellEnd"/>
      <w:r>
        <w:rPr>
          <w:rFonts w:ascii="Arial" w:eastAsia="Arial" w:hAnsi="Arial" w:cs="Arial"/>
          <w:color w:val="222222"/>
          <w:sz w:val="20"/>
          <w:szCs w:val="20"/>
          <w:highlight w:val="white"/>
        </w:rPr>
        <w:t xml:space="preserve">, N. (2025). Determinants of Household Income: An Empirical Study of Urban Maharashtra During the COVID-19 Pandemic. </w:t>
      </w:r>
      <w:r>
        <w:rPr>
          <w:rFonts w:ascii="Arial" w:eastAsia="Arial" w:hAnsi="Arial" w:cs="Arial"/>
          <w:i/>
          <w:iCs/>
          <w:color w:val="222222"/>
          <w:sz w:val="20"/>
          <w:szCs w:val="20"/>
          <w:highlight w:val="white"/>
        </w:rPr>
        <w:t>International Journal of Advanced Research in Science, Communication and Technology (IJARSCT)</w:t>
      </w:r>
      <w:r>
        <w:rPr>
          <w:rFonts w:ascii="Arial" w:eastAsia="Arial" w:hAnsi="Arial" w:cs="Arial"/>
          <w:color w:val="222222"/>
          <w:sz w:val="20"/>
          <w:szCs w:val="20"/>
          <w:highlight w:val="white"/>
        </w:rPr>
        <w:t>.</w:t>
      </w:r>
    </w:p>
    <w:p w14:paraId="38246540" w14:textId="77777777" w:rsidR="003770AC" w:rsidRDefault="00D735CB">
      <w:pPr>
        <w:spacing w:before="280" w:after="280" w:line="360" w:lineRule="auto"/>
        <w:jc w:val="both"/>
        <w:rPr>
          <w:rFonts w:ascii="Times New Roman" w:eastAsia="Times New Roman" w:hAnsi="Times New Roman" w:cs="Times New Roman"/>
          <w:sz w:val="24"/>
          <w:szCs w:val="24"/>
        </w:rPr>
      </w:pPr>
      <w:proofErr w:type="spellStart"/>
      <w:r>
        <w:rPr>
          <w:rFonts w:ascii="Arial" w:eastAsia="Arial" w:hAnsi="Arial" w:cs="Arial"/>
          <w:color w:val="222222"/>
          <w:sz w:val="20"/>
          <w:szCs w:val="20"/>
          <w:highlight w:val="white"/>
        </w:rPr>
        <w:t>Jagannarayan</w:t>
      </w:r>
      <w:proofErr w:type="spellEnd"/>
      <w:r>
        <w:rPr>
          <w:rFonts w:ascii="Arial" w:eastAsia="Arial" w:hAnsi="Arial" w:cs="Arial"/>
          <w:color w:val="222222"/>
          <w:sz w:val="20"/>
          <w:szCs w:val="20"/>
          <w:highlight w:val="white"/>
        </w:rPr>
        <w:t xml:space="preserve">, M. N. (2025). Determinants of Household Income: An Empirical Study of Urban Maharashtra During the COVID-19 Pandemic. </w:t>
      </w:r>
      <w:r>
        <w:rPr>
          <w:rFonts w:ascii="Arial" w:eastAsia="Arial" w:hAnsi="Arial" w:cs="Arial"/>
          <w:i/>
          <w:iCs/>
          <w:color w:val="222222"/>
          <w:sz w:val="20"/>
          <w:szCs w:val="20"/>
          <w:highlight w:val="white"/>
        </w:rPr>
        <w:t>Context</w:t>
      </w:r>
      <w:r>
        <w:rPr>
          <w:rFonts w:ascii="Arial" w:eastAsia="Arial" w:hAnsi="Arial" w:cs="Arial"/>
          <w:color w:val="222222"/>
          <w:sz w:val="20"/>
          <w:szCs w:val="20"/>
          <w:highlight w:val="white"/>
        </w:rPr>
        <w:t xml:space="preserve">, </w:t>
      </w:r>
      <w:r>
        <w:rPr>
          <w:rFonts w:ascii="Arial" w:eastAsia="Arial" w:hAnsi="Arial" w:cs="Arial"/>
          <w:i/>
          <w:iCs/>
          <w:color w:val="222222"/>
          <w:sz w:val="20"/>
          <w:szCs w:val="20"/>
          <w:highlight w:val="white"/>
        </w:rPr>
        <w:t>5</w:t>
      </w:r>
      <w:r>
        <w:rPr>
          <w:rFonts w:ascii="Arial" w:eastAsia="Arial" w:hAnsi="Arial" w:cs="Arial"/>
          <w:color w:val="222222"/>
          <w:sz w:val="20"/>
          <w:szCs w:val="20"/>
          <w:highlight w:val="white"/>
        </w:rPr>
        <w:t>(5).</w:t>
      </w:r>
    </w:p>
    <w:p w14:paraId="674D0936" w14:textId="77777777" w:rsidR="003770AC" w:rsidRDefault="00D735CB">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Kahneman, D. (2018). Thinking the fast and slow way. Penguin Books.</w:t>
      </w:r>
    </w:p>
    <w:p w14:paraId="116748F7" w14:textId="77777777" w:rsidR="003770AC" w:rsidRDefault="00D735CB">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Keynes, J. M. (2019). General theory of employment, interest and money. Macmillan Education.</w:t>
      </w:r>
    </w:p>
    <w:p w14:paraId="4266F83C" w14:textId="77777777" w:rsidR="003770AC" w:rsidRDefault="00D735CB">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Kothari, C. R. (2019). A Handbook of Research Methodology: Methods and Techniques (4th edition). New Age International Publishers.</w:t>
      </w:r>
    </w:p>
    <w:p w14:paraId="034DDABC" w14:textId="77777777" w:rsidR="003770AC" w:rsidRDefault="00D735CB">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Kumar, P., &amp; Singh, R. (2022). Health expenditure and welfare economics in the developing countries. 14th International Journal of Health Economics (2), 101-119.</w:t>
      </w:r>
    </w:p>
    <w:p w14:paraId="5CCD15F8" w14:textId="77777777" w:rsidR="003770AC" w:rsidRDefault="00D735CB">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Maslow, A. H. (2017). Motivation, and personality (3rd ed.). Harper &amp; Row.</w:t>
      </w:r>
    </w:p>
    <w:p w14:paraId="42D0A35D" w14:textId="77777777" w:rsidR="003770AC" w:rsidRDefault="00D735CB">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Mishra, P., &amp; Kulkarni, S. (2024). Post Pandemic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and Financial Sustainability in Maharashtra. Journal of Social and Economic Studies, 19(1):66-84.</w:t>
      </w:r>
    </w:p>
    <w:p w14:paraId="5917F037" w14:textId="77777777" w:rsidR="003770AC" w:rsidRDefault="00D735CB">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NITI Aayog. (2023). India Sustainable development goals index 2023. Government of India.</w:t>
      </w:r>
    </w:p>
    <w:p w14:paraId="0667481F" w14:textId="77777777" w:rsidR="003770AC" w:rsidRDefault="00D735CB">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Pigou, A. C. (2018). The economic study of welfare. Routledge.</w:t>
      </w:r>
    </w:p>
    <w:p w14:paraId="43469472" w14:textId="77777777" w:rsidR="003770AC" w:rsidRDefault="00D735CB">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Raworth, K. (2019). The Doughnut Economics book: Seven ways to think like a 21st-century economist. Chelsea Green Publishing.</w:t>
      </w:r>
    </w:p>
    <w:p w14:paraId="05B9A253" w14:textId="77777777" w:rsidR="003770AC" w:rsidRDefault="00D735CB">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Reserve Bank of India. (2024). Handbook of statistics on the Indian economy 2023-24. RBI Publications.</w:t>
      </w:r>
    </w:p>
    <w:p w14:paraId="3D94F383" w14:textId="77777777" w:rsidR="003770AC" w:rsidRDefault="00D735CB">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Sachs, J. D. (2020). Sustainable development: the new reality. Columbia University Press.</w:t>
      </w:r>
    </w:p>
    <w:p w14:paraId="164ECC9F" w14:textId="77777777" w:rsidR="003770AC" w:rsidRDefault="00D735CB">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Sharma, M., &amp; Iyer, K. (2023). Consumer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and Green spending in Indian Cities. *Asian Economic Review, 65*(3), 188–204.</w:t>
      </w:r>
    </w:p>
    <w:p w14:paraId="680CB60B" w14:textId="77777777" w:rsidR="003770AC" w:rsidRDefault="003770AC">
      <w:pPr>
        <w:spacing w:before="280" w:after="280" w:line="360" w:lineRule="auto"/>
        <w:jc w:val="both"/>
        <w:rPr>
          <w:rFonts w:ascii="Times New Roman" w:eastAsia="Times New Roman" w:hAnsi="Times New Roman" w:cs="Times New Roman"/>
          <w:sz w:val="24"/>
          <w:szCs w:val="24"/>
        </w:rPr>
      </w:pPr>
    </w:p>
    <w:p w14:paraId="4AB0AC5F" w14:textId="77777777" w:rsidR="003770AC" w:rsidRDefault="00D735CB">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Conference on Trade and Development, UN. (2022). Review of trade and environment 2022. United Nations.</w:t>
      </w:r>
    </w:p>
    <w:p w14:paraId="76D19352" w14:textId="77777777" w:rsidR="003770AC" w:rsidRDefault="00D735CB">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World Economic Forum. (2023). *Global risks report 2023*. WEF Publications.</w:t>
      </w:r>
    </w:p>
    <w:p w14:paraId="610DB6AF" w14:textId="77777777" w:rsidR="003770AC" w:rsidRDefault="003770AC">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p>
    <w:p w14:paraId="66264830" w14:textId="77777777" w:rsidR="003770AC" w:rsidRDefault="003770AC">
      <w:pPr>
        <w:spacing w:line="360" w:lineRule="auto"/>
        <w:jc w:val="both"/>
        <w:rPr>
          <w:rFonts w:ascii="Times New Roman" w:eastAsia="Times New Roman" w:hAnsi="Times New Roman" w:cs="Times New Roman"/>
          <w:color w:val="000000"/>
          <w:sz w:val="24"/>
          <w:szCs w:val="24"/>
        </w:rPr>
      </w:pPr>
    </w:p>
    <w:sectPr w:rsidR="003770AC">
      <w:headerReference w:type="even" r:id="rId7"/>
      <w:headerReference w:type="default" r:id="rId8"/>
      <w:footerReference w:type="even" r:id="rId9"/>
      <w:footerReference w:type="default" r:id="rId10"/>
      <w:headerReference w:type="first" r:id="rId11"/>
      <w:footerReference w:type="first" r:id="rId12"/>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0944D3" w14:textId="77777777" w:rsidR="004431E3" w:rsidRDefault="004431E3">
      <w:pPr>
        <w:spacing w:after="0" w:line="240" w:lineRule="auto"/>
      </w:pPr>
      <w:r>
        <w:separator/>
      </w:r>
    </w:p>
  </w:endnote>
  <w:endnote w:type="continuationSeparator" w:id="0">
    <w:p w14:paraId="132884CE" w14:textId="77777777" w:rsidR="004431E3" w:rsidRDefault="004431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67571195-DCDC-4F95-B9D3-51318C523EBE}"/>
  </w:font>
  <w:font w:name="Calibri">
    <w:panose1 w:val="020F0502020204030204"/>
    <w:charset w:val="00"/>
    <w:family w:val="swiss"/>
    <w:pitch w:val="variable"/>
    <w:sig w:usb0="E4002EFF" w:usb1="C000247B" w:usb2="00000009" w:usb3="00000000" w:csb0="000001FF" w:csb1="00000000"/>
    <w:embedRegular r:id="rId2" w:fontKey="{AEF78CC6-3765-4BE0-B93C-8F44FC143CBF}"/>
    <w:embedBold r:id="rId3" w:fontKey="{C736DDA4-0647-4C87-A091-963240B5CAEF}"/>
    <w:embedItalic r:id="rId4" w:fontKey="{AFC61BC7-D93C-4BCF-808E-D060BA476269}"/>
    <w:embedBoldItalic r:id="rId5" w:fontKey="{E8F6DAB1-27DE-4EB1-96E8-0A0FFFF2981D}"/>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37A74" w14:textId="77777777" w:rsidR="00664706" w:rsidRDefault="006647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19947" w14:textId="77777777" w:rsidR="003770AC" w:rsidRDefault="00D735CB">
    <w:pPr>
      <w:jc w:val="right"/>
    </w:pPr>
    <w:r>
      <w:fldChar w:fldCharType="begin"/>
    </w:r>
    <w:r>
      <w:instrText>PAGE</w:instrText>
    </w:r>
    <w:r>
      <w:fldChar w:fldCharType="separate"/>
    </w:r>
    <w:r w:rsidR="008E581A">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E3EC6" w14:textId="77777777" w:rsidR="00664706" w:rsidRDefault="006647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C835B4" w14:textId="77777777" w:rsidR="004431E3" w:rsidRDefault="004431E3">
      <w:pPr>
        <w:spacing w:after="0" w:line="240" w:lineRule="auto"/>
      </w:pPr>
      <w:r>
        <w:separator/>
      </w:r>
    </w:p>
  </w:footnote>
  <w:footnote w:type="continuationSeparator" w:id="0">
    <w:p w14:paraId="17675A28" w14:textId="77777777" w:rsidR="004431E3" w:rsidRDefault="004431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633FB" w14:textId="0FF0656D" w:rsidR="00664706" w:rsidRDefault="00664706">
    <w:pPr>
      <w:pStyle w:val="Header"/>
    </w:pPr>
    <w:r>
      <w:rPr>
        <w:noProof/>
      </w:rPr>
      <w:pict w14:anchorId="61B8F7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557344" o:spid="_x0000_s1026"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DBF8C" w14:textId="11D6AA53" w:rsidR="00664706" w:rsidRDefault="00664706">
    <w:pPr>
      <w:pStyle w:val="Header"/>
    </w:pPr>
    <w:r>
      <w:rPr>
        <w:noProof/>
      </w:rPr>
      <w:pict w14:anchorId="306E48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557345" o:spid="_x0000_s1027" type="#_x0000_t136" style="position:absolute;margin-left:0;margin-top:0;width:541.4pt;height:67.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7647E" w14:textId="774E4DAA" w:rsidR="00664706" w:rsidRDefault="00664706">
    <w:pPr>
      <w:pStyle w:val="Header"/>
    </w:pPr>
    <w:r>
      <w:rPr>
        <w:noProof/>
      </w:rPr>
      <w:pict w14:anchorId="73F774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557343" o:spid="_x0000_s1025" type="#_x0000_t136" style="position:absolute;margin-left:0;margin-top:0;width:541.4pt;height:67.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0AC"/>
    <w:rsid w:val="00203850"/>
    <w:rsid w:val="003770AC"/>
    <w:rsid w:val="004431E3"/>
    <w:rsid w:val="0050722A"/>
    <w:rsid w:val="00544862"/>
    <w:rsid w:val="00567E83"/>
    <w:rsid w:val="00642A20"/>
    <w:rsid w:val="00664706"/>
    <w:rsid w:val="006E4EA8"/>
    <w:rsid w:val="008E581A"/>
    <w:rsid w:val="00AC4307"/>
    <w:rsid w:val="00C87AD2"/>
    <w:rsid w:val="00D735CB"/>
    <w:rsid w:val="00DF4F2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E5B4CD"/>
  <w15:docId w15:val="{E8687C23-5BC5-4A96-89A4-4E765012E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40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40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75E"/>
      <w:sz w:val="52"/>
      <w:szCs w:val="52"/>
    </w:rPr>
  </w:style>
  <w:style w:type="paragraph" w:styleId="Subtitle">
    <w:name w:val="Subtitle"/>
    <w:basedOn w:val="Normal"/>
    <w:next w:val="Normal"/>
    <w:uiPriority w:val="11"/>
    <w:qFormat/>
    <w:rPr>
      <w:rFonts w:ascii="Calibri" w:eastAsia="Calibri" w:hAnsi="Calibri" w:cs="Calibri"/>
      <w:i/>
      <w:iCs/>
      <w:color w:val="4F81BD"/>
      <w:sz w:val="24"/>
      <w:szCs w:val="24"/>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character" w:styleId="Hyperlink">
    <w:name w:val="Hyperlink"/>
    <w:basedOn w:val="DefaultParagraphFont"/>
    <w:uiPriority w:val="99"/>
    <w:unhideWhenUsed/>
    <w:rsid w:val="00567E83"/>
    <w:rPr>
      <w:color w:val="0000FF" w:themeColor="hyperlink"/>
      <w:u w:val="single"/>
    </w:rPr>
  </w:style>
  <w:style w:type="character" w:styleId="UnresolvedMention">
    <w:name w:val="Unresolved Mention"/>
    <w:basedOn w:val="DefaultParagraphFont"/>
    <w:uiPriority w:val="99"/>
    <w:semiHidden/>
    <w:unhideWhenUsed/>
    <w:rsid w:val="00567E83"/>
    <w:rPr>
      <w:color w:val="605E5C"/>
      <w:shd w:val="clear" w:color="auto" w:fill="E1DFDD"/>
    </w:rPr>
  </w:style>
  <w:style w:type="paragraph" w:styleId="Header">
    <w:name w:val="header"/>
    <w:basedOn w:val="Normal"/>
    <w:link w:val="HeaderChar"/>
    <w:uiPriority w:val="99"/>
    <w:unhideWhenUsed/>
    <w:rsid w:val="006647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706"/>
  </w:style>
  <w:style w:type="paragraph" w:styleId="Footer">
    <w:name w:val="footer"/>
    <w:basedOn w:val="Normal"/>
    <w:link w:val="FooterChar"/>
    <w:uiPriority w:val="99"/>
    <w:unhideWhenUsed/>
    <w:rsid w:val="006647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47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4685495">
      <w:bodyDiv w:val="1"/>
      <w:marLeft w:val="0"/>
      <w:marRight w:val="0"/>
      <w:marTop w:val="0"/>
      <w:marBottom w:val="0"/>
      <w:divBdr>
        <w:top w:val="none" w:sz="0" w:space="0" w:color="auto"/>
        <w:left w:val="none" w:sz="0" w:space="0" w:color="auto"/>
        <w:bottom w:val="none" w:sz="0" w:space="0" w:color="auto"/>
        <w:right w:val="none" w:sz="0" w:space="0" w:color="auto"/>
      </w:divBdr>
    </w:div>
    <w:div w:id="21074620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DuwIUwWOoCcls7n2p/FbmAI1Xg==">CgMxLjAyDmgudXk4dnhhbmtkbG8zMg5oLmI2bzNmMmViYzF4MzIOaC43OHNxejZkb29rN2gyDmgudmJieWs2OWRja2M0Mg5oLmI1Ymg3a3R0N2UwaDIOaC41dWZ5d2gxbWIwOXEyDmgubnE0cmxwdTN0MjYxMg5oLm95Zm42Mjg5ZXk2MzIOaC44NXA1OGhva3BzdXkyDmgud2FnMnZxOW1scXMzMg5oLmRheGhsOGpqajI4NjIOaC51cGN6eGs1emZ4dW4yDmguaXV0MTkxdjBxYXQzMg5oLndqNjQ4d3MxdDQwdTgAciExd3lLZUhkVHdBdTlIR3Jjb0I1R3RtMjYxS24yN2VtcE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24</Pages>
  <Words>6234</Words>
  <Characters>35539</Characters>
  <Application>Microsoft Office Word</Application>
  <DocSecurity>0</DocSecurity>
  <Lines>296</Lines>
  <Paragraphs>83</Paragraphs>
  <ScaleCrop>false</ScaleCrop>
  <Company/>
  <LinksUpToDate>false</LinksUpToDate>
  <CharactersWithSpaces>41690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1180</cp:lastModifiedBy>
  <cp:revision>20</cp:revision>
  <dcterms:created xsi:type="dcterms:W3CDTF">2026-05-29T11:09:00Z</dcterms:created>
  <dcterms:modified xsi:type="dcterms:W3CDTF">2026-05-29T12:41:00Z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1033-12.1.25867.25867</vt:lpwstr>
  </property>
  <property fmtid="{D5CDD505-2E9C-101B-9397-08002B2CF9AE}" pid="3" name="ICV">
    <vt:lpwstr>6E2358DFA13233AEF3C20F6AFCE57481_42</vt:lpwstr>
  </property>
</Properties>
</file>