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8D21" w14:textId="6B8E913D" w:rsidR="00DB2411" w:rsidRDefault="00DF1938" w:rsidP="002A58FE">
      <w:pPr>
        <w:spacing w:line="276" w:lineRule="auto"/>
        <w:jc w:val="center"/>
        <w:rPr>
          <w:rFonts w:ascii="Times New Roman" w:hAnsi="Times New Roman" w:cs="Times New Roman"/>
          <w:b/>
          <w:bCs/>
          <w:sz w:val="24"/>
          <w:szCs w:val="24"/>
        </w:rPr>
      </w:pPr>
      <w:r w:rsidRPr="00131BBC">
        <w:rPr>
          <w:rFonts w:ascii="Times New Roman" w:hAnsi="Times New Roman" w:cs="Times New Roman"/>
          <w:b/>
          <w:bCs/>
          <w:sz w:val="24"/>
          <w:szCs w:val="24"/>
        </w:rPr>
        <w:t xml:space="preserve">Lifestyle Habits of </w:t>
      </w:r>
      <w:r w:rsidR="00DB2411" w:rsidRPr="00131BBC">
        <w:rPr>
          <w:rFonts w:ascii="Times New Roman" w:hAnsi="Times New Roman" w:cs="Times New Roman"/>
          <w:b/>
          <w:bCs/>
          <w:sz w:val="24"/>
          <w:szCs w:val="24"/>
        </w:rPr>
        <w:t xml:space="preserve">Sub-Himalayan </w:t>
      </w:r>
      <w:r w:rsidR="00984285" w:rsidRPr="00131BBC">
        <w:rPr>
          <w:rFonts w:ascii="Times New Roman" w:hAnsi="Times New Roman" w:cs="Times New Roman"/>
          <w:b/>
          <w:bCs/>
          <w:sz w:val="24"/>
          <w:szCs w:val="24"/>
        </w:rPr>
        <w:t xml:space="preserve">Region </w:t>
      </w:r>
      <w:r w:rsidRPr="00131BBC">
        <w:rPr>
          <w:rFonts w:ascii="Times New Roman" w:hAnsi="Times New Roman" w:cs="Times New Roman"/>
          <w:b/>
          <w:bCs/>
          <w:sz w:val="24"/>
          <w:szCs w:val="24"/>
        </w:rPr>
        <w:t>Women with Polycystic Ovary Syndrome</w:t>
      </w:r>
      <w:r w:rsidR="00984285" w:rsidRPr="00131BBC">
        <w:rPr>
          <w:rFonts w:ascii="Times New Roman" w:hAnsi="Times New Roman" w:cs="Times New Roman"/>
          <w:b/>
          <w:bCs/>
          <w:sz w:val="24"/>
          <w:szCs w:val="24"/>
        </w:rPr>
        <w:t xml:space="preserve"> (PCOS)</w:t>
      </w:r>
    </w:p>
    <w:p w14:paraId="5766CD3E" w14:textId="77777777" w:rsidR="00FB46C6" w:rsidRPr="00131BBC" w:rsidRDefault="00FB46C6" w:rsidP="002A58FE">
      <w:pPr>
        <w:spacing w:line="276" w:lineRule="auto"/>
        <w:jc w:val="center"/>
        <w:rPr>
          <w:rFonts w:ascii="Times New Roman" w:hAnsi="Times New Roman" w:cs="Times New Roman"/>
          <w:b/>
          <w:bCs/>
          <w:sz w:val="24"/>
          <w:szCs w:val="24"/>
        </w:rPr>
      </w:pPr>
    </w:p>
    <w:p w14:paraId="502BEE10" w14:textId="77777777" w:rsidR="00D14001" w:rsidRDefault="00D14001" w:rsidP="00D14001">
      <w:pPr>
        <w:spacing w:line="276" w:lineRule="auto"/>
        <w:jc w:val="center"/>
        <w:rPr>
          <w:rFonts w:ascii="Times New Roman" w:hAnsi="Times New Roman" w:cs="Times New Roman"/>
          <w:sz w:val="20"/>
          <w:szCs w:val="20"/>
        </w:rPr>
      </w:pPr>
    </w:p>
    <w:p w14:paraId="29D07658" w14:textId="77777777" w:rsidR="00E65F17" w:rsidRPr="00131BBC" w:rsidRDefault="00E65F17" w:rsidP="00D14001">
      <w:pPr>
        <w:spacing w:line="276" w:lineRule="auto"/>
        <w:jc w:val="center"/>
        <w:rPr>
          <w:rFonts w:ascii="Times New Roman" w:hAnsi="Times New Roman" w:cs="Times New Roman"/>
          <w:b/>
          <w:bCs/>
          <w:sz w:val="24"/>
          <w:szCs w:val="24"/>
        </w:rPr>
      </w:pPr>
    </w:p>
    <w:p w14:paraId="166FE533" w14:textId="1EEB9E7D" w:rsidR="00DF1938" w:rsidRPr="00131BBC" w:rsidRDefault="00AA4AED" w:rsidP="00D14001">
      <w:pPr>
        <w:spacing w:line="276" w:lineRule="auto"/>
        <w:jc w:val="center"/>
        <w:rPr>
          <w:rFonts w:ascii="Times New Roman" w:hAnsi="Times New Roman" w:cs="Times New Roman"/>
          <w:b/>
          <w:bCs/>
          <w:sz w:val="24"/>
          <w:szCs w:val="24"/>
        </w:rPr>
      </w:pPr>
      <w:r w:rsidRPr="00131BBC">
        <w:rPr>
          <w:rFonts w:ascii="Times New Roman" w:hAnsi="Times New Roman" w:cs="Times New Roman"/>
          <w:b/>
          <w:bCs/>
          <w:sz w:val="24"/>
          <w:szCs w:val="24"/>
        </w:rPr>
        <w:t>ABSTRACT</w:t>
      </w:r>
    </w:p>
    <w:p w14:paraId="5508F5D4" w14:textId="6173E5D2" w:rsidR="00D47C56" w:rsidRPr="00D47C56" w:rsidRDefault="00D47C56" w:rsidP="005A1DF7">
      <w:pPr>
        <w:spacing w:line="360" w:lineRule="auto"/>
        <w:jc w:val="both"/>
        <w:rPr>
          <w:rFonts w:ascii="Times New Roman" w:hAnsi="Times New Roman" w:cs="Times New Roman"/>
          <w:sz w:val="24"/>
          <w:szCs w:val="24"/>
        </w:rPr>
      </w:pPr>
      <w:r w:rsidRPr="00D47C56">
        <w:rPr>
          <w:rFonts w:ascii="Times New Roman" w:hAnsi="Times New Roman" w:cs="Times New Roman"/>
          <w:b/>
          <w:bCs/>
          <w:sz w:val="24"/>
          <w:szCs w:val="24"/>
        </w:rPr>
        <w:t>Background:</w:t>
      </w:r>
      <w:r w:rsidRPr="00D47C56">
        <w:rPr>
          <w:rFonts w:ascii="Times New Roman" w:hAnsi="Times New Roman" w:cs="Times New Roman"/>
          <w:sz w:val="24"/>
          <w:szCs w:val="24"/>
        </w:rPr>
        <w:t xml:space="preserve"> </w:t>
      </w:r>
      <w:r w:rsidR="00694087" w:rsidRPr="00694087">
        <w:rPr>
          <w:rFonts w:ascii="Times New Roman" w:hAnsi="Times New Roman" w:cs="Times New Roman"/>
          <w:sz w:val="24"/>
          <w:szCs w:val="24"/>
        </w:rPr>
        <w:t xml:space="preserve">One of the most widespread disorders that </w:t>
      </w:r>
      <w:r w:rsidR="009B7034">
        <w:rPr>
          <w:rFonts w:ascii="Times New Roman" w:hAnsi="Times New Roman" w:cs="Times New Roman"/>
          <w:sz w:val="24"/>
          <w:szCs w:val="24"/>
        </w:rPr>
        <w:t>is observed in women during their reproductive years is Polycystic Ovary Syndrome, or PCOS, which</w:t>
      </w:r>
      <w:r w:rsidR="00694087" w:rsidRPr="00694087">
        <w:rPr>
          <w:rFonts w:ascii="Times New Roman" w:hAnsi="Times New Roman" w:cs="Times New Roman"/>
          <w:sz w:val="24"/>
          <w:szCs w:val="24"/>
        </w:rPr>
        <w:t xml:space="preserve"> is typically predisposed by </w:t>
      </w:r>
      <w:r w:rsidR="009B7034">
        <w:rPr>
          <w:rFonts w:ascii="Times New Roman" w:hAnsi="Times New Roman" w:cs="Times New Roman"/>
          <w:sz w:val="24"/>
          <w:szCs w:val="24"/>
        </w:rPr>
        <w:t>confident</w:t>
      </w:r>
      <w:r w:rsidR="00694087" w:rsidRPr="00694087">
        <w:rPr>
          <w:rFonts w:ascii="Times New Roman" w:hAnsi="Times New Roman" w:cs="Times New Roman"/>
          <w:sz w:val="24"/>
          <w:szCs w:val="24"/>
        </w:rPr>
        <w:t xml:space="preserve"> lifestyle choices and self-awareness activities. Education is closely linked with health awareness, such as the knowledge of PCOS and its treatment.</w:t>
      </w:r>
    </w:p>
    <w:p w14:paraId="53CBB535" w14:textId="77777777" w:rsidR="00D47C56" w:rsidRPr="00D47C56" w:rsidRDefault="00D47C56" w:rsidP="005A1DF7">
      <w:pPr>
        <w:spacing w:line="360" w:lineRule="auto"/>
        <w:jc w:val="both"/>
        <w:rPr>
          <w:rFonts w:ascii="Times New Roman" w:hAnsi="Times New Roman" w:cs="Times New Roman"/>
          <w:sz w:val="24"/>
          <w:szCs w:val="24"/>
        </w:rPr>
      </w:pPr>
      <w:r w:rsidRPr="00D47C56">
        <w:rPr>
          <w:rFonts w:ascii="Times New Roman" w:hAnsi="Times New Roman" w:cs="Times New Roman"/>
          <w:b/>
          <w:bCs/>
          <w:sz w:val="24"/>
          <w:szCs w:val="24"/>
        </w:rPr>
        <w:t>Objective:</w:t>
      </w:r>
      <w:r w:rsidRPr="00D47C56">
        <w:rPr>
          <w:rFonts w:ascii="Times New Roman" w:hAnsi="Times New Roman" w:cs="Times New Roman"/>
          <w:sz w:val="24"/>
          <w:szCs w:val="24"/>
        </w:rPr>
        <w:t xml:space="preserve"> The present study aimed to </w:t>
      </w:r>
      <w:proofErr w:type="spellStart"/>
      <w:r w:rsidRPr="00D47C56">
        <w:rPr>
          <w:rFonts w:ascii="Times New Roman" w:hAnsi="Times New Roman" w:cs="Times New Roman"/>
          <w:sz w:val="24"/>
          <w:szCs w:val="24"/>
        </w:rPr>
        <w:t>analyze</w:t>
      </w:r>
      <w:proofErr w:type="spellEnd"/>
      <w:r w:rsidRPr="00D47C56">
        <w:rPr>
          <w:rFonts w:ascii="Times New Roman" w:hAnsi="Times New Roman" w:cs="Times New Roman"/>
          <w:sz w:val="24"/>
          <w:szCs w:val="24"/>
        </w:rPr>
        <w:t xml:space="preserve"> descriptive statistics of lifestyle care and self-awareness practices among women and to examine the association between educational status and awareness of PCOS.</w:t>
      </w:r>
    </w:p>
    <w:p w14:paraId="48F3A15F" w14:textId="3EAC4DA8" w:rsidR="00D47C56" w:rsidRPr="00D47C56" w:rsidRDefault="00D47C56" w:rsidP="005A1DF7">
      <w:pPr>
        <w:spacing w:line="360" w:lineRule="auto"/>
        <w:jc w:val="both"/>
        <w:rPr>
          <w:rFonts w:ascii="Times New Roman" w:hAnsi="Times New Roman" w:cs="Times New Roman"/>
          <w:sz w:val="24"/>
          <w:szCs w:val="24"/>
        </w:rPr>
      </w:pPr>
      <w:r w:rsidRPr="00D47C56">
        <w:rPr>
          <w:rFonts w:ascii="Times New Roman" w:hAnsi="Times New Roman" w:cs="Times New Roman"/>
          <w:b/>
          <w:bCs/>
          <w:sz w:val="24"/>
          <w:szCs w:val="24"/>
        </w:rPr>
        <w:t>Methods:</w:t>
      </w:r>
      <w:r w:rsidRPr="00D47C56">
        <w:rPr>
          <w:rFonts w:ascii="Times New Roman" w:hAnsi="Times New Roman" w:cs="Times New Roman"/>
          <w:sz w:val="24"/>
          <w:szCs w:val="24"/>
        </w:rPr>
        <w:t xml:space="preserve"> </w:t>
      </w:r>
      <w:r w:rsidR="00823389" w:rsidRPr="00823389">
        <w:rPr>
          <w:rFonts w:ascii="Times New Roman" w:hAnsi="Times New Roman" w:cs="Times New Roman"/>
          <w:sz w:val="24"/>
          <w:szCs w:val="24"/>
        </w:rPr>
        <w:t xml:space="preserve">A survey was </w:t>
      </w:r>
      <w:r w:rsidR="00823389">
        <w:rPr>
          <w:rFonts w:ascii="Times New Roman" w:hAnsi="Times New Roman" w:cs="Times New Roman"/>
          <w:sz w:val="24"/>
          <w:szCs w:val="24"/>
        </w:rPr>
        <w:t>conducted among</w:t>
      </w:r>
      <w:r w:rsidR="00823389" w:rsidRPr="00823389">
        <w:rPr>
          <w:rFonts w:ascii="Times New Roman" w:hAnsi="Times New Roman" w:cs="Times New Roman"/>
          <w:sz w:val="24"/>
          <w:szCs w:val="24"/>
        </w:rPr>
        <w:t xml:space="preserve"> 300 reproductive women. Data on lifestyle care, self-awareness practice</w:t>
      </w:r>
      <w:r w:rsidR="00823389">
        <w:rPr>
          <w:rFonts w:ascii="Times New Roman" w:hAnsi="Times New Roman" w:cs="Times New Roman"/>
          <w:sz w:val="24"/>
          <w:szCs w:val="24"/>
        </w:rPr>
        <w:t>,</w:t>
      </w:r>
      <w:r w:rsidR="00823389" w:rsidRPr="00823389">
        <w:rPr>
          <w:rFonts w:ascii="Times New Roman" w:hAnsi="Times New Roman" w:cs="Times New Roman"/>
          <w:sz w:val="24"/>
          <w:szCs w:val="24"/>
        </w:rPr>
        <w:t xml:space="preserve"> and PCOS awareness were collected using a structured questionnaire</w:t>
      </w:r>
      <w:r w:rsidR="00793E33" w:rsidRPr="00793E33">
        <w:rPr>
          <w:rFonts w:ascii="Times New Roman" w:hAnsi="Times New Roman" w:cs="Times New Roman"/>
          <w:sz w:val="24"/>
          <w:szCs w:val="24"/>
        </w:rPr>
        <w:t>.  Computations for various lifestyle and awareness variables</w:t>
      </w:r>
      <w:r w:rsidR="00A84F1A">
        <w:rPr>
          <w:rFonts w:ascii="Times New Roman" w:hAnsi="Times New Roman" w:cs="Times New Roman"/>
          <w:sz w:val="24"/>
          <w:szCs w:val="24"/>
        </w:rPr>
        <w:t xml:space="preserve"> were performed using descriptive statistics</w:t>
      </w:r>
      <w:r w:rsidR="00294E01">
        <w:rPr>
          <w:rFonts w:ascii="Times New Roman" w:hAnsi="Times New Roman" w:cs="Times New Roman"/>
          <w:sz w:val="24"/>
          <w:szCs w:val="24"/>
        </w:rPr>
        <w:t>, including</w:t>
      </w:r>
      <w:r w:rsidR="00A84F1A">
        <w:rPr>
          <w:rFonts w:ascii="Times New Roman" w:hAnsi="Times New Roman" w:cs="Times New Roman"/>
          <w:sz w:val="24"/>
          <w:szCs w:val="24"/>
        </w:rPr>
        <w:t xml:space="preserve"> mean, median, and standard deviation</w:t>
      </w:r>
      <w:r w:rsidR="00793E33" w:rsidRPr="00793E33">
        <w:rPr>
          <w:rFonts w:ascii="Times New Roman" w:hAnsi="Times New Roman" w:cs="Times New Roman"/>
          <w:sz w:val="24"/>
          <w:szCs w:val="24"/>
        </w:rPr>
        <w:t xml:space="preserve">. The Chi-square test </w:t>
      </w:r>
      <w:r w:rsidR="00793E33">
        <w:rPr>
          <w:rFonts w:ascii="Times New Roman" w:hAnsi="Times New Roman" w:cs="Times New Roman"/>
          <w:sz w:val="24"/>
          <w:szCs w:val="24"/>
        </w:rPr>
        <w:t>examined</w:t>
      </w:r>
      <w:r w:rsidR="00793E33" w:rsidRPr="00793E33">
        <w:rPr>
          <w:rFonts w:ascii="Times New Roman" w:hAnsi="Times New Roman" w:cs="Times New Roman"/>
          <w:sz w:val="24"/>
          <w:szCs w:val="24"/>
        </w:rPr>
        <w:t xml:space="preserve"> the connection between education and PCOS awareness.</w:t>
      </w:r>
    </w:p>
    <w:p w14:paraId="53AF4C30" w14:textId="337930C0" w:rsidR="007E101C" w:rsidRDefault="00D47C56" w:rsidP="005A1DF7">
      <w:pPr>
        <w:spacing w:line="360" w:lineRule="auto"/>
        <w:jc w:val="both"/>
        <w:rPr>
          <w:rFonts w:ascii="Times New Roman" w:hAnsi="Times New Roman" w:cs="Times New Roman"/>
          <w:sz w:val="24"/>
          <w:szCs w:val="24"/>
        </w:rPr>
      </w:pPr>
      <w:r w:rsidRPr="00D47C56">
        <w:rPr>
          <w:rFonts w:ascii="Times New Roman" w:hAnsi="Times New Roman" w:cs="Times New Roman"/>
          <w:b/>
          <w:bCs/>
          <w:sz w:val="24"/>
          <w:szCs w:val="24"/>
        </w:rPr>
        <w:t>Results:</w:t>
      </w:r>
      <w:r w:rsidRPr="00D47C56">
        <w:rPr>
          <w:rFonts w:ascii="Times New Roman" w:hAnsi="Times New Roman" w:cs="Times New Roman"/>
          <w:sz w:val="24"/>
          <w:szCs w:val="24"/>
        </w:rPr>
        <w:t xml:space="preserve"> Descriptive findings indicated variations in lifestyle care and awareness practices, with moderate levels of knowledge regarding nutrition, physical activity, and health monitoring. </w:t>
      </w:r>
      <w:r w:rsidR="00652136" w:rsidRPr="00652136">
        <w:rPr>
          <w:rFonts w:ascii="Times New Roman" w:hAnsi="Times New Roman" w:cs="Times New Roman"/>
          <w:sz w:val="24"/>
          <w:szCs w:val="24"/>
        </w:rPr>
        <w:t xml:space="preserve">The Chi-square test revealed </w:t>
      </w:r>
      <w:r w:rsidR="007D1A40">
        <w:rPr>
          <w:rFonts w:ascii="Times New Roman" w:hAnsi="Times New Roman" w:cs="Times New Roman"/>
          <w:sz w:val="24"/>
          <w:szCs w:val="24"/>
        </w:rPr>
        <w:t>a statistically significant correlation between education and PCOS awareness (2, p &lt; 0.05),</w:t>
      </w:r>
      <w:r w:rsidR="00652136" w:rsidRPr="00652136">
        <w:rPr>
          <w:rFonts w:ascii="Times New Roman" w:hAnsi="Times New Roman" w:cs="Times New Roman"/>
          <w:sz w:val="24"/>
          <w:szCs w:val="24"/>
        </w:rPr>
        <w:t xml:space="preserve"> </w:t>
      </w:r>
      <w:r w:rsidR="007D1A40">
        <w:rPr>
          <w:rFonts w:ascii="Times New Roman" w:hAnsi="Times New Roman" w:cs="Times New Roman"/>
          <w:sz w:val="24"/>
          <w:szCs w:val="24"/>
        </w:rPr>
        <w:t>indicating that women with higher levels of education were more likely to be PCOS aware than</w:t>
      </w:r>
      <w:r w:rsidR="00652136" w:rsidRPr="00652136">
        <w:rPr>
          <w:rFonts w:ascii="Times New Roman" w:hAnsi="Times New Roman" w:cs="Times New Roman"/>
          <w:sz w:val="24"/>
          <w:szCs w:val="24"/>
        </w:rPr>
        <w:t xml:space="preserve"> their less educated counterparts.</w:t>
      </w:r>
    </w:p>
    <w:p w14:paraId="3F80BCAB" w14:textId="0D8A1862" w:rsidR="00D47C56" w:rsidRPr="00D47C56" w:rsidRDefault="00D47C56" w:rsidP="005A1DF7">
      <w:pPr>
        <w:spacing w:line="360" w:lineRule="auto"/>
        <w:jc w:val="both"/>
        <w:rPr>
          <w:rFonts w:ascii="Times New Roman" w:hAnsi="Times New Roman" w:cs="Times New Roman"/>
          <w:sz w:val="24"/>
          <w:szCs w:val="24"/>
        </w:rPr>
      </w:pPr>
      <w:r w:rsidRPr="007E101C">
        <w:rPr>
          <w:rFonts w:ascii="Times New Roman" w:hAnsi="Times New Roman" w:cs="Times New Roman"/>
          <w:b/>
          <w:bCs/>
          <w:sz w:val="24"/>
          <w:szCs w:val="24"/>
        </w:rPr>
        <w:t>Conclusion:</w:t>
      </w:r>
      <w:r w:rsidRPr="007E101C">
        <w:rPr>
          <w:rFonts w:ascii="Times New Roman" w:hAnsi="Times New Roman" w:cs="Times New Roman"/>
          <w:sz w:val="24"/>
          <w:szCs w:val="24"/>
        </w:rPr>
        <w:t xml:space="preserve"> </w:t>
      </w:r>
      <w:r w:rsidR="007D1A40" w:rsidRPr="007D1A40">
        <w:rPr>
          <w:rFonts w:ascii="Times New Roman" w:hAnsi="Times New Roman" w:cs="Times New Roman"/>
          <w:sz w:val="24"/>
          <w:szCs w:val="24"/>
        </w:rPr>
        <w:t xml:space="preserve">The study confirms that education is </w:t>
      </w:r>
      <w:r w:rsidR="007D1A40">
        <w:rPr>
          <w:rFonts w:ascii="Times New Roman" w:hAnsi="Times New Roman" w:cs="Times New Roman"/>
          <w:sz w:val="24"/>
          <w:szCs w:val="24"/>
        </w:rPr>
        <w:t>an essential tool for creating awareness about PCOS and for adopting</w:t>
      </w:r>
      <w:r w:rsidR="007D1A40" w:rsidRPr="007D1A40">
        <w:rPr>
          <w:rFonts w:ascii="Times New Roman" w:hAnsi="Times New Roman" w:cs="Times New Roman"/>
          <w:sz w:val="24"/>
          <w:szCs w:val="24"/>
        </w:rPr>
        <w:t xml:space="preserve"> self-care practices</w:t>
      </w:r>
      <w:r w:rsidR="009B7034" w:rsidRPr="009B7034">
        <w:rPr>
          <w:rFonts w:ascii="Times New Roman" w:hAnsi="Times New Roman" w:cs="Times New Roman"/>
          <w:sz w:val="24"/>
          <w:szCs w:val="24"/>
        </w:rPr>
        <w:t>. Enhancement of health education and awareness programs</w:t>
      </w:r>
      <w:r w:rsidR="009B7034">
        <w:rPr>
          <w:rFonts w:ascii="Times New Roman" w:hAnsi="Times New Roman" w:cs="Times New Roman"/>
          <w:sz w:val="24"/>
          <w:szCs w:val="24"/>
        </w:rPr>
        <w:t>, especially among women who have a low educational background,</w:t>
      </w:r>
      <w:r w:rsidR="009B7034" w:rsidRPr="009B7034">
        <w:rPr>
          <w:rFonts w:ascii="Times New Roman" w:hAnsi="Times New Roman" w:cs="Times New Roman"/>
          <w:sz w:val="24"/>
          <w:szCs w:val="24"/>
        </w:rPr>
        <w:t xml:space="preserve"> can also help them manage their lifestyles appropriately and prevent the development of PCOS complications earlier in life.</w:t>
      </w:r>
    </w:p>
    <w:p w14:paraId="567C0234" w14:textId="318F0119" w:rsidR="00D47C56" w:rsidRPr="00131BBC" w:rsidRDefault="00D47C56" w:rsidP="005A1DF7">
      <w:pPr>
        <w:spacing w:line="360" w:lineRule="auto"/>
        <w:jc w:val="both"/>
        <w:rPr>
          <w:rFonts w:ascii="Times New Roman" w:hAnsi="Times New Roman" w:cs="Times New Roman"/>
          <w:sz w:val="24"/>
          <w:szCs w:val="24"/>
        </w:rPr>
      </w:pPr>
      <w:r w:rsidRPr="00D47C56">
        <w:rPr>
          <w:rFonts w:ascii="Times New Roman" w:hAnsi="Times New Roman" w:cs="Times New Roman"/>
          <w:b/>
          <w:bCs/>
          <w:sz w:val="24"/>
          <w:szCs w:val="24"/>
        </w:rPr>
        <w:t>Keywords:</w:t>
      </w:r>
      <w:r w:rsidRPr="00D47C56">
        <w:rPr>
          <w:rFonts w:ascii="Times New Roman" w:hAnsi="Times New Roman" w:cs="Times New Roman"/>
          <w:sz w:val="24"/>
          <w:szCs w:val="24"/>
        </w:rPr>
        <w:t xml:space="preserve"> Polycystic Ovary Syndrome, Lifestyle Care, Self-Awareness, Education, Nutritional Awareness, Chi-square Test</w:t>
      </w:r>
      <w:r w:rsidRPr="00131BBC">
        <w:rPr>
          <w:rFonts w:ascii="Times New Roman" w:hAnsi="Times New Roman" w:cs="Times New Roman"/>
          <w:sz w:val="24"/>
          <w:szCs w:val="24"/>
        </w:rPr>
        <w:t>.</w:t>
      </w:r>
    </w:p>
    <w:p w14:paraId="3044F95E" w14:textId="779F5E0A" w:rsidR="000E08BE" w:rsidRPr="000E08BE" w:rsidRDefault="00A15538" w:rsidP="005A1DF7">
      <w:pPr>
        <w:spacing w:line="360" w:lineRule="auto"/>
        <w:jc w:val="both"/>
        <w:rPr>
          <w:rFonts w:ascii="Times New Roman" w:hAnsi="Times New Roman" w:cs="Times New Roman"/>
          <w:b/>
          <w:bCs/>
          <w:sz w:val="24"/>
          <w:szCs w:val="24"/>
        </w:rPr>
      </w:pPr>
      <w:r w:rsidRPr="000E08BE">
        <w:rPr>
          <w:rFonts w:ascii="Times New Roman" w:hAnsi="Times New Roman" w:cs="Times New Roman"/>
          <w:b/>
          <w:bCs/>
          <w:sz w:val="24"/>
          <w:szCs w:val="24"/>
        </w:rPr>
        <w:t>INTRODUCTION</w:t>
      </w:r>
    </w:p>
    <w:p w14:paraId="611F6882" w14:textId="60A5AFC9" w:rsidR="000E08BE" w:rsidRPr="000E08BE" w:rsidRDefault="00E8000F" w:rsidP="005A1DF7">
      <w:pPr>
        <w:spacing w:line="360" w:lineRule="auto"/>
        <w:jc w:val="both"/>
        <w:rPr>
          <w:rFonts w:ascii="Times New Roman" w:hAnsi="Times New Roman" w:cs="Times New Roman"/>
          <w:sz w:val="24"/>
          <w:szCs w:val="24"/>
        </w:rPr>
      </w:pPr>
      <w:r w:rsidRPr="00FA1992">
        <w:rPr>
          <w:rFonts w:ascii="Times New Roman" w:hAnsi="Times New Roman" w:cs="Times New Roman"/>
          <w:sz w:val="24"/>
          <w:szCs w:val="24"/>
        </w:rPr>
        <w:lastRenderedPageBreak/>
        <w:t xml:space="preserve">PCOS is one of the most common endocrine disorders among women of reproductive age globally, with an estimated prevalence of 6–20%, while estimates in the Indian populations have varied between 9–36%, </w:t>
      </w:r>
      <w:r w:rsidR="00B00070" w:rsidRPr="00B00070">
        <w:rPr>
          <w:rFonts w:ascii="Times New Roman" w:hAnsi="Times New Roman" w:cs="Times New Roman"/>
          <w:sz w:val="24"/>
          <w:szCs w:val="24"/>
        </w:rPr>
        <w:t xml:space="preserve">according to </w:t>
      </w:r>
      <w:r w:rsidR="00B00070">
        <w:rPr>
          <w:rFonts w:ascii="Times New Roman" w:hAnsi="Times New Roman" w:cs="Times New Roman"/>
          <w:sz w:val="24"/>
          <w:szCs w:val="24"/>
        </w:rPr>
        <w:t xml:space="preserve">the </w:t>
      </w:r>
      <w:r w:rsidR="00B00070" w:rsidRPr="00B00070">
        <w:rPr>
          <w:rFonts w:ascii="Times New Roman" w:hAnsi="Times New Roman" w:cs="Times New Roman"/>
          <w:sz w:val="24"/>
          <w:szCs w:val="24"/>
        </w:rPr>
        <w:t xml:space="preserve">population and </w:t>
      </w:r>
      <w:r w:rsidR="00B00070">
        <w:rPr>
          <w:rFonts w:ascii="Times New Roman" w:hAnsi="Times New Roman" w:cs="Times New Roman"/>
          <w:sz w:val="24"/>
          <w:szCs w:val="24"/>
        </w:rPr>
        <w:t xml:space="preserve">the </w:t>
      </w:r>
      <w:r w:rsidR="00B00070" w:rsidRPr="00B00070">
        <w:rPr>
          <w:rFonts w:ascii="Times New Roman" w:hAnsi="Times New Roman" w:cs="Times New Roman"/>
          <w:sz w:val="24"/>
          <w:szCs w:val="24"/>
        </w:rPr>
        <w:t xml:space="preserve">criteria of study. In addition to reproduction issues, women with PCOS have metabolic disorders, psychological stress, and </w:t>
      </w:r>
      <w:r w:rsidR="00B00070">
        <w:rPr>
          <w:rFonts w:ascii="Times New Roman" w:hAnsi="Times New Roman" w:cs="Times New Roman"/>
          <w:sz w:val="24"/>
          <w:szCs w:val="24"/>
        </w:rPr>
        <w:t>long-term risks,</w:t>
      </w:r>
      <w:r w:rsidR="00B00070" w:rsidRPr="00B00070">
        <w:rPr>
          <w:rFonts w:ascii="Times New Roman" w:hAnsi="Times New Roman" w:cs="Times New Roman"/>
          <w:sz w:val="24"/>
          <w:szCs w:val="24"/>
        </w:rPr>
        <w:t xml:space="preserve"> including type 2 diabetes and cardiovascular disease. Specialists claim that forcing through lifestyle </w:t>
      </w:r>
      <w:proofErr w:type="spellStart"/>
      <w:r w:rsidR="00B00070" w:rsidRPr="00B00070">
        <w:rPr>
          <w:rFonts w:ascii="Times New Roman" w:hAnsi="Times New Roman" w:cs="Times New Roman"/>
          <w:sz w:val="24"/>
          <w:szCs w:val="24"/>
        </w:rPr>
        <w:t>behavior</w:t>
      </w:r>
      <w:proofErr w:type="spellEnd"/>
      <w:r w:rsidR="00B00070">
        <w:rPr>
          <w:rFonts w:ascii="Times New Roman" w:hAnsi="Times New Roman" w:cs="Times New Roman"/>
          <w:sz w:val="24"/>
          <w:szCs w:val="24"/>
        </w:rPr>
        <w:t>, such as physical exercise, diet, sleep quality, and stress management, is</w:t>
      </w:r>
      <w:r w:rsidR="00B00070" w:rsidRPr="00B00070">
        <w:rPr>
          <w:rFonts w:ascii="Times New Roman" w:hAnsi="Times New Roman" w:cs="Times New Roman"/>
          <w:sz w:val="24"/>
          <w:szCs w:val="24"/>
        </w:rPr>
        <w:t xml:space="preserve"> both a major contributor </w:t>
      </w:r>
      <w:r w:rsidR="00B00070">
        <w:rPr>
          <w:rFonts w:ascii="Times New Roman" w:hAnsi="Times New Roman" w:cs="Times New Roman"/>
          <w:sz w:val="24"/>
          <w:szCs w:val="24"/>
        </w:rPr>
        <w:t>to</w:t>
      </w:r>
      <w:r w:rsidR="00B00070" w:rsidRPr="00B00070">
        <w:rPr>
          <w:rFonts w:ascii="Times New Roman" w:hAnsi="Times New Roman" w:cs="Times New Roman"/>
          <w:sz w:val="24"/>
          <w:szCs w:val="24"/>
        </w:rPr>
        <w:t xml:space="preserve"> PCOS</w:t>
      </w:r>
      <w:r w:rsidR="00B00070">
        <w:rPr>
          <w:rFonts w:ascii="Times New Roman" w:hAnsi="Times New Roman" w:cs="Times New Roman"/>
          <w:sz w:val="24"/>
          <w:szCs w:val="24"/>
        </w:rPr>
        <w:t xml:space="preserve"> and</w:t>
      </w:r>
      <w:r w:rsidR="00B00070" w:rsidRPr="00B00070">
        <w:rPr>
          <w:rFonts w:ascii="Times New Roman" w:hAnsi="Times New Roman" w:cs="Times New Roman"/>
          <w:sz w:val="24"/>
          <w:szCs w:val="24"/>
        </w:rPr>
        <w:t xml:space="preserve"> a solution to the condition.</w:t>
      </w:r>
    </w:p>
    <w:p w14:paraId="4DBA1161" w14:textId="5C606CE5" w:rsidR="000E08BE" w:rsidRPr="000E08BE" w:rsidRDefault="000E08BE" w:rsidP="005A1DF7">
      <w:pPr>
        <w:spacing w:line="360" w:lineRule="auto"/>
        <w:jc w:val="both"/>
        <w:rPr>
          <w:rFonts w:ascii="Times New Roman" w:hAnsi="Times New Roman" w:cs="Times New Roman"/>
          <w:sz w:val="24"/>
          <w:szCs w:val="24"/>
        </w:rPr>
      </w:pPr>
      <w:r w:rsidRPr="000E08BE">
        <w:rPr>
          <w:rFonts w:ascii="Times New Roman" w:hAnsi="Times New Roman" w:cs="Times New Roman"/>
          <w:sz w:val="24"/>
          <w:szCs w:val="24"/>
        </w:rPr>
        <w:t>Awareness of PCOS remains inconsistent, with knowledge levels often influenced by sociodemographic factors</w:t>
      </w:r>
      <w:r w:rsidR="00E740EC">
        <w:rPr>
          <w:rFonts w:ascii="Times New Roman" w:hAnsi="Times New Roman" w:cs="Times New Roman"/>
          <w:sz w:val="24"/>
          <w:szCs w:val="24"/>
        </w:rPr>
        <w:t>, including</w:t>
      </w:r>
      <w:r w:rsidRPr="000E08BE">
        <w:rPr>
          <w:rFonts w:ascii="Times New Roman" w:hAnsi="Times New Roman" w:cs="Times New Roman"/>
          <w:sz w:val="24"/>
          <w:szCs w:val="24"/>
        </w:rPr>
        <w:t xml:space="preserve"> education. </w:t>
      </w:r>
    </w:p>
    <w:p w14:paraId="1A3F1698" w14:textId="58C26C3C" w:rsidR="000E08BE" w:rsidRPr="000E08BE" w:rsidRDefault="000E08BE" w:rsidP="005A1DF7">
      <w:pPr>
        <w:spacing w:line="360" w:lineRule="auto"/>
        <w:jc w:val="both"/>
        <w:rPr>
          <w:rFonts w:ascii="Times New Roman" w:hAnsi="Times New Roman" w:cs="Times New Roman"/>
          <w:sz w:val="24"/>
          <w:szCs w:val="24"/>
        </w:rPr>
      </w:pPr>
      <w:r w:rsidRPr="000E08BE">
        <w:rPr>
          <w:rFonts w:ascii="Times New Roman" w:hAnsi="Times New Roman" w:cs="Times New Roman"/>
          <w:b/>
          <w:bCs/>
          <w:sz w:val="24"/>
          <w:szCs w:val="24"/>
        </w:rPr>
        <w:t>Objective:</w:t>
      </w:r>
      <w:r w:rsidRPr="000E08BE">
        <w:rPr>
          <w:rFonts w:ascii="Times New Roman" w:hAnsi="Times New Roman" w:cs="Times New Roman"/>
          <w:sz w:val="24"/>
          <w:szCs w:val="24"/>
        </w:rPr>
        <w:br/>
        <w:t xml:space="preserve">To </w:t>
      </w:r>
      <w:proofErr w:type="spellStart"/>
      <w:r w:rsidRPr="000E08BE">
        <w:rPr>
          <w:rFonts w:ascii="Times New Roman" w:hAnsi="Times New Roman" w:cs="Times New Roman"/>
          <w:sz w:val="24"/>
          <w:szCs w:val="24"/>
        </w:rPr>
        <w:t>analyze</w:t>
      </w:r>
      <w:proofErr w:type="spellEnd"/>
      <w:r w:rsidRPr="000E08BE">
        <w:rPr>
          <w:rFonts w:ascii="Times New Roman" w:hAnsi="Times New Roman" w:cs="Times New Roman"/>
          <w:sz w:val="24"/>
          <w:szCs w:val="24"/>
        </w:rPr>
        <w:t xml:space="preserve"> lifestyle care and self-awareness practices among women and to examine the association between education and PCOS awareness.</w:t>
      </w:r>
    </w:p>
    <w:p w14:paraId="015287FC" w14:textId="3710E118" w:rsidR="000E08BE" w:rsidRPr="000E08BE" w:rsidRDefault="00F729C3" w:rsidP="005A1DF7">
      <w:pPr>
        <w:spacing w:line="360" w:lineRule="auto"/>
        <w:jc w:val="both"/>
        <w:rPr>
          <w:rFonts w:ascii="Times New Roman" w:hAnsi="Times New Roman" w:cs="Times New Roman"/>
          <w:b/>
          <w:bCs/>
          <w:sz w:val="24"/>
          <w:szCs w:val="24"/>
        </w:rPr>
      </w:pPr>
      <w:r w:rsidRPr="00A15538">
        <w:rPr>
          <w:rFonts w:ascii="Times New Roman" w:hAnsi="Times New Roman" w:cs="Times New Roman"/>
          <w:b/>
          <w:bCs/>
          <w:sz w:val="24"/>
          <w:szCs w:val="24"/>
        </w:rPr>
        <w:t>METHODOLOGY</w:t>
      </w:r>
    </w:p>
    <w:p w14:paraId="56377BF4" w14:textId="32256090" w:rsidR="000E08BE" w:rsidRPr="000E08BE" w:rsidRDefault="000E08BE" w:rsidP="005A1DF7">
      <w:pPr>
        <w:spacing w:line="360" w:lineRule="auto"/>
        <w:jc w:val="both"/>
        <w:rPr>
          <w:rFonts w:ascii="Times New Roman" w:hAnsi="Times New Roman" w:cs="Times New Roman"/>
          <w:sz w:val="24"/>
          <w:szCs w:val="24"/>
        </w:rPr>
      </w:pPr>
      <w:r w:rsidRPr="00FA1992">
        <w:rPr>
          <w:rFonts w:ascii="Times New Roman" w:hAnsi="Times New Roman" w:cs="Times New Roman"/>
          <w:b/>
          <w:bCs/>
          <w:sz w:val="24"/>
          <w:szCs w:val="24"/>
        </w:rPr>
        <w:t>Study Design and Setting:</w:t>
      </w:r>
      <w:r w:rsidRPr="00FA1992">
        <w:rPr>
          <w:rFonts w:ascii="Times New Roman" w:hAnsi="Times New Roman" w:cs="Times New Roman"/>
          <w:sz w:val="24"/>
          <w:szCs w:val="24"/>
        </w:rPr>
        <w:br/>
        <w:t>A cross-sectional descriptive study was conducted</w:t>
      </w:r>
      <w:r w:rsidRPr="000E08BE">
        <w:rPr>
          <w:rFonts w:ascii="Times New Roman" w:hAnsi="Times New Roman" w:cs="Times New Roman"/>
          <w:sz w:val="24"/>
          <w:szCs w:val="24"/>
        </w:rPr>
        <w:t xml:space="preserve"> among women of reproductive age in the sub-Himalayan region of</w:t>
      </w:r>
      <w:r w:rsidR="00CD10D1">
        <w:rPr>
          <w:rFonts w:ascii="Times New Roman" w:hAnsi="Times New Roman" w:cs="Times New Roman"/>
          <w:sz w:val="24"/>
          <w:szCs w:val="24"/>
        </w:rPr>
        <w:t xml:space="preserve"> P</w:t>
      </w:r>
      <w:r w:rsidR="004F1E9E">
        <w:rPr>
          <w:rFonts w:ascii="Times New Roman" w:hAnsi="Times New Roman" w:cs="Times New Roman"/>
          <w:sz w:val="24"/>
          <w:szCs w:val="24"/>
        </w:rPr>
        <w:t>auri,</w:t>
      </w:r>
      <w:r w:rsidRPr="000E08BE">
        <w:rPr>
          <w:rFonts w:ascii="Times New Roman" w:hAnsi="Times New Roman" w:cs="Times New Roman"/>
          <w:sz w:val="24"/>
          <w:szCs w:val="24"/>
        </w:rPr>
        <w:t xml:space="preserve"> Uttarakhand, India. The study aimed to evaluate lifestyle care, self-awareness practices, and the relationship between education level and awareness of PCOS.</w:t>
      </w:r>
    </w:p>
    <w:p w14:paraId="299B1C54" w14:textId="16E0E9F8" w:rsidR="000E08BE" w:rsidRPr="000E08BE" w:rsidRDefault="000E08BE" w:rsidP="005A1DF7">
      <w:pPr>
        <w:spacing w:line="360" w:lineRule="auto"/>
        <w:jc w:val="both"/>
        <w:rPr>
          <w:rFonts w:ascii="Times New Roman" w:hAnsi="Times New Roman" w:cs="Times New Roman"/>
          <w:sz w:val="24"/>
          <w:szCs w:val="24"/>
        </w:rPr>
      </w:pPr>
      <w:r w:rsidRPr="000E08BE">
        <w:rPr>
          <w:rFonts w:ascii="Times New Roman" w:hAnsi="Times New Roman" w:cs="Times New Roman"/>
          <w:b/>
          <w:bCs/>
          <w:sz w:val="24"/>
          <w:szCs w:val="24"/>
        </w:rPr>
        <w:t>Participants:</w:t>
      </w:r>
      <w:r w:rsidRPr="000E08BE">
        <w:rPr>
          <w:rFonts w:ascii="Times New Roman" w:hAnsi="Times New Roman" w:cs="Times New Roman"/>
          <w:sz w:val="24"/>
          <w:szCs w:val="24"/>
        </w:rPr>
        <w:br/>
        <w:t xml:space="preserve">A total of 300 women aged 18–40 years were selected using purposive random sampling. Inclusion criteria </w:t>
      </w:r>
      <w:r w:rsidR="00A84F1A">
        <w:rPr>
          <w:rFonts w:ascii="Times New Roman" w:hAnsi="Times New Roman" w:cs="Times New Roman"/>
          <w:sz w:val="24"/>
          <w:szCs w:val="24"/>
        </w:rPr>
        <w:t>included women in</w:t>
      </w:r>
      <w:r w:rsidRPr="000E08BE">
        <w:rPr>
          <w:rFonts w:ascii="Times New Roman" w:hAnsi="Times New Roman" w:cs="Times New Roman"/>
          <w:sz w:val="24"/>
          <w:szCs w:val="24"/>
        </w:rPr>
        <w:t xml:space="preserve"> reproductive age groups who consented to participate. Pregnant women, those with chronic endocrine disorders other than PCOS, and those unwilling to participate were excluded.</w:t>
      </w:r>
    </w:p>
    <w:p w14:paraId="3E9A9BE8" w14:textId="77777777" w:rsidR="000E08BE" w:rsidRPr="000E08BE" w:rsidRDefault="000E08BE" w:rsidP="005A1DF7">
      <w:pPr>
        <w:spacing w:line="360" w:lineRule="auto"/>
        <w:jc w:val="both"/>
        <w:rPr>
          <w:rFonts w:ascii="Times New Roman" w:hAnsi="Times New Roman" w:cs="Times New Roman"/>
          <w:sz w:val="24"/>
          <w:szCs w:val="24"/>
        </w:rPr>
      </w:pPr>
      <w:r w:rsidRPr="000E08BE">
        <w:rPr>
          <w:rFonts w:ascii="Times New Roman" w:hAnsi="Times New Roman" w:cs="Times New Roman"/>
          <w:b/>
          <w:bCs/>
          <w:sz w:val="24"/>
          <w:szCs w:val="24"/>
        </w:rPr>
        <w:t>Data Collection:</w:t>
      </w:r>
      <w:r w:rsidRPr="000E08BE">
        <w:rPr>
          <w:rFonts w:ascii="Times New Roman" w:hAnsi="Times New Roman" w:cs="Times New Roman"/>
          <w:sz w:val="24"/>
          <w:szCs w:val="24"/>
        </w:rPr>
        <w:br/>
      </w:r>
      <w:r w:rsidRPr="00A13C8A">
        <w:rPr>
          <w:rFonts w:ascii="Times New Roman" w:hAnsi="Times New Roman" w:cs="Times New Roman"/>
          <w:sz w:val="24"/>
          <w:szCs w:val="24"/>
        </w:rPr>
        <w:t>Data were gathered through a pre-tested, structured questionnaire covering the following domains:</w:t>
      </w:r>
    </w:p>
    <w:p w14:paraId="39B5210C" w14:textId="5A64229A" w:rsidR="00EF65C6" w:rsidRPr="00623537" w:rsidRDefault="000E08BE" w:rsidP="00623537">
      <w:pPr>
        <w:numPr>
          <w:ilvl w:val="0"/>
          <w:numId w:val="6"/>
        </w:numPr>
        <w:spacing w:line="360" w:lineRule="auto"/>
        <w:jc w:val="both"/>
        <w:rPr>
          <w:rFonts w:ascii="Times New Roman" w:hAnsi="Times New Roman" w:cs="Times New Roman"/>
          <w:sz w:val="24"/>
          <w:szCs w:val="24"/>
        </w:rPr>
      </w:pPr>
      <w:r w:rsidRPr="00EF65C6">
        <w:rPr>
          <w:rFonts w:ascii="Times New Roman" w:hAnsi="Times New Roman" w:cs="Times New Roman"/>
          <w:b/>
          <w:bCs/>
          <w:sz w:val="24"/>
          <w:szCs w:val="24"/>
        </w:rPr>
        <w:t>Lifestyle care and self-awareness practices</w:t>
      </w:r>
      <w:r w:rsidRPr="00EF65C6">
        <w:rPr>
          <w:rFonts w:ascii="Times New Roman" w:hAnsi="Times New Roman" w:cs="Times New Roman"/>
          <w:sz w:val="24"/>
          <w:szCs w:val="24"/>
        </w:rPr>
        <w:t xml:space="preserve"> – </w:t>
      </w:r>
      <w:r w:rsidR="00623537">
        <w:rPr>
          <w:rFonts w:ascii="Times New Roman" w:hAnsi="Times New Roman" w:cs="Times New Roman"/>
          <w:sz w:val="24"/>
          <w:szCs w:val="24"/>
        </w:rPr>
        <w:t>E</w:t>
      </w:r>
      <w:r w:rsidR="00623537" w:rsidRPr="00623537">
        <w:rPr>
          <w:rFonts w:ascii="Times New Roman" w:hAnsi="Times New Roman" w:cs="Times New Roman"/>
          <w:sz w:val="24"/>
          <w:szCs w:val="24"/>
        </w:rPr>
        <w:t>xercise, nutrition, drink consumption, sleeping</w:t>
      </w:r>
      <w:r w:rsidR="00623537">
        <w:rPr>
          <w:rFonts w:ascii="Times New Roman" w:hAnsi="Times New Roman" w:cs="Times New Roman"/>
          <w:sz w:val="24"/>
          <w:szCs w:val="24"/>
        </w:rPr>
        <w:t>,</w:t>
      </w:r>
      <w:r w:rsidR="00623537" w:rsidRPr="00623537">
        <w:rPr>
          <w:rFonts w:ascii="Times New Roman" w:hAnsi="Times New Roman" w:cs="Times New Roman"/>
          <w:sz w:val="24"/>
          <w:szCs w:val="24"/>
        </w:rPr>
        <w:t xml:space="preserve"> and stress.</w:t>
      </w:r>
    </w:p>
    <w:p w14:paraId="68908029" w14:textId="5325F87E" w:rsidR="000E08BE" w:rsidRPr="00EF65C6" w:rsidRDefault="000E08BE" w:rsidP="004D6B16">
      <w:pPr>
        <w:numPr>
          <w:ilvl w:val="0"/>
          <w:numId w:val="6"/>
        </w:numPr>
        <w:spacing w:line="360" w:lineRule="auto"/>
        <w:jc w:val="both"/>
        <w:rPr>
          <w:rFonts w:ascii="Times New Roman" w:hAnsi="Times New Roman" w:cs="Times New Roman"/>
          <w:sz w:val="24"/>
          <w:szCs w:val="24"/>
        </w:rPr>
      </w:pPr>
      <w:r w:rsidRPr="00EF65C6">
        <w:rPr>
          <w:rFonts w:ascii="Times New Roman" w:hAnsi="Times New Roman" w:cs="Times New Roman"/>
          <w:b/>
          <w:bCs/>
          <w:sz w:val="24"/>
          <w:szCs w:val="24"/>
        </w:rPr>
        <w:t>Awareness of PCOS</w:t>
      </w:r>
      <w:r w:rsidRPr="00EF65C6">
        <w:rPr>
          <w:rFonts w:ascii="Times New Roman" w:hAnsi="Times New Roman" w:cs="Times New Roman"/>
          <w:sz w:val="24"/>
          <w:szCs w:val="24"/>
        </w:rPr>
        <w:t xml:space="preserve"> – </w:t>
      </w:r>
      <w:r w:rsidR="001E616F" w:rsidRPr="001E616F">
        <w:rPr>
          <w:rFonts w:ascii="Times New Roman" w:hAnsi="Times New Roman" w:cs="Times New Roman"/>
          <w:sz w:val="24"/>
          <w:szCs w:val="24"/>
        </w:rPr>
        <w:t>symptom awareness, complications awareness, and lifestyle management awareness</w:t>
      </w:r>
      <w:r w:rsidRPr="00EF65C6">
        <w:rPr>
          <w:rFonts w:ascii="Times New Roman" w:hAnsi="Times New Roman" w:cs="Times New Roman"/>
          <w:sz w:val="24"/>
          <w:szCs w:val="24"/>
        </w:rPr>
        <w:t>.</w:t>
      </w:r>
    </w:p>
    <w:p w14:paraId="0A9185EE" w14:textId="26D45413" w:rsidR="000E08BE" w:rsidRPr="000E08BE" w:rsidRDefault="000E08BE" w:rsidP="005A1DF7">
      <w:pPr>
        <w:spacing w:line="360" w:lineRule="auto"/>
        <w:jc w:val="both"/>
        <w:rPr>
          <w:rFonts w:ascii="Times New Roman" w:hAnsi="Times New Roman" w:cs="Times New Roman"/>
          <w:sz w:val="24"/>
          <w:szCs w:val="24"/>
        </w:rPr>
      </w:pPr>
      <w:r w:rsidRPr="000E08BE">
        <w:rPr>
          <w:rFonts w:ascii="Times New Roman" w:hAnsi="Times New Roman" w:cs="Times New Roman"/>
          <w:b/>
          <w:bCs/>
          <w:sz w:val="24"/>
          <w:szCs w:val="24"/>
        </w:rPr>
        <w:lastRenderedPageBreak/>
        <w:t>Statistical Analysis:</w:t>
      </w:r>
      <w:r w:rsidRPr="000E08BE">
        <w:rPr>
          <w:rFonts w:ascii="Times New Roman" w:hAnsi="Times New Roman" w:cs="Times New Roman"/>
          <w:sz w:val="24"/>
          <w:szCs w:val="24"/>
        </w:rPr>
        <w:br/>
      </w:r>
      <w:r w:rsidR="00F300FB" w:rsidRPr="00F300FB">
        <w:rPr>
          <w:rFonts w:ascii="Times New Roman" w:hAnsi="Times New Roman" w:cs="Times New Roman"/>
          <w:sz w:val="24"/>
          <w:szCs w:val="24"/>
        </w:rPr>
        <w:t>The mean, median</w:t>
      </w:r>
      <w:r w:rsidR="00F300FB">
        <w:rPr>
          <w:rFonts w:ascii="Times New Roman" w:hAnsi="Times New Roman" w:cs="Times New Roman"/>
          <w:sz w:val="24"/>
          <w:szCs w:val="24"/>
        </w:rPr>
        <w:t>,</w:t>
      </w:r>
      <w:r w:rsidR="00F300FB" w:rsidRPr="00F300FB">
        <w:rPr>
          <w:rFonts w:ascii="Times New Roman" w:hAnsi="Times New Roman" w:cs="Times New Roman"/>
          <w:sz w:val="24"/>
          <w:szCs w:val="24"/>
        </w:rPr>
        <w:t xml:space="preserve"> and standard deviation were used to describe the variables of lifestyle and self-awareness. The </w:t>
      </w:r>
      <w:r w:rsidR="00F300FB">
        <w:rPr>
          <w:rFonts w:ascii="Times New Roman" w:hAnsi="Times New Roman" w:cs="Times New Roman"/>
          <w:sz w:val="24"/>
          <w:szCs w:val="24"/>
        </w:rPr>
        <w:t>Pearson chi-square test was used to assess the association</w:t>
      </w:r>
      <w:r w:rsidR="00F300FB" w:rsidRPr="00F300FB">
        <w:rPr>
          <w:rFonts w:ascii="Times New Roman" w:hAnsi="Times New Roman" w:cs="Times New Roman"/>
          <w:sz w:val="24"/>
          <w:szCs w:val="24"/>
        </w:rPr>
        <w:t xml:space="preserve"> between education and PCOS awareness. The p-value of 0.05 was </w:t>
      </w:r>
      <w:r w:rsidR="00F300FB">
        <w:rPr>
          <w:rFonts w:ascii="Times New Roman" w:hAnsi="Times New Roman" w:cs="Times New Roman"/>
          <w:sz w:val="24"/>
          <w:szCs w:val="24"/>
        </w:rPr>
        <w:t>considered</w:t>
      </w:r>
      <w:r w:rsidR="00F300FB" w:rsidRPr="00F300FB">
        <w:rPr>
          <w:rFonts w:ascii="Times New Roman" w:hAnsi="Times New Roman" w:cs="Times New Roman"/>
          <w:sz w:val="24"/>
          <w:szCs w:val="24"/>
        </w:rPr>
        <w:t xml:space="preserve"> significant. IBM SPSS (Statistical Package for the Social Sciences) version 26 was used to </w:t>
      </w:r>
      <w:proofErr w:type="spellStart"/>
      <w:r w:rsidR="00F300FB" w:rsidRPr="00F300FB">
        <w:rPr>
          <w:rFonts w:ascii="Times New Roman" w:hAnsi="Times New Roman" w:cs="Times New Roman"/>
          <w:sz w:val="24"/>
          <w:szCs w:val="24"/>
        </w:rPr>
        <w:t>analyze</w:t>
      </w:r>
      <w:proofErr w:type="spellEnd"/>
      <w:r w:rsidR="00F300FB" w:rsidRPr="00F300FB">
        <w:rPr>
          <w:rFonts w:ascii="Times New Roman" w:hAnsi="Times New Roman" w:cs="Times New Roman"/>
          <w:sz w:val="24"/>
          <w:szCs w:val="24"/>
        </w:rPr>
        <w:t xml:space="preserve"> it.</w:t>
      </w:r>
    </w:p>
    <w:p w14:paraId="4E99BDD2" w14:textId="02C35B9D" w:rsidR="000E08BE" w:rsidRPr="00131BBC" w:rsidRDefault="000E08BE" w:rsidP="005A1DF7">
      <w:pPr>
        <w:spacing w:line="360" w:lineRule="auto"/>
        <w:jc w:val="both"/>
        <w:rPr>
          <w:rFonts w:ascii="Times New Roman" w:hAnsi="Times New Roman" w:cs="Times New Roman"/>
          <w:sz w:val="24"/>
          <w:szCs w:val="24"/>
        </w:rPr>
      </w:pPr>
      <w:r w:rsidRPr="000E08BE">
        <w:rPr>
          <w:rFonts w:ascii="Times New Roman" w:hAnsi="Times New Roman" w:cs="Times New Roman"/>
          <w:b/>
          <w:bCs/>
          <w:sz w:val="24"/>
          <w:szCs w:val="24"/>
        </w:rPr>
        <w:t>Ethical Considerations:</w:t>
      </w:r>
      <w:r w:rsidRPr="000E08BE">
        <w:rPr>
          <w:rFonts w:ascii="Times New Roman" w:hAnsi="Times New Roman" w:cs="Times New Roman"/>
          <w:sz w:val="24"/>
          <w:szCs w:val="24"/>
        </w:rPr>
        <w:br/>
      </w:r>
      <w:r w:rsidRPr="00FA066E">
        <w:rPr>
          <w:rFonts w:ascii="Times New Roman" w:hAnsi="Times New Roman" w:cs="Times New Roman"/>
          <w:sz w:val="24"/>
          <w:szCs w:val="24"/>
        </w:rPr>
        <w:t>Ethical clearance was obtained from the institutional ethics committee</w:t>
      </w:r>
      <w:r w:rsidR="00E740EC">
        <w:rPr>
          <w:rFonts w:ascii="Times New Roman" w:hAnsi="Times New Roman" w:cs="Times New Roman"/>
          <w:sz w:val="24"/>
          <w:szCs w:val="24"/>
        </w:rPr>
        <w:t xml:space="preserve"> at HNBGU</w:t>
      </w:r>
      <w:r w:rsidR="00A84F1A">
        <w:rPr>
          <w:rFonts w:ascii="Times New Roman" w:hAnsi="Times New Roman" w:cs="Times New Roman"/>
          <w:sz w:val="24"/>
          <w:szCs w:val="24"/>
        </w:rPr>
        <w:t xml:space="preserve"> (Ethical Registration Number EC/NEW/INST/2023/3552)</w:t>
      </w:r>
      <w:r w:rsidRPr="00FA066E">
        <w:rPr>
          <w:rFonts w:ascii="Times New Roman" w:hAnsi="Times New Roman" w:cs="Times New Roman"/>
          <w:sz w:val="24"/>
          <w:szCs w:val="24"/>
        </w:rPr>
        <w:t xml:space="preserve"> prior to data collection. Written informed consent was obtained from all participants</w:t>
      </w:r>
      <w:r w:rsidRPr="000E08BE">
        <w:rPr>
          <w:rFonts w:ascii="Times New Roman" w:hAnsi="Times New Roman" w:cs="Times New Roman"/>
          <w:sz w:val="24"/>
          <w:szCs w:val="24"/>
        </w:rPr>
        <w:t>, and confidentiality of responses was strictly maintained.</w:t>
      </w:r>
    </w:p>
    <w:p w14:paraId="404FC427" w14:textId="5365B200" w:rsidR="00DF1938" w:rsidRPr="00131BBC" w:rsidRDefault="00F729C3" w:rsidP="005A1DF7">
      <w:pPr>
        <w:spacing w:line="360" w:lineRule="auto"/>
        <w:jc w:val="both"/>
        <w:rPr>
          <w:rFonts w:ascii="Times New Roman" w:hAnsi="Times New Roman" w:cs="Times New Roman"/>
          <w:b/>
          <w:bCs/>
          <w:sz w:val="28"/>
          <w:szCs w:val="28"/>
        </w:rPr>
      </w:pPr>
      <w:r w:rsidRPr="00131BBC">
        <w:rPr>
          <w:rFonts w:ascii="Times New Roman" w:hAnsi="Times New Roman" w:cs="Times New Roman"/>
          <w:b/>
          <w:bCs/>
          <w:sz w:val="28"/>
          <w:szCs w:val="28"/>
        </w:rPr>
        <w:t>RESULTS</w:t>
      </w:r>
    </w:p>
    <w:p w14:paraId="41E59252" w14:textId="65F39DBB" w:rsidR="001C0D7E" w:rsidRPr="00CB0DFB" w:rsidRDefault="00A15538" w:rsidP="004D6B16">
      <w:pPr>
        <w:pStyle w:val="ListParagraph"/>
        <w:numPr>
          <w:ilvl w:val="0"/>
          <w:numId w:val="8"/>
        </w:numPr>
        <w:spacing w:before="120" w:after="120" w:line="360" w:lineRule="auto"/>
        <w:rPr>
          <w:rFonts w:ascii="Times New Roman" w:hAnsi="Times New Roman" w:cs="Times New Roman"/>
          <w:b/>
          <w:bCs/>
          <w:sz w:val="24"/>
          <w:szCs w:val="24"/>
        </w:rPr>
      </w:pPr>
      <w:r w:rsidRPr="00CB0DFB">
        <w:rPr>
          <w:rFonts w:ascii="Times New Roman" w:hAnsi="Times New Roman" w:cs="Times New Roman"/>
          <w:b/>
          <w:bCs/>
          <w:sz w:val="24"/>
          <w:szCs w:val="24"/>
        </w:rPr>
        <w:t>Lifestyle care and self-awareness practices:</w:t>
      </w:r>
    </w:p>
    <w:p w14:paraId="1F2B3DD1" w14:textId="1AE968EB" w:rsidR="001C0D7E" w:rsidRPr="00131BBC" w:rsidRDefault="001C0D7E" w:rsidP="005A1DF7">
      <w:pPr>
        <w:spacing w:line="360" w:lineRule="auto"/>
        <w:jc w:val="both"/>
        <w:rPr>
          <w:rFonts w:ascii="Times New Roman" w:hAnsi="Times New Roman" w:cs="Times New Roman"/>
          <w:b/>
          <w:bCs/>
          <w:sz w:val="24"/>
          <w:szCs w:val="24"/>
        </w:rPr>
      </w:pPr>
      <w:r w:rsidRPr="00131BBC">
        <w:rPr>
          <w:rFonts w:ascii="Times New Roman" w:hAnsi="Times New Roman" w:cs="Times New Roman"/>
          <w:b/>
          <w:bCs/>
          <w:sz w:val="24"/>
          <w:szCs w:val="24"/>
        </w:rPr>
        <w:t xml:space="preserve">Table </w:t>
      </w:r>
      <w:r w:rsidR="001C652D" w:rsidRPr="00131BBC">
        <w:rPr>
          <w:rFonts w:ascii="Times New Roman" w:hAnsi="Times New Roman" w:cs="Times New Roman"/>
          <w:b/>
          <w:bCs/>
          <w:sz w:val="24"/>
          <w:szCs w:val="24"/>
        </w:rPr>
        <w:t>1</w:t>
      </w:r>
      <w:r w:rsidR="002C321F" w:rsidRPr="00131BBC">
        <w:rPr>
          <w:rFonts w:ascii="Times New Roman" w:hAnsi="Times New Roman" w:cs="Times New Roman"/>
          <w:b/>
          <w:bCs/>
          <w:sz w:val="24"/>
          <w:szCs w:val="24"/>
        </w:rPr>
        <w:t>:</w:t>
      </w:r>
      <w:r w:rsidR="001C652D" w:rsidRPr="00131BBC">
        <w:rPr>
          <w:rFonts w:ascii="Times New Roman" w:hAnsi="Times New Roman" w:cs="Times New Roman"/>
          <w:b/>
          <w:bCs/>
          <w:sz w:val="24"/>
          <w:szCs w:val="24"/>
        </w:rPr>
        <w:t xml:space="preserve"> </w:t>
      </w:r>
      <w:r w:rsidRPr="00131BBC">
        <w:rPr>
          <w:rFonts w:ascii="Times New Roman" w:hAnsi="Times New Roman" w:cs="Times New Roman"/>
          <w:b/>
          <w:bCs/>
          <w:sz w:val="24"/>
          <w:szCs w:val="24"/>
        </w:rPr>
        <w:t xml:space="preserve">Descriptive Statistics of Lifestyle Habits and PCOS Awareness among Respondents (Pre-Intervention, </w:t>
      </w:r>
      <w:r w:rsidRPr="00131BBC">
        <w:rPr>
          <w:rFonts w:ascii="Times New Roman" w:hAnsi="Times New Roman" w:cs="Times New Roman"/>
          <w:b/>
          <w:bCs/>
          <w:i/>
          <w:iCs/>
          <w:sz w:val="24"/>
          <w:szCs w:val="24"/>
        </w:rPr>
        <w:t>n = 300</w:t>
      </w:r>
      <w:r w:rsidRPr="00131BBC">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231"/>
        <w:gridCol w:w="3716"/>
        <w:gridCol w:w="803"/>
        <w:gridCol w:w="1003"/>
        <w:gridCol w:w="2223"/>
      </w:tblGrid>
      <w:tr w:rsidR="001C0D7E" w:rsidRPr="00131BBC" w14:paraId="26446E55" w14:textId="77777777" w:rsidTr="002E649E">
        <w:tc>
          <w:tcPr>
            <w:tcW w:w="1231" w:type="dxa"/>
            <w:hideMark/>
          </w:tcPr>
          <w:p w14:paraId="58EF2F39" w14:textId="77777777" w:rsidR="001C0D7E" w:rsidRPr="00131BBC" w:rsidRDefault="001C0D7E" w:rsidP="005A1DF7">
            <w:pPr>
              <w:spacing w:after="160" w:line="360" w:lineRule="auto"/>
              <w:rPr>
                <w:rFonts w:ascii="Times New Roman" w:hAnsi="Times New Roman" w:cs="Times New Roman"/>
                <w:b/>
                <w:bCs/>
              </w:rPr>
            </w:pPr>
            <w:r w:rsidRPr="00131BBC">
              <w:rPr>
                <w:rFonts w:ascii="Times New Roman" w:hAnsi="Times New Roman" w:cs="Times New Roman"/>
                <w:b/>
                <w:bCs/>
              </w:rPr>
              <w:t>S. No.</w:t>
            </w:r>
          </w:p>
        </w:tc>
        <w:tc>
          <w:tcPr>
            <w:tcW w:w="3716" w:type="dxa"/>
            <w:hideMark/>
          </w:tcPr>
          <w:p w14:paraId="6AF395AA" w14:textId="77777777" w:rsidR="001C0D7E" w:rsidRPr="00131BBC" w:rsidRDefault="001C0D7E" w:rsidP="005A1DF7">
            <w:pPr>
              <w:spacing w:after="160" w:line="360" w:lineRule="auto"/>
              <w:rPr>
                <w:rFonts w:ascii="Times New Roman" w:hAnsi="Times New Roman" w:cs="Times New Roman"/>
                <w:b/>
                <w:bCs/>
              </w:rPr>
            </w:pPr>
            <w:r w:rsidRPr="00131BBC">
              <w:rPr>
                <w:rFonts w:ascii="Times New Roman" w:hAnsi="Times New Roman" w:cs="Times New Roman"/>
                <w:b/>
                <w:bCs/>
              </w:rPr>
              <w:t>Variables</w:t>
            </w:r>
          </w:p>
        </w:tc>
        <w:tc>
          <w:tcPr>
            <w:tcW w:w="0" w:type="auto"/>
            <w:hideMark/>
          </w:tcPr>
          <w:p w14:paraId="1DC1938B" w14:textId="77777777" w:rsidR="001C0D7E" w:rsidRPr="00131BBC" w:rsidRDefault="001C0D7E" w:rsidP="005A1DF7">
            <w:pPr>
              <w:spacing w:after="160" w:line="360" w:lineRule="auto"/>
              <w:rPr>
                <w:rFonts w:ascii="Times New Roman" w:hAnsi="Times New Roman" w:cs="Times New Roman"/>
                <w:b/>
                <w:bCs/>
              </w:rPr>
            </w:pPr>
            <w:r w:rsidRPr="00131BBC">
              <w:rPr>
                <w:rFonts w:ascii="Times New Roman" w:hAnsi="Times New Roman" w:cs="Times New Roman"/>
                <w:b/>
                <w:bCs/>
              </w:rPr>
              <w:t>Mean</w:t>
            </w:r>
          </w:p>
        </w:tc>
        <w:tc>
          <w:tcPr>
            <w:tcW w:w="0" w:type="auto"/>
            <w:hideMark/>
          </w:tcPr>
          <w:p w14:paraId="26460DD8" w14:textId="77777777" w:rsidR="001C0D7E" w:rsidRPr="00131BBC" w:rsidRDefault="001C0D7E" w:rsidP="005A1DF7">
            <w:pPr>
              <w:spacing w:after="160" w:line="360" w:lineRule="auto"/>
              <w:rPr>
                <w:rFonts w:ascii="Times New Roman" w:hAnsi="Times New Roman" w:cs="Times New Roman"/>
                <w:b/>
                <w:bCs/>
              </w:rPr>
            </w:pPr>
            <w:r w:rsidRPr="00131BBC">
              <w:rPr>
                <w:rFonts w:ascii="Times New Roman" w:hAnsi="Times New Roman" w:cs="Times New Roman"/>
                <w:b/>
                <w:bCs/>
              </w:rPr>
              <w:t>Median</w:t>
            </w:r>
          </w:p>
        </w:tc>
        <w:tc>
          <w:tcPr>
            <w:tcW w:w="0" w:type="auto"/>
            <w:hideMark/>
          </w:tcPr>
          <w:p w14:paraId="688DE2D8" w14:textId="77777777" w:rsidR="001C0D7E" w:rsidRPr="00131BBC" w:rsidRDefault="001C0D7E" w:rsidP="005A1DF7">
            <w:pPr>
              <w:spacing w:after="160" w:line="360" w:lineRule="auto"/>
              <w:rPr>
                <w:rFonts w:ascii="Times New Roman" w:hAnsi="Times New Roman" w:cs="Times New Roman"/>
                <w:b/>
                <w:bCs/>
              </w:rPr>
            </w:pPr>
            <w:r w:rsidRPr="00131BBC">
              <w:rPr>
                <w:rFonts w:ascii="Times New Roman" w:hAnsi="Times New Roman" w:cs="Times New Roman"/>
                <w:b/>
                <w:bCs/>
              </w:rPr>
              <w:t>Standard Deviation</w:t>
            </w:r>
          </w:p>
        </w:tc>
      </w:tr>
      <w:tr w:rsidR="001C0D7E" w:rsidRPr="00131BBC" w14:paraId="72BAFBB9" w14:textId="77777777" w:rsidTr="002E649E">
        <w:tc>
          <w:tcPr>
            <w:tcW w:w="1231" w:type="dxa"/>
            <w:hideMark/>
          </w:tcPr>
          <w:p w14:paraId="2A49820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w:t>
            </w:r>
          </w:p>
        </w:tc>
        <w:tc>
          <w:tcPr>
            <w:tcW w:w="3716" w:type="dxa"/>
            <w:hideMark/>
          </w:tcPr>
          <w:p w14:paraId="610D330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Knowledge of Physical Activity</w:t>
            </w:r>
          </w:p>
        </w:tc>
        <w:tc>
          <w:tcPr>
            <w:tcW w:w="0" w:type="auto"/>
            <w:hideMark/>
          </w:tcPr>
          <w:p w14:paraId="526ABAFA"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0.54</w:t>
            </w:r>
          </w:p>
        </w:tc>
        <w:tc>
          <w:tcPr>
            <w:tcW w:w="0" w:type="auto"/>
            <w:hideMark/>
          </w:tcPr>
          <w:p w14:paraId="6393EE3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1.00</w:t>
            </w:r>
          </w:p>
        </w:tc>
        <w:tc>
          <w:tcPr>
            <w:tcW w:w="0" w:type="auto"/>
            <w:hideMark/>
          </w:tcPr>
          <w:p w14:paraId="3D25EB27"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0.50</w:t>
            </w:r>
          </w:p>
        </w:tc>
      </w:tr>
      <w:tr w:rsidR="001C0D7E" w:rsidRPr="00131BBC" w14:paraId="4E2FD450" w14:textId="77777777" w:rsidTr="002E649E">
        <w:tc>
          <w:tcPr>
            <w:tcW w:w="1231" w:type="dxa"/>
            <w:hideMark/>
          </w:tcPr>
          <w:p w14:paraId="0A57F02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w:t>
            </w:r>
          </w:p>
        </w:tc>
        <w:tc>
          <w:tcPr>
            <w:tcW w:w="3716" w:type="dxa"/>
            <w:hideMark/>
          </w:tcPr>
          <w:p w14:paraId="6AA3E8A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Practice of Yoga Asanas</w:t>
            </w:r>
          </w:p>
        </w:tc>
        <w:tc>
          <w:tcPr>
            <w:tcW w:w="0" w:type="auto"/>
            <w:hideMark/>
          </w:tcPr>
          <w:p w14:paraId="2D20E6C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3.87</w:t>
            </w:r>
          </w:p>
        </w:tc>
        <w:tc>
          <w:tcPr>
            <w:tcW w:w="0" w:type="auto"/>
            <w:hideMark/>
          </w:tcPr>
          <w:p w14:paraId="6242E65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3B8A92D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0.59</w:t>
            </w:r>
          </w:p>
        </w:tc>
      </w:tr>
      <w:tr w:rsidR="001C0D7E" w:rsidRPr="00131BBC" w14:paraId="23E91983" w14:textId="77777777" w:rsidTr="002E649E">
        <w:tc>
          <w:tcPr>
            <w:tcW w:w="1231" w:type="dxa"/>
            <w:hideMark/>
          </w:tcPr>
          <w:p w14:paraId="1BF0E03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3</w:t>
            </w:r>
          </w:p>
        </w:tc>
        <w:tc>
          <w:tcPr>
            <w:tcW w:w="3716" w:type="dxa"/>
            <w:hideMark/>
          </w:tcPr>
          <w:p w14:paraId="02D6B86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Practice of Jogging</w:t>
            </w:r>
          </w:p>
        </w:tc>
        <w:tc>
          <w:tcPr>
            <w:tcW w:w="0" w:type="auto"/>
            <w:hideMark/>
          </w:tcPr>
          <w:p w14:paraId="026D557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3.95</w:t>
            </w:r>
          </w:p>
        </w:tc>
        <w:tc>
          <w:tcPr>
            <w:tcW w:w="0" w:type="auto"/>
            <w:hideMark/>
          </w:tcPr>
          <w:p w14:paraId="3775388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2705C87D"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0.38</w:t>
            </w:r>
          </w:p>
        </w:tc>
      </w:tr>
      <w:tr w:rsidR="001C0D7E" w:rsidRPr="00131BBC" w14:paraId="2BF3F9D2" w14:textId="77777777" w:rsidTr="002E649E">
        <w:tc>
          <w:tcPr>
            <w:tcW w:w="1231" w:type="dxa"/>
            <w:hideMark/>
          </w:tcPr>
          <w:p w14:paraId="40846F9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w:t>
            </w:r>
          </w:p>
        </w:tc>
        <w:tc>
          <w:tcPr>
            <w:tcW w:w="3716" w:type="dxa"/>
            <w:hideMark/>
          </w:tcPr>
          <w:p w14:paraId="33BA9647"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Practice of Running</w:t>
            </w:r>
          </w:p>
        </w:tc>
        <w:tc>
          <w:tcPr>
            <w:tcW w:w="0" w:type="auto"/>
            <w:hideMark/>
          </w:tcPr>
          <w:p w14:paraId="1823FD2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37B2C4F0"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6039FEE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0.00</w:t>
            </w:r>
          </w:p>
        </w:tc>
      </w:tr>
      <w:tr w:rsidR="001C0D7E" w:rsidRPr="00131BBC" w14:paraId="2C00C62E" w14:textId="77777777" w:rsidTr="002E649E">
        <w:tc>
          <w:tcPr>
            <w:tcW w:w="1231" w:type="dxa"/>
            <w:hideMark/>
          </w:tcPr>
          <w:p w14:paraId="49C3BF56"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5</w:t>
            </w:r>
          </w:p>
        </w:tc>
        <w:tc>
          <w:tcPr>
            <w:tcW w:w="3716" w:type="dxa"/>
            <w:hideMark/>
          </w:tcPr>
          <w:p w14:paraId="75901C1B"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Practice of Aerobic Exercise</w:t>
            </w:r>
          </w:p>
        </w:tc>
        <w:tc>
          <w:tcPr>
            <w:tcW w:w="0" w:type="auto"/>
            <w:hideMark/>
          </w:tcPr>
          <w:p w14:paraId="34933E2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3.98</w:t>
            </w:r>
          </w:p>
        </w:tc>
        <w:tc>
          <w:tcPr>
            <w:tcW w:w="0" w:type="auto"/>
            <w:hideMark/>
          </w:tcPr>
          <w:p w14:paraId="0FC4523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7993892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0.24</w:t>
            </w:r>
          </w:p>
        </w:tc>
      </w:tr>
      <w:tr w:rsidR="001C0D7E" w:rsidRPr="00131BBC" w14:paraId="35CE1DD4" w14:textId="77777777" w:rsidTr="002E649E">
        <w:tc>
          <w:tcPr>
            <w:tcW w:w="1231" w:type="dxa"/>
            <w:hideMark/>
          </w:tcPr>
          <w:p w14:paraId="34BF8AAF"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6</w:t>
            </w:r>
          </w:p>
        </w:tc>
        <w:tc>
          <w:tcPr>
            <w:tcW w:w="3716" w:type="dxa"/>
            <w:hideMark/>
          </w:tcPr>
          <w:p w14:paraId="3338295A"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Practice of Slow Walk</w:t>
            </w:r>
          </w:p>
        </w:tc>
        <w:tc>
          <w:tcPr>
            <w:tcW w:w="0" w:type="auto"/>
            <w:hideMark/>
          </w:tcPr>
          <w:p w14:paraId="0C972A0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3.84</w:t>
            </w:r>
          </w:p>
        </w:tc>
        <w:tc>
          <w:tcPr>
            <w:tcW w:w="0" w:type="auto"/>
            <w:hideMark/>
          </w:tcPr>
          <w:p w14:paraId="1E3326B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2B60A607"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0.66</w:t>
            </w:r>
          </w:p>
        </w:tc>
      </w:tr>
      <w:tr w:rsidR="001C0D7E" w:rsidRPr="00131BBC" w14:paraId="0F09D754" w14:textId="77777777" w:rsidTr="002E649E">
        <w:tc>
          <w:tcPr>
            <w:tcW w:w="1231" w:type="dxa"/>
            <w:hideMark/>
          </w:tcPr>
          <w:p w14:paraId="3F5B2C3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7</w:t>
            </w:r>
          </w:p>
        </w:tc>
        <w:tc>
          <w:tcPr>
            <w:tcW w:w="3716" w:type="dxa"/>
            <w:hideMark/>
          </w:tcPr>
          <w:p w14:paraId="27BB86BB"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Practice of Moderate Walking</w:t>
            </w:r>
          </w:p>
        </w:tc>
        <w:tc>
          <w:tcPr>
            <w:tcW w:w="0" w:type="auto"/>
            <w:hideMark/>
          </w:tcPr>
          <w:p w14:paraId="602C847B"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3.93</w:t>
            </w:r>
          </w:p>
        </w:tc>
        <w:tc>
          <w:tcPr>
            <w:tcW w:w="0" w:type="auto"/>
            <w:hideMark/>
          </w:tcPr>
          <w:p w14:paraId="26E346A4"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7819C0E4"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0.45</w:t>
            </w:r>
          </w:p>
        </w:tc>
      </w:tr>
      <w:tr w:rsidR="001C0D7E" w:rsidRPr="00131BBC" w14:paraId="3B981368" w14:textId="77777777" w:rsidTr="002E649E">
        <w:tc>
          <w:tcPr>
            <w:tcW w:w="1231" w:type="dxa"/>
            <w:hideMark/>
          </w:tcPr>
          <w:p w14:paraId="0796659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8</w:t>
            </w:r>
          </w:p>
        </w:tc>
        <w:tc>
          <w:tcPr>
            <w:tcW w:w="3716" w:type="dxa"/>
            <w:hideMark/>
          </w:tcPr>
          <w:p w14:paraId="2FC434E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Field Work Activity</w:t>
            </w:r>
          </w:p>
        </w:tc>
        <w:tc>
          <w:tcPr>
            <w:tcW w:w="0" w:type="auto"/>
            <w:hideMark/>
          </w:tcPr>
          <w:p w14:paraId="152EAD6F"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3AC0262F"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7885AF04"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0.00</w:t>
            </w:r>
          </w:p>
        </w:tc>
      </w:tr>
      <w:tr w:rsidR="001C0D7E" w:rsidRPr="00131BBC" w14:paraId="3FBB767D" w14:textId="77777777" w:rsidTr="002E649E">
        <w:tc>
          <w:tcPr>
            <w:tcW w:w="1231" w:type="dxa"/>
            <w:hideMark/>
          </w:tcPr>
          <w:p w14:paraId="542D466F"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9</w:t>
            </w:r>
          </w:p>
        </w:tc>
        <w:tc>
          <w:tcPr>
            <w:tcW w:w="3716" w:type="dxa"/>
            <w:hideMark/>
          </w:tcPr>
          <w:p w14:paraId="67F3FF5E"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Addicted to Tea</w:t>
            </w:r>
          </w:p>
        </w:tc>
        <w:tc>
          <w:tcPr>
            <w:tcW w:w="0" w:type="auto"/>
            <w:hideMark/>
          </w:tcPr>
          <w:p w14:paraId="16989A5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1.12</w:t>
            </w:r>
          </w:p>
        </w:tc>
        <w:tc>
          <w:tcPr>
            <w:tcW w:w="0" w:type="auto"/>
            <w:hideMark/>
          </w:tcPr>
          <w:p w14:paraId="776578E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1.00</w:t>
            </w:r>
          </w:p>
        </w:tc>
        <w:tc>
          <w:tcPr>
            <w:tcW w:w="0" w:type="auto"/>
            <w:hideMark/>
          </w:tcPr>
          <w:p w14:paraId="0ADC47CF"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0.32</w:t>
            </w:r>
          </w:p>
        </w:tc>
      </w:tr>
      <w:tr w:rsidR="001C0D7E" w:rsidRPr="00131BBC" w14:paraId="66BF38D3" w14:textId="77777777" w:rsidTr="002E649E">
        <w:tc>
          <w:tcPr>
            <w:tcW w:w="1231" w:type="dxa"/>
            <w:hideMark/>
          </w:tcPr>
          <w:p w14:paraId="15BD6C4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lastRenderedPageBreak/>
              <w:t>10</w:t>
            </w:r>
          </w:p>
        </w:tc>
        <w:tc>
          <w:tcPr>
            <w:tcW w:w="3716" w:type="dxa"/>
            <w:hideMark/>
          </w:tcPr>
          <w:p w14:paraId="1EEFDBF4"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Addicted to Coffee</w:t>
            </w:r>
          </w:p>
        </w:tc>
        <w:tc>
          <w:tcPr>
            <w:tcW w:w="0" w:type="auto"/>
            <w:hideMark/>
          </w:tcPr>
          <w:p w14:paraId="72D5D24A"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1.89</w:t>
            </w:r>
          </w:p>
        </w:tc>
        <w:tc>
          <w:tcPr>
            <w:tcW w:w="0" w:type="auto"/>
            <w:hideMark/>
          </w:tcPr>
          <w:p w14:paraId="0FF158FF"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38EFE8B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0.31</w:t>
            </w:r>
          </w:p>
        </w:tc>
      </w:tr>
      <w:tr w:rsidR="001C0D7E" w:rsidRPr="00131BBC" w14:paraId="0D4DDDC3" w14:textId="77777777" w:rsidTr="002E649E">
        <w:tc>
          <w:tcPr>
            <w:tcW w:w="1231" w:type="dxa"/>
            <w:hideMark/>
          </w:tcPr>
          <w:p w14:paraId="50F3E50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11</w:t>
            </w:r>
          </w:p>
        </w:tc>
        <w:tc>
          <w:tcPr>
            <w:tcW w:w="3716" w:type="dxa"/>
            <w:hideMark/>
          </w:tcPr>
          <w:p w14:paraId="37A5E00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Addicted to Energy Drinks</w:t>
            </w:r>
          </w:p>
        </w:tc>
        <w:tc>
          <w:tcPr>
            <w:tcW w:w="0" w:type="auto"/>
            <w:hideMark/>
          </w:tcPr>
          <w:p w14:paraId="718F9BD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1.98</w:t>
            </w:r>
          </w:p>
        </w:tc>
        <w:tc>
          <w:tcPr>
            <w:tcW w:w="0" w:type="auto"/>
            <w:hideMark/>
          </w:tcPr>
          <w:p w14:paraId="2D5A959F"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072ABAD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0.15</w:t>
            </w:r>
          </w:p>
        </w:tc>
      </w:tr>
      <w:tr w:rsidR="001C0D7E" w:rsidRPr="00131BBC" w14:paraId="35101215" w14:textId="77777777" w:rsidTr="002E649E">
        <w:tc>
          <w:tcPr>
            <w:tcW w:w="1231" w:type="dxa"/>
            <w:hideMark/>
          </w:tcPr>
          <w:p w14:paraId="7F4142A6"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12</w:t>
            </w:r>
          </w:p>
        </w:tc>
        <w:tc>
          <w:tcPr>
            <w:tcW w:w="3716" w:type="dxa"/>
            <w:hideMark/>
          </w:tcPr>
          <w:p w14:paraId="05A6DF1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Addicted to Carbonated Drinks</w:t>
            </w:r>
          </w:p>
        </w:tc>
        <w:tc>
          <w:tcPr>
            <w:tcW w:w="0" w:type="auto"/>
            <w:hideMark/>
          </w:tcPr>
          <w:p w14:paraId="6DC8D70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1.96</w:t>
            </w:r>
          </w:p>
        </w:tc>
        <w:tc>
          <w:tcPr>
            <w:tcW w:w="0" w:type="auto"/>
            <w:hideMark/>
          </w:tcPr>
          <w:p w14:paraId="4CED5246"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477A2CA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0.20</w:t>
            </w:r>
          </w:p>
        </w:tc>
      </w:tr>
      <w:tr w:rsidR="001C0D7E" w:rsidRPr="00131BBC" w14:paraId="2807DF61" w14:textId="77777777" w:rsidTr="002E649E">
        <w:tc>
          <w:tcPr>
            <w:tcW w:w="1231" w:type="dxa"/>
            <w:hideMark/>
          </w:tcPr>
          <w:p w14:paraId="44927C6E"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13</w:t>
            </w:r>
          </w:p>
        </w:tc>
        <w:tc>
          <w:tcPr>
            <w:tcW w:w="3716" w:type="dxa"/>
            <w:hideMark/>
          </w:tcPr>
          <w:p w14:paraId="42BC68C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Knowledge of the Importance of Nutrition</w:t>
            </w:r>
          </w:p>
        </w:tc>
        <w:tc>
          <w:tcPr>
            <w:tcW w:w="0" w:type="auto"/>
            <w:hideMark/>
          </w:tcPr>
          <w:p w14:paraId="510C1B1E"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1.69</w:t>
            </w:r>
          </w:p>
        </w:tc>
        <w:tc>
          <w:tcPr>
            <w:tcW w:w="0" w:type="auto"/>
            <w:hideMark/>
          </w:tcPr>
          <w:p w14:paraId="587927A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3AF36F76"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0.46</w:t>
            </w:r>
          </w:p>
        </w:tc>
      </w:tr>
      <w:tr w:rsidR="001C0D7E" w:rsidRPr="00131BBC" w14:paraId="671C547D" w14:textId="77777777" w:rsidTr="002E649E">
        <w:tc>
          <w:tcPr>
            <w:tcW w:w="1231" w:type="dxa"/>
            <w:hideMark/>
          </w:tcPr>
          <w:p w14:paraId="51115A17"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14</w:t>
            </w:r>
          </w:p>
        </w:tc>
        <w:tc>
          <w:tcPr>
            <w:tcW w:w="3716" w:type="dxa"/>
            <w:hideMark/>
          </w:tcPr>
          <w:p w14:paraId="21B9F3A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Knowledge of a Healthy Lifestyle</w:t>
            </w:r>
          </w:p>
        </w:tc>
        <w:tc>
          <w:tcPr>
            <w:tcW w:w="0" w:type="auto"/>
            <w:hideMark/>
          </w:tcPr>
          <w:p w14:paraId="75C4481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1.87</w:t>
            </w:r>
          </w:p>
        </w:tc>
        <w:tc>
          <w:tcPr>
            <w:tcW w:w="0" w:type="auto"/>
            <w:hideMark/>
          </w:tcPr>
          <w:p w14:paraId="060DB98D"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579415F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0.33</w:t>
            </w:r>
          </w:p>
        </w:tc>
      </w:tr>
      <w:tr w:rsidR="001C0D7E" w:rsidRPr="00131BBC" w14:paraId="529DFD7A" w14:textId="77777777" w:rsidTr="002E649E">
        <w:tc>
          <w:tcPr>
            <w:tcW w:w="1231" w:type="dxa"/>
            <w:hideMark/>
          </w:tcPr>
          <w:p w14:paraId="44E2277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15</w:t>
            </w:r>
          </w:p>
        </w:tc>
        <w:tc>
          <w:tcPr>
            <w:tcW w:w="3716" w:type="dxa"/>
            <w:hideMark/>
          </w:tcPr>
          <w:p w14:paraId="3311A55A"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Physical Activity Level</w:t>
            </w:r>
          </w:p>
        </w:tc>
        <w:tc>
          <w:tcPr>
            <w:tcW w:w="0" w:type="auto"/>
            <w:hideMark/>
          </w:tcPr>
          <w:p w14:paraId="4701375A"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1.04</w:t>
            </w:r>
          </w:p>
        </w:tc>
        <w:tc>
          <w:tcPr>
            <w:tcW w:w="0" w:type="auto"/>
            <w:hideMark/>
          </w:tcPr>
          <w:p w14:paraId="14B5406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1.00</w:t>
            </w:r>
          </w:p>
        </w:tc>
        <w:tc>
          <w:tcPr>
            <w:tcW w:w="0" w:type="auto"/>
            <w:hideMark/>
          </w:tcPr>
          <w:p w14:paraId="08738410"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0.29</w:t>
            </w:r>
          </w:p>
        </w:tc>
      </w:tr>
      <w:tr w:rsidR="001C0D7E" w:rsidRPr="00131BBC" w14:paraId="156613F6" w14:textId="77777777" w:rsidTr="002E649E">
        <w:tc>
          <w:tcPr>
            <w:tcW w:w="1231" w:type="dxa"/>
            <w:hideMark/>
          </w:tcPr>
          <w:p w14:paraId="12121CD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16</w:t>
            </w:r>
          </w:p>
        </w:tc>
        <w:tc>
          <w:tcPr>
            <w:tcW w:w="3716" w:type="dxa"/>
            <w:hideMark/>
          </w:tcPr>
          <w:p w14:paraId="5BE9570B"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Physical Activity in a Week (Frequency)</w:t>
            </w:r>
          </w:p>
        </w:tc>
        <w:tc>
          <w:tcPr>
            <w:tcW w:w="0" w:type="auto"/>
            <w:hideMark/>
          </w:tcPr>
          <w:p w14:paraId="21BD3344"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3.46</w:t>
            </w:r>
          </w:p>
        </w:tc>
        <w:tc>
          <w:tcPr>
            <w:tcW w:w="0" w:type="auto"/>
            <w:hideMark/>
          </w:tcPr>
          <w:p w14:paraId="72646B40"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4.00</w:t>
            </w:r>
          </w:p>
        </w:tc>
        <w:tc>
          <w:tcPr>
            <w:tcW w:w="0" w:type="auto"/>
            <w:hideMark/>
          </w:tcPr>
          <w:p w14:paraId="1173754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0.94</w:t>
            </w:r>
          </w:p>
        </w:tc>
      </w:tr>
      <w:tr w:rsidR="001C0D7E" w:rsidRPr="00131BBC" w14:paraId="0210A24F" w14:textId="77777777" w:rsidTr="002E649E">
        <w:tc>
          <w:tcPr>
            <w:tcW w:w="1231" w:type="dxa"/>
            <w:hideMark/>
          </w:tcPr>
          <w:p w14:paraId="0818739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17</w:t>
            </w:r>
          </w:p>
        </w:tc>
        <w:tc>
          <w:tcPr>
            <w:tcW w:w="3716" w:type="dxa"/>
            <w:hideMark/>
          </w:tcPr>
          <w:p w14:paraId="2D16928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Frequency of Stress</w:t>
            </w:r>
          </w:p>
        </w:tc>
        <w:tc>
          <w:tcPr>
            <w:tcW w:w="0" w:type="auto"/>
            <w:hideMark/>
          </w:tcPr>
          <w:p w14:paraId="55FF89B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1.64</w:t>
            </w:r>
          </w:p>
        </w:tc>
        <w:tc>
          <w:tcPr>
            <w:tcW w:w="0" w:type="auto"/>
            <w:hideMark/>
          </w:tcPr>
          <w:p w14:paraId="4752774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41B61A0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0.48</w:t>
            </w:r>
          </w:p>
        </w:tc>
      </w:tr>
      <w:tr w:rsidR="001C0D7E" w:rsidRPr="00131BBC" w14:paraId="1FCA80BD" w14:textId="77777777" w:rsidTr="002E649E">
        <w:tc>
          <w:tcPr>
            <w:tcW w:w="1231" w:type="dxa"/>
            <w:hideMark/>
          </w:tcPr>
          <w:p w14:paraId="532F738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18</w:t>
            </w:r>
          </w:p>
        </w:tc>
        <w:tc>
          <w:tcPr>
            <w:tcW w:w="3716" w:type="dxa"/>
            <w:hideMark/>
          </w:tcPr>
          <w:p w14:paraId="5E70298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Reason for Stress</w:t>
            </w:r>
          </w:p>
        </w:tc>
        <w:tc>
          <w:tcPr>
            <w:tcW w:w="0" w:type="auto"/>
            <w:hideMark/>
          </w:tcPr>
          <w:p w14:paraId="0FF54FC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2.65</w:t>
            </w:r>
          </w:p>
        </w:tc>
        <w:tc>
          <w:tcPr>
            <w:tcW w:w="0" w:type="auto"/>
            <w:hideMark/>
          </w:tcPr>
          <w:p w14:paraId="51030A5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7CB0A58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1.66</w:t>
            </w:r>
          </w:p>
        </w:tc>
      </w:tr>
      <w:tr w:rsidR="001C0D7E" w:rsidRPr="00131BBC" w14:paraId="179AEEA9" w14:textId="77777777" w:rsidTr="002E649E">
        <w:tc>
          <w:tcPr>
            <w:tcW w:w="1231" w:type="dxa"/>
            <w:hideMark/>
          </w:tcPr>
          <w:p w14:paraId="36B986B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19</w:t>
            </w:r>
          </w:p>
        </w:tc>
        <w:tc>
          <w:tcPr>
            <w:tcW w:w="3716" w:type="dxa"/>
            <w:hideMark/>
          </w:tcPr>
          <w:p w14:paraId="0672BD5B"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Nap Duration Per Day</w:t>
            </w:r>
          </w:p>
        </w:tc>
        <w:tc>
          <w:tcPr>
            <w:tcW w:w="0" w:type="auto"/>
            <w:hideMark/>
          </w:tcPr>
          <w:p w14:paraId="7AD7047A"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2.51</w:t>
            </w:r>
          </w:p>
        </w:tc>
        <w:tc>
          <w:tcPr>
            <w:tcW w:w="0" w:type="auto"/>
            <w:hideMark/>
          </w:tcPr>
          <w:p w14:paraId="25D3B3E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45A9A13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1.06</w:t>
            </w:r>
          </w:p>
        </w:tc>
      </w:tr>
      <w:tr w:rsidR="001C0D7E" w:rsidRPr="00131BBC" w14:paraId="322029F3" w14:textId="77777777" w:rsidTr="002E649E">
        <w:tc>
          <w:tcPr>
            <w:tcW w:w="1231" w:type="dxa"/>
            <w:hideMark/>
          </w:tcPr>
          <w:p w14:paraId="2DC292E7"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w:t>
            </w:r>
          </w:p>
        </w:tc>
        <w:tc>
          <w:tcPr>
            <w:tcW w:w="3716" w:type="dxa"/>
            <w:hideMark/>
          </w:tcPr>
          <w:p w14:paraId="1C8A62AA"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Awareness about Sleep Patterns</w:t>
            </w:r>
          </w:p>
        </w:tc>
        <w:tc>
          <w:tcPr>
            <w:tcW w:w="0" w:type="auto"/>
            <w:hideMark/>
          </w:tcPr>
          <w:p w14:paraId="03F7D6D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1.93</w:t>
            </w:r>
          </w:p>
        </w:tc>
        <w:tc>
          <w:tcPr>
            <w:tcW w:w="0" w:type="auto"/>
            <w:hideMark/>
          </w:tcPr>
          <w:p w14:paraId="55F8FF9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4C71503E"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1.69</w:t>
            </w:r>
          </w:p>
        </w:tc>
      </w:tr>
      <w:tr w:rsidR="001C0D7E" w:rsidRPr="00131BBC" w14:paraId="25D6C9C0" w14:textId="77777777" w:rsidTr="002E649E">
        <w:tc>
          <w:tcPr>
            <w:tcW w:w="1231" w:type="dxa"/>
            <w:hideMark/>
          </w:tcPr>
          <w:p w14:paraId="16F61770"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21</w:t>
            </w:r>
          </w:p>
        </w:tc>
        <w:tc>
          <w:tcPr>
            <w:tcW w:w="3716" w:type="dxa"/>
            <w:hideMark/>
          </w:tcPr>
          <w:p w14:paraId="79EDD417"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Sleep Duration Per Day</w:t>
            </w:r>
          </w:p>
        </w:tc>
        <w:tc>
          <w:tcPr>
            <w:tcW w:w="0" w:type="auto"/>
            <w:hideMark/>
          </w:tcPr>
          <w:p w14:paraId="33EE5D3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1.54</w:t>
            </w:r>
          </w:p>
        </w:tc>
        <w:tc>
          <w:tcPr>
            <w:tcW w:w="0" w:type="auto"/>
            <w:hideMark/>
          </w:tcPr>
          <w:p w14:paraId="5A7B896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1.00</w:t>
            </w:r>
          </w:p>
        </w:tc>
        <w:tc>
          <w:tcPr>
            <w:tcW w:w="0" w:type="auto"/>
            <w:hideMark/>
          </w:tcPr>
          <w:p w14:paraId="505346FA"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0.95</w:t>
            </w:r>
          </w:p>
        </w:tc>
      </w:tr>
      <w:tr w:rsidR="001C0D7E" w:rsidRPr="00131BBC" w14:paraId="3A810D9C" w14:textId="77777777" w:rsidTr="002E649E">
        <w:tc>
          <w:tcPr>
            <w:tcW w:w="1231" w:type="dxa"/>
            <w:hideMark/>
          </w:tcPr>
          <w:p w14:paraId="3C0697ED"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22</w:t>
            </w:r>
          </w:p>
        </w:tc>
        <w:tc>
          <w:tcPr>
            <w:tcW w:w="3716" w:type="dxa"/>
            <w:hideMark/>
          </w:tcPr>
          <w:p w14:paraId="63FF3C6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Knowledge about Glucose Level</w:t>
            </w:r>
          </w:p>
        </w:tc>
        <w:tc>
          <w:tcPr>
            <w:tcW w:w="0" w:type="auto"/>
            <w:hideMark/>
          </w:tcPr>
          <w:p w14:paraId="51BC5AE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1.83</w:t>
            </w:r>
          </w:p>
        </w:tc>
        <w:tc>
          <w:tcPr>
            <w:tcW w:w="0" w:type="auto"/>
            <w:hideMark/>
          </w:tcPr>
          <w:p w14:paraId="41F8784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742B419D"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0.37</w:t>
            </w:r>
          </w:p>
        </w:tc>
      </w:tr>
      <w:tr w:rsidR="001C0D7E" w:rsidRPr="00131BBC" w14:paraId="557DB676" w14:textId="77777777" w:rsidTr="002E649E">
        <w:tc>
          <w:tcPr>
            <w:tcW w:w="1231" w:type="dxa"/>
            <w:hideMark/>
          </w:tcPr>
          <w:p w14:paraId="03F3F0F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23</w:t>
            </w:r>
          </w:p>
        </w:tc>
        <w:tc>
          <w:tcPr>
            <w:tcW w:w="3716" w:type="dxa"/>
            <w:hideMark/>
          </w:tcPr>
          <w:p w14:paraId="406FFEA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Monitoring of Blood Glucose Level</w:t>
            </w:r>
          </w:p>
        </w:tc>
        <w:tc>
          <w:tcPr>
            <w:tcW w:w="0" w:type="auto"/>
            <w:hideMark/>
          </w:tcPr>
          <w:p w14:paraId="2389657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1.23</w:t>
            </w:r>
          </w:p>
        </w:tc>
        <w:tc>
          <w:tcPr>
            <w:tcW w:w="0" w:type="auto"/>
            <w:hideMark/>
          </w:tcPr>
          <w:p w14:paraId="6905AE43"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1.00</w:t>
            </w:r>
          </w:p>
        </w:tc>
        <w:tc>
          <w:tcPr>
            <w:tcW w:w="0" w:type="auto"/>
            <w:hideMark/>
          </w:tcPr>
          <w:p w14:paraId="19FB371B"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0.42</w:t>
            </w:r>
          </w:p>
        </w:tc>
      </w:tr>
      <w:tr w:rsidR="001C0D7E" w:rsidRPr="00131BBC" w14:paraId="1B404193" w14:textId="77777777" w:rsidTr="002E649E">
        <w:tc>
          <w:tcPr>
            <w:tcW w:w="1231" w:type="dxa"/>
            <w:hideMark/>
          </w:tcPr>
          <w:p w14:paraId="52CDBAC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24</w:t>
            </w:r>
          </w:p>
        </w:tc>
        <w:tc>
          <w:tcPr>
            <w:tcW w:w="3716" w:type="dxa"/>
            <w:hideMark/>
          </w:tcPr>
          <w:p w14:paraId="39839CC4"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Meals Consumed in a Day</w:t>
            </w:r>
          </w:p>
        </w:tc>
        <w:tc>
          <w:tcPr>
            <w:tcW w:w="0" w:type="auto"/>
            <w:hideMark/>
          </w:tcPr>
          <w:p w14:paraId="0921ECB0"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2.50</w:t>
            </w:r>
          </w:p>
        </w:tc>
        <w:tc>
          <w:tcPr>
            <w:tcW w:w="0" w:type="auto"/>
            <w:hideMark/>
          </w:tcPr>
          <w:p w14:paraId="7581DB7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11CDB25D"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0.52</w:t>
            </w:r>
          </w:p>
        </w:tc>
      </w:tr>
      <w:tr w:rsidR="001C0D7E" w:rsidRPr="00131BBC" w14:paraId="1B0AEBB2" w14:textId="77777777" w:rsidTr="002E649E">
        <w:tc>
          <w:tcPr>
            <w:tcW w:w="1231" w:type="dxa"/>
            <w:hideMark/>
          </w:tcPr>
          <w:p w14:paraId="0B20693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25</w:t>
            </w:r>
          </w:p>
        </w:tc>
        <w:tc>
          <w:tcPr>
            <w:tcW w:w="3716" w:type="dxa"/>
            <w:hideMark/>
          </w:tcPr>
          <w:p w14:paraId="75702688"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Knowledge about the Interval Between Meals</w:t>
            </w:r>
          </w:p>
        </w:tc>
        <w:tc>
          <w:tcPr>
            <w:tcW w:w="0" w:type="auto"/>
            <w:hideMark/>
          </w:tcPr>
          <w:p w14:paraId="6A833646"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1.51</w:t>
            </w:r>
          </w:p>
        </w:tc>
        <w:tc>
          <w:tcPr>
            <w:tcW w:w="0" w:type="auto"/>
            <w:hideMark/>
          </w:tcPr>
          <w:p w14:paraId="46C619D5"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2.00</w:t>
            </w:r>
          </w:p>
        </w:tc>
        <w:tc>
          <w:tcPr>
            <w:tcW w:w="0" w:type="auto"/>
            <w:hideMark/>
          </w:tcPr>
          <w:p w14:paraId="38D9EAA1"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0.50</w:t>
            </w:r>
          </w:p>
        </w:tc>
      </w:tr>
      <w:tr w:rsidR="001C0D7E" w:rsidRPr="00131BBC" w14:paraId="651EFDE2" w14:textId="77777777" w:rsidTr="002E649E">
        <w:tc>
          <w:tcPr>
            <w:tcW w:w="1231" w:type="dxa"/>
            <w:hideMark/>
          </w:tcPr>
          <w:p w14:paraId="0D00D0E7"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26</w:t>
            </w:r>
          </w:p>
        </w:tc>
        <w:tc>
          <w:tcPr>
            <w:tcW w:w="3716" w:type="dxa"/>
            <w:hideMark/>
          </w:tcPr>
          <w:p w14:paraId="735ADB1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Frequency of Eating Outside in a Month</w:t>
            </w:r>
          </w:p>
        </w:tc>
        <w:tc>
          <w:tcPr>
            <w:tcW w:w="0" w:type="auto"/>
            <w:hideMark/>
          </w:tcPr>
          <w:p w14:paraId="7F943C39"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4.41</w:t>
            </w:r>
          </w:p>
        </w:tc>
        <w:tc>
          <w:tcPr>
            <w:tcW w:w="0" w:type="auto"/>
            <w:hideMark/>
          </w:tcPr>
          <w:p w14:paraId="74D75782"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5.00</w:t>
            </w:r>
          </w:p>
        </w:tc>
        <w:tc>
          <w:tcPr>
            <w:tcW w:w="0" w:type="auto"/>
            <w:hideMark/>
          </w:tcPr>
          <w:p w14:paraId="0444F95C" w14:textId="77777777" w:rsidR="001C0D7E" w:rsidRPr="00131BBC" w:rsidRDefault="001C0D7E" w:rsidP="005A1DF7">
            <w:pPr>
              <w:spacing w:after="160" w:line="360" w:lineRule="auto"/>
              <w:rPr>
                <w:rFonts w:ascii="Times New Roman" w:hAnsi="Times New Roman" w:cs="Times New Roman"/>
              </w:rPr>
            </w:pPr>
            <w:r w:rsidRPr="00131BBC">
              <w:rPr>
                <w:rFonts w:ascii="Times New Roman" w:hAnsi="Times New Roman" w:cs="Times New Roman"/>
              </w:rPr>
              <w:t>0.75</w:t>
            </w:r>
          </w:p>
        </w:tc>
      </w:tr>
    </w:tbl>
    <w:p w14:paraId="7CBFBE7E" w14:textId="77777777" w:rsidR="00392715" w:rsidRPr="00131BBC" w:rsidRDefault="00392715" w:rsidP="005A1DF7">
      <w:pPr>
        <w:spacing w:line="360" w:lineRule="auto"/>
        <w:jc w:val="both"/>
        <w:rPr>
          <w:rFonts w:ascii="Times New Roman" w:hAnsi="Times New Roman" w:cs="Times New Roman"/>
          <w:sz w:val="24"/>
          <w:szCs w:val="24"/>
        </w:rPr>
      </w:pPr>
    </w:p>
    <w:p w14:paraId="374D4E47" w14:textId="243C366B" w:rsidR="00D41504" w:rsidRPr="00D41504" w:rsidRDefault="00D41504" w:rsidP="00D41504">
      <w:pPr>
        <w:spacing w:line="360" w:lineRule="auto"/>
        <w:ind w:left="720"/>
        <w:jc w:val="both"/>
        <w:rPr>
          <w:rFonts w:ascii="Times New Roman" w:hAnsi="Times New Roman" w:cs="Times New Roman"/>
          <w:sz w:val="24"/>
          <w:szCs w:val="24"/>
        </w:rPr>
      </w:pPr>
      <w:r w:rsidRPr="00D41504">
        <w:rPr>
          <w:rFonts w:ascii="Times New Roman" w:hAnsi="Times New Roman" w:cs="Times New Roman"/>
          <w:sz w:val="24"/>
          <w:szCs w:val="24"/>
        </w:rPr>
        <w:lastRenderedPageBreak/>
        <w:t xml:space="preserve">Table </w:t>
      </w:r>
      <w:r w:rsidR="006A02A4">
        <w:rPr>
          <w:rFonts w:ascii="Times New Roman" w:hAnsi="Times New Roman" w:cs="Times New Roman"/>
          <w:sz w:val="24"/>
          <w:szCs w:val="24"/>
        </w:rPr>
        <w:t>1</w:t>
      </w:r>
      <w:r w:rsidRPr="00D41504">
        <w:rPr>
          <w:rFonts w:ascii="Times New Roman" w:hAnsi="Times New Roman" w:cs="Times New Roman"/>
          <w:sz w:val="24"/>
          <w:szCs w:val="24"/>
        </w:rPr>
        <w:t xml:space="preserve"> </w:t>
      </w:r>
      <w:r w:rsidR="00E740EC">
        <w:rPr>
          <w:rFonts w:ascii="Times New Roman" w:hAnsi="Times New Roman" w:cs="Times New Roman"/>
          <w:sz w:val="24"/>
          <w:szCs w:val="24"/>
        </w:rPr>
        <w:t xml:space="preserve">presents the most relevant summary statistics (mean, median, and standard deviation) for 26 variables related to physical activity and practice, lifestyle </w:t>
      </w:r>
      <w:proofErr w:type="spellStart"/>
      <w:r w:rsidR="00E740EC">
        <w:rPr>
          <w:rFonts w:ascii="Times New Roman" w:hAnsi="Times New Roman" w:cs="Times New Roman"/>
          <w:sz w:val="24"/>
          <w:szCs w:val="24"/>
        </w:rPr>
        <w:t>behaviors</w:t>
      </w:r>
      <w:proofErr w:type="spellEnd"/>
      <w:r w:rsidRPr="00D41504">
        <w:rPr>
          <w:rFonts w:ascii="Times New Roman" w:hAnsi="Times New Roman" w:cs="Times New Roman"/>
          <w:sz w:val="24"/>
          <w:szCs w:val="24"/>
        </w:rPr>
        <w:t xml:space="preserve">, nutrition awareness and attitudes, stress, sleep, and </w:t>
      </w:r>
      <w:r w:rsidR="008046B6">
        <w:rPr>
          <w:rFonts w:ascii="Times New Roman" w:hAnsi="Times New Roman" w:cs="Times New Roman"/>
          <w:sz w:val="24"/>
          <w:szCs w:val="24"/>
        </w:rPr>
        <w:t>student eating patterns</w:t>
      </w:r>
      <w:r w:rsidRPr="00D41504">
        <w:rPr>
          <w:rFonts w:ascii="Times New Roman" w:hAnsi="Times New Roman" w:cs="Times New Roman"/>
          <w:sz w:val="24"/>
          <w:szCs w:val="24"/>
        </w:rPr>
        <w:t>. The next segment reviews the relevant literature to explicate these findings.</w:t>
      </w:r>
    </w:p>
    <w:p w14:paraId="6B7BFB21" w14:textId="08DAC3C2" w:rsidR="00305BD1" w:rsidRPr="0033392A" w:rsidRDefault="00D41504" w:rsidP="0033392A">
      <w:pPr>
        <w:pStyle w:val="ListParagraph"/>
        <w:numPr>
          <w:ilvl w:val="0"/>
          <w:numId w:val="9"/>
        </w:numPr>
        <w:spacing w:line="360" w:lineRule="auto"/>
        <w:jc w:val="both"/>
        <w:rPr>
          <w:rFonts w:ascii="Times New Roman" w:hAnsi="Times New Roman" w:cs="Times New Roman"/>
          <w:sz w:val="24"/>
          <w:szCs w:val="24"/>
        </w:rPr>
      </w:pPr>
      <w:r w:rsidRPr="008046B6">
        <w:rPr>
          <w:rFonts w:ascii="Times New Roman" w:hAnsi="Times New Roman" w:cs="Times New Roman"/>
          <w:b/>
          <w:bCs/>
          <w:sz w:val="24"/>
          <w:szCs w:val="24"/>
        </w:rPr>
        <w:t xml:space="preserve">Knowledge of Physical </w:t>
      </w:r>
      <w:r w:rsidR="008046B6" w:rsidRPr="008046B6">
        <w:rPr>
          <w:rFonts w:ascii="Times New Roman" w:hAnsi="Times New Roman" w:cs="Times New Roman"/>
          <w:b/>
          <w:bCs/>
          <w:sz w:val="24"/>
          <w:szCs w:val="24"/>
        </w:rPr>
        <w:t>Activity’s</w:t>
      </w:r>
      <w:r w:rsidR="008046B6">
        <w:rPr>
          <w:rFonts w:ascii="Times New Roman" w:hAnsi="Times New Roman" w:cs="Times New Roman"/>
          <w:sz w:val="24"/>
          <w:szCs w:val="24"/>
        </w:rPr>
        <w:t xml:space="preserve"> mean score is relatively low, indicative of a very low understanding of the concepts of physical activity,</w:t>
      </w:r>
      <w:r w:rsidRPr="008046B6">
        <w:rPr>
          <w:rFonts w:ascii="Times New Roman" w:hAnsi="Times New Roman" w:cs="Times New Roman"/>
          <w:sz w:val="24"/>
          <w:szCs w:val="24"/>
        </w:rPr>
        <w:t xml:space="preserve"> as witnessed by the mean of 0.54, median of 1.00, and a standard deviation of 0.50. Omitting the outlier </w:t>
      </w:r>
      <w:r w:rsidR="00E740EC">
        <w:rPr>
          <w:rFonts w:ascii="Times New Roman" w:hAnsi="Times New Roman" w:cs="Times New Roman"/>
          <w:sz w:val="24"/>
          <w:szCs w:val="24"/>
        </w:rPr>
        <w:t xml:space="preserve">aligns with the literature, which indicates that the public contains considerable misinformation regarding </w:t>
      </w:r>
      <w:r w:rsidRPr="008046B6">
        <w:rPr>
          <w:rFonts w:ascii="Times New Roman" w:hAnsi="Times New Roman" w:cs="Times New Roman"/>
          <w:sz w:val="24"/>
          <w:szCs w:val="24"/>
        </w:rPr>
        <w:t>physical activity guidelines</w:t>
      </w:r>
      <w:r w:rsidR="00680C5B" w:rsidRPr="008046B6">
        <w:rPr>
          <w:rFonts w:ascii="Times New Roman" w:hAnsi="Times New Roman" w:cs="Times New Roman"/>
          <w:sz w:val="24"/>
          <w:szCs w:val="24"/>
        </w:rPr>
        <w:t xml:space="preserve">. For instance, Vaara et al. (2019) found that although 40% of participants reported being aware of physical activity guidelines, only 7% correctly identified the </w:t>
      </w:r>
      <w:r w:rsidR="00E740EC">
        <w:rPr>
          <w:rFonts w:ascii="Times New Roman" w:hAnsi="Times New Roman" w:cs="Times New Roman"/>
          <w:sz w:val="24"/>
          <w:szCs w:val="24"/>
        </w:rPr>
        <w:t xml:space="preserve">aerobic activity recommendation, and 4% knew both the </w:t>
      </w:r>
      <w:r w:rsidR="00305BD1" w:rsidRPr="0033392A">
        <w:rPr>
          <w:rFonts w:ascii="Times New Roman" w:hAnsi="Times New Roman" w:cs="Times New Roman"/>
          <w:sz w:val="24"/>
          <w:szCs w:val="24"/>
        </w:rPr>
        <w:t>aerobic and muscular activity guidelines.  Likewise, Piercy et al. (2020) believed that low awareness of dosage guidelines (</w:t>
      </w:r>
      <w:r w:rsidR="00E740EC">
        <w:rPr>
          <w:rFonts w:ascii="Times New Roman" w:hAnsi="Times New Roman" w:cs="Times New Roman"/>
          <w:sz w:val="24"/>
          <w:szCs w:val="24"/>
        </w:rPr>
        <w:t xml:space="preserve">i.e., the amount and frequency) could, at least in part, explain the </w:t>
      </w:r>
      <w:r w:rsidR="00305BD1" w:rsidRPr="0033392A">
        <w:rPr>
          <w:rFonts w:ascii="Times New Roman" w:hAnsi="Times New Roman" w:cs="Times New Roman"/>
          <w:sz w:val="24"/>
          <w:szCs w:val="24"/>
        </w:rPr>
        <w:t xml:space="preserve">low adherence to physical activity. </w:t>
      </w:r>
    </w:p>
    <w:p w14:paraId="58700F11" w14:textId="4500B63B" w:rsidR="00954CA1" w:rsidRPr="00954CA1" w:rsidRDefault="00305BD1" w:rsidP="00954CA1">
      <w:pPr>
        <w:pStyle w:val="ListParagraph"/>
        <w:numPr>
          <w:ilvl w:val="0"/>
          <w:numId w:val="9"/>
        </w:numPr>
        <w:spacing w:line="360" w:lineRule="auto"/>
        <w:jc w:val="both"/>
        <w:rPr>
          <w:rFonts w:ascii="Times New Roman" w:hAnsi="Times New Roman" w:cs="Times New Roman"/>
          <w:sz w:val="24"/>
          <w:szCs w:val="24"/>
        </w:rPr>
      </w:pPr>
      <w:r w:rsidRPr="00935240">
        <w:rPr>
          <w:rFonts w:ascii="Times New Roman" w:hAnsi="Times New Roman" w:cs="Times New Roman"/>
          <w:b/>
          <w:bCs/>
          <w:sz w:val="24"/>
          <w:szCs w:val="24"/>
        </w:rPr>
        <w:t xml:space="preserve">Physical Activity </w:t>
      </w:r>
      <w:proofErr w:type="spellStart"/>
      <w:r w:rsidRPr="00935240">
        <w:rPr>
          <w:rFonts w:ascii="Times New Roman" w:hAnsi="Times New Roman" w:cs="Times New Roman"/>
          <w:b/>
          <w:bCs/>
          <w:sz w:val="24"/>
          <w:szCs w:val="24"/>
        </w:rPr>
        <w:t>Behavior</w:t>
      </w:r>
      <w:proofErr w:type="spellEnd"/>
      <w:r w:rsidRPr="00935240">
        <w:rPr>
          <w:rFonts w:ascii="Times New Roman" w:hAnsi="Times New Roman" w:cs="Times New Roman"/>
          <w:b/>
          <w:bCs/>
          <w:sz w:val="24"/>
          <w:szCs w:val="24"/>
        </w:rPr>
        <w:t>:</w:t>
      </w:r>
      <w:r w:rsidRPr="00305BD1">
        <w:rPr>
          <w:rFonts w:ascii="Times New Roman" w:hAnsi="Times New Roman" w:cs="Times New Roman"/>
          <w:sz w:val="24"/>
          <w:szCs w:val="24"/>
        </w:rPr>
        <w:t xml:space="preserve"> The respondents seem to practice a lot of different kinds of physical activities</w:t>
      </w:r>
      <w:r w:rsidR="00B63948">
        <w:rPr>
          <w:rFonts w:ascii="Times New Roman" w:hAnsi="Times New Roman" w:cs="Times New Roman"/>
          <w:sz w:val="24"/>
          <w:szCs w:val="24"/>
        </w:rPr>
        <w:t>,</w:t>
      </w:r>
      <w:r w:rsidRPr="00305BD1">
        <w:rPr>
          <w:rFonts w:ascii="Times New Roman" w:hAnsi="Times New Roman" w:cs="Times New Roman"/>
          <w:sz w:val="24"/>
          <w:szCs w:val="24"/>
        </w:rPr>
        <w:t xml:space="preserve"> </w:t>
      </w:r>
      <w:r w:rsidR="00A85A9E">
        <w:rPr>
          <w:rFonts w:ascii="Times New Roman" w:hAnsi="Times New Roman" w:cs="Times New Roman"/>
          <w:sz w:val="24"/>
          <w:szCs w:val="24"/>
        </w:rPr>
        <w:t xml:space="preserve">but </w:t>
      </w:r>
      <w:r w:rsidR="00A85A9E" w:rsidRPr="00A85A9E">
        <w:rPr>
          <w:rFonts w:ascii="Times New Roman" w:hAnsi="Times New Roman" w:cs="Times New Roman"/>
          <w:sz w:val="24"/>
          <w:szCs w:val="24"/>
        </w:rPr>
        <w:t xml:space="preserve">their level of knowledge is low. Running and </w:t>
      </w:r>
      <w:r w:rsidR="00A85A9E">
        <w:rPr>
          <w:rFonts w:ascii="Times New Roman" w:hAnsi="Times New Roman" w:cs="Times New Roman"/>
          <w:sz w:val="24"/>
          <w:szCs w:val="24"/>
        </w:rPr>
        <w:t>fieldwork practices showed zero variability and a perfect mean (Mean = 4.00, SD = 0.00), indicating that all respondents practiced them</w:t>
      </w:r>
      <w:r w:rsidR="00A85A9E" w:rsidRPr="00A85A9E">
        <w:rPr>
          <w:rFonts w:ascii="Times New Roman" w:hAnsi="Times New Roman" w:cs="Times New Roman"/>
          <w:sz w:val="24"/>
          <w:szCs w:val="24"/>
        </w:rPr>
        <w:t xml:space="preserve">. There </w:t>
      </w:r>
      <w:r w:rsidR="00A85A9E">
        <w:rPr>
          <w:rFonts w:ascii="Times New Roman" w:hAnsi="Times New Roman" w:cs="Times New Roman"/>
          <w:sz w:val="24"/>
          <w:szCs w:val="24"/>
        </w:rPr>
        <w:t xml:space="preserve">were also high </w:t>
      </w:r>
      <w:r w:rsidR="00954CA1">
        <w:rPr>
          <w:rFonts w:ascii="Times New Roman" w:hAnsi="Times New Roman" w:cs="Times New Roman"/>
          <w:sz w:val="24"/>
          <w:szCs w:val="24"/>
        </w:rPr>
        <w:t>mean and median values of 4.00 for other forms of exercise: jogging (Mean = 3.95, SD = 0.38), aerobic exercise (Mean = 3.98, SD = 0.24), yoga asanas (Mean = 3.87, SD = 0.59), and</w:t>
      </w:r>
      <w:r w:rsidR="00954CA1" w:rsidRPr="00954CA1">
        <w:rPr>
          <w:rFonts w:ascii="Times New Roman" w:hAnsi="Times New Roman" w:cs="Times New Roman"/>
          <w:sz w:val="24"/>
          <w:szCs w:val="24"/>
        </w:rPr>
        <w:t xml:space="preserve"> moderate and slow walking. This means </w:t>
      </w:r>
      <w:r w:rsidR="00954CA1">
        <w:rPr>
          <w:rFonts w:ascii="Times New Roman" w:hAnsi="Times New Roman" w:cs="Times New Roman"/>
          <w:sz w:val="24"/>
          <w:szCs w:val="24"/>
        </w:rPr>
        <w:t>there is a lack of connection between actions: respondents continue their</w:t>
      </w:r>
      <w:r w:rsidR="00954CA1" w:rsidRPr="00954CA1">
        <w:rPr>
          <w:rFonts w:ascii="Times New Roman" w:hAnsi="Times New Roman" w:cs="Times New Roman"/>
          <w:sz w:val="24"/>
          <w:szCs w:val="24"/>
        </w:rPr>
        <w:t xml:space="preserve"> active routines even though they have limited theoretical knowledge.</w:t>
      </w:r>
    </w:p>
    <w:p w14:paraId="38C09518" w14:textId="0ECF5779" w:rsidR="00680C5B" w:rsidRPr="00680C5B" w:rsidRDefault="00954CA1" w:rsidP="005A1DF7">
      <w:pPr>
        <w:spacing w:line="360" w:lineRule="auto"/>
        <w:jc w:val="both"/>
        <w:rPr>
          <w:rFonts w:ascii="Times New Roman" w:hAnsi="Times New Roman" w:cs="Times New Roman"/>
          <w:sz w:val="24"/>
          <w:szCs w:val="24"/>
        </w:rPr>
      </w:pPr>
      <w:r w:rsidRPr="00954CA1">
        <w:rPr>
          <w:rFonts w:ascii="Times New Roman" w:hAnsi="Times New Roman" w:cs="Times New Roman"/>
          <w:sz w:val="24"/>
          <w:szCs w:val="24"/>
        </w:rPr>
        <w:t xml:space="preserve">This lack of integration between theory and practice </w:t>
      </w:r>
      <w:r>
        <w:rPr>
          <w:rFonts w:ascii="Times New Roman" w:hAnsi="Times New Roman" w:cs="Times New Roman"/>
          <w:sz w:val="24"/>
          <w:szCs w:val="24"/>
        </w:rPr>
        <w:t>aligns with findings from</w:t>
      </w:r>
      <w:r w:rsidRPr="00954CA1">
        <w:rPr>
          <w:rFonts w:ascii="Times New Roman" w:hAnsi="Times New Roman" w:cs="Times New Roman"/>
          <w:sz w:val="24"/>
          <w:szCs w:val="24"/>
        </w:rPr>
        <w:t xml:space="preserve"> the Knowledge, Attitude,</w:t>
      </w:r>
      <w:r w:rsidR="005858A1" w:rsidRPr="005858A1">
        <w:rPr>
          <w:rFonts w:ascii="Times New Roman" w:hAnsi="Times New Roman" w:cs="Times New Roman"/>
          <w:sz w:val="24"/>
          <w:szCs w:val="24"/>
        </w:rPr>
        <w:t xml:space="preserve"> Practice (KAP) literature. Indicatively, a recent </w:t>
      </w:r>
      <w:r w:rsidR="005858A1">
        <w:rPr>
          <w:rFonts w:ascii="Times New Roman" w:hAnsi="Times New Roman" w:cs="Times New Roman"/>
          <w:sz w:val="24"/>
          <w:szCs w:val="24"/>
        </w:rPr>
        <w:t xml:space="preserve">study among women found that 64 percent had poor knowledge of physical activity, although 72.2 percent practiced </w:t>
      </w:r>
      <w:r w:rsidR="003213C4">
        <w:rPr>
          <w:rFonts w:ascii="Times New Roman" w:hAnsi="Times New Roman" w:cs="Times New Roman"/>
          <w:sz w:val="24"/>
          <w:szCs w:val="24"/>
        </w:rPr>
        <w:t>moderate physical activity</w:t>
      </w:r>
      <w:r w:rsidR="005858A1">
        <w:rPr>
          <w:rFonts w:ascii="Times New Roman" w:hAnsi="Times New Roman" w:cs="Times New Roman"/>
          <w:sz w:val="24"/>
          <w:szCs w:val="24"/>
        </w:rPr>
        <w:t>, and</w:t>
      </w:r>
      <w:r w:rsidR="005858A1" w:rsidRPr="005858A1">
        <w:rPr>
          <w:rFonts w:ascii="Times New Roman" w:hAnsi="Times New Roman" w:cs="Times New Roman"/>
          <w:sz w:val="24"/>
          <w:szCs w:val="24"/>
        </w:rPr>
        <w:t xml:space="preserve"> attitude scores were positive.  This implies that the engagement of </w:t>
      </w:r>
      <w:proofErr w:type="spellStart"/>
      <w:r w:rsidR="005858A1" w:rsidRPr="005858A1">
        <w:rPr>
          <w:rFonts w:ascii="Times New Roman" w:hAnsi="Times New Roman" w:cs="Times New Roman"/>
          <w:sz w:val="24"/>
          <w:szCs w:val="24"/>
        </w:rPr>
        <w:t>behavior</w:t>
      </w:r>
      <w:proofErr w:type="spellEnd"/>
      <w:r w:rsidR="005858A1" w:rsidRPr="005858A1">
        <w:rPr>
          <w:rFonts w:ascii="Times New Roman" w:hAnsi="Times New Roman" w:cs="Times New Roman"/>
          <w:sz w:val="24"/>
          <w:szCs w:val="24"/>
        </w:rPr>
        <w:t xml:space="preserve"> may at times be supported by habit, social norm, or other motivational agents</w:t>
      </w:r>
      <w:r w:rsidR="00FE25C2">
        <w:rPr>
          <w:rFonts w:ascii="Times New Roman" w:hAnsi="Times New Roman" w:cs="Times New Roman"/>
          <w:sz w:val="24"/>
          <w:szCs w:val="24"/>
        </w:rPr>
        <w:t>,</w:t>
      </w:r>
      <w:r w:rsidR="005858A1" w:rsidRPr="005858A1">
        <w:rPr>
          <w:rFonts w:ascii="Times New Roman" w:hAnsi="Times New Roman" w:cs="Times New Roman"/>
          <w:sz w:val="24"/>
          <w:szCs w:val="24"/>
        </w:rPr>
        <w:t xml:space="preserve"> even without profound conceptual knowledge.</w:t>
      </w:r>
    </w:p>
    <w:p w14:paraId="4F248BB1" w14:textId="77777777" w:rsidR="00680C5B" w:rsidRPr="00680C5B" w:rsidRDefault="00680C5B" w:rsidP="005A1DF7">
      <w:pPr>
        <w:spacing w:line="360" w:lineRule="auto"/>
        <w:jc w:val="both"/>
        <w:rPr>
          <w:rFonts w:ascii="Times New Roman" w:hAnsi="Times New Roman" w:cs="Times New Roman"/>
          <w:b/>
          <w:bCs/>
          <w:sz w:val="24"/>
          <w:szCs w:val="24"/>
        </w:rPr>
      </w:pPr>
      <w:r w:rsidRPr="00680C5B">
        <w:rPr>
          <w:rFonts w:ascii="Times New Roman" w:hAnsi="Times New Roman" w:cs="Times New Roman"/>
          <w:b/>
          <w:bCs/>
          <w:sz w:val="24"/>
          <w:szCs w:val="24"/>
        </w:rPr>
        <w:t>Addictive Beverage Consumption</w:t>
      </w:r>
    </w:p>
    <w:p w14:paraId="480FD433" w14:textId="627E479A" w:rsidR="00680C5B" w:rsidRPr="00680C5B" w:rsidRDefault="00177B4B" w:rsidP="004D6B16">
      <w:pPr>
        <w:numPr>
          <w:ilvl w:val="0"/>
          <w:numId w:val="2"/>
        </w:numPr>
        <w:spacing w:line="360" w:lineRule="auto"/>
        <w:jc w:val="both"/>
        <w:rPr>
          <w:rFonts w:ascii="Times New Roman" w:hAnsi="Times New Roman" w:cs="Times New Roman"/>
          <w:sz w:val="24"/>
          <w:szCs w:val="24"/>
        </w:rPr>
      </w:pPr>
      <w:r w:rsidRPr="00177B4B">
        <w:rPr>
          <w:rFonts w:ascii="Times New Roman" w:hAnsi="Times New Roman" w:cs="Times New Roman"/>
          <w:sz w:val="24"/>
          <w:szCs w:val="24"/>
        </w:rPr>
        <w:t xml:space="preserve">The dependency on tea (Mean = 1.12, SD = 0.32) was lower than the dependency on coffee (Mean = 1.89, SD = 0.31), the dependency on energy drinks (Mean = 1.98, SD </w:t>
      </w:r>
      <w:r w:rsidRPr="00177B4B">
        <w:rPr>
          <w:rFonts w:ascii="Times New Roman" w:hAnsi="Times New Roman" w:cs="Times New Roman"/>
          <w:sz w:val="24"/>
          <w:szCs w:val="24"/>
        </w:rPr>
        <w:lastRenderedPageBreak/>
        <w:t>= 0.15) and the dependency on carbonated drinks (Mean = 1.96, SD = 0.20)</w:t>
      </w:r>
      <w:r w:rsidR="00D3089A" w:rsidRPr="00D3089A">
        <w:rPr>
          <w:rFonts w:ascii="Times New Roman" w:hAnsi="Times New Roman" w:cs="Times New Roman"/>
          <w:sz w:val="24"/>
          <w:szCs w:val="24"/>
        </w:rPr>
        <w:t>. Overall, these data indicate high consumption of both caffeinated and carbonated beverages</w:t>
      </w:r>
      <w:r w:rsidR="00156376">
        <w:rPr>
          <w:rFonts w:ascii="Times New Roman" w:hAnsi="Times New Roman" w:cs="Times New Roman"/>
          <w:sz w:val="24"/>
          <w:szCs w:val="24"/>
        </w:rPr>
        <w:t>,</w:t>
      </w:r>
      <w:r w:rsidR="00D3089A" w:rsidRPr="00D3089A">
        <w:rPr>
          <w:rFonts w:ascii="Times New Roman" w:hAnsi="Times New Roman" w:cs="Times New Roman"/>
          <w:sz w:val="24"/>
          <w:szCs w:val="24"/>
        </w:rPr>
        <w:t xml:space="preserve"> consistent with international </w:t>
      </w:r>
      <w:r w:rsidR="00E740EC">
        <w:rPr>
          <w:rFonts w:ascii="Times New Roman" w:hAnsi="Times New Roman" w:cs="Times New Roman"/>
          <w:sz w:val="24"/>
          <w:szCs w:val="24"/>
        </w:rPr>
        <w:t xml:space="preserve">trends in beverage consumption and concerns about </w:t>
      </w:r>
      <w:r w:rsidR="00D3089A" w:rsidRPr="00D3089A">
        <w:rPr>
          <w:rFonts w:ascii="Times New Roman" w:hAnsi="Times New Roman" w:cs="Times New Roman"/>
          <w:sz w:val="24"/>
          <w:szCs w:val="24"/>
        </w:rPr>
        <w:t xml:space="preserve">sugary </w:t>
      </w:r>
      <w:r w:rsidR="00E740EC">
        <w:rPr>
          <w:rFonts w:ascii="Times New Roman" w:hAnsi="Times New Roman" w:cs="Times New Roman"/>
          <w:sz w:val="24"/>
          <w:szCs w:val="24"/>
        </w:rPr>
        <w:t>drinks</w:t>
      </w:r>
      <w:r w:rsidR="00680C5B" w:rsidRPr="00680C5B">
        <w:rPr>
          <w:rFonts w:ascii="Times New Roman" w:hAnsi="Times New Roman" w:cs="Times New Roman"/>
          <w:sz w:val="24"/>
          <w:szCs w:val="24"/>
        </w:rPr>
        <w:t>.</w:t>
      </w:r>
    </w:p>
    <w:p w14:paraId="224C8CA2" w14:textId="38CF6FF2" w:rsidR="00680C5B" w:rsidRPr="00680C5B" w:rsidRDefault="003006C5" w:rsidP="004D6B16">
      <w:pPr>
        <w:numPr>
          <w:ilvl w:val="0"/>
          <w:numId w:val="2"/>
        </w:numPr>
        <w:spacing w:line="360" w:lineRule="auto"/>
        <w:jc w:val="both"/>
        <w:rPr>
          <w:rFonts w:ascii="Times New Roman" w:hAnsi="Times New Roman" w:cs="Times New Roman"/>
          <w:sz w:val="24"/>
          <w:szCs w:val="24"/>
        </w:rPr>
      </w:pPr>
      <w:r w:rsidRPr="003006C5">
        <w:rPr>
          <w:rFonts w:ascii="Times New Roman" w:hAnsi="Times New Roman" w:cs="Times New Roman"/>
          <w:sz w:val="24"/>
          <w:szCs w:val="24"/>
        </w:rPr>
        <w:t xml:space="preserve">The comparison of </w:t>
      </w:r>
      <w:r>
        <w:rPr>
          <w:rFonts w:ascii="Times New Roman" w:hAnsi="Times New Roman" w:cs="Times New Roman"/>
          <w:sz w:val="24"/>
          <w:szCs w:val="24"/>
        </w:rPr>
        <w:t xml:space="preserve">the consumption of energy and carbonated beverages with other food products is stupendous, as there are relationships between the </w:t>
      </w:r>
      <w:r w:rsidRPr="003006C5">
        <w:rPr>
          <w:rFonts w:ascii="Times New Roman" w:hAnsi="Times New Roman" w:cs="Times New Roman"/>
          <w:sz w:val="24"/>
          <w:szCs w:val="24"/>
        </w:rPr>
        <w:t xml:space="preserve">consumption of beverages sweetened with sugar and the likelihood of acquiring metabolic diseases. The health outcomes </w:t>
      </w:r>
      <w:r>
        <w:rPr>
          <w:rFonts w:ascii="Times New Roman" w:hAnsi="Times New Roman" w:cs="Times New Roman"/>
          <w:sz w:val="24"/>
          <w:szCs w:val="24"/>
        </w:rPr>
        <w:t xml:space="preserve">in your table do not reflect the actual health effects; however, the literature demonstrates that frequent use of sodas and energy drinks is associated with </w:t>
      </w:r>
      <w:r w:rsidRPr="003006C5">
        <w:rPr>
          <w:rFonts w:ascii="Times New Roman" w:hAnsi="Times New Roman" w:cs="Times New Roman"/>
          <w:sz w:val="24"/>
          <w:szCs w:val="24"/>
        </w:rPr>
        <w:t>obesity</w:t>
      </w:r>
      <w:r w:rsidR="00135A63" w:rsidRPr="00135A63">
        <w:rPr>
          <w:rFonts w:ascii="Times New Roman" w:hAnsi="Times New Roman" w:cs="Times New Roman"/>
          <w:sz w:val="24"/>
          <w:szCs w:val="24"/>
        </w:rPr>
        <w:t>, insulin resistance, and other cardiometabolic risks.</w:t>
      </w:r>
    </w:p>
    <w:p w14:paraId="6DBBF01A" w14:textId="77777777" w:rsidR="00680C5B" w:rsidRPr="00680C5B" w:rsidRDefault="00680C5B" w:rsidP="005A1DF7">
      <w:pPr>
        <w:spacing w:line="360" w:lineRule="auto"/>
        <w:jc w:val="both"/>
        <w:rPr>
          <w:rFonts w:ascii="Times New Roman" w:hAnsi="Times New Roman" w:cs="Times New Roman"/>
          <w:b/>
          <w:bCs/>
          <w:sz w:val="24"/>
          <w:szCs w:val="24"/>
        </w:rPr>
      </w:pPr>
      <w:r w:rsidRPr="00680C5B">
        <w:rPr>
          <w:rFonts w:ascii="Times New Roman" w:hAnsi="Times New Roman" w:cs="Times New Roman"/>
          <w:b/>
          <w:bCs/>
          <w:sz w:val="24"/>
          <w:szCs w:val="24"/>
        </w:rPr>
        <w:t>Nutritional Awareness and Lifestyle Knowledge</w:t>
      </w:r>
    </w:p>
    <w:p w14:paraId="7FD5483A" w14:textId="77777777" w:rsidR="00DA334A" w:rsidRPr="00DA334A" w:rsidRDefault="00DA334A" w:rsidP="00DA334A">
      <w:pPr>
        <w:numPr>
          <w:ilvl w:val="0"/>
          <w:numId w:val="3"/>
        </w:numPr>
        <w:spacing w:line="360" w:lineRule="auto"/>
        <w:jc w:val="both"/>
        <w:rPr>
          <w:rFonts w:ascii="Times New Roman" w:hAnsi="Times New Roman" w:cs="Times New Roman"/>
          <w:sz w:val="24"/>
          <w:szCs w:val="24"/>
        </w:rPr>
      </w:pPr>
      <w:r w:rsidRPr="00DA334A">
        <w:rPr>
          <w:rFonts w:ascii="Times New Roman" w:hAnsi="Times New Roman" w:cs="Times New Roman"/>
          <w:sz w:val="24"/>
          <w:szCs w:val="24"/>
        </w:rPr>
        <w:t>Nutrition and Healthy Lifestyle Knowledge: The average score (SD) of nutrition is 1.69 (SD = 0.46), whereas healthy lifestyle is 1.87 (SD = 0.33), which indicates the average awareness.</w:t>
      </w:r>
    </w:p>
    <w:p w14:paraId="66D6235D" w14:textId="1312B2EF" w:rsidR="00680C5B" w:rsidRPr="00680C5B" w:rsidRDefault="00DA334A" w:rsidP="00DA334A">
      <w:pPr>
        <w:numPr>
          <w:ilvl w:val="0"/>
          <w:numId w:val="3"/>
        </w:numPr>
        <w:spacing w:line="360" w:lineRule="auto"/>
        <w:jc w:val="both"/>
        <w:rPr>
          <w:rFonts w:ascii="Times New Roman" w:hAnsi="Times New Roman" w:cs="Times New Roman"/>
          <w:sz w:val="24"/>
          <w:szCs w:val="24"/>
        </w:rPr>
      </w:pPr>
      <w:r w:rsidRPr="00DA334A">
        <w:rPr>
          <w:rFonts w:ascii="Times New Roman" w:hAnsi="Times New Roman" w:cs="Times New Roman"/>
          <w:sz w:val="24"/>
          <w:szCs w:val="24"/>
        </w:rPr>
        <w:t>Knowledge of Glucose and Real Blood Glucose Monitoring: Awareness of blood glucose levels</w:t>
      </w:r>
      <w:r w:rsidR="007070C3">
        <w:rPr>
          <w:rFonts w:ascii="Times New Roman" w:hAnsi="Times New Roman" w:cs="Times New Roman"/>
          <w:sz w:val="24"/>
          <w:szCs w:val="24"/>
        </w:rPr>
        <w:t>, with a mean of 1.83 (SD = 0.37), was low compared to the real blood glucose monitoring,</w:t>
      </w:r>
      <w:r w:rsidRPr="00DA334A">
        <w:rPr>
          <w:rFonts w:ascii="Times New Roman" w:hAnsi="Times New Roman" w:cs="Times New Roman"/>
          <w:sz w:val="24"/>
          <w:szCs w:val="24"/>
        </w:rPr>
        <w:t xml:space="preserve"> which had a low mean of 1.23 (SD = 0.42), a difference between the theory and the actual </w:t>
      </w:r>
      <w:proofErr w:type="spellStart"/>
      <w:r w:rsidRPr="00DA334A">
        <w:rPr>
          <w:rFonts w:ascii="Times New Roman" w:hAnsi="Times New Roman" w:cs="Times New Roman"/>
          <w:sz w:val="24"/>
          <w:szCs w:val="24"/>
        </w:rPr>
        <w:t>behavior</w:t>
      </w:r>
      <w:proofErr w:type="spellEnd"/>
      <w:r w:rsidR="00680C5B" w:rsidRPr="00680C5B">
        <w:rPr>
          <w:rFonts w:ascii="Times New Roman" w:hAnsi="Times New Roman" w:cs="Times New Roman"/>
          <w:sz w:val="24"/>
          <w:szCs w:val="24"/>
        </w:rPr>
        <w:t>.</w:t>
      </w:r>
    </w:p>
    <w:p w14:paraId="401790BC" w14:textId="4C1D6962" w:rsidR="00680C5B" w:rsidRPr="00680C5B" w:rsidRDefault="00680C5B" w:rsidP="0075171F">
      <w:pPr>
        <w:spacing w:line="360" w:lineRule="auto"/>
        <w:jc w:val="both"/>
        <w:rPr>
          <w:rFonts w:ascii="Times New Roman" w:hAnsi="Times New Roman" w:cs="Times New Roman"/>
          <w:sz w:val="24"/>
          <w:szCs w:val="24"/>
        </w:rPr>
      </w:pPr>
      <w:r w:rsidRPr="00680C5B">
        <w:rPr>
          <w:rFonts w:ascii="Times New Roman" w:hAnsi="Times New Roman" w:cs="Times New Roman"/>
          <w:b/>
          <w:bCs/>
          <w:sz w:val="24"/>
          <w:szCs w:val="24"/>
        </w:rPr>
        <w:t>Meal Intervals &amp; Daily Meals</w:t>
      </w:r>
      <w:r w:rsidRPr="00680C5B">
        <w:rPr>
          <w:rFonts w:ascii="Times New Roman" w:hAnsi="Times New Roman" w:cs="Times New Roman"/>
          <w:sz w:val="24"/>
          <w:szCs w:val="24"/>
        </w:rPr>
        <w:t xml:space="preserve">: Knowledge </w:t>
      </w:r>
      <w:r w:rsidR="00A84F1A">
        <w:rPr>
          <w:rFonts w:ascii="Times New Roman" w:hAnsi="Times New Roman" w:cs="Times New Roman"/>
          <w:sz w:val="24"/>
          <w:szCs w:val="24"/>
        </w:rPr>
        <w:t>of meal intervals</w:t>
      </w:r>
      <w:r w:rsidRPr="00680C5B">
        <w:rPr>
          <w:rFonts w:ascii="Times New Roman" w:hAnsi="Times New Roman" w:cs="Times New Roman"/>
          <w:sz w:val="24"/>
          <w:szCs w:val="24"/>
        </w:rPr>
        <w:t xml:space="preserve"> (Mean = 1.51, SD = 0.50) is low, while the average number of meals per day is 2.50 (SD = 0.52). The distribution suggests </w:t>
      </w:r>
      <w:r w:rsidR="00E740EC">
        <w:rPr>
          <w:rFonts w:ascii="Times New Roman" w:hAnsi="Times New Roman" w:cs="Times New Roman"/>
          <w:sz w:val="24"/>
          <w:szCs w:val="24"/>
        </w:rPr>
        <w:t>that most respondents consume 2–3 meals per day</w:t>
      </w:r>
      <w:r w:rsidRPr="00680C5B">
        <w:rPr>
          <w:rFonts w:ascii="Times New Roman" w:hAnsi="Times New Roman" w:cs="Times New Roman"/>
          <w:sz w:val="24"/>
          <w:szCs w:val="24"/>
        </w:rPr>
        <w:t>.</w:t>
      </w:r>
    </w:p>
    <w:p w14:paraId="2749B2B2" w14:textId="4525459C" w:rsidR="00445459" w:rsidRPr="00445459" w:rsidRDefault="0088560C" w:rsidP="00445459">
      <w:pPr>
        <w:spacing w:line="360" w:lineRule="auto"/>
        <w:jc w:val="both"/>
        <w:rPr>
          <w:rFonts w:ascii="Times New Roman" w:hAnsi="Times New Roman" w:cs="Times New Roman"/>
          <w:sz w:val="24"/>
          <w:szCs w:val="24"/>
        </w:rPr>
      </w:pPr>
      <w:r w:rsidRPr="0088560C">
        <w:rPr>
          <w:rFonts w:ascii="Times New Roman" w:hAnsi="Times New Roman" w:cs="Times New Roman"/>
          <w:sz w:val="24"/>
          <w:szCs w:val="24"/>
        </w:rPr>
        <w:t xml:space="preserve">These findings are </w:t>
      </w:r>
      <w:r>
        <w:rPr>
          <w:rFonts w:ascii="Times New Roman" w:hAnsi="Times New Roman" w:cs="Times New Roman"/>
          <w:sz w:val="24"/>
          <w:szCs w:val="24"/>
        </w:rPr>
        <w:t>consistent with the available literature on meal timing and frequency</w:t>
      </w:r>
      <w:r w:rsidRPr="0088560C">
        <w:rPr>
          <w:rFonts w:ascii="Times New Roman" w:hAnsi="Times New Roman" w:cs="Times New Roman"/>
          <w:sz w:val="24"/>
          <w:szCs w:val="24"/>
        </w:rPr>
        <w:t xml:space="preserve">. It is important to note that abnormal or missed eating schedules are linked with undesirable cardiometabolic consequences. St-Onge et al. (2017) note the significance of </w:t>
      </w:r>
      <w:r>
        <w:rPr>
          <w:rFonts w:ascii="Times New Roman" w:hAnsi="Times New Roman" w:cs="Times New Roman"/>
          <w:sz w:val="24"/>
          <w:szCs w:val="24"/>
        </w:rPr>
        <w:t>meal frequency and timing as an illustrative example of maintaining metabolic homeostasis</w:t>
      </w:r>
      <w:r w:rsidRPr="0088560C">
        <w:rPr>
          <w:rFonts w:ascii="Times New Roman" w:hAnsi="Times New Roman" w:cs="Times New Roman"/>
          <w:sz w:val="24"/>
          <w:szCs w:val="24"/>
        </w:rPr>
        <w:t>.</w:t>
      </w:r>
      <w:r w:rsidR="00445459" w:rsidRPr="00445459">
        <w:rPr>
          <w:rFonts w:ascii="Times New Roman" w:hAnsi="Times New Roman" w:cs="Times New Roman"/>
          <w:sz w:val="24"/>
          <w:szCs w:val="24"/>
        </w:rPr>
        <w:t xml:space="preserve"> </w:t>
      </w:r>
    </w:p>
    <w:p w14:paraId="515912D5" w14:textId="0577D790" w:rsidR="00445459" w:rsidRPr="0075171F" w:rsidRDefault="00445459" w:rsidP="00445459">
      <w:pPr>
        <w:spacing w:line="360" w:lineRule="auto"/>
        <w:jc w:val="both"/>
        <w:rPr>
          <w:rFonts w:ascii="Times New Roman" w:hAnsi="Times New Roman" w:cs="Times New Roman"/>
          <w:b/>
          <w:bCs/>
          <w:sz w:val="24"/>
          <w:szCs w:val="24"/>
        </w:rPr>
      </w:pPr>
      <w:r w:rsidRPr="0075171F">
        <w:rPr>
          <w:rFonts w:ascii="Times New Roman" w:hAnsi="Times New Roman" w:cs="Times New Roman"/>
          <w:b/>
          <w:bCs/>
          <w:sz w:val="24"/>
          <w:szCs w:val="24"/>
        </w:rPr>
        <w:t>Stress, Sleep</w:t>
      </w:r>
      <w:r w:rsidR="00D03DFC" w:rsidRPr="0075171F">
        <w:rPr>
          <w:rFonts w:ascii="Times New Roman" w:hAnsi="Times New Roman" w:cs="Times New Roman"/>
          <w:b/>
          <w:bCs/>
          <w:sz w:val="24"/>
          <w:szCs w:val="24"/>
        </w:rPr>
        <w:t>,</w:t>
      </w:r>
      <w:r w:rsidRPr="0075171F">
        <w:rPr>
          <w:rFonts w:ascii="Times New Roman" w:hAnsi="Times New Roman" w:cs="Times New Roman"/>
          <w:b/>
          <w:bCs/>
          <w:sz w:val="24"/>
          <w:szCs w:val="24"/>
        </w:rPr>
        <w:t xml:space="preserve"> and Activity Frequency</w:t>
      </w:r>
    </w:p>
    <w:p w14:paraId="613449BF" w14:textId="4380B5E1" w:rsidR="00445459" w:rsidRPr="00445459" w:rsidRDefault="00445459" w:rsidP="00445459">
      <w:pPr>
        <w:spacing w:line="360" w:lineRule="auto"/>
        <w:jc w:val="both"/>
        <w:rPr>
          <w:rFonts w:ascii="Times New Roman" w:hAnsi="Times New Roman" w:cs="Times New Roman"/>
          <w:sz w:val="24"/>
          <w:szCs w:val="24"/>
        </w:rPr>
      </w:pPr>
      <w:r w:rsidRPr="00445459">
        <w:rPr>
          <w:rFonts w:ascii="Times New Roman" w:hAnsi="Times New Roman" w:cs="Times New Roman"/>
          <w:sz w:val="24"/>
          <w:szCs w:val="24"/>
        </w:rPr>
        <w:t>Physical Activity Frequency per Week: Mean = 3.46, Median = 4.00, SD = 0.94</w:t>
      </w:r>
      <w:r w:rsidR="00D03DFC">
        <w:rPr>
          <w:rFonts w:ascii="Times New Roman" w:hAnsi="Times New Roman" w:cs="Times New Roman"/>
          <w:sz w:val="24"/>
          <w:szCs w:val="24"/>
        </w:rPr>
        <w:t>,</w:t>
      </w:r>
      <w:r w:rsidRPr="00445459">
        <w:rPr>
          <w:rFonts w:ascii="Times New Roman" w:hAnsi="Times New Roman" w:cs="Times New Roman"/>
          <w:sz w:val="24"/>
          <w:szCs w:val="24"/>
        </w:rPr>
        <w:t xml:space="preserve"> indicating that </w:t>
      </w:r>
      <w:r w:rsidR="00E740EC">
        <w:rPr>
          <w:rFonts w:ascii="Times New Roman" w:hAnsi="Times New Roman" w:cs="Times New Roman"/>
          <w:sz w:val="24"/>
          <w:szCs w:val="24"/>
        </w:rPr>
        <w:t>participants engage in physical activity three to</w:t>
      </w:r>
      <w:r w:rsidRPr="00445459">
        <w:rPr>
          <w:rFonts w:ascii="Times New Roman" w:hAnsi="Times New Roman" w:cs="Times New Roman"/>
          <w:sz w:val="24"/>
          <w:szCs w:val="24"/>
        </w:rPr>
        <w:t xml:space="preserve"> four times a week.</w:t>
      </w:r>
    </w:p>
    <w:p w14:paraId="2DFE1275" w14:textId="2BDE829C" w:rsidR="00445459" w:rsidRPr="00445459" w:rsidRDefault="00445459" w:rsidP="00445459">
      <w:pPr>
        <w:spacing w:line="360" w:lineRule="auto"/>
        <w:jc w:val="both"/>
        <w:rPr>
          <w:rFonts w:ascii="Times New Roman" w:hAnsi="Times New Roman" w:cs="Times New Roman"/>
          <w:sz w:val="24"/>
          <w:szCs w:val="24"/>
        </w:rPr>
      </w:pPr>
      <w:r w:rsidRPr="00445459">
        <w:rPr>
          <w:rFonts w:ascii="Times New Roman" w:hAnsi="Times New Roman" w:cs="Times New Roman"/>
          <w:sz w:val="24"/>
          <w:szCs w:val="24"/>
        </w:rPr>
        <w:lastRenderedPageBreak/>
        <w:t xml:space="preserve">Stress Variables: </w:t>
      </w:r>
      <w:r w:rsidR="00E740EC">
        <w:rPr>
          <w:rFonts w:ascii="Times New Roman" w:hAnsi="Times New Roman" w:cs="Times New Roman"/>
          <w:sz w:val="24"/>
          <w:szCs w:val="24"/>
        </w:rPr>
        <w:t xml:space="preserve">The frequency of stress was low </w:t>
      </w:r>
      <w:r w:rsidRPr="00445459">
        <w:rPr>
          <w:rFonts w:ascii="Times New Roman" w:hAnsi="Times New Roman" w:cs="Times New Roman"/>
          <w:sz w:val="24"/>
          <w:szCs w:val="24"/>
        </w:rPr>
        <w:t xml:space="preserve">(Mean = 1.64, SD = 0.48). Nevertheless, </w:t>
      </w:r>
      <w:r w:rsidR="00A84F1A">
        <w:rPr>
          <w:rFonts w:ascii="Times New Roman" w:hAnsi="Times New Roman" w:cs="Times New Roman"/>
          <w:sz w:val="24"/>
          <w:szCs w:val="24"/>
        </w:rPr>
        <w:t>the causes of stress had a larger mean (2.65) and a significant standard deviation (SD = 1.66), indicating</w:t>
      </w:r>
      <w:r w:rsidR="00D03DFC">
        <w:rPr>
          <w:rFonts w:ascii="Times New Roman" w:hAnsi="Times New Roman" w:cs="Times New Roman"/>
          <w:sz w:val="24"/>
          <w:szCs w:val="24"/>
        </w:rPr>
        <w:t xml:space="preserve"> that stress causes</w:t>
      </w:r>
      <w:r w:rsidRPr="00445459">
        <w:rPr>
          <w:rFonts w:ascii="Times New Roman" w:hAnsi="Times New Roman" w:cs="Times New Roman"/>
          <w:sz w:val="24"/>
          <w:szCs w:val="24"/>
        </w:rPr>
        <w:t xml:space="preserve"> vary among people.</w:t>
      </w:r>
    </w:p>
    <w:p w14:paraId="382DF914" w14:textId="05879EB0" w:rsidR="00680C5B" w:rsidRPr="00680C5B" w:rsidRDefault="00445459" w:rsidP="00445459">
      <w:pPr>
        <w:spacing w:line="360" w:lineRule="auto"/>
        <w:jc w:val="both"/>
        <w:rPr>
          <w:rFonts w:ascii="Times New Roman" w:hAnsi="Times New Roman" w:cs="Times New Roman"/>
          <w:sz w:val="24"/>
          <w:szCs w:val="24"/>
        </w:rPr>
      </w:pPr>
      <w:r w:rsidRPr="00445459">
        <w:rPr>
          <w:rFonts w:ascii="Times New Roman" w:hAnsi="Times New Roman" w:cs="Times New Roman"/>
          <w:sz w:val="24"/>
          <w:szCs w:val="24"/>
        </w:rPr>
        <w:t xml:space="preserve">Sleep </w:t>
      </w:r>
      <w:r w:rsidR="0003729F">
        <w:rPr>
          <w:rFonts w:ascii="Times New Roman" w:hAnsi="Times New Roman" w:cs="Times New Roman"/>
          <w:sz w:val="24"/>
          <w:szCs w:val="24"/>
        </w:rPr>
        <w:t>duration</w:t>
      </w:r>
      <w:r w:rsidRPr="00445459">
        <w:rPr>
          <w:rFonts w:ascii="Times New Roman" w:hAnsi="Times New Roman" w:cs="Times New Roman"/>
          <w:sz w:val="24"/>
          <w:szCs w:val="24"/>
        </w:rPr>
        <w:t xml:space="preserve">: </w:t>
      </w:r>
      <w:r w:rsidR="003B69FE" w:rsidRPr="003B69FE">
        <w:rPr>
          <w:rFonts w:ascii="Times New Roman" w:hAnsi="Times New Roman" w:cs="Times New Roman"/>
          <w:sz w:val="24"/>
          <w:szCs w:val="24"/>
        </w:rPr>
        <w:t>Mean Nap time was 2.51 (SD = 1.06)</w:t>
      </w:r>
      <w:r w:rsidR="00673AE5">
        <w:rPr>
          <w:rFonts w:ascii="Times New Roman" w:hAnsi="Times New Roman" w:cs="Times New Roman"/>
          <w:sz w:val="24"/>
          <w:szCs w:val="24"/>
        </w:rPr>
        <w:t>,</w:t>
      </w:r>
      <w:r w:rsidR="003B69FE" w:rsidRPr="003B69FE">
        <w:rPr>
          <w:rFonts w:ascii="Times New Roman" w:hAnsi="Times New Roman" w:cs="Times New Roman"/>
          <w:sz w:val="24"/>
          <w:szCs w:val="24"/>
        </w:rPr>
        <w:t xml:space="preserve"> and mean daily sleep time was 1.54 (SD = 0.95). Sensitivity </w:t>
      </w:r>
      <w:r w:rsidR="00673AE5">
        <w:rPr>
          <w:rFonts w:ascii="Times New Roman" w:hAnsi="Times New Roman" w:cs="Times New Roman"/>
          <w:sz w:val="24"/>
          <w:szCs w:val="24"/>
        </w:rPr>
        <w:t xml:space="preserve">to sleep patterns was </w:t>
      </w:r>
      <w:r w:rsidR="00233E0C">
        <w:rPr>
          <w:rFonts w:ascii="Times New Roman" w:hAnsi="Times New Roman" w:cs="Times New Roman"/>
          <w:sz w:val="24"/>
          <w:szCs w:val="24"/>
        </w:rPr>
        <w:t>highly variable (SD = 1.69), suggesting that knowledge or perceptions of healthy sleep vary</w:t>
      </w:r>
      <w:r w:rsidR="003B69FE" w:rsidRPr="003B69FE">
        <w:rPr>
          <w:rFonts w:ascii="Times New Roman" w:hAnsi="Times New Roman" w:cs="Times New Roman"/>
          <w:sz w:val="24"/>
          <w:szCs w:val="24"/>
        </w:rPr>
        <w:t xml:space="preserve">. These findings about sleep </w:t>
      </w:r>
      <w:r w:rsidR="00673AE5">
        <w:rPr>
          <w:rFonts w:ascii="Times New Roman" w:hAnsi="Times New Roman" w:cs="Times New Roman"/>
          <w:sz w:val="24"/>
          <w:szCs w:val="24"/>
        </w:rPr>
        <w:t>align with the broader story that most people are not accurately informed about optimal sleep time and may practice non-optimal sleep patterns, an area of concern well documented</w:t>
      </w:r>
      <w:r w:rsidR="003B69FE" w:rsidRPr="003B69FE">
        <w:rPr>
          <w:rFonts w:ascii="Times New Roman" w:hAnsi="Times New Roman" w:cs="Times New Roman"/>
          <w:sz w:val="24"/>
          <w:szCs w:val="24"/>
        </w:rPr>
        <w:t xml:space="preserve"> in the sleep health literature.</w:t>
      </w:r>
    </w:p>
    <w:p w14:paraId="56B954FF" w14:textId="77777777" w:rsidR="00680C5B" w:rsidRPr="00680C5B" w:rsidRDefault="00680C5B" w:rsidP="005A1DF7">
      <w:pPr>
        <w:spacing w:line="360" w:lineRule="auto"/>
        <w:jc w:val="both"/>
        <w:rPr>
          <w:rFonts w:ascii="Times New Roman" w:hAnsi="Times New Roman" w:cs="Times New Roman"/>
          <w:b/>
          <w:bCs/>
          <w:sz w:val="24"/>
          <w:szCs w:val="24"/>
        </w:rPr>
      </w:pPr>
      <w:r w:rsidRPr="00680C5B">
        <w:rPr>
          <w:rFonts w:ascii="Times New Roman" w:hAnsi="Times New Roman" w:cs="Times New Roman"/>
          <w:b/>
          <w:bCs/>
          <w:sz w:val="24"/>
          <w:szCs w:val="24"/>
        </w:rPr>
        <w:t>Dietary Habits and Eating-Out Frequency</w:t>
      </w:r>
    </w:p>
    <w:p w14:paraId="1EFEA796" w14:textId="4DD6965C" w:rsidR="00680C5B" w:rsidRPr="00680C5B" w:rsidRDefault="00680C5B" w:rsidP="004D6B16">
      <w:pPr>
        <w:numPr>
          <w:ilvl w:val="0"/>
          <w:numId w:val="5"/>
        </w:numPr>
        <w:spacing w:line="360" w:lineRule="auto"/>
        <w:jc w:val="both"/>
        <w:rPr>
          <w:rFonts w:ascii="Times New Roman" w:hAnsi="Times New Roman" w:cs="Times New Roman"/>
          <w:sz w:val="24"/>
          <w:szCs w:val="24"/>
        </w:rPr>
      </w:pPr>
      <w:r w:rsidRPr="00680C5B">
        <w:rPr>
          <w:rFonts w:ascii="Times New Roman" w:hAnsi="Times New Roman" w:cs="Times New Roman"/>
          <w:b/>
          <w:bCs/>
          <w:sz w:val="24"/>
          <w:szCs w:val="24"/>
        </w:rPr>
        <w:t>Frequency of Eating Outside</w:t>
      </w:r>
      <w:r w:rsidRPr="00680C5B">
        <w:rPr>
          <w:rFonts w:ascii="Times New Roman" w:hAnsi="Times New Roman" w:cs="Times New Roman"/>
          <w:sz w:val="24"/>
          <w:szCs w:val="24"/>
        </w:rPr>
        <w:t xml:space="preserve">: The mean is 4.41 (Median = 5.00, SD = 0.75), indicating that many participants </w:t>
      </w:r>
      <w:r w:rsidR="00696D80" w:rsidRPr="00131BBC">
        <w:rPr>
          <w:rFonts w:ascii="Times New Roman" w:hAnsi="Times New Roman" w:cs="Times New Roman"/>
          <w:sz w:val="24"/>
          <w:szCs w:val="24"/>
        </w:rPr>
        <w:t>eat meals outside the home monthly</w:t>
      </w:r>
      <w:r w:rsidRPr="00680C5B">
        <w:rPr>
          <w:rFonts w:ascii="Times New Roman" w:hAnsi="Times New Roman" w:cs="Times New Roman"/>
          <w:sz w:val="24"/>
          <w:szCs w:val="24"/>
        </w:rPr>
        <w:t>.</w:t>
      </w:r>
    </w:p>
    <w:p w14:paraId="698007FD" w14:textId="26BDE0AC" w:rsidR="00D03DFC" w:rsidRPr="00D03DFC" w:rsidRDefault="00680C5B" w:rsidP="00D03DFC">
      <w:pPr>
        <w:numPr>
          <w:ilvl w:val="0"/>
          <w:numId w:val="5"/>
        </w:numPr>
        <w:spacing w:line="360" w:lineRule="auto"/>
        <w:jc w:val="both"/>
        <w:rPr>
          <w:rFonts w:ascii="Times New Roman" w:hAnsi="Times New Roman" w:cs="Times New Roman"/>
          <w:sz w:val="24"/>
          <w:szCs w:val="24"/>
        </w:rPr>
      </w:pPr>
      <w:r w:rsidRPr="00680C5B">
        <w:rPr>
          <w:rFonts w:ascii="Times New Roman" w:hAnsi="Times New Roman" w:cs="Times New Roman"/>
          <w:sz w:val="24"/>
          <w:szCs w:val="24"/>
        </w:rPr>
        <w:t>Extensive evidence links frequent out-of-home eating (often termed “eating out” or “food away from home”) to poorer diet quality—</w:t>
      </w:r>
      <w:r w:rsidR="00D03DFC" w:rsidRPr="00D03DFC">
        <w:rPr>
          <w:rFonts w:ascii="Times New Roman" w:hAnsi="Times New Roman" w:cs="Times New Roman"/>
          <w:sz w:val="24"/>
          <w:szCs w:val="24"/>
        </w:rPr>
        <w:t>• increased energy density, saturated fats, sugars</w:t>
      </w:r>
      <w:r w:rsidR="00D03DFC">
        <w:rPr>
          <w:rFonts w:ascii="Times New Roman" w:hAnsi="Times New Roman" w:cs="Times New Roman"/>
          <w:sz w:val="24"/>
          <w:szCs w:val="24"/>
        </w:rPr>
        <w:t xml:space="preserve">, and sodium / reduced consumption of fruits, vegetables, </w:t>
      </w:r>
      <w:proofErr w:type="spellStart"/>
      <w:r w:rsidR="00D03DFC">
        <w:rPr>
          <w:rFonts w:ascii="Times New Roman" w:hAnsi="Times New Roman" w:cs="Times New Roman"/>
          <w:sz w:val="24"/>
          <w:szCs w:val="24"/>
        </w:rPr>
        <w:t>fiber</w:t>
      </w:r>
      <w:proofErr w:type="spellEnd"/>
      <w:r w:rsidR="00D03DFC">
        <w:rPr>
          <w:rFonts w:ascii="Times New Roman" w:hAnsi="Times New Roman" w:cs="Times New Roman"/>
          <w:sz w:val="24"/>
          <w:szCs w:val="24"/>
        </w:rPr>
        <w:t>,</w:t>
      </w:r>
      <w:r w:rsidR="00D03DFC" w:rsidRPr="00D03DFC">
        <w:rPr>
          <w:rFonts w:ascii="Times New Roman" w:hAnsi="Times New Roman" w:cs="Times New Roman"/>
          <w:sz w:val="24"/>
          <w:szCs w:val="24"/>
        </w:rPr>
        <w:t xml:space="preserve"> and micronutrients. </w:t>
      </w:r>
    </w:p>
    <w:p w14:paraId="4BE10463" w14:textId="77777777" w:rsidR="00FA1992" w:rsidRDefault="00D03DFC" w:rsidP="00FA1992">
      <w:pPr>
        <w:numPr>
          <w:ilvl w:val="0"/>
          <w:numId w:val="5"/>
        </w:numPr>
        <w:spacing w:line="360" w:lineRule="auto"/>
        <w:jc w:val="both"/>
        <w:rPr>
          <w:rFonts w:ascii="Times New Roman" w:hAnsi="Times New Roman" w:cs="Times New Roman"/>
          <w:sz w:val="24"/>
          <w:szCs w:val="24"/>
        </w:rPr>
      </w:pPr>
      <w:r w:rsidRPr="00D03DFC">
        <w:rPr>
          <w:rFonts w:ascii="Times New Roman" w:hAnsi="Times New Roman" w:cs="Times New Roman"/>
          <w:sz w:val="24"/>
          <w:szCs w:val="24"/>
        </w:rPr>
        <w:t>Also, as Du et al. (2021) discovered, an increased number of eating out of the home was associated with an increase in all-cause mortality risk.</w:t>
      </w:r>
    </w:p>
    <w:p w14:paraId="7550D7EB" w14:textId="2A0639B8" w:rsidR="00D03DFC" w:rsidRPr="00FA1992" w:rsidRDefault="00D03DFC" w:rsidP="00FA1992">
      <w:pPr>
        <w:numPr>
          <w:ilvl w:val="0"/>
          <w:numId w:val="5"/>
        </w:numPr>
        <w:spacing w:line="360" w:lineRule="auto"/>
        <w:jc w:val="both"/>
        <w:rPr>
          <w:rFonts w:ascii="Times New Roman" w:hAnsi="Times New Roman" w:cs="Times New Roman"/>
          <w:sz w:val="24"/>
          <w:szCs w:val="24"/>
        </w:rPr>
      </w:pPr>
      <w:r w:rsidRPr="00FA1992">
        <w:rPr>
          <w:rFonts w:ascii="Times New Roman" w:hAnsi="Times New Roman" w:cs="Times New Roman"/>
          <w:sz w:val="24"/>
          <w:szCs w:val="24"/>
        </w:rPr>
        <w:t xml:space="preserve">In a narrative review, </w:t>
      </w:r>
      <w:proofErr w:type="spellStart"/>
      <w:r w:rsidRPr="00FA1992">
        <w:rPr>
          <w:rFonts w:ascii="Times New Roman" w:hAnsi="Times New Roman" w:cs="Times New Roman"/>
          <w:sz w:val="24"/>
          <w:szCs w:val="24"/>
        </w:rPr>
        <w:t>Gesteiro</w:t>
      </w:r>
      <w:proofErr w:type="spellEnd"/>
      <w:r w:rsidRPr="00FA1992">
        <w:rPr>
          <w:rFonts w:ascii="Times New Roman" w:hAnsi="Times New Roman" w:cs="Times New Roman"/>
          <w:sz w:val="24"/>
          <w:szCs w:val="24"/>
        </w:rPr>
        <w:t xml:space="preserve"> et al. (2022) have found that food-out dining was often associated with poorer dietary quality and worse health conditions.</w:t>
      </w:r>
    </w:p>
    <w:p w14:paraId="03B20AA4" w14:textId="3C746D16" w:rsidR="005004FE" w:rsidRPr="005004FE" w:rsidRDefault="005004FE" w:rsidP="00D03DFC">
      <w:pPr>
        <w:spacing w:line="360" w:lineRule="auto"/>
        <w:jc w:val="both"/>
        <w:rPr>
          <w:rFonts w:ascii="Times New Roman" w:hAnsi="Times New Roman" w:cs="Times New Roman"/>
          <w:b/>
          <w:bCs/>
          <w:sz w:val="24"/>
          <w:szCs w:val="24"/>
          <w:highlight w:val="yellow"/>
        </w:rPr>
      </w:pPr>
      <w:r w:rsidRPr="005004FE">
        <w:rPr>
          <w:rFonts w:ascii="Times New Roman" w:hAnsi="Times New Roman" w:cs="Times New Roman"/>
          <w:sz w:val="24"/>
          <w:szCs w:val="24"/>
        </w:rPr>
        <w:t xml:space="preserve">In a </w:t>
      </w:r>
      <w:r w:rsidR="00294E01">
        <w:rPr>
          <w:rFonts w:ascii="Times New Roman" w:hAnsi="Times New Roman" w:cs="Times New Roman"/>
          <w:sz w:val="24"/>
          <w:szCs w:val="24"/>
        </w:rPr>
        <w:t xml:space="preserve">UK cohort analysis, Adams et al. found that 20–25% of adults eat out or order takeaway </w:t>
      </w:r>
      <w:r w:rsidR="00E740EC">
        <w:rPr>
          <w:rFonts w:ascii="Times New Roman" w:hAnsi="Times New Roman" w:cs="Times New Roman"/>
          <w:sz w:val="24"/>
          <w:szCs w:val="24"/>
        </w:rPr>
        <w:t>at least once a week</w:t>
      </w:r>
      <w:r w:rsidR="005A0532">
        <w:rPr>
          <w:rFonts w:ascii="Times New Roman" w:hAnsi="Times New Roman" w:cs="Times New Roman"/>
          <w:sz w:val="24"/>
          <w:szCs w:val="24"/>
        </w:rPr>
        <w:t>. That</w:t>
      </w:r>
      <w:r w:rsidRPr="005004FE">
        <w:rPr>
          <w:rFonts w:ascii="Times New Roman" w:hAnsi="Times New Roman" w:cs="Times New Roman"/>
          <w:sz w:val="24"/>
          <w:szCs w:val="24"/>
        </w:rPr>
        <w:t xml:space="preserve"> frequency </w:t>
      </w:r>
      <w:r w:rsidR="00294E01">
        <w:rPr>
          <w:rFonts w:ascii="Times New Roman" w:hAnsi="Times New Roman" w:cs="Times New Roman"/>
          <w:sz w:val="24"/>
          <w:szCs w:val="24"/>
        </w:rPr>
        <w:t>varied by</w:t>
      </w:r>
      <w:r w:rsidRPr="005004FE">
        <w:rPr>
          <w:rFonts w:ascii="Times New Roman" w:hAnsi="Times New Roman" w:cs="Times New Roman"/>
          <w:sz w:val="24"/>
          <w:szCs w:val="24"/>
        </w:rPr>
        <w:t xml:space="preserve"> sociodemographic characteristics. </w:t>
      </w:r>
    </w:p>
    <w:p w14:paraId="6C0AD64A" w14:textId="443C333E" w:rsidR="005004FE" w:rsidRPr="005004FE" w:rsidRDefault="005004FE" w:rsidP="00D03DFC">
      <w:pPr>
        <w:spacing w:line="360" w:lineRule="auto"/>
        <w:jc w:val="both"/>
        <w:rPr>
          <w:rFonts w:ascii="Times New Roman" w:hAnsi="Times New Roman" w:cs="Times New Roman"/>
          <w:b/>
          <w:bCs/>
          <w:sz w:val="24"/>
          <w:szCs w:val="24"/>
          <w:highlight w:val="yellow"/>
        </w:rPr>
      </w:pPr>
      <w:r w:rsidRPr="005004FE">
        <w:rPr>
          <w:rFonts w:ascii="Times New Roman" w:hAnsi="Times New Roman" w:cs="Times New Roman"/>
          <w:sz w:val="24"/>
          <w:szCs w:val="24"/>
        </w:rPr>
        <w:t xml:space="preserve">• Therefore, the high eating out frequency indicated </w:t>
      </w:r>
      <w:r w:rsidR="005A0532">
        <w:rPr>
          <w:rFonts w:ascii="Times New Roman" w:hAnsi="Times New Roman" w:cs="Times New Roman"/>
          <w:sz w:val="24"/>
          <w:szCs w:val="24"/>
        </w:rPr>
        <w:t>in</w:t>
      </w:r>
      <w:r w:rsidRPr="005004FE">
        <w:rPr>
          <w:rFonts w:ascii="Times New Roman" w:hAnsi="Times New Roman" w:cs="Times New Roman"/>
          <w:sz w:val="24"/>
          <w:szCs w:val="24"/>
        </w:rPr>
        <w:t xml:space="preserve"> your data has the potential to detract from nutrition, particularly in the context of relatively low internal knowledge of what is healthy in relation to meals.</w:t>
      </w:r>
    </w:p>
    <w:p w14:paraId="63476B6A" w14:textId="2C56F32E" w:rsidR="00395BBC" w:rsidRPr="00395BBC" w:rsidRDefault="0038136B" w:rsidP="00395BBC">
      <w:pPr>
        <w:spacing w:line="360" w:lineRule="auto"/>
        <w:jc w:val="both"/>
        <w:rPr>
          <w:rFonts w:ascii="Times New Roman" w:hAnsi="Times New Roman" w:cs="Times New Roman"/>
          <w:sz w:val="24"/>
          <w:szCs w:val="24"/>
        </w:rPr>
      </w:pPr>
      <w:r w:rsidRPr="0038136B">
        <w:rPr>
          <w:rFonts w:ascii="Times New Roman" w:hAnsi="Times New Roman" w:cs="Times New Roman"/>
          <w:b/>
          <w:bCs/>
          <w:sz w:val="24"/>
          <w:szCs w:val="24"/>
        </w:rPr>
        <w:t>Integrated Interpretations &amp; Implications</w:t>
      </w:r>
      <w:r>
        <w:rPr>
          <w:rFonts w:ascii="Times New Roman" w:hAnsi="Times New Roman" w:cs="Times New Roman"/>
          <w:sz w:val="24"/>
          <w:szCs w:val="24"/>
        </w:rPr>
        <w:t xml:space="preserve">: </w:t>
      </w:r>
      <w:r w:rsidR="00FE25C2">
        <w:rPr>
          <w:rFonts w:ascii="Times New Roman" w:hAnsi="Times New Roman" w:cs="Times New Roman"/>
          <w:sz w:val="24"/>
          <w:szCs w:val="24"/>
        </w:rPr>
        <w:t>These descriptive outcomes</w:t>
      </w:r>
      <w:r w:rsidRPr="0038136B">
        <w:rPr>
          <w:rFonts w:ascii="Times New Roman" w:hAnsi="Times New Roman" w:cs="Times New Roman"/>
          <w:sz w:val="24"/>
          <w:szCs w:val="24"/>
        </w:rPr>
        <w:t xml:space="preserve"> suggest a profile of high </w:t>
      </w:r>
      <w:r w:rsidR="00294E01">
        <w:rPr>
          <w:rFonts w:ascii="Times New Roman" w:hAnsi="Times New Roman" w:cs="Times New Roman"/>
          <w:sz w:val="24"/>
          <w:szCs w:val="24"/>
        </w:rPr>
        <w:t xml:space="preserve">physical activity participation </w:t>
      </w:r>
      <w:r w:rsidRPr="0038136B">
        <w:rPr>
          <w:rFonts w:ascii="Times New Roman" w:hAnsi="Times New Roman" w:cs="Times New Roman"/>
          <w:sz w:val="24"/>
          <w:szCs w:val="24"/>
        </w:rPr>
        <w:t xml:space="preserve">and low conceptual understanding of health </w:t>
      </w:r>
      <w:proofErr w:type="spellStart"/>
      <w:r w:rsidRPr="0038136B">
        <w:rPr>
          <w:rFonts w:ascii="Times New Roman" w:hAnsi="Times New Roman" w:cs="Times New Roman"/>
          <w:sz w:val="24"/>
          <w:szCs w:val="24"/>
        </w:rPr>
        <w:t>behaviors</w:t>
      </w:r>
      <w:proofErr w:type="spellEnd"/>
      <w:r w:rsidRPr="0038136B">
        <w:rPr>
          <w:rFonts w:ascii="Times New Roman" w:hAnsi="Times New Roman" w:cs="Times New Roman"/>
          <w:sz w:val="24"/>
          <w:szCs w:val="24"/>
        </w:rPr>
        <w:t xml:space="preserve">. </w:t>
      </w:r>
      <w:r w:rsidR="00395BBC" w:rsidRPr="00395BBC">
        <w:rPr>
          <w:rFonts w:ascii="Times New Roman" w:hAnsi="Times New Roman" w:cs="Times New Roman"/>
          <w:sz w:val="24"/>
          <w:szCs w:val="24"/>
        </w:rPr>
        <w:t xml:space="preserve">The difference </w:t>
      </w:r>
      <w:r w:rsidR="008F2938">
        <w:rPr>
          <w:rFonts w:ascii="Times New Roman" w:hAnsi="Times New Roman" w:cs="Times New Roman"/>
          <w:sz w:val="24"/>
          <w:szCs w:val="24"/>
        </w:rPr>
        <w:t xml:space="preserve">may indicate that, because of knowledge about health </w:t>
      </w:r>
      <w:proofErr w:type="spellStart"/>
      <w:r w:rsidR="008F2938">
        <w:rPr>
          <w:rFonts w:ascii="Times New Roman" w:hAnsi="Times New Roman" w:cs="Times New Roman"/>
          <w:sz w:val="24"/>
          <w:szCs w:val="24"/>
        </w:rPr>
        <w:t>behaviors</w:t>
      </w:r>
      <w:proofErr w:type="spellEnd"/>
      <w:r w:rsidR="008F2938">
        <w:rPr>
          <w:rFonts w:ascii="Times New Roman" w:hAnsi="Times New Roman" w:cs="Times New Roman"/>
          <w:sz w:val="24"/>
          <w:szCs w:val="24"/>
        </w:rPr>
        <w:t xml:space="preserve">, participants exercise their bodies not as a health precaution but as a habit, driven by social pressure or </w:t>
      </w:r>
      <w:r w:rsidR="008F2938" w:rsidRPr="008F2938">
        <w:rPr>
          <w:rFonts w:ascii="Times New Roman" w:hAnsi="Times New Roman" w:cs="Times New Roman"/>
          <w:sz w:val="24"/>
          <w:szCs w:val="24"/>
        </w:rPr>
        <w:t>support. High consumption of energy beverages, coffee</w:t>
      </w:r>
      <w:r w:rsidR="008F2938">
        <w:rPr>
          <w:rFonts w:ascii="Times New Roman" w:hAnsi="Times New Roman" w:cs="Times New Roman"/>
          <w:sz w:val="24"/>
          <w:szCs w:val="24"/>
        </w:rPr>
        <w:t xml:space="preserve">, and soft drinks, and eating out may </w:t>
      </w:r>
      <w:r w:rsidR="008F2938">
        <w:rPr>
          <w:rFonts w:ascii="Times New Roman" w:hAnsi="Times New Roman" w:cs="Times New Roman"/>
          <w:sz w:val="24"/>
          <w:szCs w:val="24"/>
        </w:rPr>
        <w:lastRenderedPageBreak/>
        <w:t xml:space="preserve">undermine some of the advantages of physical exercise, particularly where the contents of </w:t>
      </w:r>
      <w:r w:rsidR="008F2938" w:rsidRPr="008F2938">
        <w:rPr>
          <w:rFonts w:ascii="Times New Roman" w:hAnsi="Times New Roman" w:cs="Times New Roman"/>
          <w:sz w:val="24"/>
          <w:szCs w:val="24"/>
        </w:rPr>
        <w:t>home meals are of low nutritional quality. This risk is confirmed in the literature: the quality of the diet consumed by an individual and his or her risk of death are poorer when one frequently dies out.</w:t>
      </w:r>
      <w:r w:rsidR="00395BBC" w:rsidRPr="00395BBC">
        <w:rPr>
          <w:rFonts w:ascii="Times New Roman" w:hAnsi="Times New Roman" w:cs="Times New Roman"/>
          <w:sz w:val="24"/>
          <w:szCs w:val="24"/>
        </w:rPr>
        <w:t xml:space="preserve"> </w:t>
      </w:r>
    </w:p>
    <w:p w14:paraId="720FFF58" w14:textId="6D83F81A" w:rsidR="00680C5B" w:rsidRPr="00131BBC" w:rsidRDefault="00395BBC" w:rsidP="005A1DF7">
      <w:pPr>
        <w:spacing w:line="360" w:lineRule="auto"/>
        <w:jc w:val="both"/>
        <w:rPr>
          <w:rFonts w:ascii="Times New Roman" w:hAnsi="Times New Roman" w:cs="Times New Roman"/>
          <w:sz w:val="24"/>
          <w:szCs w:val="24"/>
        </w:rPr>
      </w:pPr>
      <w:r w:rsidRPr="00395BBC">
        <w:rPr>
          <w:rFonts w:ascii="Times New Roman" w:hAnsi="Times New Roman" w:cs="Times New Roman"/>
          <w:sz w:val="24"/>
          <w:szCs w:val="24"/>
        </w:rPr>
        <w:t xml:space="preserve">Knowledge gaps on sleep, glucose monitoring, and meal timing also depict other areas </w:t>
      </w:r>
      <w:r w:rsidR="007070C3">
        <w:rPr>
          <w:rFonts w:ascii="Times New Roman" w:hAnsi="Times New Roman" w:cs="Times New Roman"/>
          <w:sz w:val="24"/>
          <w:szCs w:val="24"/>
        </w:rPr>
        <w:t>where health education interventions</w:t>
      </w:r>
      <w:r w:rsidRPr="00395BBC">
        <w:rPr>
          <w:rFonts w:ascii="Times New Roman" w:hAnsi="Times New Roman" w:cs="Times New Roman"/>
          <w:sz w:val="24"/>
          <w:szCs w:val="24"/>
        </w:rPr>
        <w:t xml:space="preserve"> can be justified. </w:t>
      </w:r>
      <w:r w:rsidR="00E740EC">
        <w:rPr>
          <w:rFonts w:ascii="Times New Roman" w:hAnsi="Times New Roman" w:cs="Times New Roman"/>
          <w:sz w:val="24"/>
          <w:szCs w:val="24"/>
        </w:rPr>
        <w:t>Notably, the literature on previous interventions emphasizes that creating knowledge and awareness is</w:t>
      </w:r>
      <w:r w:rsidRPr="00395BBC">
        <w:rPr>
          <w:rFonts w:ascii="Times New Roman" w:hAnsi="Times New Roman" w:cs="Times New Roman"/>
          <w:sz w:val="24"/>
          <w:szCs w:val="24"/>
        </w:rPr>
        <w:t xml:space="preserve"> one of the most </w:t>
      </w:r>
      <w:r w:rsidR="00E740EC">
        <w:rPr>
          <w:rFonts w:ascii="Times New Roman" w:hAnsi="Times New Roman" w:cs="Times New Roman"/>
          <w:sz w:val="24"/>
          <w:szCs w:val="24"/>
        </w:rPr>
        <w:t>critical</w:t>
      </w:r>
      <w:r w:rsidRPr="00395BBC">
        <w:rPr>
          <w:rFonts w:ascii="Times New Roman" w:hAnsi="Times New Roman" w:cs="Times New Roman"/>
          <w:sz w:val="24"/>
          <w:szCs w:val="24"/>
        </w:rPr>
        <w:t xml:space="preserve"> steps in changing </w:t>
      </w:r>
      <w:proofErr w:type="spellStart"/>
      <w:r w:rsidRPr="00395BBC">
        <w:rPr>
          <w:rFonts w:ascii="Times New Roman" w:hAnsi="Times New Roman" w:cs="Times New Roman"/>
          <w:sz w:val="24"/>
          <w:szCs w:val="24"/>
        </w:rPr>
        <w:t>behavior</w:t>
      </w:r>
      <w:proofErr w:type="spellEnd"/>
      <w:r w:rsidR="00680C5B" w:rsidRPr="00680C5B">
        <w:rPr>
          <w:rFonts w:ascii="Times New Roman" w:hAnsi="Times New Roman" w:cs="Times New Roman"/>
          <w:sz w:val="24"/>
          <w:szCs w:val="24"/>
        </w:rPr>
        <w:t xml:space="preserve">. For instance, </w:t>
      </w:r>
      <w:r w:rsidR="00696D80" w:rsidRPr="00131BBC">
        <w:rPr>
          <w:rFonts w:ascii="Times New Roman" w:hAnsi="Times New Roman" w:cs="Times New Roman"/>
          <w:sz w:val="24"/>
          <w:szCs w:val="24"/>
        </w:rPr>
        <w:t>understanding</w:t>
      </w:r>
      <w:r w:rsidR="00680C5B" w:rsidRPr="00680C5B">
        <w:rPr>
          <w:rFonts w:ascii="Times New Roman" w:hAnsi="Times New Roman" w:cs="Times New Roman"/>
          <w:sz w:val="24"/>
          <w:szCs w:val="24"/>
        </w:rPr>
        <w:t xml:space="preserve"> and </w:t>
      </w:r>
      <w:r w:rsidR="00696D80" w:rsidRPr="00131BBC">
        <w:rPr>
          <w:rFonts w:ascii="Times New Roman" w:hAnsi="Times New Roman" w:cs="Times New Roman"/>
          <w:sz w:val="24"/>
          <w:szCs w:val="24"/>
        </w:rPr>
        <w:t>awareness</w:t>
      </w:r>
      <w:r w:rsidR="00680C5B" w:rsidRPr="00680C5B">
        <w:rPr>
          <w:rFonts w:ascii="Times New Roman" w:hAnsi="Times New Roman" w:cs="Times New Roman"/>
          <w:sz w:val="24"/>
          <w:szCs w:val="24"/>
        </w:rPr>
        <w:t xml:space="preserve"> of physical activity guidelines have been shown to correlate with higher physical activity levels in some populations (e.g., in the Jazan region of Saudi Arabia, those aware of guidelines had greater energy expenditure) </w:t>
      </w:r>
    </w:p>
    <w:p w14:paraId="1EA7B001" w14:textId="24056C51" w:rsidR="001C0D7E" w:rsidRPr="00131BBC" w:rsidRDefault="00CB0DFB" w:rsidP="005A1DF7">
      <w:pPr>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B) </w:t>
      </w:r>
      <w:r w:rsidRPr="00131BBC">
        <w:rPr>
          <w:rFonts w:ascii="Times New Roman" w:hAnsi="Times New Roman" w:cs="Times New Roman"/>
          <w:b/>
          <w:bCs/>
          <w:noProof/>
          <w:sz w:val="24"/>
          <w:szCs w:val="24"/>
        </w:rPr>
        <w:t xml:space="preserve">Chi-square test output: association between education and </w:t>
      </w:r>
      <w:r>
        <w:rPr>
          <w:rFonts w:ascii="Times New Roman" w:hAnsi="Times New Roman" w:cs="Times New Roman"/>
          <w:b/>
          <w:bCs/>
          <w:noProof/>
          <w:sz w:val="24"/>
          <w:szCs w:val="24"/>
        </w:rPr>
        <w:t>PCOS</w:t>
      </w:r>
      <w:r w:rsidRPr="00131BBC">
        <w:rPr>
          <w:rFonts w:ascii="Times New Roman" w:hAnsi="Times New Roman" w:cs="Times New Roman"/>
          <w:b/>
          <w:bCs/>
          <w:noProof/>
          <w:sz w:val="24"/>
          <w:szCs w:val="24"/>
        </w:rPr>
        <w:t xml:space="preserve"> awareness:</w:t>
      </w:r>
    </w:p>
    <w:p w14:paraId="2217D12F" w14:textId="50685300" w:rsidR="001C0D7E" w:rsidRPr="00131BBC" w:rsidRDefault="001C0D7E" w:rsidP="005A1DF7">
      <w:pPr>
        <w:spacing w:line="360" w:lineRule="auto"/>
        <w:jc w:val="both"/>
        <w:rPr>
          <w:rFonts w:ascii="Times New Roman" w:hAnsi="Times New Roman" w:cs="Times New Roman"/>
          <w:noProof/>
          <w:sz w:val="24"/>
          <w:szCs w:val="24"/>
        </w:rPr>
      </w:pPr>
      <w:r w:rsidRPr="00131BBC">
        <w:rPr>
          <w:rFonts w:ascii="Times New Roman" w:hAnsi="Times New Roman" w:cs="Times New Roman"/>
          <w:noProof/>
          <w:sz w:val="24"/>
          <w:szCs w:val="24"/>
        </w:rPr>
        <w:t>The Pearson Chi-Square test examined the association between two categorical variables (e.g., education level and PCOS awareness</w:t>
      </w:r>
      <w:r w:rsidR="00E740EC">
        <w:rPr>
          <w:rFonts w:ascii="Times New Roman" w:hAnsi="Times New Roman" w:cs="Times New Roman"/>
          <w:noProof/>
          <w:sz w:val="24"/>
          <w:szCs w:val="24"/>
        </w:rPr>
        <w:t>, or any other variable tested) among 300 subjects with PCOS</w:t>
      </w:r>
      <w:r w:rsidRPr="00131BBC">
        <w:rPr>
          <w:rFonts w:ascii="Times New Roman" w:hAnsi="Times New Roman" w:cs="Times New Roman"/>
          <w:noProof/>
          <w:sz w:val="24"/>
          <w:szCs w:val="24"/>
        </w:rPr>
        <w:t>.</w:t>
      </w:r>
    </w:p>
    <w:p w14:paraId="49BFD8AC" w14:textId="4E2146AD" w:rsidR="001C0D7E" w:rsidRPr="00131BBC" w:rsidRDefault="001C0D7E" w:rsidP="005A1DF7">
      <w:pPr>
        <w:pStyle w:val="NormalWeb"/>
        <w:spacing w:before="0" w:beforeAutospacing="0" w:line="360" w:lineRule="auto"/>
        <w:jc w:val="center"/>
      </w:pPr>
      <w:r w:rsidRPr="00131BBC">
        <w:rPr>
          <w:b/>
          <w:bCs/>
        </w:rPr>
        <w:t xml:space="preserve">Table </w:t>
      </w:r>
      <w:r w:rsidR="001D1BED" w:rsidRPr="00131BBC">
        <w:rPr>
          <w:b/>
          <w:bCs/>
        </w:rPr>
        <w:t>2</w:t>
      </w:r>
      <w:r w:rsidRPr="00131BBC">
        <w:rPr>
          <w:b/>
          <w:bCs/>
        </w:rPr>
        <w:t>: Chi-Square Test of Association Between Nutritional Awareness and Daily Meal Consumption Patterns Before Intervention (n = 300)</w:t>
      </w:r>
    </w:p>
    <w:tbl>
      <w:tblPr>
        <w:tblStyle w:val="TableGrid"/>
        <w:tblW w:w="7371" w:type="dxa"/>
        <w:tblInd w:w="562" w:type="dxa"/>
        <w:tblLayout w:type="fixed"/>
        <w:tblLook w:val="0000" w:firstRow="0" w:lastRow="0" w:firstColumn="0" w:lastColumn="0" w:noHBand="0" w:noVBand="0"/>
      </w:tblPr>
      <w:tblGrid>
        <w:gridCol w:w="3036"/>
        <w:gridCol w:w="1517"/>
        <w:gridCol w:w="931"/>
        <w:gridCol w:w="1887"/>
      </w:tblGrid>
      <w:tr w:rsidR="001C0D7E" w:rsidRPr="00131BBC" w14:paraId="1A34D140" w14:textId="77777777" w:rsidTr="002E649E">
        <w:trPr>
          <w:trHeight w:val="1028"/>
        </w:trPr>
        <w:tc>
          <w:tcPr>
            <w:tcW w:w="3036" w:type="dxa"/>
          </w:tcPr>
          <w:p w14:paraId="5FE80A63" w14:textId="77777777" w:rsidR="001C0D7E" w:rsidRPr="00131BBC" w:rsidRDefault="001C0D7E" w:rsidP="005A1DF7">
            <w:pPr>
              <w:spacing w:after="160" w:line="360" w:lineRule="auto"/>
              <w:rPr>
                <w:rFonts w:ascii="Times New Roman" w:hAnsi="Times New Roman" w:cs="Times New Roman"/>
                <w:noProof/>
              </w:rPr>
            </w:pPr>
          </w:p>
        </w:tc>
        <w:tc>
          <w:tcPr>
            <w:tcW w:w="1517" w:type="dxa"/>
          </w:tcPr>
          <w:p w14:paraId="63E351E0"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Value</w:t>
            </w:r>
          </w:p>
        </w:tc>
        <w:tc>
          <w:tcPr>
            <w:tcW w:w="931" w:type="dxa"/>
          </w:tcPr>
          <w:p w14:paraId="22C8FD61"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df</w:t>
            </w:r>
          </w:p>
        </w:tc>
        <w:tc>
          <w:tcPr>
            <w:tcW w:w="1887" w:type="dxa"/>
          </w:tcPr>
          <w:p w14:paraId="13AD4782"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 xml:space="preserve">Asymptotic Significance  </w:t>
            </w:r>
          </w:p>
          <w:p w14:paraId="799D14D3"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(2-sided)</w:t>
            </w:r>
          </w:p>
        </w:tc>
      </w:tr>
      <w:tr w:rsidR="001C0D7E" w:rsidRPr="00131BBC" w14:paraId="29723685" w14:textId="77777777" w:rsidTr="002E649E">
        <w:trPr>
          <w:trHeight w:val="444"/>
        </w:trPr>
        <w:tc>
          <w:tcPr>
            <w:tcW w:w="3036" w:type="dxa"/>
          </w:tcPr>
          <w:p w14:paraId="774C3B9E"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Pearson Chi-Square</w:t>
            </w:r>
          </w:p>
        </w:tc>
        <w:tc>
          <w:tcPr>
            <w:tcW w:w="1517" w:type="dxa"/>
          </w:tcPr>
          <w:p w14:paraId="42982584"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9.161</w:t>
            </w:r>
            <w:r w:rsidRPr="00131BBC">
              <w:rPr>
                <w:rFonts w:ascii="Times New Roman" w:hAnsi="Times New Roman" w:cs="Times New Roman"/>
                <w:noProof/>
                <w:vertAlign w:val="superscript"/>
              </w:rPr>
              <w:t>a</w:t>
            </w:r>
          </w:p>
        </w:tc>
        <w:tc>
          <w:tcPr>
            <w:tcW w:w="931" w:type="dxa"/>
          </w:tcPr>
          <w:p w14:paraId="61E42260"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2</w:t>
            </w:r>
          </w:p>
        </w:tc>
        <w:tc>
          <w:tcPr>
            <w:tcW w:w="1887" w:type="dxa"/>
          </w:tcPr>
          <w:p w14:paraId="0807AC86"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0.010</w:t>
            </w:r>
          </w:p>
        </w:tc>
      </w:tr>
      <w:tr w:rsidR="001C0D7E" w:rsidRPr="00131BBC" w14:paraId="28B49CCF" w14:textId="77777777" w:rsidTr="002E649E">
        <w:trPr>
          <w:trHeight w:val="444"/>
        </w:trPr>
        <w:tc>
          <w:tcPr>
            <w:tcW w:w="3036" w:type="dxa"/>
          </w:tcPr>
          <w:p w14:paraId="1DA25BBE"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Likelihood Ratio</w:t>
            </w:r>
          </w:p>
        </w:tc>
        <w:tc>
          <w:tcPr>
            <w:tcW w:w="1517" w:type="dxa"/>
          </w:tcPr>
          <w:p w14:paraId="78A6502D"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9.494</w:t>
            </w:r>
          </w:p>
        </w:tc>
        <w:tc>
          <w:tcPr>
            <w:tcW w:w="931" w:type="dxa"/>
          </w:tcPr>
          <w:p w14:paraId="1F5ECB7B"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2</w:t>
            </w:r>
          </w:p>
        </w:tc>
        <w:tc>
          <w:tcPr>
            <w:tcW w:w="1887" w:type="dxa"/>
          </w:tcPr>
          <w:p w14:paraId="12B0EE5A"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0.009</w:t>
            </w:r>
          </w:p>
        </w:tc>
      </w:tr>
      <w:tr w:rsidR="001C0D7E" w:rsidRPr="00131BBC" w14:paraId="7A9B706E" w14:textId="77777777" w:rsidTr="002E649E">
        <w:trPr>
          <w:trHeight w:val="724"/>
        </w:trPr>
        <w:tc>
          <w:tcPr>
            <w:tcW w:w="3036" w:type="dxa"/>
          </w:tcPr>
          <w:p w14:paraId="33F067D3"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Linear-by-Linear Association</w:t>
            </w:r>
          </w:p>
        </w:tc>
        <w:tc>
          <w:tcPr>
            <w:tcW w:w="1517" w:type="dxa"/>
          </w:tcPr>
          <w:p w14:paraId="28CBCD17"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7.002</w:t>
            </w:r>
          </w:p>
        </w:tc>
        <w:tc>
          <w:tcPr>
            <w:tcW w:w="931" w:type="dxa"/>
          </w:tcPr>
          <w:p w14:paraId="2D87B11D"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1</w:t>
            </w:r>
          </w:p>
        </w:tc>
        <w:tc>
          <w:tcPr>
            <w:tcW w:w="1887" w:type="dxa"/>
          </w:tcPr>
          <w:p w14:paraId="49A2837F"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0.008</w:t>
            </w:r>
          </w:p>
        </w:tc>
      </w:tr>
      <w:tr w:rsidR="001C0D7E" w:rsidRPr="00131BBC" w14:paraId="028A80DC" w14:textId="77777777" w:rsidTr="002E649E">
        <w:trPr>
          <w:trHeight w:val="444"/>
        </w:trPr>
        <w:tc>
          <w:tcPr>
            <w:tcW w:w="3036" w:type="dxa"/>
          </w:tcPr>
          <w:p w14:paraId="38352F3C"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N of Valid Cases</w:t>
            </w:r>
          </w:p>
        </w:tc>
        <w:tc>
          <w:tcPr>
            <w:tcW w:w="1517" w:type="dxa"/>
          </w:tcPr>
          <w:p w14:paraId="6B61F3A0" w14:textId="77777777" w:rsidR="001C0D7E" w:rsidRPr="00131BBC" w:rsidRDefault="001C0D7E" w:rsidP="005A1DF7">
            <w:pPr>
              <w:spacing w:after="160" w:line="360" w:lineRule="auto"/>
              <w:rPr>
                <w:rFonts w:ascii="Times New Roman" w:hAnsi="Times New Roman" w:cs="Times New Roman"/>
                <w:noProof/>
              </w:rPr>
            </w:pPr>
            <w:r w:rsidRPr="00131BBC">
              <w:rPr>
                <w:rFonts w:ascii="Times New Roman" w:hAnsi="Times New Roman" w:cs="Times New Roman"/>
                <w:noProof/>
              </w:rPr>
              <w:t>300</w:t>
            </w:r>
          </w:p>
        </w:tc>
        <w:tc>
          <w:tcPr>
            <w:tcW w:w="931" w:type="dxa"/>
          </w:tcPr>
          <w:p w14:paraId="27CC315F" w14:textId="77777777" w:rsidR="001C0D7E" w:rsidRPr="00131BBC" w:rsidRDefault="001C0D7E" w:rsidP="005A1DF7">
            <w:pPr>
              <w:spacing w:after="160" w:line="360" w:lineRule="auto"/>
              <w:rPr>
                <w:rFonts w:ascii="Times New Roman" w:hAnsi="Times New Roman" w:cs="Times New Roman"/>
                <w:noProof/>
              </w:rPr>
            </w:pPr>
          </w:p>
        </w:tc>
        <w:tc>
          <w:tcPr>
            <w:tcW w:w="1887" w:type="dxa"/>
          </w:tcPr>
          <w:p w14:paraId="5F8EC0E2" w14:textId="77777777" w:rsidR="001C0D7E" w:rsidRPr="00131BBC" w:rsidRDefault="001C0D7E" w:rsidP="005A1DF7">
            <w:pPr>
              <w:spacing w:after="160" w:line="360" w:lineRule="auto"/>
              <w:rPr>
                <w:rFonts w:ascii="Times New Roman" w:hAnsi="Times New Roman" w:cs="Times New Roman"/>
                <w:noProof/>
              </w:rPr>
            </w:pPr>
          </w:p>
        </w:tc>
      </w:tr>
    </w:tbl>
    <w:p w14:paraId="167E3AD6" w14:textId="77777777" w:rsidR="001C0D7E" w:rsidRPr="00131BBC" w:rsidRDefault="001C0D7E" w:rsidP="005A1DF7">
      <w:pPr>
        <w:spacing w:line="360" w:lineRule="auto"/>
        <w:jc w:val="both"/>
        <w:rPr>
          <w:rFonts w:ascii="Times New Roman" w:hAnsi="Times New Roman" w:cs="Times New Roman"/>
          <w:noProof/>
          <w:sz w:val="24"/>
          <w:szCs w:val="24"/>
        </w:rPr>
      </w:pPr>
    </w:p>
    <w:p w14:paraId="03A3DF17" w14:textId="735BEF71" w:rsidR="001C0D7E" w:rsidRPr="00131BBC" w:rsidRDefault="00103771" w:rsidP="005A1DF7">
      <w:pPr>
        <w:spacing w:line="360" w:lineRule="auto"/>
        <w:jc w:val="center"/>
        <w:rPr>
          <w:rFonts w:ascii="Times New Roman" w:hAnsi="Times New Roman" w:cs="Times New Roman"/>
          <w:noProof/>
          <w:sz w:val="24"/>
          <w:szCs w:val="24"/>
        </w:rPr>
      </w:pPr>
      <w:r w:rsidRPr="00BD4E51">
        <w:rPr>
          <w:rFonts w:ascii="Times New Roman" w:hAnsi="Times New Roman" w:cs="Times New Roman"/>
          <w:noProof/>
        </w:rPr>
        <w:lastRenderedPageBreak/>
        <w:drawing>
          <wp:inline distT="0" distB="0" distL="0" distR="0" wp14:anchorId="28FDC746" wp14:editId="37CBC446">
            <wp:extent cx="4572000" cy="2814762"/>
            <wp:effectExtent l="0" t="0" r="0" b="5080"/>
            <wp:docPr id="437970047" name="Chart 1">
              <a:extLst xmlns:a="http://schemas.openxmlformats.org/drawingml/2006/main">
                <a:ext uri="{FF2B5EF4-FFF2-40B4-BE49-F238E27FC236}">
                  <a16:creationId xmlns:a16="http://schemas.microsoft.com/office/drawing/2014/main" id="{E3AAD09A-D707-E264-E376-A34FA4D88C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DA4ABF" w14:textId="77777777" w:rsidR="00131BBC" w:rsidRPr="00131BBC" w:rsidRDefault="00131BBC" w:rsidP="005A1DF7">
      <w:pPr>
        <w:spacing w:line="360" w:lineRule="auto"/>
        <w:jc w:val="both"/>
        <w:rPr>
          <w:rFonts w:ascii="Times New Roman" w:hAnsi="Times New Roman" w:cs="Times New Roman"/>
          <w:b/>
          <w:bCs/>
          <w:sz w:val="24"/>
          <w:szCs w:val="24"/>
        </w:rPr>
      </w:pPr>
      <w:r w:rsidRPr="00131BBC">
        <w:rPr>
          <w:rFonts w:ascii="Times New Roman" w:hAnsi="Times New Roman" w:cs="Times New Roman"/>
          <w:b/>
          <w:bCs/>
          <w:sz w:val="24"/>
          <w:szCs w:val="24"/>
        </w:rPr>
        <w:t>Association Between Nutritional Awareness and Meal Consumption Patterns</w:t>
      </w:r>
    </w:p>
    <w:p w14:paraId="3C727172" w14:textId="6D17B1A7" w:rsidR="00131BBC" w:rsidRPr="00131BBC" w:rsidRDefault="004E1DA1" w:rsidP="005A1DF7">
      <w:pPr>
        <w:spacing w:line="360" w:lineRule="auto"/>
        <w:jc w:val="both"/>
        <w:rPr>
          <w:rFonts w:ascii="Times New Roman" w:hAnsi="Times New Roman" w:cs="Times New Roman"/>
          <w:sz w:val="24"/>
          <w:szCs w:val="24"/>
          <w:highlight w:val="yellow"/>
        </w:rPr>
      </w:pPr>
      <w:r w:rsidRPr="004E1DA1">
        <w:rPr>
          <w:rFonts w:ascii="Times New Roman" w:hAnsi="Times New Roman" w:cs="Times New Roman"/>
          <w:sz w:val="24"/>
          <w:szCs w:val="24"/>
        </w:rPr>
        <w:t xml:space="preserve">Table 2 shows the Chi-square test of </w:t>
      </w:r>
      <w:r>
        <w:rPr>
          <w:rFonts w:ascii="Times New Roman" w:hAnsi="Times New Roman" w:cs="Times New Roman"/>
          <w:sz w:val="24"/>
          <w:szCs w:val="24"/>
        </w:rPr>
        <w:t xml:space="preserve">the </w:t>
      </w:r>
      <w:r w:rsidRPr="004E1DA1">
        <w:rPr>
          <w:rFonts w:ascii="Times New Roman" w:hAnsi="Times New Roman" w:cs="Times New Roman"/>
          <w:sz w:val="24"/>
          <w:szCs w:val="24"/>
        </w:rPr>
        <w:t xml:space="preserve">association </w:t>
      </w:r>
      <w:r>
        <w:rPr>
          <w:rFonts w:ascii="Times New Roman" w:hAnsi="Times New Roman" w:cs="Times New Roman"/>
          <w:sz w:val="24"/>
          <w:szCs w:val="24"/>
        </w:rPr>
        <w:t xml:space="preserve">between participants' nutritional knowledge and their meal-eating habits </w:t>
      </w:r>
      <w:r w:rsidRPr="004E1DA1">
        <w:rPr>
          <w:rFonts w:ascii="Times New Roman" w:hAnsi="Times New Roman" w:cs="Times New Roman"/>
          <w:sz w:val="24"/>
          <w:szCs w:val="24"/>
        </w:rPr>
        <w:t xml:space="preserve">before the intervention. The test </w:t>
      </w:r>
      <w:r>
        <w:rPr>
          <w:rFonts w:ascii="Times New Roman" w:hAnsi="Times New Roman" w:cs="Times New Roman"/>
          <w:sz w:val="24"/>
          <w:szCs w:val="24"/>
        </w:rPr>
        <w:t>results showed a statistically significant relationship (F = 9.16, df = 2, p = 0.010), indicating that nutrition awareness is associated with daily meals</w:t>
      </w:r>
      <w:r w:rsidRPr="004E1DA1">
        <w:rPr>
          <w:rFonts w:ascii="Times New Roman" w:hAnsi="Times New Roman" w:cs="Times New Roman"/>
          <w:sz w:val="24"/>
          <w:szCs w:val="24"/>
        </w:rPr>
        <w:t>. The probability ratio (2 = 9.494, p = 0.009) and the linear-by-linear association (2 = 7.002, p = 0.008) also proved this association</w:t>
      </w:r>
      <w:r w:rsidR="00377DC9" w:rsidRPr="00377DC9">
        <w:rPr>
          <w:rFonts w:ascii="Times New Roman" w:hAnsi="Times New Roman" w:cs="Times New Roman"/>
          <w:sz w:val="24"/>
          <w:szCs w:val="24"/>
        </w:rPr>
        <w:t>.</w:t>
      </w:r>
    </w:p>
    <w:p w14:paraId="29FEDF66" w14:textId="79FBDA02" w:rsidR="00156376" w:rsidRPr="00156376" w:rsidRDefault="00156376" w:rsidP="00156376">
      <w:pPr>
        <w:spacing w:line="360" w:lineRule="auto"/>
        <w:jc w:val="both"/>
        <w:rPr>
          <w:rFonts w:ascii="Times New Roman" w:hAnsi="Times New Roman" w:cs="Times New Roman"/>
          <w:sz w:val="24"/>
          <w:szCs w:val="24"/>
        </w:rPr>
      </w:pPr>
      <w:r w:rsidRPr="00156376">
        <w:rPr>
          <w:rFonts w:ascii="Times New Roman" w:hAnsi="Times New Roman" w:cs="Times New Roman"/>
          <w:sz w:val="24"/>
          <w:szCs w:val="24"/>
        </w:rPr>
        <w:t>In Figure</w:t>
      </w:r>
      <w:r w:rsidR="004B6EC0">
        <w:rPr>
          <w:rFonts w:ascii="Times New Roman" w:hAnsi="Times New Roman" w:cs="Times New Roman"/>
          <w:sz w:val="24"/>
          <w:szCs w:val="24"/>
        </w:rPr>
        <w:t xml:space="preserve"> </w:t>
      </w:r>
      <w:r w:rsidRPr="00156376">
        <w:rPr>
          <w:rFonts w:ascii="Times New Roman" w:hAnsi="Times New Roman" w:cs="Times New Roman"/>
          <w:sz w:val="24"/>
          <w:szCs w:val="24"/>
        </w:rPr>
        <w:t xml:space="preserve">1, the distinction becomes apparent. Among </w:t>
      </w:r>
      <w:r w:rsidR="00294E01">
        <w:rPr>
          <w:rFonts w:ascii="Times New Roman" w:hAnsi="Times New Roman" w:cs="Times New Roman"/>
          <w:sz w:val="24"/>
          <w:szCs w:val="24"/>
        </w:rPr>
        <w:t>individuals who stated they understood the value of nutrition, the majority reported consuming 2 or 3</w:t>
      </w:r>
      <w:r w:rsidRPr="00156376">
        <w:rPr>
          <w:rFonts w:ascii="Times New Roman" w:hAnsi="Times New Roman" w:cs="Times New Roman"/>
          <w:sz w:val="24"/>
          <w:szCs w:val="24"/>
        </w:rPr>
        <w:t xml:space="preserve"> meals per day (35 and 57 participants, respectively). On the other hand, participants who did not report having nutritional knowledge were more likely </w:t>
      </w:r>
      <w:r>
        <w:rPr>
          <w:rFonts w:ascii="Times New Roman" w:hAnsi="Times New Roman" w:cs="Times New Roman"/>
          <w:sz w:val="24"/>
          <w:szCs w:val="24"/>
        </w:rPr>
        <w:t>to consume two meals in a day</w:t>
      </w:r>
      <w:r w:rsidRPr="00156376">
        <w:rPr>
          <w:rFonts w:ascii="Times New Roman" w:hAnsi="Times New Roman" w:cs="Times New Roman"/>
          <w:sz w:val="24"/>
          <w:szCs w:val="24"/>
        </w:rPr>
        <w:t xml:space="preserve"> (117 participants), while only a smaller number of three meals (90 participants)—one participant (n=1) in the "no knowledge" group reported consuming three or more meals. This </w:t>
      </w:r>
      <w:r w:rsidR="00E740EC">
        <w:rPr>
          <w:rFonts w:ascii="Times New Roman" w:hAnsi="Times New Roman" w:cs="Times New Roman"/>
          <w:sz w:val="24"/>
          <w:szCs w:val="24"/>
        </w:rPr>
        <w:t>suggests that meal frequency may be low for individuals who lack</w:t>
      </w:r>
      <w:r w:rsidRPr="00156376">
        <w:rPr>
          <w:rFonts w:ascii="Times New Roman" w:hAnsi="Times New Roman" w:cs="Times New Roman"/>
          <w:sz w:val="24"/>
          <w:szCs w:val="24"/>
        </w:rPr>
        <w:t xml:space="preserve"> nutritional knowledge. </w:t>
      </w:r>
    </w:p>
    <w:p w14:paraId="31CD126A" w14:textId="58FFB53D" w:rsidR="00156376" w:rsidRPr="00156376" w:rsidRDefault="00156376" w:rsidP="00156376">
      <w:pPr>
        <w:spacing w:line="360" w:lineRule="auto"/>
        <w:jc w:val="both"/>
        <w:rPr>
          <w:rFonts w:ascii="Times New Roman" w:hAnsi="Times New Roman" w:cs="Times New Roman"/>
          <w:sz w:val="24"/>
          <w:szCs w:val="24"/>
        </w:rPr>
      </w:pPr>
      <w:r w:rsidRPr="00156376">
        <w:rPr>
          <w:rFonts w:ascii="Times New Roman" w:hAnsi="Times New Roman" w:cs="Times New Roman"/>
          <w:sz w:val="24"/>
          <w:szCs w:val="24"/>
        </w:rPr>
        <w:t xml:space="preserve">These findings reinforce </w:t>
      </w:r>
      <w:r w:rsidR="00294E01">
        <w:rPr>
          <w:rFonts w:ascii="Times New Roman" w:hAnsi="Times New Roman" w:cs="Times New Roman"/>
          <w:sz w:val="24"/>
          <w:szCs w:val="24"/>
        </w:rPr>
        <w:t xml:space="preserve">the notion that nutritional knowledge is a significant influencer of food </w:t>
      </w:r>
      <w:proofErr w:type="spellStart"/>
      <w:r w:rsidR="00294E01">
        <w:rPr>
          <w:rFonts w:ascii="Times New Roman" w:hAnsi="Times New Roman" w:cs="Times New Roman"/>
          <w:sz w:val="24"/>
          <w:szCs w:val="24"/>
        </w:rPr>
        <w:t>behaviors</w:t>
      </w:r>
      <w:proofErr w:type="spellEnd"/>
      <w:r w:rsidR="00294E01">
        <w:rPr>
          <w:rFonts w:ascii="Times New Roman" w:hAnsi="Times New Roman" w:cs="Times New Roman"/>
          <w:sz w:val="24"/>
          <w:szCs w:val="24"/>
        </w:rPr>
        <w:t>, particularly</w:t>
      </w:r>
      <w:r w:rsidRPr="00156376">
        <w:rPr>
          <w:rFonts w:ascii="Times New Roman" w:hAnsi="Times New Roman" w:cs="Times New Roman"/>
          <w:sz w:val="24"/>
          <w:szCs w:val="24"/>
        </w:rPr>
        <w:t xml:space="preserve"> meal frequency. </w:t>
      </w:r>
      <w:r w:rsidRPr="00FA1992">
        <w:rPr>
          <w:rFonts w:ascii="Times New Roman" w:hAnsi="Times New Roman" w:cs="Times New Roman"/>
          <w:sz w:val="24"/>
          <w:szCs w:val="24"/>
        </w:rPr>
        <w:t>Individuals with a higher level of nutritional knowledge</w:t>
      </w:r>
      <w:r w:rsidRPr="00156376">
        <w:rPr>
          <w:rFonts w:ascii="Times New Roman" w:hAnsi="Times New Roman" w:cs="Times New Roman"/>
          <w:sz w:val="24"/>
          <w:szCs w:val="24"/>
        </w:rPr>
        <w:t xml:space="preserve"> appear more likely to adhere to the </w:t>
      </w:r>
      <w:r>
        <w:rPr>
          <w:rFonts w:ascii="Times New Roman" w:hAnsi="Times New Roman" w:cs="Times New Roman"/>
          <w:sz w:val="24"/>
          <w:szCs w:val="24"/>
        </w:rPr>
        <w:t>standard</w:t>
      </w:r>
      <w:r w:rsidRPr="00156376">
        <w:rPr>
          <w:rFonts w:ascii="Times New Roman" w:hAnsi="Times New Roman" w:cs="Times New Roman"/>
          <w:sz w:val="24"/>
          <w:szCs w:val="24"/>
        </w:rPr>
        <w:t xml:space="preserve"> recommendation of eating three meals a day, an eating pattern consistent with dietary guidelines </w:t>
      </w:r>
      <w:r w:rsidR="00E740EC">
        <w:rPr>
          <w:rFonts w:ascii="Times New Roman" w:hAnsi="Times New Roman" w:cs="Times New Roman"/>
          <w:sz w:val="24"/>
          <w:szCs w:val="24"/>
        </w:rPr>
        <w:t>that promote regular and moderate eating, ultimately promoting energy balance and addressing</w:t>
      </w:r>
      <w:r w:rsidRPr="00156376">
        <w:rPr>
          <w:rFonts w:ascii="Times New Roman" w:hAnsi="Times New Roman" w:cs="Times New Roman"/>
          <w:sz w:val="24"/>
          <w:szCs w:val="24"/>
        </w:rPr>
        <w:t xml:space="preserve"> nutritional deficiencies. </w:t>
      </w:r>
    </w:p>
    <w:p w14:paraId="2128A700" w14:textId="604E7E9B" w:rsidR="008515C6" w:rsidRDefault="00156376" w:rsidP="00156376">
      <w:pPr>
        <w:spacing w:line="360" w:lineRule="auto"/>
        <w:jc w:val="both"/>
        <w:rPr>
          <w:rFonts w:ascii="Times New Roman" w:hAnsi="Times New Roman" w:cs="Times New Roman"/>
          <w:sz w:val="24"/>
          <w:szCs w:val="24"/>
          <w:highlight w:val="yellow"/>
        </w:rPr>
      </w:pPr>
      <w:r w:rsidRPr="00156376">
        <w:rPr>
          <w:rFonts w:ascii="Times New Roman" w:hAnsi="Times New Roman" w:cs="Times New Roman"/>
          <w:sz w:val="24"/>
          <w:szCs w:val="24"/>
        </w:rPr>
        <w:t xml:space="preserve">These findings are similar to previous studies. For example, a cross-sectional study in India </w:t>
      </w:r>
      <w:r w:rsidR="00294E01">
        <w:rPr>
          <w:rFonts w:ascii="Times New Roman" w:hAnsi="Times New Roman" w:cs="Times New Roman"/>
          <w:sz w:val="24"/>
          <w:szCs w:val="24"/>
        </w:rPr>
        <w:t xml:space="preserve">found that individuals who adhered to healthier eating patterns were superior when they had greater nutritional knowledge, including meal timing </w:t>
      </w:r>
      <w:r w:rsidRPr="00156376">
        <w:rPr>
          <w:rFonts w:ascii="Times New Roman" w:hAnsi="Times New Roman" w:cs="Times New Roman"/>
          <w:sz w:val="24"/>
          <w:szCs w:val="24"/>
        </w:rPr>
        <w:t>(</w:t>
      </w:r>
      <w:r w:rsidRPr="00377DC9">
        <w:rPr>
          <w:rFonts w:ascii="Times New Roman" w:hAnsi="Times New Roman" w:cs="Times New Roman"/>
          <w:sz w:val="24"/>
          <w:szCs w:val="24"/>
        </w:rPr>
        <w:t xml:space="preserve">Rathi et al., 2017). </w:t>
      </w:r>
      <w:r w:rsidR="00B42B11" w:rsidRPr="00B42B11">
        <w:rPr>
          <w:rFonts w:ascii="Times New Roman" w:hAnsi="Times New Roman" w:cs="Times New Roman"/>
          <w:sz w:val="24"/>
          <w:szCs w:val="24"/>
        </w:rPr>
        <w:t xml:space="preserve">Equally, this has been </w:t>
      </w:r>
      <w:r w:rsidR="00B42B11" w:rsidRPr="00B42B11">
        <w:rPr>
          <w:rFonts w:ascii="Times New Roman" w:hAnsi="Times New Roman" w:cs="Times New Roman"/>
          <w:sz w:val="24"/>
          <w:szCs w:val="24"/>
        </w:rPr>
        <w:lastRenderedPageBreak/>
        <w:t>supported by international evidence. Indicatively, Wardle et al. (2000) compared different populations and observed that the more people knew about nutrition</w:t>
      </w:r>
      <w:r w:rsidR="00B42B11">
        <w:rPr>
          <w:rFonts w:ascii="Times New Roman" w:hAnsi="Times New Roman" w:cs="Times New Roman"/>
          <w:sz w:val="24"/>
          <w:szCs w:val="24"/>
        </w:rPr>
        <w:t>,</w:t>
      </w:r>
      <w:r w:rsidR="00B42B11" w:rsidRPr="00B42B11">
        <w:rPr>
          <w:rFonts w:ascii="Times New Roman" w:hAnsi="Times New Roman" w:cs="Times New Roman"/>
          <w:sz w:val="24"/>
          <w:szCs w:val="24"/>
        </w:rPr>
        <w:t xml:space="preserve"> the more they </w:t>
      </w:r>
      <w:r w:rsidR="00B42B11">
        <w:rPr>
          <w:rFonts w:ascii="Times New Roman" w:hAnsi="Times New Roman" w:cs="Times New Roman"/>
          <w:sz w:val="24"/>
          <w:szCs w:val="24"/>
        </w:rPr>
        <w:t>could</w:t>
      </w:r>
      <w:r w:rsidR="00B42B11" w:rsidRPr="00B42B11">
        <w:rPr>
          <w:rFonts w:ascii="Times New Roman" w:hAnsi="Times New Roman" w:cs="Times New Roman"/>
          <w:sz w:val="24"/>
          <w:szCs w:val="24"/>
        </w:rPr>
        <w:t xml:space="preserve"> make healthier food choices, and that people who ate three meals daily were also more inclined to have better nutrition knowledge</w:t>
      </w:r>
      <w:r w:rsidRPr="00156376">
        <w:rPr>
          <w:rFonts w:ascii="Times New Roman" w:hAnsi="Times New Roman" w:cs="Times New Roman"/>
          <w:sz w:val="24"/>
          <w:szCs w:val="24"/>
        </w:rPr>
        <w:t xml:space="preserve">. In the same vein, Spronk et al. (2014), in their systematic review, demonstrated that nutrition knowledge is a significant predictor of diet quality, specifically that </w:t>
      </w:r>
      <w:r w:rsidR="00294E01">
        <w:rPr>
          <w:rFonts w:ascii="Times New Roman" w:hAnsi="Times New Roman" w:cs="Times New Roman"/>
          <w:sz w:val="24"/>
          <w:szCs w:val="24"/>
        </w:rPr>
        <w:t>greater nutrition knowledge is associated with greater migration toward</w:t>
      </w:r>
      <w:r>
        <w:rPr>
          <w:rFonts w:ascii="Times New Roman" w:hAnsi="Times New Roman" w:cs="Times New Roman"/>
          <w:sz w:val="24"/>
          <w:szCs w:val="24"/>
        </w:rPr>
        <w:t xml:space="preserve"> healthier patterns, not just in meals but in </w:t>
      </w:r>
      <w:r w:rsidRPr="00156376">
        <w:rPr>
          <w:rFonts w:ascii="Times New Roman" w:hAnsi="Times New Roman" w:cs="Times New Roman"/>
          <w:sz w:val="24"/>
          <w:szCs w:val="24"/>
        </w:rPr>
        <w:t>meals comprising less energy-dense foods.</w:t>
      </w:r>
    </w:p>
    <w:p w14:paraId="64115F49" w14:textId="79288026" w:rsidR="00694AF2" w:rsidRPr="00694AF2" w:rsidRDefault="00AF4268" w:rsidP="005A1DF7">
      <w:pPr>
        <w:spacing w:line="360" w:lineRule="auto"/>
        <w:jc w:val="both"/>
        <w:rPr>
          <w:rFonts w:ascii="Times New Roman" w:hAnsi="Times New Roman" w:cs="Times New Roman"/>
          <w:b/>
          <w:bCs/>
          <w:sz w:val="24"/>
          <w:szCs w:val="24"/>
        </w:rPr>
      </w:pPr>
      <w:r w:rsidRPr="00CB0DFB">
        <w:rPr>
          <w:rFonts w:ascii="Times New Roman" w:hAnsi="Times New Roman" w:cs="Times New Roman"/>
          <w:b/>
          <w:bCs/>
          <w:sz w:val="24"/>
          <w:szCs w:val="24"/>
        </w:rPr>
        <w:t>DISCUSSION</w:t>
      </w:r>
    </w:p>
    <w:p w14:paraId="633FF9C9" w14:textId="55696DF0" w:rsidR="00885A6B" w:rsidRDefault="00125741" w:rsidP="005A1DF7">
      <w:pPr>
        <w:spacing w:line="360" w:lineRule="auto"/>
        <w:jc w:val="both"/>
        <w:rPr>
          <w:rFonts w:ascii="Times New Roman" w:hAnsi="Times New Roman" w:cs="Times New Roman"/>
          <w:sz w:val="24"/>
          <w:szCs w:val="24"/>
        </w:rPr>
      </w:pPr>
      <w:r w:rsidRPr="00125741">
        <w:rPr>
          <w:rFonts w:ascii="Times New Roman" w:hAnsi="Times New Roman" w:cs="Times New Roman"/>
          <w:sz w:val="24"/>
          <w:szCs w:val="24"/>
        </w:rPr>
        <w:t xml:space="preserve">The current research has made important contributions to our understanding of lifestyle </w:t>
      </w:r>
      <w:proofErr w:type="spellStart"/>
      <w:r w:rsidRPr="00125741">
        <w:rPr>
          <w:rFonts w:ascii="Times New Roman" w:hAnsi="Times New Roman" w:cs="Times New Roman"/>
          <w:sz w:val="24"/>
          <w:szCs w:val="24"/>
        </w:rPr>
        <w:t>behaviors</w:t>
      </w:r>
      <w:proofErr w:type="spellEnd"/>
      <w:r w:rsidRPr="00125741">
        <w:rPr>
          <w:rFonts w:ascii="Times New Roman" w:hAnsi="Times New Roman" w:cs="Times New Roman"/>
          <w:sz w:val="24"/>
          <w:szCs w:val="24"/>
        </w:rPr>
        <w:t xml:space="preserve">, nutritional knowledge, and self-care </w:t>
      </w:r>
      <w:proofErr w:type="spellStart"/>
      <w:r w:rsidRPr="00125741">
        <w:rPr>
          <w:rFonts w:ascii="Times New Roman" w:hAnsi="Times New Roman" w:cs="Times New Roman"/>
          <w:sz w:val="24"/>
          <w:szCs w:val="24"/>
        </w:rPr>
        <w:t>behaviors</w:t>
      </w:r>
      <w:proofErr w:type="spellEnd"/>
      <w:r w:rsidRPr="00125741">
        <w:rPr>
          <w:rFonts w:ascii="Times New Roman" w:hAnsi="Times New Roman" w:cs="Times New Roman"/>
          <w:sz w:val="24"/>
          <w:szCs w:val="24"/>
        </w:rPr>
        <w:t xml:space="preserve"> in women with PCOS. The descriptive statistics revealed an interesting paradox. The participants demonstrated </w:t>
      </w:r>
      <w:r w:rsidR="00294E01">
        <w:rPr>
          <w:rFonts w:ascii="Times New Roman" w:hAnsi="Times New Roman" w:cs="Times New Roman"/>
          <w:sz w:val="24"/>
          <w:szCs w:val="24"/>
        </w:rPr>
        <w:t>limited knowledge of</w:t>
      </w:r>
      <w:r w:rsidRPr="00125741">
        <w:rPr>
          <w:rFonts w:ascii="Times New Roman" w:hAnsi="Times New Roman" w:cs="Times New Roman"/>
          <w:sz w:val="24"/>
          <w:szCs w:val="24"/>
        </w:rPr>
        <w:t xml:space="preserve"> physical activity guidelines, yet reported engaging in </w:t>
      </w:r>
      <w:r w:rsidR="005A0532">
        <w:rPr>
          <w:rFonts w:ascii="Times New Roman" w:hAnsi="Times New Roman" w:cs="Times New Roman"/>
          <w:sz w:val="24"/>
          <w:szCs w:val="24"/>
        </w:rPr>
        <w:t xml:space="preserve">high levels of exercise </w:t>
      </w:r>
      <w:r w:rsidR="00294E01">
        <w:rPr>
          <w:rFonts w:ascii="Times New Roman" w:hAnsi="Times New Roman" w:cs="Times New Roman"/>
          <w:sz w:val="24"/>
          <w:szCs w:val="24"/>
        </w:rPr>
        <w:t>across multiple forms, including running, fieldwork</w:t>
      </w:r>
      <w:r w:rsidRPr="00125741">
        <w:rPr>
          <w:rFonts w:ascii="Times New Roman" w:hAnsi="Times New Roman" w:cs="Times New Roman"/>
          <w:sz w:val="24"/>
          <w:szCs w:val="24"/>
        </w:rPr>
        <w:t xml:space="preserve">, jogging, aerobic activity, and yoga. </w:t>
      </w:r>
      <w:r w:rsidR="007070C3">
        <w:rPr>
          <w:rFonts w:ascii="Times New Roman" w:hAnsi="Times New Roman" w:cs="Times New Roman"/>
          <w:sz w:val="24"/>
          <w:szCs w:val="24"/>
        </w:rPr>
        <w:t>Although unaware of the prescribed levels, it is also a knowledge-activity gap, whereby people have reported exercising</w:t>
      </w:r>
      <w:r w:rsidR="002578F2" w:rsidRPr="002578F2">
        <w:rPr>
          <w:rFonts w:ascii="Times New Roman" w:hAnsi="Times New Roman" w:cs="Times New Roman"/>
          <w:sz w:val="24"/>
          <w:szCs w:val="24"/>
        </w:rPr>
        <w:t xml:space="preserve">. Vaara et al. (2019) </w:t>
      </w:r>
      <w:r w:rsidR="00E740EC">
        <w:rPr>
          <w:rFonts w:ascii="Times New Roman" w:hAnsi="Times New Roman" w:cs="Times New Roman"/>
          <w:sz w:val="24"/>
          <w:szCs w:val="24"/>
        </w:rPr>
        <w:t>found that 40%</w:t>
      </w:r>
      <w:r w:rsidR="002578F2" w:rsidRPr="002578F2">
        <w:rPr>
          <w:rFonts w:ascii="Times New Roman" w:hAnsi="Times New Roman" w:cs="Times New Roman"/>
          <w:sz w:val="24"/>
          <w:szCs w:val="24"/>
        </w:rPr>
        <w:t xml:space="preserve"> of the subjects </w:t>
      </w:r>
      <w:r w:rsidR="00E740EC">
        <w:rPr>
          <w:rFonts w:ascii="Times New Roman" w:hAnsi="Times New Roman" w:cs="Times New Roman"/>
          <w:sz w:val="24"/>
          <w:szCs w:val="24"/>
        </w:rPr>
        <w:t>were aware of physical</w:t>
      </w:r>
      <w:r w:rsidR="002578F2" w:rsidRPr="002578F2">
        <w:rPr>
          <w:rFonts w:ascii="Times New Roman" w:hAnsi="Times New Roman" w:cs="Times New Roman"/>
          <w:sz w:val="24"/>
          <w:szCs w:val="24"/>
        </w:rPr>
        <w:t xml:space="preserve"> activity guidelines. </w:t>
      </w:r>
      <w:r w:rsidR="00294E01">
        <w:rPr>
          <w:rFonts w:ascii="Times New Roman" w:hAnsi="Times New Roman" w:cs="Times New Roman"/>
          <w:sz w:val="24"/>
          <w:szCs w:val="24"/>
        </w:rPr>
        <w:t>Only 7% of participants identified the recommendations correctly during aerobic activity</w:t>
      </w:r>
      <w:r w:rsidR="002578F2" w:rsidRPr="002578F2">
        <w:rPr>
          <w:rFonts w:ascii="Times New Roman" w:hAnsi="Times New Roman" w:cs="Times New Roman"/>
          <w:sz w:val="24"/>
          <w:szCs w:val="24"/>
        </w:rPr>
        <w:t xml:space="preserve">. Similarly, </w:t>
      </w:r>
      <w:r w:rsidR="00885A6B" w:rsidRPr="00885A6B">
        <w:rPr>
          <w:rFonts w:ascii="Times New Roman" w:hAnsi="Times New Roman" w:cs="Times New Roman"/>
          <w:sz w:val="24"/>
          <w:szCs w:val="24"/>
        </w:rPr>
        <w:t xml:space="preserve">Piercy et al. (2020) proposed </w:t>
      </w:r>
      <w:r w:rsidR="00794C7C">
        <w:rPr>
          <w:rFonts w:ascii="Times New Roman" w:hAnsi="Times New Roman" w:cs="Times New Roman"/>
          <w:sz w:val="24"/>
          <w:szCs w:val="24"/>
        </w:rPr>
        <w:t xml:space="preserve">that a lack of awareness of dosage (how much, how often) is </w:t>
      </w:r>
      <w:r w:rsidR="003006C5">
        <w:rPr>
          <w:rFonts w:ascii="Times New Roman" w:hAnsi="Times New Roman" w:cs="Times New Roman"/>
          <w:sz w:val="24"/>
          <w:szCs w:val="24"/>
        </w:rPr>
        <w:t>a factor contributing</w:t>
      </w:r>
      <w:r w:rsidR="00885A6B" w:rsidRPr="00885A6B">
        <w:rPr>
          <w:rFonts w:ascii="Times New Roman" w:hAnsi="Times New Roman" w:cs="Times New Roman"/>
          <w:sz w:val="24"/>
          <w:szCs w:val="24"/>
        </w:rPr>
        <w:t xml:space="preserve"> to poor compliance with exercise recommendations.</w:t>
      </w:r>
    </w:p>
    <w:p w14:paraId="44E2A1A8" w14:textId="156C2CDF" w:rsidR="00694AF2" w:rsidRPr="00694AF2" w:rsidRDefault="003467DA" w:rsidP="005A1DF7">
      <w:pPr>
        <w:spacing w:line="360" w:lineRule="auto"/>
        <w:jc w:val="both"/>
        <w:rPr>
          <w:rFonts w:ascii="Times New Roman" w:hAnsi="Times New Roman" w:cs="Times New Roman"/>
          <w:sz w:val="24"/>
          <w:szCs w:val="24"/>
        </w:rPr>
      </w:pPr>
      <w:r w:rsidRPr="003467DA">
        <w:rPr>
          <w:rFonts w:ascii="Times New Roman" w:hAnsi="Times New Roman" w:cs="Times New Roman"/>
          <w:sz w:val="24"/>
          <w:szCs w:val="24"/>
        </w:rPr>
        <w:t xml:space="preserve">The results of the beverage consumption showed that the amounts of </w:t>
      </w:r>
      <w:r>
        <w:rPr>
          <w:rFonts w:ascii="Times New Roman" w:hAnsi="Times New Roman" w:cs="Times New Roman"/>
          <w:sz w:val="24"/>
          <w:szCs w:val="24"/>
        </w:rPr>
        <w:t>energy drinks, coffee, and carbonated drinks were significantly higher, which is alarming and may lead to the</w:t>
      </w:r>
      <w:r w:rsidRPr="003467DA">
        <w:rPr>
          <w:rFonts w:ascii="Times New Roman" w:hAnsi="Times New Roman" w:cs="Times New Roman"/>
          <w:sz w:val="24"/>
          <w:szCs w:val="24"/>
        </w:rPr>
        <w:t xml:space="preserve"> development of metabolic risk. These results are in line with other existing reviews</w:t>
      </w:r>
      <w:r>
        <w:rPr>
          <w:rFonts w:ascii="Times New Roman" w:hAnsi="Times New Roman" w:cs="Times New Roman"/>
          <w:sz w:val="24"/>
          <w:szCs w:val="24"/>
        </w:rPr>
        <w:t>,</w:t>
      </w:r>
      <w:r w:rsidRPr="003467DA">
        <w:rPr>
          <w:rFonts w:ascii="Times New Roman" w:hAnsi="Times New Roman" w:cs="Times New Roman"/>
          <w:sz w:val="24"/>
          <w:szCs w:val="24"/>
        </w:rPr>
        <w:t xml:space="preserve"> which have linked sugar-sweetened beverages to obesity, </w:t>
      </w:r>
      <w:r w:rsidR="00FC354C" w:rsidRPr="00FC354C">
        <w:rPr>
          <w:rFonts w:ascii="Times New Roman" w:hAnsi="Times New Roman" w:cs="Times New Roman"/>
          <w:sz w:val="24"/>
          <w:szCs w:val="24"/>
        </w:rPr>
        <w:t xml:space="preserve">insulin insensitivity, and heart complications. (Hu, 2013; Malik et al., 2010). Despite moderately high levels of nutrition and healthy lifestyle awareness, participants have shown deficiencies in glucose monitoring and knowledge of </w:t>
      </w:r>
      <w:r w:rsidR="00FE25C2">
        <w:rPr>
          <w:rFonts w:ascii="Times New Roman" w:hAnsi="Times New Roman" w:cs="Times New Roman"/>
          <w:sz w:val="24"/>
          <w:szCs w:val="24"/>
        </w:rPr>
        <w:t>meal intervals, as reflected in the international literature, which indicates that low nutritional literacy tends to be associated with</w:t>
      </w:r>
      <w:r w:rsidR="00FC354C" w:rsidRPr="00FC354C">
        <w:rPr>
          <w:rFonts w:ascii="Times New Roman" w:hAnsi="Times New Roman" w:cs="Times New Roman"/>
          <w:sz w:val="24"/>
          <w:szCs w:val="24"/>
        </w:rPr>
        <w:t xml:space="preserve"> unstable dieting patterns</w:t>
      </w:r>
      <w:r w:rsidR="00694AF2" w:rsidRPr="00694AF2">
        <w:rPr>
          <w:rFonts w:ascii="Times New Roman" w:hAnsi="Times New Roman" w:cs="Times New Roman"/>
          <w:sz w:val="24"/>
          <w:szCs w:val="24"/>
        </w:rPr>
        <w:t xml:space="preserve"> (Spronk et al., 2014; Wardle et al., 2000).</w:t>
      </w:r>
    </w:p>
    <w:p w14:paraId="42C46411" w14:textId="5AFD2F5A" w:rsidR="002C70C3" w:rsidRDefault="00694AF2" w:rsidP="000340F7">
      <w:pPr>
        <w:spacing w:line="360" w:lineRule="auto"/>
        <w:jc w:val="both"/>
        <w:rPr>
          <w:rFonts w:ascii="Times New Roman" w:hAnsi="Times New Roman" w:cs="Times New Roman"/>
          <w:sz w:val="24"/>
          <w:szCs w:val="24"/>
        </w:rPr>
      </w:pPr>
      <w:r w:rsidRPr="00694AF2">
        <w:rPr>
          <w:rFonts w:ascii="Times New Roman" w:hAnsi="Times New Roman" w:cs="Times New Roman"/>
          <w:sz w:val="24"/>
          <w:szCs w:val="24"/>
        </w:rPr>
        <w:t xml:space="preserve">Meal frequency emerged as </w:t>
      </w:r>
      <w:r w:rsidR="00CD27ED" w:rsidRPr="00131BBC">
        <w:rPr>
          <w:rFonts w:ascii="Times New Roman" w:hAnsi="Times New Roman" w:cs="Times New Roman"/>
          <w:sz w:val="24"/>
          <w:szCs w:val="24"/>
        </w:rPr>
        <w:t>a significant</w:t>
      </w:r>
      <w:r w:rsidRPr="00694AF2">
        <w:rPr>
          <w:rFonts w:ascii="Times New Roman" w:hAnsi="Times New Roman" w:cs="Times New Roman"/>
          <w:sz w:val="24"/>
          <w:szCs w:val="24"/>
        </w:rPr>
        <w:t xml:space="preserve"> variable. </w:t>
      </w:r>
      <w:r w:rsidR="00233E0C" w:rsidRPr="00233E0C">
        <w:rPr>
          <w:rFonts w:ascii="Times New Roman" w:hAnsi="Times New Roman" w:cs="Times New Roman"/>
          <w:sz w:val="24"/>
          <w:szCs w:val="24"/>
        </w:rPr>
        <w:t xml:space="preserve">The chi-square test showed that nutrition knowledge and the number of meals a day </w:t>
      </w:r>
      <w:r w:rsidR="00233E0C">
        <w:rPr>
          <w:rFonts w:ascii="Times New Roman" w:hAnsi="Times New Roman" w:cs="Times New Roman"/>
          <w:sz w:val="24"/>
          <w:szCs w:val="24"/>
        </w:rPr>
        <w:t>were strongly correlated (χ²</w:t>
      </w:r>
      <w:r w:rsidR="00233E0C" w:rsidRPr="00233E0C">
        <w:rPr>
          <w:rFonts w:ascii="Times New Roman" w:hAnsi="Times New Roman" w:cs="Times New Roman"/>
          <w:sz w:val="24"/>
          <w:szCs w:val="24"/>
        </w:rPr>
        <w:t xml:space="preserve"> = 9.161, p = 0.010). More nutritionally informed participants were more likely to eat three meals a day, which </w:t>
      </w:r>
      <w:r w:rsidR="00233E0C">
        <w:rPr>
          <w:rFonts w:ascii="Times New Roman" w:hAnsi="Times New Roman" w:cs="Times New Roman"/>
          <w:sz w:val="24"/>
          <w:szCs w:val="24"/>
        </w:rPr>
        <w:t xml:space="preserve">aligns with dietary guidelines suggesting that people should take multiple meals throughout the day </w:t>
      </w:r>
      <w:r w:rsidR="00233E0C">
        <w:rPr>
          <w:rFonts w:ascii="Times New Roman" w:hAnsi="Times New Roman" w:cs="Times New Roman"/>
          <w:sz w:val="24"/>
          <w:szCs w:val="24"/>
        </w:rPr>
        <w:lastRenderedPageBreak/>
        <w:t>to maintain</w:t>
      </w:r>
      <w:r w:rsidR="00233E0C" w:rsidRPr="00233E0C">
        <w:rPr>
          <w:rFonts w:ascii="Times New Roman" w:hAnsi="Times New Roman" w:cs="Times New Roman"/>
          <w:sz w:val="24"/>
          <w:szCs w:val="24"/>
        </w:rPr>
        <w:t xml:space="preserve"> a constant metabolic state (St-Onge et al., 2017)</w:t>
      </w:r>
      <w:r w:rsidR="007070C3" w:rsidRPr="002C70C3">
        <w:rPr>
          <w:rFonts w:ascii="Times New Roman" w:hAnsi="Times New Roman" w:cs="Times New Roman"/>
          <w:sz w:val="24"/>
          <w:szCs w:val="24"/>
        </w:rPr>
        <w:t>.</w:t>
      </w:r>
      <w:r w:rsidRPr="002C70C3">
        <w:rPr>
          <w:rFonts w:ascii="Times New Roman" w:hAnsi="Times New Roman" w:cs="Times New Roman"/>
          <w:sz w:val="24"/>
          <w:szCs w:val="24"/>
        </w:rPr>
        <w:t xml:space="preserve"> </w:t>
      </w:r>
      <w:r w:rsidR="002C70C3" w:rsidRPr="002C70C3">
        <w:rPr>
          <w:rFonts w:ascii="Times New Roman" w:hAnsi="Times New Roman" w:cs="Times New Roman"/>
          <w:sz w:val="24"/>
          <w:szCs w:val="24"/>
        </w:rPr>
        <w:t xml:space="preserve">It is </w:t>
      </w:r>
      <w:r w:rsidR="003213C4">
        <w:rPr>
          <w:rFonts w:ascii="Times New Roman" w:hAnsi="Times New Roman" w:cs="Times New Roman"/>
          <w:sz w:val="24"/>
          <w:szCs w:val="24"/>
        </w:rPr>
        <w:t>supported by research showing that adolescents in India who exhibit higher levels of nutritional knowledge report</w:t>
      </w:r>
      <w:r w:rsidR="002C70C3" w:rsidRPr="002C70C3">
        <w:rPr>
          <w:rFonts w:ascii="Times New Roman" w:hAnsi="Times New Roman" w:cs="Times New Roman"/>
          <w:sz w:val="24"/>
          <w:szCs w:val="24"/>
        </w:rPr>
        <w:t xml:space="preserve"> healthier diets (Rathi et al., 2017). Hence, the correlation in </w:t>
      </w:r>
      <w:r w:rsidR="003213C4">
        <w:rPr>
          <w:rFonts w:ascii="Times New Roman" w:hAnsi="Times New Roman" w:cs="Times New Roman"/>
          <w:sz w:val="24"/>
          <w:szCs w:val="24"/>
        </w:rPr>
        <w:t>this research underscores the role of consciousness in shaping</w:t>
      </w:r>
      <w:r w:rsidR="002C70C3" w:rsidRPr="002C70C3">
        <w:rPr>
          <w:rFonts w:ascii="Times New Roman" w:hAnsi="Times New Roman" w:cs="Times New Roman"/>
          <w:sz w:val="24"/>
          <w:szCs w:val="24"/>
        </w:rPr>
        <w:t xml:space="preserve"> realistic food preferences.</w:t>
      </w:r>
    </w:p>
    <w:p w14:paraId="13FB2C7B" w14:textId="6BC46E5E" w:rsidR="000340F7" w:rsidRPr="000340F7" w:rsidRDefault="00F30276" w:rsidP="000340F7">
      <w:pPr>
        <w:spacing w:line="360" w:lineRule="auto"/>
        <w:jc w:val="both"/>
        <w:rPr>
          <w:rFonts w:ascii="Times New Roman" w:hAnsi="Times New Roman" w:cs="Times New Roman"/>
          <w:sz w:val="24"/>
          <w:szCs w:val="24"/>
        </w:rPr>
      </w:pPr>
      <w:r w:rsidRPr="00F30276">
        <w:rPr>
          <w:rFonts w:ascii="Times New Roman" w:hAnsi="Times New Roman" w:cs="Times New Roman"/>
          <w:sz w:val="24"/>
          <w:szCs w:val="24"/>
        </w:rPr>
        <w:t xml:space="preserve">It is also important to consider stress and sleep-related variables. Participants reported moderate stress levels, but the reasons behind the stress varied significantly, </w:t>
      </w:r>
      <w:r w:rsidR="005829B4" w:rsidRPr="005829B4">
        <w:rPr>
          <w:rFonts w:ascii="Times New Roman" w:hAnsi="Times New Roman" w:cs="Times New Roman"/>
          <w:sz w:val="24"/>
          <w:szCs w:val="24"/>
        </w:rPr>
        <w:t xml:space="preserve">stressing the intricacy of the psychosocial </w:t>
      </w:r>
      <w:r w:rsidR="007070C3">
        <w:rPr>
          <w:rFonts w:ascii="Times New Roman" w:hAnsi="Times New Roman" w:cs="Times New Roman"/>
          <w:sz w:val="24"/>
          <w:szCs w:val="24"/>
        </w:rPr>
        <w:t>surroundings</w:t>
      </w:r>
      <w:r w:rsidR="005829B4" w:rsidRPr="005829B4">
        <w:rPr>
          <w:rFonts w:ascii="Times New Roman" w:hAnsi="Times New Roman" w:cs="Times New Roman"/>
          <w:sz w:val="24"/>
          <w:szCs w:val="24"/>
        </w:rPr>
        <w:t xml:space="preserve"> of those with PCOS. Sleep data indicated </w:t>
      </w:r>
      <w:r w:rsidR="00294E01">
        <w:rPr>
          <w:rFonts w:ascii="Times New Roman" w:hAnsi="Times New Roman" w:cs="Times New Roman"/>
          <w:sz w:val="24"/>
          <w:szCs w:val="24"/>
        </w:rPr>
        <w:t>irregular patterns and limited familiarity with the optimal duration of sleep, consistent with the sleep-health literature's</w:t>
      </w:r>
      <w:r w:rsidR="005829B4" w:rsidRPr="005829B4">
        <w:rPr>
          <w:rFonts w:ascii="Times New Roman" w:hAnsi="Times New Roman" w:cs="Times New Roman"/>
          <w:sz w:val="24"/>
          <w:szCs w:val="24"/>
        </w:rPr>
        <w:t xml:space="preserve"> record of a general lack of restorative sleep (</w:t>
      </w:r>
      <w:proofErr w:type="spellStart"/>
      <w:r w:rsidR="005829B4" w:rsidRPr="005829B4">
        <w:rPr>
          <w:rFonts w:ascii="Times New Roman" w:hAnsi="Times New Roman" w:cs="Times New Roman"/>
          <w:sz w:val="24"/>
          <w:szCs w:val="24"/>
        </w:rPr>
        <w:t>Hirshkowitz</w:t>
      </w:r>
      <w:proofErr w:type="spellEnd"/>
      <w:r w:rsidR="005829B4" w:rsidRPr="005829B4">
        <w:rPr>
          <w:rFonts w:ascii="Times New Roman" w:hAnsi="Times New Roman" w:cs="Times New Roman"/>
          <w:sz w:val="24"/>
          <w:szCs w:val="24"/>
        </w:rPr>
        <w:t xml:space="preserve"> et al., 2015)</w:t>
      </w:r>
      <w:r w:rsidRPr="00F30276">
        <w:rPr>
          <w:rFonts w:ascii="Times New Roman" w:hAnsi="Times New Roman" w:cs="Times New Roman"/>
          <w:sz w:val="24"/>
          <w:szCs w:val="24"/>
        </w:rPr>
        <w:t xml:space="preserve">. </w:t>
      </w:r>
      <w:r w:rsidR="000340F7" w:rsidRPr="000340F7">
        <w:rPr>
          <w:rFonts w:ascii="Times New Roman" w:hAnsi="Times New Roman" w:cs="Times New Roman"/>
          <w:sz w:val="24"/>
          <w:szCs w:val="24"/>
        </w:rPr>
        <w:t xml:space="preserve">Also, a high frequency of eating out (high mean scores) </w:t>
      </w:r>
      <w:r w:rsidR="003213C4">
        <w:rPr>
          <w:rFonts w:ascii="Times New Roman" w:hAnsi="Times New Roman" w:cs="Times New Roman"/>
          <w:sz w:val="24"/>
          <w:szCs w:val="24"/>
        </w:rPr>
        <w:t>suggests a risk</w:t>
      </w:r>
      <w:r w:rsidR="000340F7" w:rsidRPr="000340F7">
        <w:rPr>
          <w:rFonts w:ascii="Times New Roman" w:hAnsi="Times New Roman" w:cs="Times New Roman"/>
          <w:sz w:val="24"/>
          <w:szCs w:val="24"/>
        </w:rPr>
        <w:t xml:space="preserve"> of malnutrition. </w:t>
      </w:r>
      <w:r w:rsidR="003213C4">
        <w:rPr>
          <w:rFonts w:ascii="Times New Roman" w:hAnsi="Times New Roman" w:cs="Times New Roman"/>
          <w:sz w:val="24"/>
          <w:szCs w:val="24"/>
        </w:rPr>
        <w:t xml:space="preserve">International studies have demonstrated that eating out of the home and a poor diet quality </w:t>
      </w:r>
      <w:r w:rsidR="000340F7" w:rsidRPr="000340F7">
        <w:rPr>
          <w:rFonts w:ascii="Times New Roman" w:hAnsi="Times New Roman" w:cs="Times New Roman"/>
          <w:sz w:val="24"/>
          <w:szCs w:val="24"/>
        </w:rPr>
        <w:t xml:space="preserve">correlate with poor health outcomes (Adams et al., 2015; Du et al., 2021; </w:t>
      </w:r>
      <w:proofErr w:type="spellStart"/>
      <w:r w:rsidR="000340F7" w:rsidRPr="000340F7">
        <w:rPr>
          <w:rFonts w:ascii="Times New Roman" w:hAnsi="Times New Roman" w:cs="Times New Roman"/>
          <w:sz w:val="24"/>
          <w:szCs w:val="24"/>
        </w:rPr>
        <w:t>Gesteiro</w:t>
      </w:r>
      <w:proofErr w:type="spellEnd"/>
      <w:r w:rsidR="000340F7" w:rsidRPr="000340F7">
        <w:rPr>
          <w:rFonts w:ascii="Times New Roman" w:hAnsi="Times New Roman" w:cs="Times New Roman"/>
          <w:sz w:val="24"/>
          <w:szCs w:val="24"/>
        </w:rPr>
        <w:t xml:space="preserve"> et al., 2022).</w:t>
      </w:r>
    </w:p>
    <w:p w14:paraId="5B3210B0" w14:textId="1B3217B6" w:rsidR="00694AF2" w:rsidRPr="00D56632" w:rsidRDefault="000340F7" w:rsidP="005A1DF7">
      <w:pPr>
        <w:spacing w:line="360" w:lineRule="auto"/>
        <w:jc w:val="both"/>
        <w:rPr>
          <w:rFonts w:ascii="Times New Roman" w:hAnsi="Times New Roman" w:cs="Times New Roman"/>
          <w:sz w:val="24"/>
          <w:szCs w:val="24"/>
        </w:rPr>
      </w:pPr>
      <w:r w:rsidRPr="000340F7">
        <w:rPr>
          <w:rFonts w:ascii="Times New Roman" w:hAnsi="Times New Roman" w:cs="Times New Roman"/>
          <w:sz w:val="24"/>
          <w:szCs w:val="24"/>
        </w:rPr>
        <w:t xml:space="preserve">The results depict the effects of lifestyle preferences and nutrition awareness on PCOS risk determinants. Although active </w:t>
      </w:r>
      <w:proofErr w:type="spellStart"/>
      <w:r w:rsidRPr="000340F7">
        <w:rPr>
          <w:rFonts w:ascii="Times New Roman" w:hAnsi="Times New Roman" w:cs="Times New Roman"/>
          <w:sz w:val="24"/>
          <w:szCs w:val="24"/>
        </w:rPr>
        <w:t>behavior</w:t>
      </w:r>
      <w:proofErr w:type="spellEnd"/>
      <w:r w:rsidRPr="000340F7">
        <w:rPr>
          <w:rFonts w:ascii="Times New Roman" w:hAnsi="Times New Roman" w:cs="Times New Roman"/>
          <w:sz w:val="24"/>
          <w:szCs w:val="24"/>
        </w:rPr>
        <w:t xml:space="preserve"> is widespread, dietary habits, especially excessive drinking of sweet drinks and eating out</w:t>
      </w:r>
      <w:r w:rsidR="003213C4">
        <w:rPr>
          <w:rFonts w:ascii="Times New Roman" w:hAnsi="Times New Roman" w:cs="Times New Roman"/>
          <w:sz w:val="24"/>
          <w:szCs w:val="24"/>
        </w:rPr>
        <w:t>,</w:t>
      </w:r>
      <w:r w:rsidRPr="000340F7">
        <w:rPr>
          <w:rFonts w:ascii="Times New Roman" w:hAnsi="Times New Roman" w:cs="Times New Roman"/>
          <w:sz w:val="24"/>
          <w:szCs w:val="24"/>
        </w:rPr>
        <w:t xml:space="preserve"> could negate the effect of physical exercise. The high correlation between nutritional awareness and </w:t>
      </w:r>
      <w:r w:rsidR="003213C4">
        <w:rPr>
          <w:rFonts w:ascii="Times New Roman" w:hAnsi="Times New Roman" w:cs="Times New Roman"/>
          <w:sz w:val="24"/>
          <w:szCs w:val="24"/>
        </w:rPr>
        <w:t>meal frequency also underscores</w:t>
      </w:r>
      <w:r w:rsidRPr="000340F7">
        <w:rPr>
          <w:rFonts w:ascii="Times New Roman" w:hAnsi="Times New Roman" w:cs="Times New Roman"/>
          <w:sz w:val="24"/>
          <w:szCs w:val="24"/>
        </w:rPr>
        <w:t xml:space="preserve"> the importance of educational interventions to help close knowledge-practice gaps.</w:t>
      </w:r>
    </w:p>
    <w:p w14:paraId="2AB71278" w14:textId="659CE344" w:rsidR="00694AF2" w:rsidRPr="00D56632" w:rsidRDefault="00AF4268" w:rsidP="005A1DF7">
      <w:pPr>
        <w:spacing w:line="360" w:lineRule="auto"/>
        <w:jc w:val="both"/>
        <w:rPr>
          <w:rFonts w:ascii="Times New Roman" w:hAnsi="Times New Roman" w:cs="Times New Roman"/>
          <w:b/>
          <w:bCs/>
          <w:sz w:val="24"/>
          <w:szCs w:val="24"/>
        </w:rPr>
      </w:pPr>
      <w:r w:rsidRPr="00D56632">
        <w:rPr>
          <w:rFonts w:ascii="Times New Roman" w:hAnsi="Times New Roman" w:cs="Times New Roman"/>
          <w:b/>
          <w:bCs/>
          <w:sz w:val="24"/>
          <w:szCs w:val="24"/>
        </w:rPr>
        <w:t>CONCLUSION</w:t>
      </w:r>
    </w:p>
    <w:p w14:paraId="244B0F4A" w14:textId="23F75853" w:rsidR="00F30276" w:rsidRDefault="00D56632" w:rsidP="005A1DF7">
      <w:pPr>
        <w:spacing w:line="360" w:lineRule="auto"/>
        <w:jc w:val="both"/>
        <w:rPr>
          <w:rFonts w:ascii="Times New Roman" w:hAnsi="Times New Roman" w:cs="Times New Roman"/>
          <w:sz w:val="24"/>
          <w:szCs w:val="24"/>
        </w:rPr>
      </w:pPr>
      <w:r w:rsidRPr="00D56632">
        <w:rPr>
          <w:rFonts w:ascii="Times New Roman" w:hAnsi="Times New Roman" w:cs="Times New Roman"/>
          <w:sz w:val="24"/>
          <w:szCs w:val="24"/>
        </w:rPr>
        <w:t xml:space="preserve">This study shows important awareness and </w:t>
      </w:r>
      <w:proofErr w:type="spellStart"/>
      <w:r w:rsidRPr="00D56632">
        <w:rPr>
          <w:rFonts w:ascii="Times New Roman" w:hAnsi="Times New Roman" w:cs="Times New Roman"/>
          <w:sz w:val="24"/>
          <w:szCs w:val="24"/>
        </w:rPr>
        <w:t>behavior</w:t>
      </w:r>
      <w:proofErr w:type="spellEnd"/>
      <w:r w:rsidRPr="00D56632">
        <w:rPr>
          <w:rFonts w:ascii="Times New Roman" w:hAnsi="Times New Roman" w:cs="Times New Roman"/>
          <w:sz w:val="24"/>
          <w:szCs w:val="24"/>
        </w:rPr>
        <w:t xml:space="preserve"> patterns for women with PCOS. While physical activity is generally a key practice for women with PCOS, health knowledge is limited. For example, among the women in this study, high consumption of carbonated and energy drinks, irregular meal patterns, and frequent dining out suggest a lifestyle that might contribute to metabolic risk. </w:t>
      </w:r>
      <w:r w:rsidR="005A0532">
        <w:rPr>
          <w:rFonts w:ascii="Times New Roman" w:hAnsi="Times New Roman" w:cs="Times New Roman"/>
          <w:sz w:val="24"/>
          <w:szCs w:val="24"/>
        </w:rPr>
        <w:t xml:space="preserve">The significant association </w:t>
      </w:r>
      <w:r w:rsidR="00294E01">
        <w:rPr>
          <w:rFonts w:ascii="Times New Roman" w:hAnsi="Times New Roman" w:cs="Times New Roman"/>
          <w:sz w:val="24"/>
          <w:szCs w:val="24"/>
        </w:rPr>
        <w:t>between nutrition awareness and daily meal frequency is new to the PCOS literature, underscoring the importance</w:t>
      </w:r>
      <w:r w:rsidR="002C7074" w:rsidRPr="002C7074">
        <w:rPr>
          <w:rFonts w:ascii="Times New Roman" w:hAnsi="Times New Roman" w:cs="Times New Roman"/>
          <w:sz w:val="24"/>
          <w:szCs w:val="24"/>
        </w:rPr>
        <w:t xml:space="preserve"> of knowledge in promoting better eating habits. Conclusively, this paper recommends </w:t>
      </w:r>
      <w:r w:rsidR="00294E01">
        <w:rPr>
          <w:rFonts w:ascii="Times New Roman" w:hAnsi="Times New Roman" w:cs="Times New Roman"/>
          <w:sz w:val="24"/>
          <w:szCs w:val="24"/>
        </w:rPr>
        <w:t>extensive outreach interventions to support proper perceptions</w:t>
      </w:r>
      <w:r w:rsidR="002C7074" w:rsidRPr="002C7074">
        <w:rPr>
          <w:rFonts w:ascii="Times New Roman" w:hAnsi="Times New Roman" w:cs="Times New Roman"/>
          <w:sz w:val="24"/>
          <w:szCs w:val="24"/>
        </w:rPr>
        <w:t xml:space="preserve"> of physical activity, nutrition education, sleep hygiene, stress management, and dietary habits. It should be the central </w:t>
      </w:r>
      <w:r w:rsidR="00294E01">
        <w:rPr>
          <w:rFonts w:ascii="Times New Roman" w:hAnsi="Times New Roman" w:cs="Times New Roman"/>
          <w:sz w:val="24"/>
          <w:szCs w:val="24"/>
        </w:rPr>
        <w:t xml:space="preserve">focus of </w:t>
      </w:r>
      <w:r w:rsidR="009C78A0">
        <w:rPr>
          <w:rFonts w:ascii="Times New Roman" w:hAnsi="Times New Roman" w:cs="Times New Roman"/>
          <w:sz w:val="24"/>
          <w:szCs w:val="24"/>
        </w:rPr>
        <w:t>developing these programs to</w:t>
      </w:r>
      <w:r w:rsidR="00294E01">
        <w:rPr>
          <w:rFonts w:ascii="Times New Roman" w:hAnsi="Times New Roman" w:cs="Times New Roman"/>
          <w:sz w:val="24"/>
          <w:szCs w:val="24"/>
        </w:rPr>
        <w:t xml:space="preserve"> achieve better lifestyle outcomes and minimize potential</w:t>
      </w:r>
      <w:r w:rsidR="002C7074" w:rsidRPr="002C7074">
        <w:rPr>
          <w:rFonts w:ascii="Times New Roman" w:hAnsi="Times New Roman" w:cs="Times New Roman"/>
          <w:sz w:val="24"/>
          <w:szCs w:val="24"/>
        </w:rPr>
        <w:t xml:space="preserve"> long-term health risks related to PCOS.</w:t>
      </w:r>
    </w:p>
    <w:p w14:paraId="3BEB4181" w14:textId="77777777" w:rsidR="00E65F17" w:rsidRDefault="00E65F17" w:rsidP="005A1DF7">
      <w:pPr>
        <w:spacing w:line="360" w:lineRule="auto"/>
        <w:jc w:val="both"/>
        <w:rPr>
          <w:rFonts w:ascii="Times New Roman" w:hAnsi="Times New Roman" w:cs="Times New Roman"/>
          <w:sz w:val="24"/>
          <w:szCs w:val="24"/>
        </w:rPr>
      </w:pPr>
    </w:p>
    <w:p w14:paraId="773CE01A" w14:textId="77777777" w:rsidR="00E65F17" w:rsidRPr="00F30276" w:rsidRDefault="00E65F17" w:rsidP="005A1DF7">
      <w:pPr>
        <w:spacing w:line="360" w:lineRule="auto"/>
        <w:jc w:val="both"/>
        <w:rPr>
          <w:rFonts w:ascii="Times New Roman" w:hAnsi="Times New Roman" w:cs="Times New Roman"/>
          <w:sz w:val="24"/>
          <w:szCs w:val="24"/>
        </w:rPr>
      </w:pPr>
    </w:p>
    <w:p w14:paraId="601C0EF6" w14:textId="3F1F068C" w:rsidR="00DF1938" w:rsidRPr="00CB0DFB" w:rsidRDefault="00131BBC" w:rsidP="005A1DF7">
      <w:pPr>
        <w:spacing w:line="360" w:lineRule="auto"/>
        <w:jc w:val="both"/>
        <w:rPr>
          <w:rFonts w:ascii="Times New Roman" w:hAnsi="Times New Roman" w:cs="Times New Roman"/>
          <w:b/>
          <w:bCs/>
          <w:sz w:val="24"/>
          <w:szCs w:val="24"/>
        </w:rPr>
      </w:pPr>
      <w:r w:rsidRPr="00CB0DFB">
        <w:rPr>
          <w:rFonts w:ascii="Times New Roman" w:hAnsi="Times New Roman" w:cs="Times New Roman"/>
          <w:b/>
          <w:bCs/>
          <w:sz w:val="24"/>
          <w:szCs w:val="24"/>
        </w:rPr>
        <w:lastRenderedPageBreak/>
        <w:t xml:space="preserve">REFERENCES </w:t>
      </w:r>
    </w:p>
    <w:p w14:paraId="48DFB104" w14:textId="04712AD7"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Adams, J., Goffe, L., Brown, T., Lake, A. A., Summerbell, C., White, M., Wrieden, W., &amp; Adamson, A. J. (2015). Frequency and socio-demographic correlates of eating meals out and take-away meals at home: cross-sectional analysis of the UK national diet and nutrition survey, waves 1–4 (2008–12). </w:t>
      </w:r>
      <w:r w:rsidRPr="00131BBC">
        <w:rPr>
          <w:rFonts w:ascii="Times New Roman" w:hAnsi="Times New Roman" w:cs="Times New Roman"/>
          <w:i/>
          <w:iCs/>
          <w:sz w:val="24"/>
          <w:szCs w:val="24"/>
        </w:rPr>
        <w:t xml:space="preserve">International Journal of </w:t>
      </w:r>
      <w:proofErr w:type="spellStart"/>
      <w:r w:rsidRPr="00131BBC">
        <w:rPr>
          <w:rFonts w:ascii="Times New Roman" w:hAnsi="Times New Roman" w:cs="Times New Roman"/>
          <w:i/>
          <w:iCs/>
          <w:sz w:val="24"/>
          <w:szCs w:val="24"/>
        </w:rPr>
        <w:t>Behavioral</w:t>
      </w:r>
      <w:proofErr w:type="spellEnd"/>
      <w:r w:rsidRPr="00131BBC">
        <w:rPr>
          <w:rFonts w:ascii="Times New Roman" w:hAnsi="Times New Roman" w:cs="Times New Roman"/>
          <w:i/>
          <w:iCs/>
          <w:sz w:val="24"/>
          <w:szCs w:val="24"/>
        </w:rPr>
        <w:t xml:space="preserve"> Nutrition and Physical Activity, 12</w:t>
      </w:r>
      <w:r w:rsidRPr="00131BBC">
        <w:rPr>
          <w:rFonts w:ascii="Times New Roman" w:hAnsi="Times New Roman" w:cs="Times New Roman"/>
          <w:sz w:val="24"/>
          <w:szCs w:val="24"/>
        </w:rPr>
        <w:t>(1), 51. https://doi.org/10.1186/s12966-015-0210-8</w:t>
      </w:r>
    </w:p>
    <w:p w14:paraId="4896BECB" w14:textId="1D17CF3B"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Du, Y., Wang, X., Su, C., Zhang, B., Popkin, B. M., &amp; Zhang, J. (2021). Association of frequency of eating away-from-home meals with risk of all-cause and cause-specific mortality: A prospective cohort study. </w:t>
      </w:r>
      <w:r w:rsidRPr="00131BBC">
        <w:rPr>
          <w:rFonts w:ascii="Times New Roman" w:hAnsi="Times New Roman" w:cs="Times New Roman"/>
          <w:i/>
          <w:iCs/>
          <w:sz w:val="24"/>
          <w:szCs w:val="24"/>
        </w:rPr>
        <w:t>Journal of the Academy of Nutrition and Dietetics, 121</w:t>
      </w:r>
      <w:r w:rsidRPr="00131BBC">
        <w:rPr>
          <w:rFonts w:ascii="Times New Roman" w:hAnsi="Times New Roman" w:cs="Times New Roman"/>
          <w:sz w:val="24"/>
          <w:szCs w:val="24"/>
        </w:rPr>
        <w:t>(9), 1746–1758. https://doi.org/10.1016/j.jand.2021.02.006</w:t>
      </w:r>
    </w:p>
    <w:p w14:paraId="5A225181" w14:textId="399AEEC7"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proofErr w:type="spellStart"/>
      <w:r w:rsidRPr="00131BBC">
        <w:rPr>
          <w:rFonts w:ascii="Times New Roman" w:hAnsi="Times New Roman" w:cs="Times New Roman"/>
          <w:sz w:val="24"/>
          <w:szCs w:val="24"/>
        </w:rPr>
        <w:t>Gesteiro</w:t>
      </w:r>
      <w:proofErr w:type="spellEnd"/>
      <w:r w:rsidRPr="00131BBC">
        <w:rPr>
          <w:rFonts w:ascii="Times New Roman" w:hAnsi="Times New Roman" w:cs="Times New Roman"/>
          <w:sz w:val="24"/>
          <w:szCs w:val="24"/>
        </w:rPr>
        <w:t xml:space="preserve">, E., Rodríguez-Martín, A., &amp; Bastida, S. (2022). Eating out, health, and well-being: A narrative review. </w:t>
      </w:r>
      <w:r w:rsidRPr="00131BBC">
        <w:rPr>
          <w:rFonts w:ascii="Times New Roman" w:hAnsi="Times New Roman" w:cs="Times New Roman"/>
          <w:i/>
          <w:iCs/>
          <w:sz w:val="24"/>
          <w:szCs w:val="24"/>
        </w:rPr>
        <w:t>Nutrients, 14</w:t>
      </w:r>
      <w:r w:rsidRPr="00131BBC">
        <w:rPr>
          <w:rFonts w:ascii="Times New Roman" w:hAnsi="Times New Roman" w:cs="Times New Roman"/>
          <w:sz w:val="24"/>
          <w:szCs w:val="24"/>
        </w:rPr>
        <w:t>(7), 1452. https://doi.org/10.3390/nu14071452</w:t>
      </w:r>
    </w:p>
    <w:p w14:paraId="719DA0F2" w14:textId="58076889"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Hirshkowitz, M., Whiton, K., Albert, S. M., Alessi, C., Bruni, O., DonCarlos, L., Hazen, N., Herman, J., Hillard, P. J., Katz, E. S., </w:t>
      </w:r>
      <w:proofErr w:type="spellStart"/>
      <w:r w:rsidRPr="00131BBC">
        <w:rPr>
          <w:rFonts w:ascii="Times New Roman" w:hAnsi="Times New Roman" w:cs="Times New Roman"/>
          <w:sz w:val="24"/>
          <w:szCs w:val="24"/>
        </w:rPr>
        <w:t>Kheirandish-Gozal</w:t>
      </w:r>
      <w:proofErr w:type="spellEnd"/>
      <w:r w:rsidRPr="00131BBC">
        <w:rPr>
          <w:rFonts w:ascii="Times New Roman" w:hAnsi="Times New Roman" w:cs="Times New Roman"/>
          <w:sz w:val="24"/>
          <w:szCs w:val="24"/>
        </w:rPr>
        <w:t xml:space="preserve">, L., Neubauer, D. N., O’Donnell, A. E., Ohayon, M., Peever, J., Rawding, R., Sachdeva, R. C., Setters, B., Vitiello, M. V., … Adams Hillard, P. J. (2015). National Sleep Foundation’s sleep time duration recommendations: methodology and results summary. </w:t>
      </w:r>
      <w:r w:rsidRPr="00131BBC">
        <w:rPr>
          <w:rFonts w:ascii="Times New Roman" w:hAnsi="Times New Roman" w:cs="Times New Roman"/>
          <w:i/>
          <w:iCs/>
          <w:sz w:val="24"/>
          <w:szCs w:val="24"/>
        </w:rPr>
        <w:t>Sleep Health, 1</w:t>
      </w:r>
      <w:r w:rsidRPr="00131BBC">
        <w:rPr>
          <w:rFonts w:ascii="Times New Roman" w:hAnsi="Times New Roman" w:cs="Times New Roman"/>
          <w:sz w:val="24"/>
          <w:szCs w:val="24"/>
        </w:rPr>
        <w:t>(1), 40–43. https://doi.org/10.1016/j.jsxh.2014.12.010</w:t>
      </w:r>
    </w:p>
    <w:p w14:paraId="47345102" w14:textId="2D5C6B9E"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Hu, F. B. (2013). Resolved: </w:t>
      </w:r>
      <w:r w:rsidR="00CD27ED" w:rsidRPr="00131BBC">
        <w:rPr>
          <w:rFonts w:ascii="Times New Roman" w:hAnsi="Times New Roman" w:cs="Times New Roman"/>
          <w:sz w:val="24"/>
          <w:szCs w:val="24"/>
        </w:rPr>
        <w:t>sufficient scientific evidence shows</w:t>
      </w:r>
      <w:r w:rsidRPr="00131BBC">
        <w:rPr>
          <w:rFonts w:ascii="Times New Roman" w:hAnsi="Times New Roman" w:cs="Times New Roman"/>
          <w:sz w:val="24"/>
          <w:szCs w:val="24"/>
        </w:rPr>
        <w:t xml:space="preserve"> that decreasing sugar‐sweetened beverage consumption will reduce the prevalence of obesity and obesity‐related diseases. </w:t>
      </w:r>
      <w:r w:rsidRPr="00131BBC">
        <w:rPr>
          <w:rFonts w:ascii="Times New Roman" w:hAnsi="Times New Roman" w:cs="Times New Roman"/>
          <w:i/>
          <w:iCs/>
          <w:sz w:val="24"/>
          <w:szCs w:val="24"/>
        </w:rPr>
        <w:t>Obesity Reviews, 14</w:t>
      </w:r>
      <w:r w:rsidRPr="00131BBC">
        <w:rPr>
          <w:rFonts w:ascii="Times New Roman" w:hAnsi="Times New Roman" w:cs="Times New Roman"/>
          <w:sz w:val="24"/>
          <w:szCs w:val="24"/>
        </w:rPr>
        <w:t>(8), 606–619. https://doi.org/10.1111/obr.12040</w:t>
      </w:r>
    </w:p>
    <w:p w14:paraId="3D14A58D" w14:textId="7D97B527"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Malik, V. S., Popkin, B. M., Bray, G. A., Després, J. P., &amp; Hu, F. B. (2010). Sugar-sweetened beverages, obesity, type 2 diabetes mellitus, and cardiovascular disease risk. </w:t>
      </w:r>
      <w:r w:rsidRPr="00131BBC">
        <w:rPr>
          <w:rFonts w:ascii="Times New Roman" w:hAnsi="Times New Roman" w:cs="Times New Roman"/>
          <w:i/>
          <w:iCs/>
          <w:sz w:val="24"/>
          <w:szCs w:val="24"/>
        </w:rPr>
        <w:t>Circulation, 121</w:t>
      </w:r>
      <w:r w:rsidRPr="00131BBC">
        <w:rPr>
          <w:rFonts w:ascii="Times New Roman" w:hAnsi="Times New Roman" w:cs="Times New Roman"/>
          <w:sz w:val="24"/>
          <w:szCs w:val="24"/>
        </w:rPr>
        <w:t>(11), 1356–1364. https://doi.org/10.1161/CIRCULATIONAHA.109.876185</w:t>
      </w:r>
    </w:p>
    <w:p w14:paraId="5C1FD44F" w14:textId="161AFD7A"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Piercy, K. L., Troiano, R. P., Ballard, R. M., Carlson, S. A., Fulton, J. E., Galuska, D. A., George, S. M., &amp; Olson, R. D. (2020). The </w:t>
      </w:r>
      <w:r w:rsidR="00CD27ED" w:rsidRPr="00131BBC">
        <w:rPr>
          <w:rFonts w:ascii="Times New Roman" w:hAnsi="Times New Roman" w:cs="Times New Roman"/>
          <w:sz w:val="24"/>
          <w:szCs w:val="24"/>
        </w:rPr>
        <w:t>Physical Activity Guidelines</w:t>
      </w:r>
      <w:r w:rsidRPr="00131BBC">
        <w:rPr>
          <w:rFonts w:ascii="Times New Roman" w:hAnsi="Times New Roman" w:cs="Times New Roman"/>
          <w:sz w:val="24"/>
          <w:szCs w:val="24"/>
        </w:rPr>
        <w:t xml:space="preserve"> for Americans. </w:t>
      </w:r>
      <w:r w:rsidRPr="00131BBC">
        <w:rPr>
          <w:rFonts w:ascii="Times New Roman" w:hAnsi="Times New Roman" w:cs="Times New Roman"/>
          <w:i/>
          <w:iCs/>
          <w:sz w:val="24"/>
          <w:szCs w:val="24"/>
        </w:rPr>
        <w:t>Journal of the American Medical Association, 324</w:t>
      </w:r>
      <w:r w:rsidRPr="00131BBC">
        <w:rPr>
          <w:rFonts w:ascii="Times New Roman" w:hAnsi="Times New Roman" w:cs="Times New Roman"/>
          <w:sz w:val="24"/>
          <w:szCs w:val="24"/>
        </w:rPr>
        <w:t>(20), 2020–2028. https://doi.org/10.1001/jama.2020.19524</w:t>
      </w:r>
    </w:p>
    <w:p w14:paraId="4C20BC7B" w14:textId="18872C8B"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Rathi, N., Riddell, L., &amp; Worsley, A. (2017). Food and nutrition literacy: A review of conceptual frameworks and measurement issues. </w:t>
      </w:r>
      <w:r w:rsidRPr="00131BBC">
        <w:rPr>
          <w:rFonts w:ascii="Times New Roman" w:hAnsi="Times New Roman" w:cs="Times New Roman"/>
          <w:i/>
          <w:iCs/>
          <w:sz w:val="24"/>
          <w:szCs w:val="24"/>
        </w:rPr>
        <w:t>International Journal of Environmental Research and Public Health, 14</w:t>
      </w:r>
      <w:r w:rsidRPr="00131BBC">
        <w:rPr>
          <w:rFonts w:ascii="Times New Roman" w:hAnsi="Times New Roman" w:cs="Times New Roman"/>
          <w:sz w:val="24"/>
          <w:szCs w:val="24"/>
        </w:rPr>
        <w:t>(8), 910. https://doi.org/10.3390/ijerph14080910</w:t>
      </w:r>
    </w:p>
    <w:p w14:paraId="1EEB9619" w14:textId="031D48DE"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lastRenderedPageBreak/>
        <w:t xml:space="preserve">Spronk, I., Kullen, C., Burdon, C., &amp; O’Connor, H. (2014). Relationship between nutrition knowledge and dietary intake. </w:t>
      </w:r>
      <w:r w:rsidRPr="00131BBC">
        <w:rPr>
          <w:rFonts w:ascii="Times New Roman" w:hAnsi="Times New Roman" w:cs="Times New Roman"/>
          <w:i/>
          <w:iCs/>
          <w:sz w:val="24"/>
          <w:szCs w:val="24"/>
        </w:rPr>
        <w:t>British Journal of Nutrition, 111</w:t>
      </w:r>
      <w:r w:rsidRPr="00131BBC">
        <w:rPr>
          <w:rFonts w:ascii="Times New Roman" w:hAnsi="Times New Roman" w:cs="Times New Roman"/>
          <w:sz w:val="24"/>
          <w:szCs w:val="24"/>
        </w:rPr>
        <w:t>(10), 1713–1726. https://doi.org/10.1017/S0007114514000087</w:t>
      </w:r>
    </w:p>
    <w:p w14:paraId="4EEA07A3" w14:textId="137DCE65"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St-Onge, M. P., Ard, J., Baskin, M. L., </w:t>
      </w:r>
      <w:proofErr w:type="spellStart"/>
      <w:r w:rsidRPr="00131BBC">
        <w:rPr>
          <w:rFonts w:ascii="Times New Roman" w:hAnsi="Times New Roman" w:cs="Times New Roman"/>
          <w:sz w:val="24"/>
          <w:szCs w:val="24"/>
        </w:rPr>
        <w:t>Chiuve</w:t>
      </w:r>
      <w:proofErr w:type="spellEnd"/>
      <w:r w:rsidRPr="00131BBC">
        <w:rPr>
          <w:rFonts w:ascii="Times New Roman" w:hAnsi="Times New Roman" w:cs="Times New Roman"/>
          <w:sz w:val="24"/>
          <w:szCs w:val="24"/>
        </w:rPr>
        <w:t xml:space="preserve">, S. E., Johnson, H. M., Kris-Etherton, P., Varady, K., &amp; American Heart Association Obesity Committee of the Council on Lifestyle and Cardiometabolic Health. (2017). Meal timing and frequency: implications for cardiovascular disease prevention: a scientific statement from the American Heart Association. </w:t>
      </w:r>
      <w:r w:rsidRPr="00131BBC">
        <w:rPr>
          <w:rFonts w:ascii="Times New Roman" w:hAnsi="Times New Roman" w:cs="Times New Roman"/>
          <w:i/>
          <w:iCs/>
          <w:sz w:val="24"/>
          <w:szCs w:val="24"/>
        </w:rPr>
        <w:t>Circulation, 135</w:t>
      </w:r>
      <w:r w:rsidRPr="00131BBC">
        <w:rPr>
          <w:rFonts w:ascii="Times New Roman" w:hAnsi="Times New Roman" w:cs="Times New Roman"/>
          <w:sz w:val="24"/>
          <w:szCs w:val="24"/>
        </w:rPr>
        <w:t>(9), e96–e121. https://doi.org/10.1161/CIR.0000000000000476</w:t>
      </w:r>
    </w:p>
    <w:p w14:paraId="0333C7CB" w14:textId="50961CC1"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Vaara, J. P., Vasankari, T., Koski, H., </w:t>
      </w:r>
      <w:proofErr w:type="spellStart"/>
      <w:r w:rsidRPr="00131BBC">
        <w:rPr>
          <w:rFonts w:ascii="Times New Roman" w:hAnsi="Times New Roman" w:cs="Times New Roman"/>
          <w:sz w:val="24"/>
          <w:szCs w:val="24"/>
        </w:rPr>
        <w:t>Kyröläinen</w:t>
      </w:r>
      <w:proofErr w:type="spellEnd"/>
      <w:r w:rsidRPr="00131BBC">
        <w:rPr>
          <w:rFonts w:ascii="Times New Roman" w:hAnsi="Times New Roman" w:cs="Times New Roman"/>
          <w:sz w:val="24"/>
          <w:szCs w:val="24"/>
        </w:rPr>
        <w:t xml:space="preserve">, H., &amp; </w:t>
      </w:r>
      <w:proofErr w:type="spellStart"/>
      <w:r w:rsidRPr="00131BBC">
        <w:rPr>
          <w:rFonts w:ascii="Times New Roman" w:hAnsi="Times New Roman" w:cs="Times New Roman"/>
          <w:sz w:val="24"/>
          <w:szCs w:val="24"/>
        </w:rPr>
        <w:t>Fogelholm</w:t>
      </w:r>
      <w:proofErr w:type="spellEnd"/>
      <w:r w:rsidRPr="00131BBC">
        <w:rPr>
          <w:rFonts w:ascii="Times New Roman" w:hAnsi="Times New Roman" w:cs="Times New Roman"/>
          <w:sz w:val="24"/>
          <w:szCs w:val="24"/>
        </w:rPr>
        <w:t xml:space="preserve">, M. (2019). Awareness and knowledge of physical activity recommendations in young adult men. </w:t>
      </w:r>
      <w:r w:rsidRPr="00131BBC">
        <w:rPr>
          <w:rFonts w:ascii="Times New Roman" w:hAnsi="Times New Roman" w:cs="Times New Roman"/>
          <w:i/>
          <w:iCs/>
          <w:sz w:val="24"/>
          <w:szCs w:val="24"/>
        </w:rPr>
        <w:t>Frontiers in Public Health, 7</w:t>
      </w:r>
      <w:r w:rsidRPr="00131BBC">
        <w:rPr>
          <w:rFonts w:ascii="Times New Roman" w:hAnsi="Times New Roman" w:cs="Times New Roman"/>
          <w:sz w:val="24"/>
          <w:szCs w:val="24"/>
        </w:rPr>
        <w:t>, 310. https://doi.org/10.3389/fpubh.2019.00310</w:t>
      </w:r>
    </w:p>
    <w:p w14:paraId="74846679" w14:textId="4C2B63E7" w:rsidR="00AF4268" w:rsidRPr="00131BBC" w:rsidRDefault="00AF4268" w:rsidP="004D6B16">
      <w:pPr>
        <w:pStyle w:val="ListParagraph"/>
        <w:numPr>
          <w:ilvl w:val="0"/>
          <w:numId w:val="7"/>
        </w:numPr>
        <w:spacing w:line="360" w:lineRule="auto"/>
        <w:jc w:val="both"/>
        <w:rPr>
          <w:rFonts w:ascii="Times New Roman" w:hAnsi="Times New Roman" w:cs="Times New Roman"/>
          <w:sz w:val="24"/>
          <w:szCs w:val="24"/>
        </w:rPr>
      </w:pPr>
      <w:r w:rsidRPr="00131BBC">
        <w:rPr>
          <w:rFonts w:ascii="Times New Roman" w:hAnsi="Times New Roman" w:cs="Times New Roman"/>
          <w:sz w:val="24"/>
          <w:szCs w:val="24"/>
        </w:rPr>
        <w:t xml:space="preserve">Wardle, J., Parmenter, K., &amp; Waller, J. (2000). Nutrition knowledge and food intake. </w:t>
      </w:r>
      <w:r w:rsidRPr="00131BBC">
        <w:rPr>
          <w:rFonts w:ascii="Times New Roman" w:hAnsi="Times New Roman" w:cs="Times New Roman"/>
          <w:i/>
          <w:iCs/>
          <w:sz w:val="24"/>
          <w:szCs w:val="24"/>
        </w:rPr>
        <w:t>Appetite, 34</w:t>
      </w:r>
      <w:r w:rsidRPr="00131BBC">
        <w:rPr>
          <w:rFonts w:ascii="Times New Roman" w:hAnsi="Times New Roman" w:cs="Times New Roman"/>
          <w:sz w:val="24"/>
          <w:szCs w:val="24"/>
        </w:rPr>
        <w:t>(3), 269–275. https://doi.org/10.1006/appe.1999.0311</w:t>
      </w:r>
    </w:p>
    <w:p w14:paraId="2E9D19AF" w14:textId="77777777" w:rsidR="00DF1938" w:rsidRPr="00131BBC" w:rsidRDefault="00DF1938" w:rsidP="003D63A0">
      <w:pPr>
        <w:spacing w:line="276" w:lineRule="auto"/>
        <w:jc w:val="both"/>
        <w:rPr>
          <w:rFonts w:ascii="Times New Roman" w:hAnsi="Times New Roman" w:cs="Times New Roman"/>
          <w:sz w:val="24"/>
          <w:szCs w:val="24"/>
        </w:rPr>
      </w:pPr>
    </w:p>
    <w:sectPr w:rsidR="00DF1938" w:rsidRPr="00131B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888E" w14:textId="77777777" w:rsidR="009867BF" w:rsidRDefault="009867BF" w:rsidP="00E65F17">
      <w:pPr>
        <w:spacing w:after="0" w:line="240" w:lineRule="auto"/>
      </w:pPr>
      <w:r>
        <w:separator/>
      </w:r>
    </w:p>
  </w:endnote>
  <w:endnote w:type="continuationSeparator" w:id="0">
    <w:p w14:paraId="545F4ED7" w14:textId="77777777" w:rsidR="009867BF" w:rsidRDefault="009867BF" w:rsidP="00E65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B90C" w14:textId="77777777" w:rsidR="00E65F17" w:rsidRDefault="00E65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4BAB" w14:textId="77777777" w:rsidR="00E65F17" w:rsidRDefault="00E65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8215" w14:textId="77777777" w:rsidR="00E65F17" w:rsidRDefault="00E65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A494" w14:textId="77777777" w:rsidR="009867BF" w:rsidRDefault="009867BF" w:rsidP="00E65F17">
      <w:pPr>
        <w:spacing w:after="0" w:line="240" w:lineRule="auto"/>
      </w:pPr>
      <w:r>
        <w:separator/>
      </w:r>
    </w:p>
  </w:footnote>
  <w:footnote w:type="continuationSeparator" w:id="0">
    <w:p w14:paraId="70E67E36" w14:textId="77777777" w:rsidR="009867BF" w:rsidRDefault="009867BF" w:rsidP="00E65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E3F1" w14:textId="09298A6C" w:rsidR="00E65F17" w:rsidRDefault="00E65F17">
    <w:pPr>
      <w:pStyle w:val="Header"/>
    </w:pPr>
    <w:r>
      <w:rPr>
        <w:noProof/>
      </w:rPr>
      <w:pict w14:anchorId="56C61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4329" o:spid="_x0000_s1026"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764B" w14:textId="48D1FF40" w:rsidR="00E65F17" w:rsidRDefault="00E65F17">
    <w:pPr>
      <w:pStyle w:val="Header"/>
    </w:pPr>
    <w:r>
      <w:rPr>
        <w:noProof/>
      </w:rPr>
      <w:pict w14:anchorId="54D6A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4330"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B175" w14:textId="489B7189" w:rsidR="00E65F17" w:rsidRDefault="00E65F17">
    <w:pPr>
      <w:pStyle w:val="Header"/>
    </w:pPr>
    <w:r>
      <w:rPr>
        <w:noProof/>
      </w:rPr>
      <w:pict w14:anchorId="489CF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24328" o:spid="_x0000_s1025"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BC8"/>
    <w:multiLevelType w:val="multilevel"/>
    <w:tmpl w:val="7F86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624E5"/>
    <w:multiLevelType w:val="multilevel"/>
    <w:tmpl w:val="480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2522F"/>
    <w:multiLevelType w:val="multilevel"/>
    <w:tmpl w:val="23BEB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F2CBD"/>
    <w:multiLevelType w:val="hybridMultilevel"/>
    <w:tmpl w:val="2D2E8F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F5E6833"/>
    <w:multiLevelType w:val="hybridMultilevel"/>
    <w:tmpl w:val="566608E8"/>
    <w:lvl w:ilvl="0" w:tplc="0116EA3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240202"/>
    <w:multiLevelType w:val="hybridMultilevel"/>
    <w:tmpl w:val="8D6609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63210A"/>
    <w:multiLevelType w:val="multilevel"/>
    <w:tmpl w:val="7B3E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60AEA"/>
    <w:multiLevelType w:val="multilevel"/>
    <w:tmpl w:val="CDF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4432E"/>
    <w:multiLevelType w:val="multilevel"/>
    <w:tmpl w:val="ECC6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976810">
    <w:abstractNumId w:val="0"/>
  </w:num>
  <w:num w:numId="2" w16cid:durableId="1749766835">
    <w:abstractNumId w:val="7"/>
  </w:num>
  <w:num w:numId="3" w16cid:durableId="555896547">
    <w:abstractNumId w:val="1"/>
  </w:num>
  <w:num w:numId="4" w16cid:durableId="1284655357">
    <w:abstractNumId w:val="8"/>
  </w:num>
  <w:num w:numId="5" w16cid:durableId="147479327">
    <w:abstractNumId w:val="6"/>
  </w:num>
  <w:num w:numId="6" w16cid:durableId="129055668">
    <w:abstractNumId w:val="2"/>
  </w:num>
  <w:num w:numId="7" w16cid:durableId="1218204632">
    <w:abstractNumId w:val="3"/>
  </w:num>
  <w:num w:numId="8" w16cid:durableId="487092247">
    <w:abstractNumId w:val="4"/>
  </w:num>
  <w:num w:numId="9" w16cid:durableId="17055190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38"/>
    <w:rsid w:val="00031D4D"/>
    <w:rsid w:val="000340F7"/>
    <w:rsid w:val="0003729F"/>
    <w:rsid w:val="00082189"/>
    <w:rsid w:val="000C53E2"/>
    <w:rsid w:val="000D77AE"/>
    <w:rsid w:val="000E08BE"/>
    <w:rsid w:val="000E55A6"/>
    <w:rsid w:val="00103771"/>
    <w:rsid w:val="00125741"/>
    <w:rsid w:val="00131BBC"/>
    <w:rsid w:val="00133352"/>
    <w:rsid w:val="00135A63"/>
    <w:rsid w:val="00156376"/>
    <w:rsid w:val="00177B4B"/>
    <w:rsid w:val="00181C93"/>
    <w:rsid w:val="001851AA"/>
    <w:rsid w:val="00196446"/>
    <w:rsid w:val="001B4309"/>
    <w:rsid w:val="001C0D7E"/>
    <w:rsid w:val="001C652D"/>
    <w:rsid w:val="001D1BED"/>
    <w:rsid w:val="001E616F"/>
    <w:rsid w:val="001F4059"/>
    <w:rsid w:val="0020252C"/>
    <w:rsid w:val="00233E0C"/>
    <w:rsid w:val="002405A8"/>
    <w:rsid w:val="002578F2"/>
    <w:rsid w:val="00290560"/>
    <w:rsid w:val="00294C92"/>
    <w:rsid w:val="00294E01"/>
    <w:rsid w:val="002A0872"/>
    <w:rsid w:val="002A58FE"/>
    <w:rsid w:val="002C321F"/>
    <w:rsid w:val="002C619B"/>
    <w:rsid w:val="002C7074"/>
    <w:rsid w:val="002C70C3"/>
    <w:rsid w:val="003006C5"/>
    <w:rsid w:val="0030568E"/>
    <w:rsid w:val="00305BD1"/>
    <w:rsid w:val="0031477A"/>
    <w:rsid w:val="003213C4"/>
    <w:rsid w:val="0033392A"/>
    <w:rsid w:val="003467DA"/>
    <w:rsid w:val="00377DC9"/>
    <w:rsid w:val="0038136B"/>
    <w:rsid w:val="003860BA"/>
    <w:rsid w:val="00392715"/>
    <w:rsid w:val="00395BBC"/>
    <w:rsid w:val="003B69FE"/>
    <w:rsid w:val="003D63A0"/>
    <w:rsid w:val="00445459"/>
    <w:rsid w:val="00493718"/>
    <w:rsid w:val="004B3695"/>
    <w:rsid w:val="004B6EC0"/>
    <w:rsid w:val="004D6B16"/>
    <w:rsid w:val="004E1DA1"/>
    <w:rsid w:val="004F1E9E"/>
    <w:rsid w:val="005004FE"/>
    <w:rsid w:val="0056140D"/>
    <w:rsid w:val="00563215"/>
    <w:rsid w:val="005829B4"/>
    <w:rsid w:val="005858A1"/>
    <w:rsid w:val="005A0532"/>
    <w:rsid w:val="005A1DF7"/>
    <w:rsid w:val="005D5BFC"/>
    <w:rsid w:val="005F24B2"/>
    <w:rsid w:val="00623537"/>
    <w:rsid w:val="0062458E"/>
    <w:rsid w:val="00642179"/>
    <w:rsid w:val="0064577B"/>
    <w:rsid w:val="00652136"/>
    <w:rsid w:val="00673AE5"/>
    <w:rsid w:val="00680C5B"/>
    <w:rsid w:val="00694087"/>
    <w:rsid w:val="00694AF2"/>
    <w:rsid w:val="00696D80"/>
    <w:rsid w:val="006A02A4"/>
    <w:rsid w:val="006A7552"/>
    <w:rsid w:val="006B051F"/>
    <w:rsid w:val="006D47C4"/>
    <w:rsid w:val="006F5F23"/>
    <w:rsid w:val="007070C3"/>
    <w:rsid w:val="0075171F"/>
    <w:rsid w:val="0078181D"/>
    <w:rsid w:val="00793E33"/>
    <w:rsid w:val="00794C7C"/>
    <w:rsid w:val="007A18EA"/>
    <w:rsid w:val="007A56B8"/>
    <w:rsid w:val="007D1A40"/>
    <w:rsid w:val="007E101C"/>
    <w:rsid w:val="007E137D"/>
    <w:rsid w:val="008046B6"/>
    <w:rsid w:val="00812CA0"/>
    <w:rsid w:val="00823389"/>
    <w:rsid w:val="008515C6"/>
    <w:rsid w:val="00870C9B"/>
    <w:rsid w:val="0088560C"/>
    <w:rsid w:val="00885A6B"/>
    <w:rsid w:val="008E6EBA"/>
    <w:rsid w:val="008F2938"/>
    <w:rsid w:val="00931605"/>
    <w:rsid w:val="00935240"/>
    <w:rsid w:val="00954CA1"/>
    <w:rsid w:val="00963D5B"/>
    <w:rsid w:val="00980C51"/>
    <w:rsid w:val="00984285"/>
    <w:rsid w:val="009867BF"/>
    <w:rsid w:val="009878CF"/>
    <w:rsid w:val="009B7034"/>
    <w:rsid w:val="009C78A0"/>
    <w:rsid w:val="009E4A62"/>
    <w:rsid w:val="009F7D68"/>
    <w:rsid w:val="00A01334"/>
    <w:rsid w:val="00A13C8A"/>
    <w:rsid w:val="00A15538"/>
    <w:rsid w:val="00A245C3"/>
    <w:rsid w:val="00A84F1A"/>
    <w:rsid w:val="00A85A9E"/>
    <w:rsid w:val="00A93BBA"/>
    <w:rsid w:val="00AA4AED"/>
    <w:rsid w:val="00AF4268"/>
    <w:rsid w:val="00B00070"/>
    <w:rsid w:val="00B05E0D"/>
    <w:rsid w:val="00B21622"/>
    <w:rsid w:val="00B42B11"/>
    <w:rsid w:val="00B63948"/>
    <w:rsid w:val="00C30D8A"/>
    <w:rsid w:val="00C4118D"/>
    <w:rsid w:val="00C92DC8"/>
    <w:rsid w:val="00C93957"/>
    <w:rsid w:val="00C94D4F"/>
    <w:rsid w:val="00CB0DFB"/>
    <w:rsid w:val="00CB6962"/>
    <w:rsid w:val="00CC0DE9"/>
    <w:rsid w:val="00CC344E"/>
    <w:rsid w:val="00CC4806"/>
    <w:rsid w:val="00CC5FA1"/>
    <w:rsid w:val="00CD10D1"/>
    <w:rsid w:val="00CD27ED"/>
    <w:rsid w:val="00CE1B4E"/>
    <w:rsid w:val="00D03DFC"/>
    <w:rsid w:val="00D10995"/>
    <w:rsid w:val="00D14001"/>
    <w:rsid w:val="00D20D53"/>
    <w:rsid w:val="00D3089A"/>
    <w:rsid w:val="00D41504"/>
    <w:rsid w:val="00D47C56"/>
    <w:rsid w:val="00D56632"/>
    <w:rsid w:val="00D717D1"/>
    <w:rsid w:val="00DA334A"/>
    <w:rsid w:val="00DB2411"/>
    <w:rsid w:val="00DE71CD"/>
    <w:rsid w:val="00DF1938"/>
    <w:rsid w:val="00E475A9"/>
    <w:rsid w:val="00E50373"/>
    <w:rsid w:val="00E53BD4"/>
    <w:rsid w:val="00E569A4"/>
    <w:rsid w:val="00E65F17"/>
    <w:rsid w:val="00E662D1"/>
    <w:rsid w:val="00E740EC"/>
    <w:rsid w:val="00E8000F"/>
    <w:rsid w:val="00E95063"/>
    <w:rsid w:val="00EA6350"/>
    <w:rsid w:val="00EB1587"/>
    <w:rsid w:val="00EB319A"/>
    <w:rsid w:val="00EF42EE"/>
    <w:rsid w:val="00EF65C6"/>
    <w:rsid w:val="00F044F7"/>
    <w:rsid w:val="00F300FB"/>
    <w:rsid w:val="00F30276"/>
    <w:rsid w:val="00F45691"/>
    <w:rsid w:val="00F52E36"/>
    <w:rsid w:val="00F729C3"/>
    <w:rsid w:val="00FA066E"/>
    <w:rsid w:val="00FA1992"/>
    <w:rsid w:val="00FA3310"/>
    <w:rsid w:val="00FB46C6"/>
    <w:rsid w:val="00FC354C"/>
    <w:rsid w:val="00FC6EAA"/>
    <w:rsid w:val="00FE25C2"/>
    <w:rsid w:val="00FF6A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4CE83"/>
  <w15:chartTrackingRefBased/>
  <w15:docId w15:val="{6D35D3DA-8684-4C26-A912-D90F8097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1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1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F1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1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1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F1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938"/>
    <w:rPr>
      <w:rFonts w:eastAsiaTheme="majorEastAsia" w:cstheme="majorBidi"/>
      <w:color w:val="272727" w:themeColor="text1" w:themeTint="D8"/>
    </w:rPr>
  </w:style>
  <w:style w:type="paragraph" w:styleId="Title">
    <w:name w:val="Title"/>
    <w:basedOn w:val="Normal"/>
    <w:next w:val="Normal"/>
    <w:link w:val="TitleChar"/>
    <w:uiPriority w:val="10"/>
    <w:qFormat/>
    <w:rsid w:val="00DF1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938"/>
    <w:pPr>
      <w:spacing w:before="160"/>
      <w:jc w:val="center"/>
    </w:pPr>
    <w:rPr>
      <w:i/>
      <w:iCs/>
      <w:color w:val="404040" w:themeColor="text1" w:themeTint="BF"/>
    </w:rPr>
  </w:style>
  <w:style w:type="character" w:customStyle="1" w:styleId="QuoteChar">
    <w:name w:val="Quote Char"/>
    <w:basedOn w:val="DefaultParagraphFont"/>
    <w:link w:val="Quote"/>
    <w:uiPriority w:val="29"/>
    <w:rsid w:val="00DF1938"/>
    <w:rPr>
      <w:i/>
      <w:iCs/>
      <w:color w:val="404040" w:themeColor="text1" w:themeTint="BF"/>
    </w:rPr>
  </w:style>
  <w:style w:type="paragraph" w:styleId="ListParagraph">
    <w:name w:val="List Paragraph"/>
    <w:basedOn w:val="Normal"/>
    <w:uiPriority w:val="34"/>
    <w:qFormat/>
    <w:rsid w:val="00DF1938"/>
    <w:pPr>
      <w:ind w:left="720"/>
      <w:contextualSpacing/>
    </w:pPr>
  </w:style>
  <w:style w:type="character" w:styleId="IntenseEmphasis">
    <w:name w:val="Intense Emphasis"/>
    <w:basedOn w:val="DefaultParagraphFont"/>
    <w:uiPriority w:val="21"/>
    <w:qFormat/>
    <w:rsid w:val="00DF1938"/>
    <w:rPr>
      <w:i/>
      <w:iCs/>
      <w:color w:val="2F5496" w:themeColor="accent1" w:themeShade="BF"/>
    </w:rPr>
  </w:style>
  <w:style w:type="paragraph" w:styleId="IntenseQuote">
    <w:name w:val="Intense Quote"/>
    <w:basedOn w:val="Normal"/>
    <w:next w:val="Normal"/>
    <w:link w:val="IntenseQuoteChar"/>
    <w:uiPriority w:val="30"/>
    <w:qFormat/>
    <w:rsid w:val="00DF1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938"/>
    <w:rPr>
      <w:i/>
      <w:iCs/>
      <w:color w:val="2F5496" w:themeColor="accent1" w:themeShade="BF"/>
    </w:rPr>
  </w:style>
  <w:style w:type="character" w:styleId="IntenseReference">
    <w:name w:val="Intense Reference"/>
    <w:basedOn w:val="DefaultParagraphFont"/>
    <w:uiPriority w:val="32"/>
    <w:qFormat/>
    <w:rsid w:val="00DF1938"/>
    <w:rPr>
      <w:b/>
      <w:bCs/>
      <w:smallCaps/>
      <w:color w:val="2F5496" w:themeColor="accent1" w:themeShade="BF"/>
      <w:spacing w:val="5"/>
    </w:rPr>
  </w:style>
  <w:style w:type="character" w:customStyle="1" w:styleId="amp-wp-fe3f5cc">
    <w:name w:val="amp-wp-fe3f5cc"/>
    <w:basedOn w:val="DefaultParagraphFont"/>
    <w:rsid w:val="001C0D7E"/>
  </w:style>
  <w:style w:type="table" w:styleId="TableGrid">
    <w:name w:val="Table Grid"/>
    <w:basedOn w:val="TableNormal"/>
    <w:uiPriority w:val="39"/>
    <w:rsid w:val="001C0D7E"/>
    <w:pPr>
      <w:spacing w:before="120" w:after="0" w:line="240" w:lineRule="auto"/>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D7E"/>
    <w:pPr>
      <w:spacing w:before="100" w:beforeAutospacing="1" w:after="100" w:afterAutospacing="1" w:line="240" w:lineRule="auto"/>
      <w:jc w:val="both"/>
    </w:pPr>
    <w:rPr>
      <w:rFonts w:ascii="Times New Roman" w:eastAsia="Times New Roman" w:hAnsi="Times New Roman" w:cs="Times New Roman"/>
      <w:sz w:val="24"/>
      <w:szCs w:val="24"/>
      <w:lang w:eastAsia="en-IN" w:bidi="hi-IN"/>
    </w:rPr>
  </w:style>
  <w:style w:type="character" w:customStyle="1" w:styleId="field">
    <w:name w:val="field"/>
    <w:basedOn w:val="DefaultParagraphFont"/>
    <w:rsid w:val="001C0D7E"/>
  </w:style>
  <w:style w:type="paragraph" w:styleId="Header">
    <w:name w:val="header"/>
    <w:basedOn w:val="Normal"/>
    <w:link w:val="HeaderChar"/>
    <w:uiPriority w:val="99"/>
    <w:unhideWhenUsed/>
    <w:rsid w:val="001C0D7E"/>
    <w:pPr>
      <w:tabs>
        <w:tab w:val="center" w:pos="4513"/>
        <w:tab w:val="right" w:pos="9026"/>
      </w:tabs>
      <w:spacing w:before="120" w:after="0" w:line="240" w:lineRule="auto"/>
      <w:jc w:val="both"/>
    </w:pPr>
    <w:rPr>
      <w:sz w:val="24"/>
      <w:szCs w:val="24"/>
    </w:rPr>
  </w:style>
  <w:style w:type="character" w:customStyle="1" w:styleId="HeaderChar">
    <w:name w:val="Header Char"/>
    <w:basedOn w:val="DefaultParagraphFont"/>
    <w:link w:val="Header"/>
    <w:uiPriority w:val="99"/>
    <w:rsid w:val="001C0D7E"/>
    <w:rPr>
      <w:sz w:val="24"/>
      <w:szCs w:val="24"/>
    </w:rPr>
  </w:style>
  <w:style w:type="paragraph" w:styleId="Footer">
    <w:name w:val="footer"/>
    <w:basedOn w:val="Normal"/>
    <w:link w:val="FooterChar"/>
    <w:uiPriority w:val="99"/>
    <w:unhideWhenUsed/>
    <w:rsid w:val="001C0D7E"/>
    <w:pPr>
      <w:tabs>
        <w:tab w:val="center" w:pos="4513"/>
        <w:tab w:val="right" w:pos="9026"/>
      </w:tabs>
      <w:spacing w:before="120" w:after="0" w:line="240" w:lineRule="auto"/>
      <w:jc w:val="both"/>
    </w:pPr>
    <w:rPr>
      <w:sz w:val="24"/>
      <w:szCs w:val="24"/>
    </w:rPr>
  </w:style>
  <w:style w:type="character" w:customStyle="1" w:styleId="FooterChar">
    <w:name w:val="Footer Char"/>
    <w:basedOn w:val="DefaultParagraphFont"/>
    <w:link w:val="Footer"/>
    <w:uiPriority w:val="99"/>
    <w:rsid w:val="001C0D7E"/>
    <w:rPr>
      <w:sz w:val="24"/>
      <w:szCs w:val="24"/>
    </w:rPr>
  </w:style>
  <w:style w:type="table" w:styleId="GridTable5Dark-Accent6">
    <w:name w:val="Grid Table 5 Dark Accent 6"/>
    <w:basedOn w:val="TableNormal"/>
    <w:uiPriority w:val="50"/>
    <w:rsid w:val="001C0D7E"/>
    <w:pPr>
      <w:spacing w:before="120" w:after="0" w:line="240" w:lineRule="auto"/>
      <w:jc w:val="both"/>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4">
    <w:name w:val="Grid Table 5 Dark Accent 4"/>
    <w:basedOn w:val="TableNormal"/>
    <w:uiPriority w:val="50"/>
    <w:rsid w:val="001C0D7E"/>
    <w:pPr>
      <w:spacing w:before="120" w:after="0" w:line="240" w:lineRule="auto"/>
      <w:jc w:val="both"/>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5">
    <w:name w:val="Grid Table 4 Accent 5"/>
    <w:basedOn w:val="TableNormal"/>
    <w:uiPriority w:val="49"/>
    <w:rsid w:val="001C0D7E"/>
    <w:pPr>
      <w:spacing w:before="120" w:after="0" w:line="240" w:lineRule="auto"/>
      <w:jc w:val="both"/>
    </w:pPr>
    <w:rPr>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1C0D7E"/>
    <w:rPr>
      <w:color w:val="0563C1" w:themeColor="hyperlink"/>
      <w:u w:val="single"/>
    </w:rPr>
  </w:style>
  <w:style w:type="character" w:styleId="UnresolvedMention">
    <w:name w:val="Unresolved Mention"/>
    <w:basedOn w:val="DefaultParagraphFont"/>
    <w:uiPriority w:val="99"/>
    <w:semiHidden/>
    <w:unhideWhenUsed/>
    <w:rsid w:val="001C0D7E"/>
    <w:rPr>
      <w:color w:val="605E5C"/>
      <w:shd w:val="clear" w:color="auto" w:fill="E1DFDD"/>
    </w:rPr>
  </w:style>
  <w:style w:type="table" w:styleId="GridTable4-Accent6">
    <w:name w:val="Grid Table 4 Accent 6"/>
    <w:basedOn w:val="TableNormal"/>
    <w:uiPriority w:val="49"/>
    <w:rsid w:val="001C0D7E"/>
    <w:pPr>
      <w:spacing w:before="120" w:after="0" w:line="240" w:lineRule="auto"/>
      <w:jc w:val="both"/>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Strong">
    <w:name w:val="Strong"/>
    <w:basedOn w:val="DefaultParagraphFont"/>
    <w:uiPriority w:val="22"/>
    <w:qFormat/>
    <w:rsid w:val="001C0D7E"/>
    <w:rPr>
      <w:b/>
      <w:bCs/>
    </w:rPr>
  </w:style>
  <w:style w:type="character" w:styleId="Emphasis">
    <w:name w:val="Emphasis"/>
    <w:basedOn w:val="DefaultParagraphFont"/>
    <w:uiPriority w:val="20"/>
    <w:qFormat/>
    <w:rsid w:val="001C0D7E"/>
    <w:rPr>
      <w:i/>
      <w:iCs/>
    </w:rPr>
  </w:style>
  <w:style w:type="character" w:styleId="PlaceholderText">
    <w:name w:val="Placeholder Text"/>
    <w:basedOn w:val="DefaultParagraphFont"/>
    <w:uiPriority w:val="99"/>
    <w:semiHidden/>
    <w:rsid w:val="001C0D7E"/>
    <w:rPr>
      <w:color w:val="666666"/>
    </w:rPr>
  </w:style>
  <w:style w:type="paragraph" w:customStyle="1" w:styleId="msonormal0">
    <w:name w:val="msonormal"/>
    <w:basedOn w:val="Normal"/>
    <w:rsid w:val="001C0D7E"/>
    <w:pPr>
      <w:spacing w:before="100" w:beforeAutospacing="1" w:after="100" w:afterAutospacing="1" w:line="240" w:lineRule="auto"/>
      <w:jc w:val="both"/>
    </w:pPr>
    <w:rPr>
      <w:rFonts w:ascii="Times New Roman" w:eastAsia="Times New Roman" w:hAnsi="Times New Roman" w:cs="Times New Roman"/>
      <w:sz w:val="24"/>
      <w:szCs w:val="24"/>
      <w:lang w:eastAsia="en-IN" w:bidi="hi-IN"/>
    </w:rPr>
  </w:style>
  <w:style w:type="table" w:styleId="PlainTable4">
    <w:name w:val="Plain Table 4"/>
    <w:basedOn w:val="TableNormal"/>
    <w:uiPriority w:val="44"/>
    <w:rsid w:val="001C0D7E"/>
    <w:pPr>
      <w:spacing w:before="120" w:after="0" w:line="240" w:lineRule="auto"/>
      <w:jc w:val="both"/>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basedOn w:val="TableNormal"/>
    <w:uiPriority w:val="51"/>
    <w:rsid w:val="001C0D7E"/>
    <w:pPr>
      <w:spacing w:before="120" w:after="0" w:line="240" w:lineRule="auto"/>
      <w:jc w:val="both"/>
    </w:pPr>
    <w:rPr>
      <w:color w:val="2F5496" w:themeColor="accent1" w:themeShade="BF"/>
      <w:sz w:val="24"/>
      <w:szCs w:val="24"/>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3">
    <w:name w:val="List Table 6 Colorful Accent 3"/>
    <w:basedOn w:val="TableNormal"/>
    <w:uiPriority w:val="51"/>
    <w:rsid w:val="001C0D7E"/>
    <w:pPr>
      <w:spacing w:before="120" w:after="0" w:line="240" w:lineRule="auto"/>
      <w:jc w:val="both"/>
    </w:pPr>
    <w:rPr>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C0D7E"/>
    <w:pPr>
      <w:spacing w:before="120" w:after="0" w:line="240" w:lineRule="auto"/>
      <w:jc w:val="both"/>
    </w:pPr>
    <w:rPr>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Style1">
    <w:name w:val="Style1"/>
    <w:basedOn w:val="TableNormal"/>
    <w:uiPriority w:val="99"/>
    <w:rsid w:val="001C0D7E"/>
    <w:pPr>
      <w:spacing w:before="120" w:after="0" w:line="240" w:lineRule="auto"/>
      <w:jc w:val="both"/>
    </w:pPr>
    <w:rPr>
      <w:rFonts w:ascii="Times New Roman" w:hAnsi="Times New Roman"/>
      <w:sz w:val="24"/>
      <w:szCs w:val="24"/>
    </w:rPr>
    <w:tblPr/>
  </w:style>
  <w:style w:type="paragraph" w:styleId="Caption">
    <w:name w:val="caption"/>
    <w:basedOn w:val="Normal"/>
    <w:next w:val="Normal"/>
    <w:uiPriority w:val="35"/>
    <w:unhideWhenUsed/>
    <w:qFormat/>
    <w:rsid w:val="001C0D7E"/>
    <w:pPr>
      <w:spacing w:after="200" w:line="240" w:lineRule="auto"/>
      <w:jc w:val="both"/>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695489">
      <w:bodyDiv w:val="1"/>
      <w:marLeft w:val="0"/>
      <w:marRight w:val="0"/>
      <w:marTop w:val="0"/>
      <w:marBottom w:val="0"/>
      <w:divBdr>
        <w:top w:val="none" w:sz="0" w:space="0" w:color="auto"/>
        <w:left w:val="none" w:sz="0" w:space="0" w:color="auto"/>
        <w:bottom w:val="none" w:sz="0" w:space="0" w:color="auto"/>
        <w:right w:val="none" w:sz="0" w:space="0" w:color="auto"/>
      </w:divBdr>
    </w:div>
    <w:div w:id="1081638554">
      <w:bodyDiv w:val="1"/>
      <w:marLeft w:val="0"/>
      <w:marRight w:val="0"/>
      <w:marTop w:val="0"/>
      <w:marBottom w:val="0"/>
      <w:divBdr>
        <w:top w:val="none" w:sz="0" w:space="0" w:color="auto"/>
        <w:left w:val="none" w:sz="0" w:space="0" w:color="auto"/>
        <w:bottom w:val="none" w:sz="0" w:space="0" w:color="auto"/>
        <w:right w:val="none" w:sz="0" w:space="0" w:color="auto"/>
      </w:divBdr>
    </w:div>
    <w:div w:id="17874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CC87A11D4E3853E/Pictures/Documents/MENTRUAL%20HISTORY%20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2948381452319"/>
          <c:y val="5.3737176355642402E-2"/>
          <c:w val="0.83581496062992122"/>
          <c:h val="0.69089160630690583"/>
        </c:manualLayout>
      </c:layout>
      <c:barChart>
        <c:barDir val="col"/>
        <c:grouping val="clustered"/>
        <c:varyColors val="0"/>
        <c:ser>
          <c:idx val="3"/>
          <c:order val="3"/>
          <c:tx>
            <c:v>Meal_consume_in_a_day_Pre</c:v>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Lit>
              <c:ptCount val="2"/>
              <c:pt idx="0">
                <c:v>Yes</c:v>
              </c:pt>
              <c:pt idx="1">
                <c:v>No</c:v>
              </c:pt>
            </c:strLit>
          </c:cat>
          <c:val>
            <c:numLit>
              <c:formatCode>General</c:formatCode>
              <c:ptCount val="2"/>
            </c:numLit>
          </c:val>
          <c:extLst>
            <c:ext xmlns:c16="http://schemas.microsoft.com/office/drawing/2014/chart" uri="{C3380CC4-5D6E-409C-BE32-E72D297353CC}">
              <c16:uniqueId val="{00000000-A681-4763-8695-BF766074E234}"/>
            </c:ext>
          </c:extLst>
        </c:ser>
        <c:ser>
          <c:idx val="0"/>
          <c:order val="0"/>
          <c:tx>
            <c:v>Two Meal</c:v>
          </c:tx>
          <c:spPr>
            <a:solidFill>
              <a:schemeClr val="accent6">
                <a:lumMod val="60000"/>
                <a:lumOff val="40000"/>
              </a:schemeClr>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Lit>
              <c:ptCount val="2"/>
              <c:pt idx="0">
                <c:v>Yes</c:v>
              </c:pt>
              <c:pt idx="1">
                <c:v>No</c:v>
              </c:pt>
            </c:strLit>
          </c:cat>
          <c:val>
            <c:numLit>
              <c:formatCode>General</c:formatCode>
              <c:ptCount val="2"/>
              <c:pt idx="0">
                <c:v>35</c:v>
              </c:pt>
              <c:pt idx="1">
                <c:v>117</c:v>
              </c:pt>
            </c:numLit>
          </c:val>
          <c:extLst>
            <c:ext xmlns:c16="http://schemas.microsoft.com/office/drawing/2014/chart" uri="{C3380CC4-5D6E-409C-BE32-E72D297353CC}">
              <c16:uniqueId val="{00000001-A681-4763-8695-BF766074E234}"/>
            </c:ext>
          </c:extLst>
        </c:ser>
        <c:ser>
          <c:idx val="1"/>
          <c:order val="1"/>
          <c:tx>
            <c:v>Three meals</c:v>
          </c:tx>
          <c:spPr>
            <a:solidFill>
              <a:srgbClr val="FFCCFF"/>
            </a:solidFill>
            <a:ln w="12700">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Lit>
              <c:ptCount val="2"/>
              <c:pt idx="0">
                <c:v>Yes</c:v>
              </c:pt>
              <c:pt idx="1">
                <c:v>No</c:v>
              </c:pt>
            </c:strLit>
          </c:cat>
          <c:val>
            <c:numLit>
              <c:formatCode>General</c:formatCode>
              <c:ptCount val="2"/>
              <c:pt idx="0">
                <c:v>57</c:v>
              </c:pt>
              <c:pt idx="1">
                <c:v>90</c:v>
              </c:pt>
            </c:numLit>
          </c:val>
          <c:extLst>
            <c:ext xmlns:c16="http://schemas.microsoft.com/office/drawing/2014/chart" uri="{C3380CC4-5D6E-409C-BE32-E72D297353CC}">
              <c16:uniqueId val="{00000002-A681-4763-8695-BF766074E234}"/>
            </c:ext>
          </c:extLst>
        </c:ser>
        <c:ser>
          <c:idx val="2"/>
          <c:order val="2"/>
          <c:tx>
            <c:v>5.00</c:v>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Lit>
              <c:ptCount val="2"/>
              <c:pt idx="0">
                <c:v>Yes</c:v>
              </c:pt>
              <c:pt idx="1">
                <c:v>No</c:v>
              </c:pt>
            </c:strLit>
          </c:cat>
          <c:val>
            <c:numLit>
              <c:formatCode>General</c:formatCode>
              <c:ptCount val="2"/>
              <c:pt idx="1">
                <c:v>1</c:v>
              </c:pt>
            </c:numLit>
          </c:val>
          <c:extLst>
            <c:ext xmlns:c16="http://schemas.microsoft.com/office/drawing/2014/chart" uri="{C3380CC4-5D6E-409C-BE32-E72D297353CC}">
              <c16:uniqueId val="{00000003-A681-4763-8695-BF766074E234}"/>
            </c:ext>
          </c:extLst>
        </c:ser>
        <c:dLbls>
          <c:dLblPos val="outEnd"/>
          <c:showLegendKey val="0"/>
          <c:showVal val="1"/>
          <c:showCatName val="0"/>
          <c:showSerName val="0"/>
          <c:showPercent val="0"/>
          <c:showBubbleSize val="0"/>
        </c:dLbls>
        <c:gapWidth val="80"/>
        <c:overlap val="25"/>
        <c:axId val="397013112"/>
        <c:axId val="397794112"/>
      </c:barChart>
      <c:catAx>
        <c:axId val="397013112"/>
        <c:scaling>
          <c:orientation val="minMax"/>
        </c:scaling>
        <c:delete val="0"/>
        <c:axPos val="b"/>
        <c:title>
          <c:tx>
            <c:rich>
              <a:bodyPr rot="0" spcFirstLastPara="1" vertOverflow="ellipsis" vert="horz" wrap="square" anchor="ctr" anchorCtr="1"/>
              <a:lstStyle/>
              <a:p>
                <a:pPr>
                  <a:defRPr sz="800" b="1" i="0" u="none" strike="noStrike" kern="1200" cap="all" baseline="0">
                    <a:solidFill>
                      <a:schemeClr val="bg1"/>
                    </a:solidFill>
                    <a:latin typeface="Times New Roman" panose="02020603050405020304" pitchFamily="18" charset="0"/>
                    <a:ea typeface="+mn-ea"/>
                    <a:cs typeface="Times New Roman" panose="02020603050405020304" pitchFamily="18" charset="0"/>
                  </a:defRPr>
                </a:pPr>
                <a:r>
                  <a:rPr lang="en-US" sz="700"/>
                  <a:t>Knowledge</a:t>
                </a:r>
                <a:r>
                  <a:rPr lang="en-US" sz="700" baseline="0"/>
                  <a:t> </a:t>
                </a:r>
                <a:r>
                  <a:rPr lang="en-US" sz="700"/>
                  <a:t>of</a:t>
                </a:r>
                <a:r>
                  <a:rPr lang="en-US" sz="700" baseline="0"/>
                  <a:t> </a:t>
                </a:r>
                <a:r>
                  <a:rPr lang="en-US" sz="700"/>
                  <a:t>importance</a:t>
                </a:r>
                <a:r>
                  <a:rPr lang="en-US" sz="700" baseline="0"/>
                  <a:t> </a:t>
                </a:r>
                <a:r>
                  <a:rPr lang="en-US" sz="700"/>
                  <a:t>of</a:t>
                </a:r>
                <a:r>
                  <a:rPr lang="en-US" sz="700" baseline="0"/>
                  <a:t> </a:t>
                </a:r>
                <a:r>
                  <a:rPr lang="en-US" sz="700"/>
                  <a:t>nutrition</a:t>
                </a:r>
                <a:r>
                  <a:rPr lang="en-US" sz="700" baseline="0"/>
                  <a:t> </a:t>
                </a:r>
                <a:r>
                  <a:rPr lang="en-US" sz="700"/>
                  <a:t>Pre</a:t>
                </a:r>
              </a:p>
            </c:rich>
          </c:tx>
          <c:layout>
            <c:manualLayout>
              <c:xMode val="edge"/>
              <c:yMode val="edge"/>
              <c:x val="0.29221741032370951"/>
              <c:y val="0.8396616519661958"/>
            </c:manualLayout>
          </c:layout>
          <c:overlay val="0"/>
          <c:spPr>
            <a:noFill/>
            <a:ln>
              <a:noFill/>
            </a:ln>
            <a:effectLst/>
          </c:spPr>
          <c:txPr>
            <a:bodyPr rot="0" spcFirstLastPara="1" vertOverflow="ellipsis" vert="horz" wrap="square" anchor="ctr" anchorCtr="1"/>
            <a:lstStyle/>
            <a:p>
              <a:pPr>
                <a:defRPr sz="800" b="1" i="0" u="none" strike="noStrike" kern="1200" cap="all" baseline="0">
                  <a:solidFill>
                    <a:schemeClr val="bg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cap="none" spc="20" normalizeH="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397794112"/>
        <c:crosses val="autoZero"/>
        <c:auto val="1"/>
        <c:lblAlgn val="ctr"/>
        <c:lblOffset val="100"/>
        <c:noMultiLvlLbl val="0"/>
      </c:catAx>
      <c:valAx>
        <c:axId val="39779411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800" b="1" i="0" u="none" strike="noStrike" kern="1200" cap="all" baseline="0">
                    <a:solidFill>
                      <a:schemeClr val="bg1"/>
                    </a:solidFill>
                    <a:latin typeface="Times New Roman" panose="02020603050405020304" pitchFamily="18" charset="0"/>
                    <a:ea typeface="+mn-ea"/>
                    <a:cs typeface="Times New Roman" panose="02020603050405020304" pitchFamily="18" charset="0"/>
                  </a:defRPr>
                </a:pPr>
                <a:r>
                  <a:rPr lang="en-US"/>
                  <a:t>Count</a:t>
                </a:r>
              </a:p>
            </c:rich>
          </c:tx>
          <c:overlay val="0"/>
          <c:spPr>
            <a:noFill/>
            <a:ln>
              <a:noFill/>
            </a:ln>
            <a:effectLst/>
          </c:spPr>
          <c:txPr>
            <a:bodyPr rot="-5400000" spcFirstLastPara="1" vertOverflow="ellipsis" vert="horz" wrap="square" anchor="ctr" anchorCtr="1"/>
            <a:lstStyle/>
            <a:p>
              <a:pPr>
                <a:defRPr sz="800" b="1" i="0" u="none" strike="noStrike" kern="1200" cap="all" baseline="0">
                  <a:solidFill>
                    <a:schemeClr val="bg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spc="20" baseline="0">
                <a:solidFill>
                  <a:schemeClr val="bg1"/>
                </a:solidFill>
                <a:latin typeface="Times New Roman" panose="02020603050405020304" pitchFamily="18" charset="0"/>
                <a:ea typeface="+mn-ea"/>
                <a:cs typeface="Times New Roman" panose="02020603050405020304" pitchFamily="18" charset="0"/>
              </a:defRPr>
            </a:pPr>
            <a:endParaRPr lang="en-US"/>
          </a:p>
        </c:txPr>
        <c:crossAx val="397013112"/>
        <c:crosses val="autoZero"/>
        <c:crossBetween val="between"/>
      </c:valAx>
      <c:spPr>
        <a:noFill/>
        <a:ln>
          <a:noFill/>
        </a:ln>
        <a:effectLst/>
      </c:spPr>
    </c:plotArea>
    <c:legend>
      <c:legendPos val="b"/>
      <c:legendEntry>
        <c:idx val="3"/>
        <c:delete val="1"/>
      </c:legendEntry>
      <c:layout>
        <c:manualLayout>
          <c:xMode val="edge"/>
          <c:yMode val="edge"/>
          <c:x val="0.25424804853938709"/>
          <c:y val="0.89881203603249027"/>
          <c:w val="0.58457732556157749"/>
          <c:h val="7.8169220133244594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accent5">
        <a:lumMod val="50000"/>
      </a:schemeClr>
    </a:solidFill>
    <a:ln w="9525" cap="flat" cmpd="sng" algn="ctr">
      <a:solidFill>
        <a:schemeClr val="tx1">
          <a:lumMod val="15000"/>
          <a:lumOff val="85000"/>
        </a:schemeClr>
      </a:solidFill>
      <a:round/>
    </a:ln>
    <a:effectLst/>
  </c:spPr>
  <c:txPr>
    <a:bodyPr/>
    <a:lstStyle/>
    <a:p>
      <a:pPr>
        <a:defRPr sz="800" b="1">
          <a:solidFill>
            <a:schemeClr val="bg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0.2013</cdr:x>
      <cdr:y>0.06116</cdr:y>
    </cdr:from>
    <cdr:to>
      <cdr:x>0.67273</cdr:x>
      <cdr:y>0.11049</cdr:y>
    </cdr:to>
    <cdr:sp macro="" textlink="">
      <cdr:nvSpPr>
        <cdr:cNvPr id="2" name="TextBox 1">
          <a:extLst xmlns:a="http://schemas.openxmlformats.org/drawingml/2006/main">
            <a:ext uri="{FF2B5EF4-FFF2-40B4-BE49-F238E27FC236}">
              <a16:creationId xmlns:a16="http://schemas.microsoft.com/office/drawing/2014/main" id="{5646B80B-5384-0FF2-6F57-3CD60E9BBBFB}"/>
            </a:ext>
          </a:extLst>
        </cdr:cNvPr>
        <cdr:cNvSpPr txBox="1"/>
      </cdr:nvSpPr>
      <cdr:spPr>
        <a:xfrm xmlns:a="http://schemas.openxmlformats.org/drawingml/2006/main">
          <a:off x="1181100" y="236220"/>
          <a:ext cx="276606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0.15374</cdr:x>
      <cdr:y>0.04546</cdr:y>
    </cdr:from>
    <cdr:to>
      <cdr:x>0.67075</cdr:x>
      <cdr:y>0.23928</cdr:y>
    </cdr:to>
    <cdr:sp macro="" textlink="">
      <cdr:nvSpPr>
        <cdr:cNvPr id="3" name="TextBox 2">
          <a:extLst xmlns:a="http://schemas.openxmlformats.org/drawingml/2006/main">
            <a:ext uri="{FF2B5EF4-FFF2-40B4-BE49-F238E27FC236}">
              <a16:creationId xmlns:a16="http://schemas.microsoft.com/office/drawing/2014/main" id="{B203A58F-1196-5D07-9D62-BFF15E3E1C27}"/>
            </a:ext>
          </a:extLst>
        </cdr:cNvPr>
        <cdr:cNvSpPr txBox="1"/>
      </cdr:nvSpPr>
      <cdr:spPr>
        <a:xfrm xmlns:a="http://schemas.openxmlformats.org/drawingml/2006/main">
          <a:off x="702906" y="118188"/>
          <a:ext cx="2363755" cy="503853"/>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pPr algn="ctr"/>
          <a:r>
            <a:rPr lang="en-IN" sz="800" b="1" kern="1200">
              <a:solidFill>
                <a:schemeClr val="bg1"/>
              </a:solidFill>
              <a:latin typeface="Times New Roman" panose="02020603050405020304" pitchFamily="18" charset="0"/>
              <a:cs typeface="Times New Roman" panose="02020603050405020304" pitchFamily="18" charset="0"/>
            </a:rPr>
            <a:t>Figure</a:t>
          </a:r>
          <a:r>
            <a:rPr lang="en-IN" sz="800" b="1" kern="1200" baseline="0">
              <a:solidFill>
                <a:schemeClr val="bg1"/>
              </a:solidFill>
              <a:latin typeface="Times New Roman" panose="02020603050405020304" pitchFamily="18" charset="0"/>
              <a:cs typeface="Times New Roman" panose="02020603050405020304" pitchFamily="18" charset="0"/>
            </a:rPr>
            <a:t> 1: </a:t>
          </a:r>
          <a:r>
            <a:rPr lang="en-IN" sz="800" b="1">
              <a:solidFill>
                <a:schemeClr val="bg1"/>
              </a:solidFill>
              <a:effectLst/>
              <a:latin typeface="Times New Roman" panose="02020603050405020304" pitchFamily="18" charset="0"/>
              <a:ea typeface="+mn-ea"/>
              <a:cs typeface="Times New Roman" panose="02020603050405020304" pitchFamily="18" charset="0"/>
            </a:rPr>
            <a:t>Chi-Square Test of Association Between Nutritional Awareness and Daily Meal Consumption Patterns Before Intervention </a:t>
          </a:r>
          <a:endParaRPr lang="en-IN" sz="800" b="1" kern="1200">
            <a:solidFill>
              <a:schemeClr val="bg1"/>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13</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Yadav</dc:creator>
  <cp:keywords/>
  <dc:description/>
  <cp:lastModifiedBy>SDI 1084</cp:lastModifiedBy>
  <cp:revision>165</cp:revision>
  <dcterms:created xsi:type="dcterms:W3CDTF">2025-09-22T04:51:00Z</dcterms:created>
  <dcterms:modified xsi:type="dcterms:W3CDTF">2026-05-26T12:37:00Z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fdfca1e5-4b02-40f0-a228-7dca522f333d</vt:lpwstr>
  </property>
</Properties>
</file>