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9BE2" w14:textId="77777777" w:rsidR="00166B3E" w:rsidRDefault="004B5700">
      <w:pPr>
        <w:jc w:val="center"/>
        <w:rPr>
          <w:rFonts w:ascii="Times New Roman" w:hAnsi="Times New Roman" w:cs="Times New Roman"/>
          <w:b/>
          <w:bCs/>
        </w:rPr>
      </w:pPr>
      <w:r>
        <w:rPr>
          <w:rFonts w:ascii="Times New Roman" w:hAnsi="Times New Roman" w:cs="Times New Roman"/>
          <w:b/>
          <w:bCs/>
        </w:rPr>
        <w:t>Evaluation of Craniometric Parameters for Sex Determination using Computed Tomography in a Nigerian Population</w:t>
      </w:r>
    </w:p>
    <w:p w14:paraId="180C36BF" w14:textId="77777777" w:rsidR="00166B3E" w:rsidRDefault="00166B3E">
      <w:pPr>
        <w:rPr>
          <w:rFonts w:ascii="Times New Roman" w:hAnsi="Times New Roman" w:cs="Times New Roman"/>
          <w:b/>
          <w:bCs/>
        </w:rPr>
      </w:pPr>
    </w:p>
    <w:p w14:paraId="305F2D55" w14:textId="77777777" w:rsidR="00166B3E" w:rsidRDefault="00166B3E">
      <w:pPr>
        <w:rPr>
          <w:rFonts w:ascii="Times New Roman" w:hAnsi="Times New Roman" w:cs="Times New Roman"/>
        </w:rPr>
      </w:pPr>
    </w:p>
    <w:p w14:paraId="697330E2" w14:textId="77777777" w:rsidR="003C4B26" w:rsidRDefault="003C4B26">
      <w:pPr>
        <w:rPr>
          <w:rFonts w:ascii="Times New Roman" w:hAnsi="Times New Roman" w:cs="Times New Roman"/>
        </w:rPr>
      </w:pPr>
    </w:p>
    <w:p w14:paraId="1389D3D1" w14:textId="77777777" w:rsidR="003C4B26" w:rsidRDefault="003C4B26">
      <w:pPr>
        <w:rPr>
          <w:rFonts w:ascii="Times New Roman" w:hAnsi="Times New Roman" w:cs="Times New Roman"/>
        </w:rPr>
      </w:pPr>
    </w:p>
    <w:p w14:paraId="08516E89" w14:textId="77777777" w:rsidR="003C4B26" w:rsidRDefault="003C4B26">
      <w:pPr>
        <w:rPr>
          <w:rFonts w:ascii="Times New Roman" w:hAnsi="Times New Roman" w:cs="Times New Roman"/>
        </w:rPr>
      </w:pPr>
    </w:p>
    <w:p w14:paraId="4E5AEEF8" w14:textId="77777777" w:rsidR="00166B3E" w:rsidRDefault="004B5700">
      <w:pPr>
        <w:spacing w:after="0" w:line="240" w:lineRule="auto"/>
        <w:jc w:val="center"/>
        <w:rPr>
          <w:rFonts w:ascii="Times New Roman" w:hAnsi="Times New Roman" w:cs="Times New Roman"/>
          <w:b/>
          <w:bCs/>
        </w:rPr>
      </w:pPr>
      <w:r>
        <w:rPr>
          <w:rFonts w:ascii="Times New Roman" w:hAnsi="Times New Roman" w:cs="Times New Roman"/>
          <w:b/>
          <w:bCs/>
        </w:rPr>
        <w:t>ABSTRACT</w:t>
      </w:r>
    </w:p>
    <w:p w14:paraId="118E78D0" w14:textId="34777960" w:rsidR="00166B3E" w:rsidRDefault="004B5700">
      <w:pPr>
        <w:spacing w:after="0" w:line="240" w:lineRule="auto"/>
        <w:jc w:val="both"/>
        <w:rPr>
          <w:rFonts w:ascii="Times New Roman" w:hAnsi="Times New Roman" w:cs="Times New Roman"/>
        </w:rPr>
      </w:pPr>
      <w:r>
        <w:rPr>
          <w:rFonts w:ascii="Times New Roman" w:hAnsi="Times New Roman" w:cs="Times New Roman"/>
        </w:rPr>
        <w:t>Sex estimation remains a fundamental aspect of forensic anthropology and medico-legal identification, particularly in situations involving incomplete skeletal remains. Cranial morphometric analysis using computerized tomography (CT) has emerged as a reliable and non-invasive approach for evaluating sexually dimorphic cranial traits. This study assessed the predictive value of selected cranial chord measurements (frontal chord, parietal chord, and occipital chord) for sex determination among individuals</w:t>
      </w:r>
      <w:r>
        <w:rPr>
          <w:rFonts w:ascii="Times New Roman" w:hAnsi="Times New Roman" w:cs="Times New Roman"/>
          <w:color w:val="02A5E3"/>
        </w:rPr>
        <w:t xml:space="preserve"> </w:t>
      </w:r>
      <w:r w:rsidRPr="00747717">
        <w:rPr>
          <w:rFonts w:ascii="Times New Roman" w:hAnsi="Times New Roman" w:cs="Times New Roman"/>
        </w:rPr>
        <w:t>in</w:t>
      </w:r>
      <w:r>
        <w:rPr>
          <w:rFonts w:ascii="Times New Roman" w:hAnsi="Times New Roman" w:cs="Times New Roman"/>
          <w:color w:val="02A5E3"/>
        </w:rPr>
        <w:t xml:space="preserve"> </w:t>
      </w:r>
      <w:r>
        <w:rPr>
          <w:rFonts w:ascii="Times New Roman" w:hAnsi="Times New Roman" w:cs="Times New Roman"/>
        </w:rPr>
        <w:t>Edo and Delta States, Nigeria, using computerized tomographic images. Ethical approval for the study was obtained from the Research and Ethics Committee of the Faculty of Basic Medical Sciences, Delta State University, Abraka (RBC/FBMC/DELSU/25/766), and the Research and Ethics Committee of Delta State University Teaching Hospital, Oghara (HREC/PAN/2025/0750). A descriptive cross-sectional design was adopted for the study. Frontal chord, parietal chord, and occipital chord measurements were extracted from CT images and analyzed using the Statistical Package for the Social Sciences (SPSS), version 27.0. Statistical analyses included descriptive statistics, independent sample t-test, and discriminant function analysis. The findings revealed sexual dimorphism across all three cranial chord parameters, with males demonstrating significantly higher mean values compared to females (p &lt; 0.001). Discriminant function analysis demonstrated strong differentiation between male and female skulls (Wilks’ Lambda = 0.117, p &lt; 0.001), with an overall classification accuracy of 99.4%. The study showed that frontal chord, parietal chord, and occipital chord exhibited high standardized discriminant coefficients, indicating their strong predictive capacity for sex determination. These findings further validate the utility of CT-based cranial morphometry as an accurate and non-invasive method for sex estimation in forensic and anthropological investigations.</w:t>
      </w:r>
    </w:p>
    <w:p w14:paraId="21BD7970" w14:textId="77777777" w:rsidR="00166B3E" w:rsidRDefault="004B5700">
      <w:pPr>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Computed tomography, frontal chord, parietal chord, occipital chord, Nigeria</w:t>
      </w:r>
    </w:p>
    <w:p w14:paraId="7CE8882A" w14:textId="77777777" w:rsidR="00166B3E" w:rsidRDefault="004B5700">
      <w:pPr>
        <w:rPr>
          <w:rFonts w:ascii="Times New Roman" w:hAnsi="Times New Roman" w:cs="Times New Roman"/>
          <w:b/>
          <w:bCs/>
        </w:rPr>
      </w:pPr>
      <w:r>
        <w:rPr>
          <w:rFonts w:ascii="Times New Roman" w:hAnsi="Times New Roman" w:cs="Times New Roman"/>
          <w:b/>
          <w:bCs/>
        </w:rPr>
        <w:t>Introduction</w:t>
      </w:r>
    </w:p>
    <w:p w14:paraId="7FBCA239"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Forensic anthropology is an important branch of anatomical science that contributes significantly to medico-legal investigations through the identification of human remains using skeletal and craniofacial characteristics. Among the various components of biological profiling, sex determination is often the first and most essential step in the identification process, as it narrows the pool of possible matches and improves the accuracy of subsequent estimations of age, ancestry, and stature. In situations involving decomposed, fragmented, or burnt human remains, cranial </w:t>
      </w:r>
      <w:r>
        <w:rPr>
          <w:rFonts w:ascii="Times New Roman" w:hAnsi="Times New Roman" w:cs="Times New Roman"/>
        </w:rPr>
        <w:lastRenderedPageBreak/>
        <w:t>morphometric analysis remains one of the most reliable approaches for establishing biological sex due to the structural resilience of the skull and its marked sexually dimorphic characteristics (Kranioti and Vorniotakis, 2020; Franklin et al., 2022).</w:t>
      </w:r>
    </w:p>
    <w:p w14:paraId="02A8655D"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The human skull exhibits measurable differences between males and females as a result of genetic, hormonal, and developmental influences. These differences are reflected in cranial size, shape, bone robustness, and dimensional relationships among various cranial landmarks (Enaohwo and Okoro, 2018; Enaohwo, 2018; Enaohwo et al., 2025). Sexual dimorphism in cranial structures has long been exploited in forensic anthropology for sex estimation, with studies demonstrating that specific craniometric parameters can achieve high classification accuracy when analyzed using appropriate statistical models (Uysal et al., 2021; Patel et al., 2022). The reliability of these measurements has made cranial morphometry an indispensable tool in forensic identification and anthropological investigations.</w:t>
      </w:r>
    </w:p>
    <w:p w14:paraId="11454F9E"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Traditional craniometric studies relied primarily on direct osteometric measurements obtained from dry skull specimens using calipers and other manual instruments. While effective, these methods are limited by specimen availability, risk of damage to skeletal materials, observer-dependent errors, and inability to assess remains in medico-legal contexts where invasive handling is restricted. Advances in radiological imaging, particularly computed tomography (CT), have transformed craniometric analysis by providing highly detailed cross-sectional and three-dimensional reconstructions of cranial structures, allowing precise and reproducible measurements without physical contact with skeletal remains (Franklin et al., 2022; Stull et al., 2024).</w:t>
      </w:r>
    </w:p>
    <w:p w14:paraId="2B0C2809"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Computed tomography has become increasingly important in forensic anthropology because of its ability to generate accurate virtual skeletal models that can be manipulated, measured, and analyzed with minimal distortion. CT-based craniometry improves landmark identification by allowing visualization of anatomical reference points in multiple planes, thereby enhancing measurement precision and reducing intra- and inter-observer variability (Kranioti and Vorniotakis, 2020). This non-invasive technique has become a standard tool in virtual anthropology and forensic radiology, particularly for sex estimation studies involving living populations and archived clinical datasets.</w:t>
      </w:r>
    </w:p>
    <w:p w14:paraId="0C689E44"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Several craniometric parameters have demonstrated significant sexual dimorphism and have been widely applied in sex determination studies. Measurements of the frontal chord, parietal chord, and occipital chord are particularly relevant because they reflect developmental variations in </w:t>
      </w:r>
      <w:r>
        <w:rPr>
          <w:rFonts w:ascii="Times New Roman" w:hAnsi="Times New Roman" w:cs="Times New Roman"/>
        </w:rPr>
        <w:lastRenderedPageBreak/>
        <w:t xml:space="preserve">cranial vault morphology and provide insight into sex-related differences in cranial form. These cranial chord dimensions quantify the curvature and proportional relationships of the frontal, parietal, and occipital regions of the skull, making them useful indicators in discriminant analyses for sex classification (Weiss et al., 2022; Navega et al., 2021). </w:t>
      </w:r>
    </w:p>
    <w:p w14:paraId="248C44A3"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The accuracy of craniometric sex estimation is strongly influenced by population-specific variation. Cranial morphology is shaped by genetic background, environmental influences, nutrition, and evolutionary adaptation, meaning that predictive models developed for one population may not be directly applicable to another. Numerous studies have established the need for region-specific craniometric standards to improve forensic reliability and avoid classification bias (Stull et al., 2024; Franklin et al., 2022). Despite the growing use of CT-based craniometry globally, there remains limited published data on cranial morphometric parameters for sex determination in Nigerian populations.</w:t>
      </w:r>
    </w:p>
    <w:p w14:paraId="3431E1F4"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Nigeria is characterized by considerable ethnic and biological diversity, making the development of local craniometric standards particularly important for forensic and medico-legal applications. Existing cranial studies in Nigeria have largely relied on dry skull collections or conventional anthropometric approaches, with relatively few employing computed tomography for sex estimation. This creates a significant gap in forensic reference data for the Nigerian population, especially in southern regions such as Edo and Delta States. This study therefore evaluates selected craniometric parameters for sex determination using computed tomography in a Nigerian population. </w:t>
      </w:r>
    </w:p>
    <w:p w14:paraId="78B62514" w14:textId="77777777" w:rsidR="00166B3E" w:rsidRDefault="00166B3E">
      <w:pPr>
        <w:spacing w:after="0" w:line="360" w:lineRule="auto"/>
        <w:jc w:val="both"/>
        <w:rPr>
          <w:rFonts w:ascii="Times New Roman" w:hAnsi="Times New Roman" w:cs="Times New Roman"/>
          <w:b/>
          <w:bCs/>
        </w:rPr>
      </w:pPr>
    </w:p>
    <w:p w14:paraId="7EB96F7E" w14:textId="77777777" w:rsidR="00166B3E" w:rsidRDefault="00166B3E">
      <w:pPr>
        <w:spacing w:after="0" w:line="360" w:lineRule="auto"/>
        <w:jc w:val="both"/>
        <w:rPr>
          <w:rFonts w:ascii="Times New Roman" w:hAnsi="Times New Roman" w:cs="Times New Roman"/>
          <w:b/>
          <w:bCs/>
        </w:rPr>
      </w:pPr>
    </w:p>
    <w:p w14:paraId="2AF71F19" w14:textId="77777777" w:rsidR="00166B3E" w:rsidRDefault="00166B3E">
      <w:pPr>
        <w:spacing w:after="0" w:line="360" w:lineRule="auto"/>
        <w:jc w:val="both"/>
        <w:rPr>
          <w:rFonts w:ascii="Times New Roman" w:hAnsi="Times New Roman" w:cs="Times New Roman"/>
          <w:b/>
          <w:bCs/>
        </w:rPr>
      </w:pPr>
    </w:p>
    <w:p w14:paraId="3441CEF6" w14:textId="77777777" w:rsidR="00166B3E" w:rsidRDefault="00166B3E">
      <w:pPr>
        <w:spacing w:after="0" w:line="360" w:lineRule="auto"/>
        <w:jc w:val="both"/>
        <w:rPr>
          <w:rFonts w:ascii="Times New Roman" w:hAnsi="Times New Roman" w:cs="Times New Roman"/>
          <w:b/>
          <w:bCs/>
        </w:rPr>
      </w:pPr>
    </w:p>
    <w:p w14:paraId="5BAD832A" w14:textId="77777777" w:rsidR="00166B3E" w:rsidRDefault="004B5700">
      <w:pPr>
        <w:spacing w:after="0" w:line="360" w:lineRule="auto"/>
        <w:jc w:val="both"/>
        <w:rPr>
          <w:rFonts w:ascii="Times New Roman" w:hAnsi="Times New Roman" w:cs="Times New Roman"/>
          <w:b/>
          <w:bCs/>
        </w:rPr>
      </w:pPr>
      <w:r>
        <w:rPr>
          <w:rFonts w:ascii="Times New Roman" w:hAnsi="Times New Roman" w:cs="Times New Roman"/>
          <w:b/>
          <w:bCs/>
        </w:rPr>
        <w:t>Materials and Methods</w:t>
      </w:r>
    </w:p>
    <w:p w14:paraId="2A8DCD42"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Study Design</w:t>
      </w:r>
    </w:p>
    <w:p w14:paraId="1D081F24" w14:textId="77777777" w:rsidR="00166B3E" w:rsidRDefault="004B5700">
      <w:pPr>
        <w:spacing w:after="0" w:line="360" w:lineRule="auto"/>
        <w:rPr>
          <w:rFonts w:ascii="Times New Roman" w:hAnsi="Times New Roman" w:cs="Times New Roman"/>
        </w:rPr>
      </w:pPr>
      <w:r>
        <w:rPr>
          <w:rFonts w:ascii="Times New Roman" w:hAnsi="Times New Roman" w:cs="Times New Roman"/>
        </w:rPr>
        <w:t>This study adopted a retrospective cross-sectional design.</w:t>
      </w:r>
    </w:p>
    <w:p w14:paraId="5B9F6A77"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Study Area</w:t>
      </w:r>
    </w:p>
    <w:p w14:paraId="0DC42E86" w14:textId="3EAC9758" w:rsidR="00166B3E" w:rsidRDefault="004B5700" w:rsidP="00B126FA">
      <w:pPr>
        <w:spacing w:after="0" w:line="360" w:lineRule="auto"/>
        <w:jc w:val="both"/>
        <w:rPr>
          <w:rFonts w:ascii="Times New Roman" w:hAnsi="Times New Roman" w:cs="Times New Roman"/>
        </w:rPr>
      </w:pPr>
      <w:r>
        <w:rPr>
          <w:rFonts w:ascii="Times New Roman" w:hAnsi="Times New Roman" w:cs="Times New Roman"/>
        </w:rPr>
        <w:t xml:space="preserve">The study was conducted using archived head computed tomography (CT) images obtained from the Radiology Departments of Delta State University Teaching Hospital, </w:t>
      </w:r>
      <w:proofErr w:type="spellStart"/>
      <w:r>
        <w:rPr>
          <w:rFonts w:ascii="Times New Roman" w:hAnsi="Times New Roman" w:cs="Times New Roman"/>
        </w:rPr>
        <w:t>Oghara</w:t>
      </w:r>
      <w:proofErr w:type="spellEnd"/>
      <w:r>
        <w:rPr>
          <w:rFonts w:ascii="Times New Roman" w:hAnsi="Times New Roman" w:cs="Times New Roman"/>
        </w:rPr>
        <w:t>, Delta State</w:t>
      </w:r>
      <w:r w:rsidR="00747717">
        <w:rPr>
          <w:rFonts w:ascii="Times New Roman" w:hAnsi="Times New Roman" w:cs="Times New Roman"/>
        </w:rPr>
        <w:t xml:space="preserve"> and</w:t>
      </w:r>
      <w:r w:rsidR="00B126FA">
        <w:rPr>
          <w:rFonts w:ascii="Times New Roman" w:hAnsi="Times New Roman" w:cs="Times New Roman"/>
        </w:rPr>
        <w:t xml:space="preserve"> </w:t>
      </w:r>
      <w:r w:rsidR="00B126FA" w:rsidRPr="00FA07FA">
        <w:rPr>
          <w:rFonts w:ascii="Times New Roman" w:hAnsi="Times New Roman" w:cs="Times New Roman"/>
        </w:rPr>
        <w:t>Benin Medical Centre, Benin City.</w:t>
      </w:r>
      <w:r>
        <w:rPr>
          <w:rFonts w:ascii="Times New Roman" w:hAnsi="Times New Roman" w:cs="Times New Roman"/>
        </w:rPr>
        <w:t xml:space="preserve"> </w:t>
      </w:r>
    </w:p>
    <w:p w14:paraId="3A39959C"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lastRenderedPageBreak/>
        <w:t>Study Population</w:t>
      </w:r>
    </w:p>
    <w:p w14:paraId="4E2D4DB9" w14:textId="7E36DB70" w:rsidR="00166B3E" w:rsidRDefault="004B5700">
      <w:pPr>
        <w:spacing w:after="0" w:line="360" w:lineRule="auto"/>
        <w:rPr>
          <w:rFonts w:ascii="Times New Roman" w:hAnsi="Times New Roman" w:cs="Times New Roman"/>
        </w:rPr>
      </w:pPr>
      <w:r>
        <w:rPr>
          <w:rFonts w:ascii="Times New Roman" w:hAnsi="Times New Roman" w:cs="Times New Roman"/>
        </w:rPr>
        <w:t>The study population comprised adult male and female subjects aged 20-65 years whose head CT records were available in the radiological archives of the selected health institution</w:t>
      </w:r>
      <w:r w:rsidR="00B126FA">
        <w:rPr>
          <w:rFonts w:ascii="Times New Roman" w:hAnsi="Times New Roman" w:cs="Times New Roman"/>
        </w:rPr>
        <w:t>s</w:t>
      </w:r>
      <w:r>
        <w:rPr>
          <w:rFonts w:ascii="Times New Roman" w:hAnsi="Times New Roman" w:cs="Times New Roman"/>
        </w:rPr>
        <w:t>. Only CT images demonstrating complete cranial maturity and adequate quality for morphometric assessment were included in the study.</w:t>
      </w:r>
    </w:p>
    <w:p w14:paraId="3B0B9A0F"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Sample Size and Sampling Technique</w:t>
      </w:r>
    </w:p>
    <w:p w14:paraId="472201D9" w14:textId="77777777" w:rsidR="00166B3E" w:rsidRDefault="004B5700">
      <w:pPr>
        <w:spacing w:after="0" w:line="360" w:lineRule="auto"/>
        <w:rPr>
          <w:rFonts w:ascii="Times New Roman" w:hAnsi="Times New Roman" w:cs="Times New Roman"/>
        </w:rPr>
      </w:pPr>
      <w:r>
        <w:rPr>
          <w:rFonts w:ascii="Times New Roman" w:hAnsi="Times New Roman" w:cs="Times New Roman"/>
        </w:rPr>
        <w:t>A total of 518 head CT images, consisting of 258 males and 260 females, obtained between 2018 and 2025 were purposively selected for analysis.</w:t>
      </w:r>
    </w:p>
    <w:p w14:paraId="7EADB7D9"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Data Collection Procedure</w:t>
      </w:r>
    </w:p>
    <w:p w14:paraId="6972EDC0" w14:textId="77777777" w:rsidR="00166B3E" w:rsidRDefault="004B5700">
      <w:pPr>
        <w:spacing w:after="0" w:line="360" w:lineRule="auto"/>
        <w:rPr>
          <w:rFonts w:ascii="Times New Roman" w:hAnsi="Times New Roman" w:cs="Times New Roman"/>
        </w:rPr>
      </w:pPr>
      <w:r>
        <w:rPr>
          <w:rFonts w:ascii="Times New Roman" w:hAnsi="Times New Roman" w:cs="Times New Roman"/>
        </w:rPr>
        <w:t>Craniometric measurements were obtained from reconstructed CT images using imaging software equipped with an inbuilt digital caliper. Images were reconstructed in the sagittal plane to identify standard cranial landmarks.</w:t>
      </w:r>
    </w:p>
    <w:p w14:paraId="7917CA92" w14:textId="77777777" w:rsidR="00166B3E" w:rsidRDefault="004B5700">
      <w:pPr>
        <w:spacing w:after="0" w:line="360" w:lineRule="auto"/>
        <w:rPr>
          <w:rFonts w:ascii="Times New Roman" w:hAnsi="Times New Roman" w:cs="Times New Roman"/>
        </w:rPr>
      </w:pPr>
      <w:r>
        <w:rPr>
          <w:rFonts w:ascii="Times New Roman" w:hAnsi="Times New Roman" w:cs="Times New Roman"/>
        </w:rPr>
        <w:t>The following craniometric parameters were evaluated:</w:t>
      </w:r>
    </w:p>
    <w:p w14:paraId="20C32B7E" w14:textId="77777777" w:rsidR="00166B3E" w:rsidRDefault="004B5700">
      <w:pPr>
        <w:numPr>
          <w:ilvl w:val="0"/>
          <w:numId w:val="1"/>
        </w:numPr>
        <w:spacing w:after="0" w:line="360" w:lineRule="auto"/>
        <w:rPr>
          <w:rFonts w:ascii="Times New Roman" w:hAnsi="Times New Roman" w:cs="Times New Roman"/>
        </w:rPr>
      </w:pPr>
      <w:r>
        <w:rPr>
          <w:rFonts w:ascii="Times New Roman" w:hAnsi="Times New Roman" w:cs="Times New Roman"/>
        </w:rPr>
        <w:t xml:space="preserve">Frontal chord: distance from the nasion to the bregma along the midline of the frontal bone. </w:t>
      </w:r>
    </w:p>
    <w:p w14:paraId="7A683C57" w14:textId="77777777" w:rsidR="00166B3E" w:rsidRDefault="004B5700">
      <w:pPr>
        <w:numPr>
          <w:ilvl w:val="0"/>
          <w:numId w:val="1"/>
        </w:numPr>
        <w:spacing w:after="0" w:line="360" w:lineRule="auto"/>
        <w:rPr>
          <w:rFonts w:ascii="Times New Roman" w:hAnsi="Times New Roman" w:cs="Times New Roman"/>
        </w:rPr>
      </w:pPr>
      <w:r>
        <w:rPr>
          <w:rFonts w:ascii="Times New Roman" w:hAnsi="Times New Roman" w:cs="Times New Roman"/>
        </w:rPr>
        <w:t xml:space="preserve">Parietal chord: distance from the bregma to the lambda along the midline of the parietal bone. </w:t>
      </w:r>
    </w:p>
    <w:p w14:paraId="0BDFBEF5" w14:textId="77777777" w:rsidR="00166B3E" w:rsidRDefault="004B5700">
      <w:pPr>
        <w:numPr>
          <w:ilvl w:val="0"/>
          <w:numId w:val="1"/>
        </w:numPr>
        <w:spacing w:after="0" w:line="360" w:lineRule="auto"/>
        <w:rPr>
          <w:rFonts w:ascii="Times New Roman" w:hAnsi="Times New Roman" w:cs="Times New Roman"/>
        </w:rPr>
      </w:pPr>
      <w:r>
        <w:rPr>
          <w:rFonts w:ascii="Times New Roman" w:hAnsi="Times New Roman" w:cs="Times New Roman"/>
        </w:rPr>
        <w:t xml:space="preserve">Occipital chord: distance from the lambda to the opisthion along the midline of the occipital bone. </w:t>
      </w:r>
    </w:p>
    <w:p w14:paraId="21AD7F78" w14:textId="77777777" w:rsidR="00166B3E" w:rsidRDefault="004B5700">
      <w:pPr>
        <w:spacing w:after="0" w:line="360" w:lineRule="auto"/>
        <w:rPr>
          <w:rFonts w:ascii="Times New Roman" w:hAnsi="Times New Roman" w:cs="Times New Roman"/>
        </w:rPr>
      </w:pPr>
      <w:r>
        <w:rPr>
          <w:rFonts w:ascii="Times New Roman" w:hAnsi="Times New Roman" w:cs="Times New Roman"/>
        </w:rPr>
        <w:t>These measurements were selected because of their established relevance in assessing cranial sexual dimorphism.</w:t>
      </w:r>
    </w:p>
    <w:p w14:paraId="17FFD67E"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Inclusion and Exclusion Criteria</w:t>
      </w:r>
    </w:p>
    <w:p w14:paraId="4CD46695"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Inclusion criteria</w:t>
      </w:r>
    </w:p>
    <w:p w14:paraId="0B702E8F" w14:textId="77777777" w:rsidR="00166B3E" w:rsidRDefault="004B5700">
      <w:pPr>
        <w:numPr>
          <w:ilvl w:val="0"/>
          <w:numId w:val="2"/>
        </w:numPr>
        <w:spacing w:after="0" w:line="360" w:lineRule="auto"/>
        <w:rPr>
          <w:rFonts w:ascii="Times New Roman" w:hAnsi="Times New Roman" w:cs="Times New Roman"/>
        </w:rPr>
      </w:pPr>
      <w:r>
        <w:rPr>
          <w:rFonts w:ascii="Times New Roman" w:hAnsi="Times New Roman" w:cs="Times New Roman"/>
        </w:rPr>
        <w:t xml:space="preserve">Head CT scans of adults aged 20-65 years. </w:t>
      </w:r>
    </w:p>
    <w:p w14:paraId="69B6E1EA" w14:textId="77777777" w:rsidR="00166B3E" w:rsidRDefault="004B5700">
      <w:pPr>
        <w:numPr>
          <w:ilvl w:val="0"/>
          <w:numId w:val="2"/>
        </w:numPr>
        <w:spacing w:after="0" w:line="360" w:lineRule="auto"/>
        <w:rPr>
          <w:rFonts w:ascii="Times New Roman" w:hAnsi="Times New Roman" w:cs="Times New Roman"/>
        </w:rPr>
      </w:pPr>
      <w:r>
        <w:rPr>
          <w:rFonts w:ascii="Times New Roman" w:hAnsi="Times New Roman" w:cs="Times New Roman"/>
        </w:rPr>
        <w:t xml:space="preserve">CT scans showing complete cranial skeletal maturity. </w:t>
      </w:r>
    </w:p>
    <w:p w14:paraId="2805B02A" w14:textId="77777777" w:rsidR="00166B3E" w:rsidRDefault="004B5700">
      <w:pPr>
        <w:numPr>
          <w:ilvl w:val="0"/>
          <w:numId w:val="2"/>
        </w:numPr>
        <w:spacing w:after="0" w:line="360" w:lineRule="auto"/>
        <w:rPr>
          <w:rFonts w:ascii="Times New Roman" w:hAnsi="Times New Roman" w:cs="Times New Roman"/>
        </w:rPr>
      </w:pPr>
      <w:r>
        <w:rPr>
          <w:rFonts w:ascii="Times New Roman" w:hAnsi="Times New Roman" w:cs="Times New Roman"/>
        </w:rPr>
        <w:t xml:space="preserve">Properly positioned scans with clearly visible cranial landmarks. </w:t>
      </w:r>
    </w:p>
    <w:p w14:paraId="7D441325"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Exclusion criteria</w:t>
      </w:r>
    </w:p>
    <w:p w14:paraId="379F751E" w14:textId="77777777" w:rsidR="00166B3E" w:rsidRDefault="004B5700">
      <w:pPr>
        <w:numPr>
          <w:ilvl w:val="0"/>
          <w:numId w:val="3"/>
        </w:numPr>
        <w:spacing w:after="0" w:line="360" w:lineRule="auto"/>
        <w:rPr>
          <w:rFonts w:ascii="Times New Roman" w:hAnsi="Times New Roman" w:cs="Times New Roman"/>
        </w:rPr>
      </w:pPr>
      <w:r>
        <w:rPr>
          <w:rFonts w:ascii="Times New Roman" w:hAnsi="Times New Roman" w:cs="Times New Roman"/>
        </w:rPr>
        <w:t xml:space="preserve">CT scans showing cranial trauma, deformities, or pathological abnormalities. </w:t>
      </w:r>
    </w:p>
    <w:p w14:paraId="7B5CD158" w14:textId="77777777" w:rsidR="00166B3E" w:rsidRDefault="004B5700">
      <w:pPr>
        <w:numPr>
          <w:ilvl w:val="0"/>
          <w:numId w:val="3"/>
        </w:numPr>
        <w:spacing w:after="0" w:line="360" w:lineRule="auto"/>
        <w:rPr>
          <w:rFonts w:ascii="Times New Roman" w:hAnsi="Times New Roman" w:cs="Times New Roman"/>
        </w:rPr>
      </w:pPr>
      <w:r>
        <w:rPr>
          <w:rFonts w:ascii="Times New Roman" w:hAnsi="Times New Roman" w:cs="Times New Roman"/>
        </w:rPr>
        <w:t xml:space="preserve">Poor-quality or incomplete CT images unsuitable for measurement. </w:t>
      </w:r>
    </w:p>
    <w:p w14:paraId="32D807D1"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Ethical Consideration</w:t>
      </w:r>
    </w:p>
    <w:p w14:paraId="24B0B7AA" w14:textId="42F887E9" w:rsidR="00166B3E" w:rsidRDefault="004B5700">
      <w:pPr>
        <w:spacing w:after="0" w:line="360" w:lineRule="auto"/>
        <w:jc w:val="both"/>
        <w:rPr>
          <w:rFonts w:ascii="Times New Roman" w:hAnsi="Times New Roman" w:cs="Times New Roman"/>
        </w:rPr>
      </w:pPr>
      <w:r>
        <w:rPr>
          <w:rFonts w:ascii="Times New Roman" w:hAnsi="Times New Roman" w:cs="Times New Roman"/>
        </w:rPr>
        <w:lastRenderedPageBreak/>
        <w:t>Ethical approval was obtained from the Research and Ethics Committee of the Faculty of Basic Medical Sciences, Delta State University, Abraka (RBC/FBMC/DELSU/25/766), the Research and Ethics Committee of Delta State University Teaching Hospital, Oghara (HREC/PAN/2025/0750)</w:t>
      </w:r>
      <w:r w:rsidR="00B126FA">
        <w:rPr>
          <w:rFonts w:ascii="Times New Roman" w:hAnsi="Times New Roman" w:cs="Times New Roman"/>
        </w:rPr>
        <w:t xml:space="preserve"> and </w:t>
      </w:r>
      <w:r w:rsidR="00B126FA">
        <w:rPr>
          <w:rFonts w:ascii="Times New Roman" w:eastAsia="Times New Roman" w:hAnsi="Times New Roman" w:cs="Times New Roman"/>
          <w:szCs w:val="28"/>
        </w:rPr>
        <w:t>the Research and Ethics Committee of the Benin Medical Centre</w:t>
      </w:r>
      <w:r w:rsidR="00B126FA" w:rsidRPr="00D543A2">
        <w:rPr>
          <w:rFonts w:ascii="Times New Roman" w:eastAsia="Times New Roman" w:hAnsi="Times New Roman" w:cs="Times New Roman"/>
          <w:szCs w:val="28"/>
        </w:rPr>
        <w:t>,</w:t>
      </w:r>
      <w:r w:rsidR="00B126FA">
        <w:rPr>
          <w:rFonts w:ascii="Times New Roman" w:eastAsia="Times New Roman" w:hAnsi="Times New Roman" w:cs="Times New Roman"/>
          <w:color w:val="02A5E3"/>
          <w:szCs w:val="28"/>
        </w:rPr>
        <w:t xml:space="preserve"> </w:t>
      </w:r>
      <w:r w:rsidR="00B126FA">
        <w:rPr>
          <w:rFonts w:ascii="Times New Roman" w:eastAsia="Times New Roman" w:hAnsi="Times New Roman" w:cs="Times New Roman"/>
          <w:szCs w:val="28"/>
        </w:rPr>
        <w:t xml:space="preserve">Benin-City </w:t>
      </w:r>
      <w:r w:rsidR="00B126FA">
        <w:rPr>
          <w:rFonts w:ascii="Times New Roman" w:hAnsi="Times New Roman" w:cs="Times New Roman"/>
        </w:rPr>
        <w:t>(HREC/BMC/2025/021/0345).</w:t>
      </w:r>
    </w:p>
    <w:p w14:paraId="2A82CD53" w14:textId="77777777" w:rsidR="00166B3E" w:rsidRDefault="004B5700">
      <w:pPr>
        <w:spacing w:after="0" w:line="360" w:lineRule="auto"/>
        <w:rPr>
          <w:rFonts w:ascii="Times New Roman" w:hAnsi="Times New Roman" w:cs="Times New Roman"/>
          <w:b/>
          <w:bCs/>
        </w:rPr>
      </w:pPr>
      <w:r>
        <w:rPr>
          <w:rFonts w:ascii="Times New Roman" w:hAnsi="Times New Roman" w:cs="Times New Roman"/>
          <w:b/>
          <w:bCs/>
        </w:rPr>
        <w:t>Statistical Analysis</w:t>
      </w:r>
    </w:p>
    <w:p w14:paraId="770BB773"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Data were analyzed using the Statistical Package for the Social Sciences (SPSS), version 27.0. Descriptive statistics were used to summarize the data. Independent samples t-test was employed to assess sex differences in the craniometric parameters, while discriminant function analysis was used to predict sex. Statistical significance was set at p &lt; 0.05.</w:t>
      </w:r>
    </w:p>
    <w:p w14:paraId="1789AFDD" w14:textId="77777777" w:rsidR="00166B3E" w:rsidRDefault="004B5700">
      <w:pPr>
        <w:spacing w:after="0" w:line="360" w:lineRule="auto"/>
        <w:jc w:val="both"/>
        <w:rPr>
          <w:rFonts w:ascii="Times New Roman" w:hAnsi="Times New Roman" w:cs="Times New Roman"/>
          <w:b/>
          <w:bCs/>
        </w:rPr>
      </w:pPr>
      <w:r>
        <w:rPr>
          <w:rFonts w:ascii="Times New Roman" w:hAnsi="Times New Roman" w:cs="Times New Roman"/>
          <w:b/>
          <w:bCs/>
        </w:rPr>
        <w:t>Results</w:t>
      </w:r>
    </w:p>
    <w:p w14:paraId="182C7925" w14:textId="77777777" w:rsidR="00166B3E" w:rsidRDefault="004B5700">
      <w:pPr>
        <w:spacing w:after="0" w:line="360" w:lineRule="auto"/>
        <w:jc w:val="both"/>
        <w:rPr>
          <w:rFonts w:ascii="Times New Roman" w:hAnsi="Times New Roman" w:cs="Times New Roman"/>
          <w:b/>
          <w:bCs/>
        </w:rPr>
      </w:pPr>
      <w:r>
        <w:rPr>
          <w:rFonts w:ascii="Times New Roman" w:hAnsi="Times New Roman"/>
          <w:noProof/>
        </w:rPr>
        <w:drawing>
          <wp:inline distT="0" distB="0" distL="0" distR="0" wp14:anchorId="6E6A1E84" wp14:editId="78219B58">
            <wp:extent cx="4933950" cy="2847975"/>
            <wp:effectExtent l="0" t="0" r="0" b="9525"/>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t="6702"/>
                    <a:stretch/>
                  </pic:blipFill>
                  <pic:spPr>
                    <a:xfrm>
                      <a:off x="0" y="0"/>
                      <a:ext cx="4933950" cy="2847975"/>
                    </a:xfrm>
                    <a:prstGeom prst="rect">
                      <a:avLst/>
                    </a:prstGeom>
                    <a:ln>
                      <a:noFill/>
                    </a:ln>
                  </pic:spPr>
                </pic:pic>
              </a:graphicData>
            </a:graphic>
          </wp:inline>
        </w:drawing>
      </w:r>
    </w:p>
    <w:p w14:paraId="7D303B55" w14:textId="77777777" w:rsidR="00166B3E" w:rsidRDefault="004B5700">
      <w:pPr>
        <w:spacing w:before="360" w:after="0" w:line="360" w:lineRule="auto"/>
        <w:ind w:firstLine="720"/>
        <w:jc w:val="center"/>
        <w:rPr>
          <w:rFonts w:ascii="Times New Roman" w:hAnsi="Times New Roman"/>
          <w:b/>
        </w:rPr>
      </w:pPr>
      <w:r>
        <w:rPr>
          <w:rFonts w:ascii="Times New Roman" w:hAnsi="Times New Roman"/>
          <w:b/>
        </w:rPr>
        <w:t>Figure 1: Distribution of study subject by sex</w:t>
      </w:r>
    </w:p>
    <w:p w14:paraId="3E61233D" w14:textId="5EBD32DB" w:rsidR="00166B3E" w:rsidRDefault="004B5700">
      <w:pPr>
        <w:spacing w:after="0" w:line="360" w:lineRule="auto"/>
        <w:jc w:val="both"/>
        <w:rPr>
          <w:rFonts w:ascii="Times New Roman" w:hAnsi="Times New Roman" w:cs="Times New Roman"/>
        </w:rPr>
      </w:pPr>
      <w:r>
        <w:rPr>
          <w:rFonts w:ascii="Times New Roman" w:hAnsi="Times New Roman"/>
        </w:rPr>
        <w:t>Figure 1</w:t>
      </w:r>
      <w:r>
        <w:rPr>
          <w:rFonts w:ascii="Times New Roman" w:hAnsi="Times New Roman"/>
          <w:color w:val="BF0000"/>
        </w:rPr>
        <w:t xml:space="preserve"> </w:t>
      </w:r>
      <w:r>
        <w:rPr>
          <w:rFonts w:ascii="Times New Roman" w:hAnsi="Times New Roman"/>
        </w:rPr>
        <w:t xml:space="preserve">shows the number of subjects in the study. Out of five hundred and eighteen (518) </w:t>
      </w:r>
      <w:r>
        <w:rPr>
          <w:rFonts w:ascii="Times New Roman" w:eastAsia="Times New Roman" w:hAnsi="Times New Roman" w:cs="Times New Roman"/>
          <w:szCs w:val="28"/>
        </w:rPr>
        <w:t>CT images</w:t>
      </w:r>
      <w:r>
        <w:rPr>
          <w:rFonts w:ascii="Times New Roman" w:hAnsi="Times New Roman"/>
        </w:rPr>
        <w:t xml:space="preserve"> that were used in the study, 258 (49.80%) were for males while 260 (50.20%) were for females.</w:t>
      </w:r>
    </w:p>
    <w:p w14:paraId="2F91C2A3" w14:textId="77777777" w:rsidR="00166B3E" w:rsidRDefault="004B5700">
      <w:pPr>
        <w:pStyle w:val="Heading2"/>
        <w:spacing w:before="0" w:line="360" w:lineRule="auto"/>
        <w:jc w:val="both"/>
        <w:rPr>
          <w:rFonts w:ascii="Times New Roman" w:hAnsi="Times New Roman"/>
          <w:b/>
          <w:bCs/>
          <w:color w:val="auto"/>
          <w:sz w:val="24"/>
          <w:szCs w:val="24"/>
        </w:rPr>
      </w:pPr>
      <w:r>
        <w:rPr>
          <w:rFonts w:ascii="Times New Roman" w:hAnsi="Times New Roman"/>
          <w:b/>
          <w:bCs/>
          <w:color w:val="auto"/>
          <w:sz w:val="24"/>
          <w:szCs w:val="24"/>
        </w:rPr>
        <w:t>Table 1: Descriptive Analysis of Cranial Chord Measurements by Sex</w:t>
      </w:r>
    </w:p>
    <w:tbl>
      <w:tblPr>
        <w:tblW w:w="0" w:type="auto"/>
        <w:tblLook w:val="04A0" w:firstRow="1" w:lastRow="0" w:firstColumn="1" w:lastColumn="0" w:noHBand="0" w:noVBand="1"/>
      </w:tblPr>
      <w:tblGrid>
        <w:gridCol w:w="2880"/>
        <w:gridCol w:w="2880"/>
        <w:gridCol w:w="2880"/>
      </w:tblGrid>
      <w:tr w:rsidR="00166B3E" w14:paraId="6C7530DA" w14:textId="77777777">
        <w:tc>
          <w:tcPr>
            <w:tcW w:w="2880" w:type="dxa"/>
            <w:tcBorders>
              <w:top w:val="single" w:sz="4" w:space="0" w:color="auto"/>
              <w:bottom w:val="single" w:sz="4" w:space="0" w:color="auto"/>
            </w:tcBorders>
          </w:tcPr>
          <w:p w14:paraId="05E4BB23" w14:textId="77777777" w:rsidR="00166B3E" w:rsidRDefault="004B5700">
            <w:pPr>
              <w:jc w:val="both"/>
              <w:rPr>
                <w:rFonts w:ascii="Times New Roman" w:hAnsi="Times New Roman" w:cs="Times New Roman"/>
                <w:b/>
              </w:rPr>
            </w:pPr>
            <w:r>
              <w:rPr>
                <w:rFonts w:ascii="Times New Roman" w:hAnsi="Times New Roman" w:cs="Times New Roman"/>
                <w:b/>
              </w:rPr>
              <w:t>Variable</w:t>
            </w:r>
          </w:p>
        </w:tc>
        <w:tc>
          <w:tcPr>
            <w:tcW w:w="2880" w:type="dxa"/>
            <w:tcBorders>
              <w:top w:val="single" w:sz="4" w:space="0" w:color="auto"/>
              <w:bottom w:val="single" w:sz="4" w:space="0" w:color="auto"/>
            </w:tcBorders>
          </w:tcPr>
          <w:p w14:paraId="32EBF1FA" w14:textId="77777777" w:rsidR="00166B3E" w:rsidRDefault="004B5700">
            <w:pPr>
              <w:jc w:val="both"/>
              <w:rPr>
                <w:rFonts w:ascii="Times New Roman" w:hAnsi="Times New Roman" w:cs="Times New Roman"/>
                <w:b/>
              </w:rPr>
            </w:pPr>
            <w:r>
              <w:rPr>
                <w:rFonts w:ascii="Times New Roman" w:hAnsi="Times New Roman" w:cs="Times New Roman"/>
                <w:b/>
              </w:rPr>
              <w:t>Male (Mean ± SD)</w:t>
            </w:r>
          </w:p>
        </w:tc>
        <w:tc>
          <w:tcPr>
            <w:tcW w:w="2880" w:type="dxa"/>
            <w:tcBorders>
              <w:top w:val="single" w:sz="4" w:space="0" w:color="auto"/>
              <w:bottom w:val="single" w:sz="4" w:space="0" w:color="auto"/>
            </w:tcBorders>
          </w:tcPr>
          <w:p w14:paraId="20AEC982" w14:textId="77777777" w:rsidR="00166B3E" w:rsidRDefault="004B5700">
            <w:pPr>
              <w:jc w:val="both"/>
              <w:rPr>
                <w:rFonts w:ascii="Times New Roman" w:hAnsi="Times New Roman" w:cs="Times New Roman"/>
                <w:b/>
              </w:rPr>
            </w:pPr>
            <w:r>
              <w:rPr>
                <w:rFonts w:ascii="Times New Roman" w:hAnsi="Times New Roman" w:cs="Times New Roman"/>
                <w:b/>
              </w:rPr>
              <w:t>Female (Mean ± SD)</w:t>
            </w:r>
          </w:p>
        </w:tc>
      </w:tr>
      <w:tr w:rsidR="00166B3E" w14:paraId="0870F8A2" w14:textId="77777777">
        <w:tc>
          <w:tcPr>
            <w:tcW w:w="2880" w:type="dxa"/>
          </w:tcPr>
          <w:p w14:paraId="66E016FA" w14:textId="77777777" w:rsidR="00166B3E" w:rsidRDefault="004B5700">
            <w:pPr>
              <w:jc w:val="both"/>
              <w:rPr>
                <w:rFonts w:ascii="Times New Roman" w:hAnsi="Times New Roman" w:cs="Times New Roman"/>
              </w:rPr>
            </w:pPr>
            <w:r>
              <w:rPr>
                <w:rFonts w:ascii="Times New Roman" w:hAnsi="Times New Roman" w:cs="Times New Roman"/>
              </w:rPr>
              <w:t>Frontal chord (mm)</w:t>
            </w:r>
          </w:p>
        </w:tc>
        <w:tc>
          <w:tcPr>
            <w:tcW w:w="2880" w:type="dxa"/>
          </w:tcPr>
          <w:p w14:paraId="3DDE515B" w14:textId="77777777" w:rsidR="00166B3E" w:rsidRDefault="004B5700">
            <w:pPr>
              <w:jc w:val="both"/>
              <w:rPr>
                <w:rFonts w:ascii="Times New Roman" w:hAnsi="Times New Roman" w:cs="Times New Roman"/>
              </w:rPr>
            </w:pPr>
            <w:r>
              <w:rPr>
                <w:rFonts w:ascii="Times New Roman" w:hAnsi="Times New Roman" w:cs="Times New Roman"/>
              </w:rPr>
              <w:t>119.67 ± 5.19</w:t>
            </w:r>
          </w:p>
        </w:tc>
        <w:tc>
          <w:tcPr>
            <w:tcW w:w="2880" w:type="dxa"/>
          </w:tcPr>
          <w:p w14:paraId="14E3F66A" w14:textId="77777777" w:rsidR="00166B3E" w:rsidRDefault="004B5700">
            <w:pPr>
              <w:jc w:val="both"/>
              <w:rPr>
                <w:rFonts w:ascii="Times New Roman" w:hAnsi="Times New Roman" w:cs="Times New Roman"/>
              </w:rPr>
            </w:pPr>
            <w:r>
              <w:rPr>
                <w:rFonts w:ascii="Times New Roman" w:hAnsi="Times New Roman" w:cs="Times New Roman"/>
              </w:rPr>
              <w:t>103.23 ± 3.85</w:t>
            </w:r>
          </w:p>
        </w:tc>
      </w:tr>
      <w:tr w:rsidR="00166B3E" w14:paraId="2F2CEC2F" w14:textId="77777777">
        <w:tc>
          <w:tcPr>
            <w:tcW w:w="2880" w:type="dxa"/>
          </w:tcPr>
          <w:p w14:paraId="70FF1433" w14:textId="77777777" w:rsidR="00166B3E" w:rsidRDefault="004B5700">
            <w:pPr>
              <w:jc w:val="both"/>
              <w:rPr>
                <w:rFonts w:ascii="Times New Roman" w:hAnsi="Times New Roman" w:cs="Times New Roman"/>
              </w:rPr>
            </w:pPr>
            <w:r>
              <w:rPr>
                <w:rFonts w:ascii="Times New Roman" w:hAnsi="Times New Roman" w:cs="Times New Roman"/>
              </w:rPr>
              <w:lastRenderedPageBreak/>
              <w:t>Parietal chord (mm)</w:t>
            </w:r>
          </w:p>
        </w:tc>
        <w:tc>
          <w:tcPr>
            <w:tcW w:w="2880" w:type="dxa"/>
          </w:tcPr>
          <w:p w14:paraId="04B6CEF5" w14:textId="77777777" w:rsidR="00166B3E" w:rsidRDefault="004B5700">
            <w:pPr>
              <w:jc w:val="both"/>
              <w:rPr>
                <w:rFonts w:ascii="Times New Roman" w:hAnsi="Times New Roman" w:cs="Times New Roman"/>
              </w:rPr>
            </w:pPr>
            <w:r>
              <w:rPr>
                <w:rFonts w:ascii="Times New Roman" w:hAnsi="Times New Roman" w:cs="Times New Roman"/>
              </w:rPr>
              <w:t>115.01 ± 4.39</w:t>
            </w:r>
          </w:p>
        </w:tc>
        <w:tc>
          <w:tcPr>
            <w:tcW w:w="2880" w:type="dxa"/>
          </w:tcPr>
          <w:p w14:paraId="742E4C2A" w14:textId="77777777" w:rsidR="00166B3E" w:rsidRDefault="004B5700">
            <w:pPr>
              <w:jc w:val="both"/>
              <w:rPr>
                <w:rFonts w:ascii="Times New Roman" w:hAnsi="Times New Roman" w:cs="Times New Roman"/>
              </w:rPr>
            </w:pPr>
            <w:r>
              <w:rPr>
                <w:rFonts w:ascii="Times New Roman" w:hAnsi="Times New Roman" w:cs="Times New Roman"/>
              </w:rPr>
              <w:t>105.01 ± 4.71</w:t>
            </w:r>
          </w:p>
        </w:tc>
      </w:tr>
      <w:tr w:rsidR="00166B3E" w14:paraId="170B60B0" w14:textId="77777777">
        <w:tc>
          <w:tcPr>
            <w:tcW w:w="2880" w:type="dxa"/>
            <w:tcBorders>
              <w:bottom w:val="single" w:sz="4" w:space="0" w:color="auto"/>
            </w:tcBorders>
          </w:tcPr>
          <w:p w14:paraId="696D838A" w14:textId="77777777" w:rsidR="00166B3E" w:rsidRDefault="004B5700">
            <w:pPr>
              <w:jc w:val="both"/>
              <w:rPr>
                <w:rFonts w:ascii="Times New Roman" w:hAnsi="Times New Roman" w:cs="Times New Roman"/>
              </w:rPr>
            </w:pPr>
            <w:r>
              <w:rPr>
                <w:rFonts w:ascii="Times New Roman" w:hAnsi="Times New Roman" w:cs="Times New Roman"/>
              </w:rPr>
              <w:t>Occipital chord (mm)</w:t>
            </w:r>
          </w:p>
        </w:tc>
        <w:tc>
          <w:tcPr>
            <w:tcW w:w="2880" w:type="dxa"/>
            <w:tcBorders>
              <w:bottom w:val="single" w:sz="4" w:space="0" w:color="auto"/>
            </w:tcBorders>
          </w:tcPr>
          <w:p w14:paraId="295C3561" w14:textId="77777777" w:rsidR="00166B3E" w:rsidRDefault="004B5700">
            <w:pPr>
              <w:jc w:val="both"/>
              <w:rPr>
                <w:rFonts w:ascii="Times New Roman" w:hAnsi="Times New Roman" w:cs="Times New Roman"/>
              </w:rPr>
            </w:pPr>
            <w:r>
              <w:rPr>
                <w:rFonts w:ascii="Times New Roman" w:hAnsi="Times New Roman" w:cs="Times New Roman"/>
              </w:rPr>
              <w:t>104.74 ± 4.15</w:t>
            </w:r>
          </w:p>
        </w:tc>
        <w:tc>
          <w:tcPr>
            <w:tcW w:w="2880" w:type="dxa"/>
            <w:tcBorders>
              <w:bottom w:val="single" w:sz="4" w:space="0" w:color="auto"/>
            </w:tcBorders>
          </w:tcPr>
          <w:p w14:paraId="51788176" w14:textId="77777777" w:rsidR="00166B3E" w:rsidRDefault="004B5700">
            <w:pPr>
              <w:jc w:val="both"/>
              <w:rPr>
                <w:rFonts w:ascii="Times New Roman" w:hAnsi="Times New Roman" w:cs="Times New Roman"/>
              </w:rPr>
            </w:pPr>
            <w:r>
              <w:rPr>
                <w:rFonts w:ascii="Times New Roman" w:hAnsi="Times New Roman" w:cs="Times New Roman"/>
              </w:rPr>
              <w:t>94.80 ± 4.98</w:t>
            </w:r>
          </w:p>
        </w:tc>
      </w:tr>
    </w:tbl>
    <w:p w14:paraId="2A890B18" w14:textId="77777777" w:rsidR="00166B3E" w:rsidRDefault="00166B3E">
      <w:pPr>
        <w:spacing w:after="0" w:line="360" w:lineRule="auto"/>
        <w:jc w:val="both"/>
        <w:rPr>
          <w:rFonts w:ascii="Times New Roman" w:hAnsi="Times New Roman" w:cs="Times New Roman"/>
          <w:b/>
          <w:bCs/>
        </w:rPr>
      </w:pPr>
    </w:p>
    <w:p w14:paraId="667B5250"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Table 1</w:t>
      </w:r>
      <w:r>
        <w:rPr>
          <w:rFonts w:ascii="Times New Roman" w:hAnsi="Times New Roman" w:cs="Times New Roman"/>
          <w:color w:val="BF0000"/>
        </w:rPr>
        <w:t>,</w:t>
      </w:r>
      <w:r>
        <w:rPr>
          <w:rFonts w:ascii="Times New Roman" w:hAnsi="Times New Roman" w:cs="Times New Roman"/>
        </w:rPr>
        <w:t xml:space="preserve"> presents the descriptive statistics of selected cranial chord measurements according to sex. The findings revealed that male subjects exhibited higher mean values than female subjects across all measured parameters, including frontal chord, parietal chord, and occipital chord. Specifically, males demonstrated a mean frontal chord of 119.67 ± 5.19 mm compared to 103.23 ± 3.85 mm in females. Similarly, the mean parietal chord was higher in males (115.01 ± 4.39 mm) than in females (105.01 ± 4.71 mm), while occipital chord measurements were also greater in males (104.74 ± 4.15 mm) compared to females (94.80 ± 4.98 mm). The observed differences suggest pronounced sexual dimorphism in cranial chord dimensions, with frontal chord showing the greatest mean difference between sexes. This indicates that these cranial parameters may serve as reliable indicators for sex determination.</w:t>
      </w:r>
    </w:p>
    <w:p w14:paraId="2411A28D" w14:textId="77777777" w:rsidR="00166B3E" w:rsidRDefault="004B5700">
      <w:pPr>
        <w:pStyle w:val="Heading2"/>
        <w:spacing w:line="360" w:lineRule="auto"/>
        <w:jc w:val="both"/>
        <w:rPr>
          <w:rFonts w:ascii="Times New Roman" w:hAnsi="Times New Roman"/>
          <w:b/>
          <w:bCs/>
          <w:color w:val="auto"/>
          <w:sz w:val="24"/>
          <w:szCs w:val="24"/>
        </w:rPr>
      </w:pPr>
      <w:r>
        <w:rPr>
          <w:rFonts w:ascii="Times New Roman" w:hAnsi="Times New Roman"/>
          <w:b/>
          <w:bCs/>
          <w:color w:val="auto"/>
          <w:sz w:val="24"/>
          <w:szCs w:val="24"/>
        </w:rPr>
        <w:t>Table 2: Independent Samples t-test of sex differences in selected cranial chord Measurements</w:t>
      </w:r>
    </w:p>
    <w:tbl>
      <w:tblPr>
        <w:tblW w:w="0" w:type="auto"/>
        <w:tblLook w:val="04A0" w:firstRow="1" w:lastRow="0" w:firstColumn="1" w:lastColumn="0" w:noHBand="0" w:noVBand="1"/>
      </w:tblPr>
      <w:tblGrid>
        <w:gridCol w:w="1458"/>
        <w:gridCol w:w="1998"/>
        <w:gridCol w:w="1728"/>
        <w:gridCol w:w="1728"/>
        <w:gridCol w:w="1728"/>
      </w:tblGrid>
      <w:tr w:rsidR="00166B3E" w14:paraId="4412F234" w14:textId="77777777">
        <w:tc>
          <w:tcPr>
            <w:tcW w:w="1458" w:type="dxa"/>
            <w:tcBorders>
              <w:top w:val="single" w:sz="4" w:space="0" w:color="auto"/>
              <w:bottom w:val="single" w:sz="4" w:space="0" w:color="auto"/>
            </w:tcBorders>
          </w:tcPr>
          <w:p w14:paraId="5395CCBE" w14:textId="77777777" w:rsidR="00166B3E" w:rsidRDefault="004B5700">
            <w:pPr>
              <w:jc w:val="both"/>
              <w:rPr>
                <w:rFonts w:ascii="Times New Roman" w:hAnsi="Times New Roman" w:cs="Times New Roman"/>
                <w:b/>
              </w:rPr>
            </w:pPr>
            <w:r>
              <w:rPr>
                <w:rFonts w:ascii="Times New Roman" w:hAnsi="Times New Roman" w:cs="Times New Roman"/>
                <w:b/>
              </w:rPr>
              <w:t>Variable</w:t>
            </w:r>
          </w:p>
        </w:tc>
        <w:tc>
          <w:tcPr>
            <w:tcW w:w="1998" w:type="dxa"/>
            <w:tcBorders>
              <w:top w:val="single" w:sz="4" w:space="0" w:color="auto"/>
              <w:bottom w:val="single" w:sz="4" w:space="0" w:color="auto"/>
            </w:tcBorders>
          </w:tcPr>
          <w:p w14:paraId="34DC86D7" w14:textId="77777777" w:rsidR="00166B3E" w:rsidRDefault="004B5700">
            <w:pPr>
              <w:jc w:val="both"/>
              <w:rPr>
                <w:rFonts w:ascii="Times New Roman" w:hAnsi="Times New Roman" w:cs="Times New Roman"/>
                <w:b/>
              </w:rPr>
            </w:pPr>
            <w:r>
              <w:rPr>
                <w:rFonts w:ascii="Times New Roman" w:hAnsi="Times New Roman" w:cs="Times New Roman"/>
                <w:b/>
              </w:rPr>
              <w:t>Mean Diff (M–F)</w:t>
            </w:r>
          </w:p>
        </w:tc>
        <w:tc>
          <w:tcPr>
            <w:tcW w:w="1728" w:type="dxa"/>
            <w:tcBorders>
              <w:top w:val="single" w:sz="4" w:space="0" w:color="auto"/>
              <w:bottom w:val="single" w:sz="4" w:space="0" w:color="auto"/>
            </w:tcBorders>
          </w:tcPr>
          <w:p w14:paraId="0B2DBC94" w14:textId="77777777" w:rsidR="00166B3E" w:rsidRDefault="004B5700">
            <w:pPr>
              <w:jc w:val="both"/>
              <w:rPr>
                <w:rFonts w:ascii="Times New Roman" w:hAnsi="Times New Roman" w:cs="Times New Roman"/>
                <w:b/>
              </w:rPr>
            </w:pPr>
            <w:r>
              <w:rPr>
                <w:rFonts w:ascii="Times New Roman" w:hAnsi="Times New Roman" w:cs="Times New Roman"/>
                <w:b/>
              </w:rPr>
              <w:t>T(df)</w:t>
            </w:r>
          </w:p>
        </w:tc>
        <w:tc>
          <w:tcPr>
            <w:tcW w:w="1728" w:type="dxa"/>
            <w:tcBorders>
              <w:top w:val="single" w:sz="4" w:space="0" w:color="auto"/>
              <w:bottom w:val="single" w:sz="4" w:space="0" w:color="auto"/>
            </w:tcBorders>
          </w:tcPr>
          <w:p w14:paraId="74A81E67" w14:textId="77777777" w:rsidR="00166B3E" w:rsidRDefault="004B5700">
            <w:pPr>
              <w:jc w:val="both"/>
              <w:rPr>
                <w:rFonts w:ascii="Times New Roman" w:hAnsi="Times New Roman" w:cs="Times New Roman"/>
                <w:b/>
              </w:rPr>
            </w:pPr>
            <w:r>
              <w:rPr>
                <w:rFonts w:ascii="Times New Roman" w:hAnsi="Times New Roman" w:cs="Times New Roman"/>
                <w:b/>
              </w:rPr>
              <w:t>P-value</w:t>
            </w:r>
          </w:p>
        </w:tc>
        <w:tc>
          <w:tcPr>
            <w:tcW w:w="1728" w:type="dxa"/>
            <w:tcBorders>
              <w:top w:val="single" w:sz="4" w:space="0" w:color="auto"/>
              <w:bottom w:val="single" w:sz="4" w:space="0" w:color="auto"/>
            </w:tcBorders>
          </w:tcPr>
          <w:p w14:paraId="70A34ECD" w14:textId="77777777" w:rsidR="00166B3E" w:rsidRDefault="004B5700">
            <w:pPr>
              <w:jc w:val="both"/>
              <w:rPr>
                <w:rFonts w:ascii="Times New Roman" w:hAnsi="Times New Roman" w:cs="Times New Roman"/>
                <w:b/>
              </w:rPr>
            </w:pPr>
            <w:r>
              <w:rPr>
                <w:rFonts w:ascii="Times New Roman" w:hAnsi="Times New Roman" w:cs="Times New Roman"/>
                <w:b/>
              </w:rPr>
              <w:t>Sig.</w:t>
            </w:r>
          </w:p>
        </w:tc>
      </w:tr>
      <w:tr w:rsidR="00166B3E" w14:paraId="4D5C793E" w14:textId="77777777">
        <w:tc>
          <w:tcPr>
            <w:tcW w:w="1458" w:type="dxa"/>
          </w:tcPr>
          <w:p w14:paraId="25E285BD" w14:textId="77777777" w:rsidR="00166B3E" w:rsidRDefault="004B5700">
            <w:pPr>
              <w:jc w:val="both"/>
              <w:rPr>
                <w:rFonts w:ascii="Times New Roman" w:hAnsi="Times New Roman" w:cs="Times New Roman"/>
              </w:rPr>
            </w:pPr>
            <w:r>
              <w:rPr>
                <w:rFonts w:ascii="Times New Roman" w:hAnsi="Times New Roman" w:cs="Times New Roman"/>
              </w:rPr>
              <w:t>Frontal chord</w:t>
            </w:r>
          </w:p>
        </w:tc>
        <w:tc>
          <w:tcPr>
            <w:tcW w:w="1998" w:type="dxa"/>
          </w:tcPr>
          <w:p w14:paraId="7E317D1F" w14:textId="77777777" w:rsidR="00166B3E" w:rsidRDefault="004B5700">
            <w:pPr>
              <w:jc w:val="both"/>
              <w:rPr>
                <w:rFonts w:ascii="Times New Roman" w:hAnsi="Times New Roman" w:cs="Times New Roman"/>
              </w:rPr>
            </w:pPr>
            <w:r>
              <w:rPr>
                <w:rFonts w:ascii="Times New Roman" w:hAnsi="Times New Roman" w:cs="Times New Roman"/>
              </w:rPr>
              <w:t>16.45</w:t>
            </w:r>
          </w:p>
        </w:tc>
        <w:tc>
          <w:tcPr>
            <w:tcW w:w="1728" w:type="dxa"/>
          </w:tcPr>
          <w:p w14:paraId="4B9A09D1" w14:textId="77777777" w:rsidR="00166B3E" w:rsidRDefault="004B5700">
            <w:pPr>
              <w:jc w:val="both"/>
              <w:rPr>
                <w:rFonts w:ascii="Times New Roman" w:hAnsi="Times New Roman" w:cs="Times New Roman"/>
              </w:rPr>
            </w:pPr>
            <w:r>
              <w:rPr>
                <w:rFonts w:ascii="Times New Roman" w:hAnsi="Times New Roman" w:cs="Times New Roman"/>
              </w:rPr>
              <w:t>40.99(516)</w:t>
            </w:r>
          </w:p>
        </w:tc>
        <w:tc>
          <w:tcPr>
            <w:tcW w:w="1728" w:type="dxa"/>
          </w:tcPr>
          <w:p w14:paraId="6F7784FE" w14:textId="77777777" w:rsidR="00166B3E" w:rsidRDefault="004B5700">
            <w:pPr>
              <w:jc w:val="both"/>
              <w:rPr>
                <w:rFonts w:ascii="Times New Roman" w:hAnsi="Times New Roman" w:cs="Times New Roman"/>
              </w:rPr>
            </w:pPr>
            <w:r>
              <w:rPr>
                <w:rFonts w:ascii="Times New Roman" w:hAnsi="Times New Roman" w:cs="Times New Roman"/>
              </w:rPr>
              <w:t>0.001</w:t>
            </w:r>
          </w:p>
        </w:tc>
        <w:tc>
          <w:tcPr>
            <w:tcW w:w="1728" w:type="dxa"/>
          </w:tcPr>
          <w:p w14:paraId="5735FDF5" w14:textId="77777777" w:rsidR="00166B3E" w:rsidRDefault="004B5700">
            <w:pPr>
              <w:jc w:val="both"/>
              <w:rPr>
                <w:rFonts w:ascii="Times New Roman" w:hAnsi="Times New Roman" w:cs="Times New Roman"/>
              </w:rPr>
            </w:pPr>
            <w:r>
              <w:rPr>
                <w:rFonts w:ascii="Times New Roman" w:hAnsi="Times New Roman" w:cs="Times New Roman"/>
              </w:rPr>
              <w:t>Significant</w:t>
            </w:r>
          </w:p>
        </w:tc>
      </w:tr>
      <w:tr w:rsidR="00166B3E" w14:paraId="74B8BD4E" w14:textId="77777777">
        <w:tc>
          <w:tcPr>
            <w:tcW w:w="1458" w:type="dxa"/>
          </w:tcPr>
          <w:p w14:paraId="6FA4262C" w14:textId="77777777" w:rsidR="00166B3E" w:rsidRDefault="004B5700">
            <w:pPr>
              <w:jc w:val="both"/>
              <w:rPr>
                <w:rFonts w:ascii="Times New Roman" w:hAnsi="Times New Roman" w:cs="Times New Roman"/>
              </w:rPr>
            </w:pPr>
            <w:r>
              <w:rPr>
                <w:rFonts w:ascii="Times New Roman" w:hAnsi="Times New Roman" w:cs="Times New Roman"/>
              </w:rPr>
              <w:t>Parietal chord</w:t>
            </w:r>
          </w:p>
        </w:tc>
        <w:tc>
          <w:tcPr>
            <w:tcW w:w="1998" w:type="dxa"/>
          </w:tcPr>
          <w:p w14:paraId="07596059" w14:textId="77777777" w:rsidR="00166B3E" w:rsidRDefault="004B5700">
            <w:pPr>
              <w:jc w:val="both"/>
              <w:rPr>
                <w:rFonts w:ascii="Times New Roman" w:hAnsi="Times New Roman" w:cs="Times New Roman"/>
              </w:rPr>
            </w:pPr>
            <w:r>
              <w:rPr>
                <w:rFonts w:ascii="Times New Roman" w:hAnsi="Times New Roman" w:cs="Times New Roman"/>
              </w:rPr>
              <w:t>9.99</w:t>
            </w:r>
          </w:p>
        </w:tc>
        <w:tc>
          <w:tcPr>
            <w:tcW w:w="1728" w:type="dxa"/>
          </w:tcPr>
          <w:p w14:paraId="0AD1DB46" w14:textId="77777777" w:rsidR="00166B3E" w:rsidRDefault="004B5700">
            <w:pPr>
              <w:jc w:val="both"/>
              <w:rPr>
                <w:rFonts w:ascii="Times New Roman" w:hAnsi="Times New Roman" w:cs="Times New Roman"/>
              </w:rPr>
            </w:pPr>
            <w:r>
              <w:rPr>
                <w:rFonts w:ascii="Times New Roman" w:hAnsi="Times New Roman" w:cs="Times New Roman"/>
              </w:rPr>
              <w:t>24.98(516)</w:t>
            </w:r>
          </w:p>
        </w:tc>
        <w:tc>
          <w:tcPr>
            <w:tcW w:w="1728" w:type="dxa"/>
          </w:tcPr>
          <w:p w14:paraId="2FD5D4F6" w14:textId="77777777" w:rsidR="00166B3E" w:rsidRDefault="004B5700">
            <w:pPr>
              <w:jc w:val="both"/>
              <w:rPr>
                <w:rFonts w:ascii="Times New Roman" w:hAnsi="Times New Roman" w:cs="Times New Roman"/>
              </w:rPr>
            </w:pPr>
            <w:r>
              <w:rPr>
                <w:rFonts w:ascii="Times New Roman" w:hAnsi="Times New Roman" w:cs="Times New Roman"/>
              </w:rPr>
              <w:t>0.001</w:t>
            </w:r>
          </w:p>
        </w:tc>
        <w:tc>
          <w:tcPr>
            <w:tcW w:w="1728" w:type="dxa"/>
          </w:tcPr>
          <w:p w14:paraId="3957B49D" w14:textId="77777777" w:rsidR="00166B3E" w:rsidRDefault="004B5700">
            <w:pPr>
              <w:jc w:val="both"/>
              <w:rPr>
                <w:rFonts w:ascii="Times New Roman" w:hAnsi="Times New Roman" w:cs="Times New Roman"/>
              </w:rPr>
            </w:pPr>
            <w:r>
              <w:rPr>
                <w:rFonts w:ascii="Times New Roman" w:hAnsi="Times New Roman" w:cs="Times New Roman"/>
              </w:rPr>
              <w:t>Significant</w:t>
            </w:r>
          </w:p>
        </w:tc>
      </w:tr>
      <w:tr w:rsidR="00166B3E" w14:paraId="74F19A17" w14:textId="77777777">
        <w:tc>
          <w:tcPr>
            <w:tcW w:w="1458" w:type="dxa"/>
            <w:tcBorders>
              <w:bottom w:val="single" w:sz="4" w:space="0" w:color="auto"/>
            </w:tcBorders>
          </w:tcPr>
          <w:p w14:paraId="6E43441B" w14:textId="77777777" w:rsidR="00166B3E" w:rsidRDefault="004B5700">
            <w:pPr>
              <w:jc w:val="both"/>
              <w:rPr>
                <w:rFonts w:ascii="Times New Roman" w:hAnsi="Times New Roman" w:cs="Times New Roman"/>
              </w:rPr>
            </w:pPr>
            <w:r>
              <w:rPr>
                <w:rFonts w:ascii="Times New Roman" w:hAnsi="Times New Roman" w:cs="Times New Roman"/>
              </w:rPr>
              <w:t>Occipital chord</w:t>
            </w:r>
          </w:p>
        </w:tc>
        <w:tc>
          <w:tcPr>
            <w:tcW w:w="1998" w:type="dxa"/>
            <w:tcBorders>
              <w:bottom w:val="single" w:sz="4" w:space="0" w:color="auto"/>
            </w:tcBorders>
          </w:tcPr>
          <w:p w14:paraId="2598B9DE" w14:textId="77777777" w:rsidR="00166B3E" w:rsidRDefault="004B5700">
            <w:pPr>
              <w:jc w:val="both"/>
              <w:rPr>
                <w:rFonts w:ascii="Times New Roman" w:hAnsi="Times New Roman" w:cs="Times New Roman"/>
              </w:rPr>
            </w:pPr>
            <w:r>
              <w:rPr>
                <w:rFonts w:ascii="Times New Roman" w:hAnsi="Times New Roman" w:cs="Times New Roman"/>
              </w:rPr>
              <w:t>9.93</w:t>
            </w:r>
          </w:p>
        </w:tc>
        <w:tc>
          <w:tcPr>
            <w:tcW w:w="1728" w:type="dxa"/>
            <w:tcBorders>
              <w:bottom w:val="single" w:sz="4" w:space="0" w:color="auto"/>
            </w:tcBorders>
          </w:tcPr>
          <w:p w14:paraId="6F1F4F70" w14:textId="77777777" w:rsidR="00166B3E" w:rsidRDefault="004B5700">
            <w:pPr>
              <w:jc w:val="both"/>
              <w:rPr>
                <w:rFonts w:ascii="Times New Roman" w:hAnsi="Times New Roman" w:cs="Times New Roman"/>
              </w:rPr>
            </w:pPr>
            <w:r>
              <w:rPr>
                <w:rFonts w:ascii="Times New Roman" w:hAnsi="Times New Roman" w:cs="Times New Roman"/>
              </w:rPr>
              <w:t>24.65(516)</w:t>
            </w:r>
          </w:p>
        </w:tc>
        <w:tc>
          <w:tcPr>
            <w:tcW w:w="1728" w:type="dxa"/>
            <w:tcBorders>
              <w:bottom w:val="single" w:sz="4" w:space="0" w:color="auto"/>
            </w:tcBorders>
          </w:tcPr>
          <w:p w14:paraId="1F377B11" w14:textId="77777777" w:rsidR="00166B3E" w:rsidRDefault="004B5700">
            <w:pPr>
              <w:jc w:val="both"/>
              <w:rPr>
                <w:rFonts w:ascii="Times New Roman" w:hAnsi="Times New Roman" w:cs="Times New Roman"/>
              </w:rPr>
            </w:pPr>
            <w:r>
              <w:rPr>
                <w:rFonts w:ascii="Times New Roman" w:hAnsi="Times New Roman" w:cs="Times New Roman"/>
              </w:rPr>
              <w:t>0.001</w:t>
            </w:r>
          </w:p>
        </w:tc>
        <w:tc>
          <w:tcPr>
            <w:tcW w:w="1728" w:type="dxa"/>
            <w:tcBorders>
              <w:bottom w:val="single" w:sz="4" w:space="0" w:color="auto"/>
            </w:tcBorders>
          </w:tcPr>
          <w:p w14:paraId="2E790CED" w14:textId="77777777" w:rsidR="00166B3E" w:rsidRDefault="004B5700">
            <w:pPr>
              <w:jc w:val="both"/>
              <w:rPr>
                <w:rFonts w:ascii="Times New Roman" w:hAnsi="Times New Roman" w:cs="Times New Roman"/>
              </w:rPr>
            </w:pPr>
            <w:r>
              <w:rPr>
                <w:rFonts w:ascii="Times New Roman" w:hAnsi="Times New Roman" w:cs="Times New Roman"/>
              </w:rPr>
              <w:t>Significant</w:t>
            </w:r>
          </w:p>
        </w:tc>
      </w:tr>
    </w:tbl>
    <w:p w14:paraId="73B154D2" w14:textId="77777777" w:rsidR="00166B3E" w:rsidRDefault="00166B3E">
      <w:pPr>
        <w:spacing w:after="0" w:line="360" w:lineRule="auto"/>
        <w:jc w:val="both"/>
        <w:rPr>
          <w:rFonts w:ascii="Times New Roman" w:hAnsi="Times New Roman" w:cs="Times New Roman"/>
        </w:rPr>
      </w:pPr>
    </w:p>
    <w:p w14:paraId="750FEEDA"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Table 2 presents the independent samples t-test analysis of sex differences in selected cranial chord measurements. The results revealed significant differences between male and female subjects across all measured parameters (p &lt; 0.05). Frontal chord demonstrated the highest mean difference between sexes (16.45 mm), with a corresponding t-value of 40.99, indicating the strongest sexual dimorphism among the variables assessed. Parietal chord and occipital chord also showed sex differences, with mean differences of 9.99 mm and 9.93 mm, and t-values of 24.98 and 24.65, respectively. These findings indicate that males possess significantly larger frontal, parietal, and </w:t>
      </w:r>
      <w:r>
        <w:rPr>
          <w:rFonts w:ascii="Times New Roman" w:hAnsi="Times New Roman" w:cs="Times New Roman"/>
        </w:rPr>
        <w:lastRenderedPageBreak/>
        <w:t>occipital chord measurements than females, supporting the usefulness of these cranial parameters in sex determination.</w:t>
      </w:r>
    </w:p>
    <w:p w14:paraId="7F4B170E" w14:textId="77777777" w:rsidR="00166B3E" w:rsidRDefault="00166B3E">
      <w:pPr>
        <w:spacing w:after="0" w:line="360" w:lineRule="auto"/>
        <w:jc w:val="both"/>
        <w:rPr>
          <w:rFonts w:ascii="Times New Roman" w:hAnsi="Times New Roman" w:cs="Times New Roman"/>
          <w:b/>
          <w:bCs/>
        </w:rPr>
      </w:pPr>
    </w:p>
    <w:p w14:paraId="7EC069A5" w14:textId="77777777" w:rsidR="00166B3E" w:rsidRDefault="00166B3E">
      <w:pPr>
        <w:spacing w:after="0" w:line="360" w:lineRule="auto"/>
        <w:jc w:val="both"/>
        <w:rPr>
          <w:rFonts w:ascii="Times New Roman" w:hAnsi="Times New Roman" w:cs="Times New Roman"/>
          <w:b/>
          <w:bCs/>
        </w:rPr>
      </w:pPr>
    </w:p>
    <w:p w14:paraId="36A1DEFF" w14:textId="77777777" w:rsidR="00166B3E" w:rsidRDefault="004B5700">
      <w:pPr>
        <w:pStyle w:val="Heading2"/>
        <w:spacing w:before="0" w:line="360" w:lineRule="auto"/>
        <w:jc w:val="both"/>
        <w:rPr>
          <w:rFonts w:ascii="Times New Roman" w:hAnsi="Times New Roman"/>
          <w:b/>
          <w:bCs/>
          <w:color w:val="auto"/>
          <w:sz w:val="24"/>
          <w:szCs w:val="24"/>
        </w:rPr>
      </w:pPr>
      <w:r>
        <w:rPr>
          <w:rFonts w:ascii="Times New Roman" w:hAnsi="Times New Roman"/>
          <w:b/>
          <w:bCs/>
          <w:color w:val="auto"/>
          <w:sz w:val="24"/>
          <w:szCs w:val="24"/>
        </w:rPr>
        <w:t>Table 3: Discriminant function group centroids and sectioning points for selected cranial chord measurements</w:t>
      </w:r>
    </w:p>
    <w:tbl>
      <w:tblPr>
        <w:tblW w:w="0" w:type="auto"/>
        <w:tblLook w:val="04A0" w:firstRow="1" w:lastRow="0" w:firstColumn="1" w:lastColumn="0" w:noHBand="0" w:noVBand="1"/>
      </w:tblPr>
      <w:tblGrid>
        <w:gridCol w:w="1728"/>
        <w:gridCol w:w="1728"/>
        <w:gridCol w:w="1728"/>
        <w:gridCol w:w="1728"/>
        <w:gridCol w:w="1728"/>
      </w:tblGrid>
      <w:tr w:rsidR="00166B3E" w14:paraId="436B6533" w14:textId="77777777">
        <w:tc>
          <w:tcPr>
            <w:tcW w:w="1728" w:type="dxa"/>
            <w:tcBorders>
              <w:top w:val="single" w:sz="4" w:space="0" w:color="auto"/>
              <w:bottom w:val="single" w:sz="4" w:space="0" w:color="auto"/>
            </w:tcBorders>
          </w:tcPr>
          <w:p w14:paraId="7AF4A072" w14:textId="77777777" w:rsidR="00166B3E" w:rsidRDefault="004B5700">
            <w:pPr>
              <w:rPr>
                <w:rFonts w:ascii="Times New Roman" w:hAnsi="Times New Roman" w:cs="Times New Roman"/>
                <w:b/>
              </w:rPr>
            </w:pPr>
            <w:r>
              <w:rPr>
                <w:rFonts w:ascii="Times New Roman" w:hAnsi="Times New Roman" w:cs="Times New Roman"/>
                <w:b/>
              </w:rPr>
              <w:t>Craniometric Variable</w:t>
            </w:r>
          </w:p>
        </w:tc>
        <w:tc>
          <w:tcPr>
            <w:tcW w:w="1728" w:type="dxa"/>
            <w:tcBorders>
              <w:top w:val="single" w:sz="4" w:space="0" w:color="auto"/>
              <w:bottom w:val="single" w:sz="4" w:space="0" w:color="auto"/>
            </w:tcBorders>
          </w:tcPr>
          <w:p w14:paraId="15BC1E04" w14:textId="77777777" w:rsidR="00166B3E" w:rsidRDefault="004B5700">
            <w:pPr>
              <w:rPr>
                <w:rFonts w:ascii="Times New Roman" w:hAnsi="Times New Roman" w:cs="Times New Roman"/>
                <w:b/>
              </w:rPr>
            </w:pPr>
            <w:r>
              <w:rPr>
                <w:rFonts w:ascii="Times New Roman" w:hAnsi="Times New Roman" w:cs="Times New Roman"/>
                <w:b/>
              </w:rPr>
              <w:t>Male Centroid</w:t>
            </w:r>
          </w:p>
        </w:tc>
        <w:tc>
          <w:tcPr>
            <w:tcW w:w="1728" w:type="dxa"/>
            <w:tcBorders>
              <w:top w:val="single" w:sz="4" w:space="0" w:color="auto"/>
              <w:bottom w:val="single" w:sz="4" w:space="0" w:color="auto"/>
            </w:tcBorders>
          </w:tcPr>
          <w:p w14:paraId="6CD848CE" w14:textId="77777777" w:rsidR="00166B3E" w:rsidRDefault="004B5700">
            <w:pPr>
              <w:rPr>
                <w:rFonts w:ascii="Times New Roman" w:hAnsi="Times New Roman" w:cs="Times New Roman"/>
                <w:b/>
              </w:rPr>
            </w:pPr>
            <w:r>
              <w:rPr>
                <w:rFonts w:ascii="Times New Roman" w:hAnsi="Times New Roman" w:cs="Times New Roman"/>
                <w:b/>
              </w:rPr>
              <w:t>Female Centroid</w:t>
            </w:r>
          </w:p>
        </w:tc>
        <w:tc>
          <w:tcPr>
            <w:tcW w:w="1728" w:type="dxa"/>
            <w:tcBorders>
              <w:top w:val="single" w:sz="4" w:space="0" w:color="auto"/>
              <w:bottom w:val="single" w:sz="4" w:space="0" w:color="auto"/>
            </w:tcBorders>
          </w:tcPr>
          <w:p w14:paraId="406E005F" w14:textId="77777777" w:rsidR="00166B3E" w:rsidRDefault="004B5700">
            <w:pPr>
              <w:rPr>
                <w:rFonts w:ascii="Times New Roman" w:hAnsi="Times New Roman" w:cs="Times New Roman"/>
                <w:b/>
              </w:rPr>
            </w:pPr>
            <w:r>
              <w:rPr>
                <w:rFonts w:ascii="Times New Roman" w:hAnsi="Times New Roman" w:cs="Times New Roman"/>
                <w:b/>
              </w:rPr>
              <w:t>Sectioning Point</w:t>
            </w:r>
          </w:p>
        </w:tc>
        <w:tc>
          <w:tcPr>
            <w:tcW w:w="1728" w:type="dxa"/>
            <w:tcBorders>
              <w:top w:val="single" w:sz="4" w:space="0" w:color="auto"/>
              <w:bottom w:val="single" w:sz="4" w:space="0" w:color="auto"/>
            </w:tcBorders>
          </w:tcPr>
          <w:p w14:paraId="571107F7" w14:textId="77777777" w:rsidR="00166B3E" w:rsidRDefault="004B5700">
            <w:pPr>
              <w:rPr>
                <w:rFonts w:ascii="Times New Roman" w:hAnsi="Times New Roman" w:cs="Times New Roman"/>
                <w:b/>
              </w:rPr>
            </w:pPr>
            <w:r>
              <w:rPr>
                <w:rFonts w:ascii="Times New Roman" w:hAnsi="Times New Roman" w:cs="Times New Roman"/>
                <w:b/>
              </w:rPr>
              <w:t>Interpretation</w:t>
            </w:r>
          </w:p>
        </w:tc>
      </w:tr>
      <w:tr w:rsidR="00166B3E" w14:paraId="0F7B178E" w14:textId="77777777">
        <w:tc>
          <w:tcPr>
            <w:tcW w:w="1728" w:type="dxa"/>
          </w:tcPr>
          <w:p w14:paraId="0A162089" w14:textId="77777777" w:rsidR="00166B3E" w:rsidRDefault="004B5700">
            <w:pPr>
              <w:rPr>
                <w:rFonts w:ascii="Times New Roman" w:hAnsi="Times New Roman" w:cs="Times New Roman"/>
              </w:rPr>
            </w:pPr>
            <w:r>
              <w:rPr>
                <w:rFonts w:ascii="Times New Roman" w:hAnsi="Times New Roman" w:cs="Times New Roman"/>
              </w:rPr>
              <w:t>Frontal Chord</w:t>
            </w:r>
          </w:p>
        </w:tc>
        <w:tc>
          <w:tcPr>
            <w:tcW w:w="1728" w:type="dxa"/>
          </w:tcPr>
          <w:p w14:paraId="0DEAD46E" w14:textId="77777777" w:rsidR="00166B3E" w:rsidRDefault="004B5700">
            <w:pPr>
              <w:rPr>
                <w:rFonts w:ascii="Times New Roman" w:hAnsi="Times New Roman" w:cs="Times New Roman"/>
              </w:rPr>
            </w:pPr>
            <w:r>
              <w:rPr>
                <w:rFonts w:ascii="Times New Roman" w:hAnsi="Times New Roman" w:cs="Times New Roman"/>
              </w:rPr>
              <w:t>1.808</w:t>
            </w:r>
          </w:p>
        </w:tc>
        <w:tc>
          <w:tcPr>
            <w:tcW w:w="1728" w:type="dxa"/>
          </w:tcPr>
          <w:p w14:paraId="04E43D55" w14:textId="77777777" w:rsidR="00166B3E" w:rsidRDefault="004B5700">
            <w:pPr>
              <w:rPr>
                <w:rFonts w:ascii="Times New Roman" w:hAnsi="Times New Roman" w:cs="Times New Roman"/>
              </w:rPr>
            </w:pPr>
            <w:r>
              <w:rPr>
                <w:rFonts w:ascii="Times New Roman" w:hAnsi="Times New Roman" w:cs="Times New Roman"/>
              </w:rPr>
              <w:t>-1.794</w:t>
            </w:r>
          </w:p>
        </w:tc>
        <w:tc>
          <w:tcPr>
            <w:tcW w:w="1728" w:type="dxa"/>
          </w:tcPr>
          <w:p w14:paraId="4311904A" w14:textId="77777777" w:rsidR="00166B3E" w:rsidRDefault="004B5700">
            <w:pPr>
              <w:rPr>
                <w:rFonts w:ascii="Times New Roman" w:hAnsi="Times New Roman" w:cs="Times New Roman"/>
              </w:rPr>
            </w:pPr>
            <w:r>
              <w:rPr>
                <w:rFonts w:ascii="Times New Roman" w:hAnsi="Times New Roman" w:cs="Times New Roman"/>
              </w:rPr>
              <w:t>0.007</w:t>
            </w:r>
          </w:p>
        </w:tc>
        <w:tc>
          <w:tcPr>
            <w:tcW w:w="1728" w:type="dxa"/>
          </w:tcPr>
          <w:p w14:paraId="13D93962" w14:textId="77777777" w:rsidR="00166B3E" w:rsidRDefault="004B5700">
            <w:pPr>
              <w:rPr>
                <w:rFonts w:ascii="Times New Roman" w:hAnsi="Times New Roman" w:cs="Times New Roman"/>
              </w:rPr>
            </w:pPr>
            <w:r>
              <w:rPr>
                <w:rFonts w:ascii="Times New Roman" w:hAnsi="Times New Roman" w:cs="Times New Roman"/>
              </w:rPr>
              <w:t>Values above 0.007 suggest male classification, while values below suggest female classification.</w:t>
            </w:r>
          </w:p>
        </w:tc>
      </w:tr>
      <w:tr w:rsidR="00166B3E" w14:paraId="7C0ACC1F" w14:textId="77777777">
        <w:tc>
          <w:tcPr>
            <w:tcW w:w="1728" w:type="dxa"/>
          </w:tcPr>
          <w:p w14:paraId="004369D9" w14:textId="77777777" w:rsidR="00166B3E" w:rsidRDefault="004B5700">
            <w:pPr>
              <w:rPr>
                <w:rFonts w:ascii="Times New Roman" w:hAnsi="Times New Roman" w:cs="Times New Roman"/>
              </w:rPr>
            </w:pPr>
            <w:r>
              <w:rPr>
                <w:rFonts w:ascii="Times New Roman" w:hAnsi="Times New Roman" w:cs="Times New Roman"/>
              </w:rPr>
              <w:t>Parietal Chord</w:t>
            </w:r>
          </w:p>
        </w:tc>
        <w:tc>
          <w:tcPr>
            <w:tcW w:w="1728" w:type="dxa"/>
          </w:tcPr>
          <w:p w14:paraId="35405358" w14:textId="77777777" w:rsidR="00166B3E" w:rsidRDefault="004B5700">
            <w:pPr>
              <w:rPr>
                <w:rFonts w:ascii="Times New Roman" w:hAnsi="Times New Roman" w:cs="Times New Roman"/>
              </w:rPr>
            </w:pPr>
            <w:r>
              <w:rPr>
                <w:rFonts w:ascii="Times New Roman" w:hAnsi="Times New Roman" w:cs="Times New Roman"/>
              </w:rPr>
              <w:t>1.102</w:t>
            </w:r>
          </w:p>
        </w:tc>
        <w:tc>
          <w:tcPr>
            <w:tcW w:w="1728" w:type="dxa"/>
          </w:tcPr>
          <w:p w14:paraId="7FCA2292" w14:textId="77777777" w:rsidR="00166B3E" w:rsidRDefault="004B5700">
            <w:pPr>
              <w:rPr>
                <w:rFonts w:ascii="Times New Roman" w:hAnsi="Times New Roman" w:cs="Times New Roman"/>
              </w:rPr>
            </w:pPr>
            <w:r>
              <w:rPr>
                <w:rFonts w:ascii="Times New Roman" w:hAnsi="Times New Roman" w:cs="Times New Roman"/>
              </w:rPr>
              <w:t>-1.093</w:t>
            </w:r>
          </w:p>
        </w:tc>
        <w:tc>
          <w:tcPr>
            <w:tcW w:w="1728" w:type="dxa"/>
          </w:tcPr>
          <w:p w14:paraId="089D2DD5" w14:textId="77777777" w:rsidR="00166B3E" w:rsidRDefault="004B5700">
            <w:pPr>
              <w:rPr>
                <w:rFonts w:ascii="Times New Roman" w:hAnsi="Times New Roman" w:cs="Times New Roman"/>
              </w:rPr>
            </w:pPr>
            <w:r>
              <w:rPr>
                <w:rFonts w:ascii="Times New Roman" w:hAnsi="Times New Roman" w:cs="Times New Roman"/>
              </w:rPr>
              <w:t>0.005</w:t>
            </w:r>
          </w:p>
        </w:tc>
        <w:tc>
          <w:tcPr>
            <w:tcW w:w="1728" w:type="dxa"/>
          </w:tcPr>
          <w:p w14:paraId="10F40259" w14:textId="77777777" w:rsidR="00166B3E" w:rsidRDefault="004B5700">
            <w:pPr>
              <w:rPr>
                <w:rFonts w:ascii="Times New Roman" w:hAnsi="Times New Roman" w:cs="Times New Roman"/>
              </w:rPr>
            </w:pPr>
            <w:r>
              <w:rPr>
                <w:rFonts w:ascii="Times New Roman" w:hAnsi="Times New Roman" w:cs="Times New Roman"/>
              </w:rPr>
              <w:t>Values above 0.005 suggest male classification, while values below suggest female classification.</w:t>
            </w:r>
          </w:p>
        </w:tc>
      </w:tr>
      <w:tr w:rsidR="00166B3E" w14:paraId="1B237FFA" w14:textId="77777777">
        <w:trPr>
          <w:trHeight w:val="2358"/>
        </w:trPr>
        <w:tc>
          <w:tcPr>
            <w:tcW w:w="1728" w:type="dxa"/>
            <w:tcBorders>
              <w:bottom w:val="single" w:sz="4" w:space="0" w:color="auto"/>
            </w:tcBorders>
          </w:tcPr>
          <w:p w14:paraId="4545BF84" w14:textId="77777777" w:rsidR="00166B3E" w:rsidRDefault="004B5700">
            <w:pPr>
              <w:rPr>
                <w:rFonts w:ascii="Times New Roman" w:hAnsi="Times New Roman" w:cs="Times New Roman"/>
              </w:rPr>
            </w:pPr>
            <w:r>
              <w:rPr>
                <w:rFonts w:ascii="Times New Roman" w:hAnsi="Times New Roman" w:cs="Times New Roman"/>
              </w:rPr>
              <w:t>Occipital Chord</w:t>
            </w:r>
          </w:p>
        </w:tc>
        <w:tc>
          <w:tcPr>
            <w:tcW w:w="1728" w:type="dxa"/>
            <w:tcBorders>
              <w:bottom w:val="single" w:sz="4" w:space="0" w:color="auto"/>
            </w:tcBorders>
          </w:tcPr>
          <w:p w14:paraId="1FD10758" w14:textId="77777777" w:rsidR="00166B3E" w:rsidRDefault="004B5700">
            <w:pPr>
              <w:rPr>
                <w:rFonts w:ascii="Times New Roman" w:hAnsi="Times New Roman" w:cs="Times New Roman"/>
              </w:rPr>
            </w:pPr>
            <w:r>
              <w:rPr>
                <w:rFonts w:ascii="Times New Roman" w:hAnsi="Times New Roman" w:cs="Times New Roman"/>
              </w:rPr>
              <w:t>1.087</w:t>
            </w:r>
          </w:p>
        </w:tc>
        <w:tc>
          <w:tcPr>
            <w:tcW w:w="1728" w:type="dxa"/>
            <w:tcBorders>
              <w:bottom w:val="single" w:sz="4" w:space="0" w:color="auto"/>
            </w:tcBorders>
          </w:tcPr>
          <w:p w14:paraId="31136D06" w14:textId="77777777" w:rsidR="00166B3E" w:rsidRDefault="004B5700">
            <w:pPr>
              <w:rPr>
                <w:rFonts w:ascii="Times New Roman" w:hAnsi="Times New Roman" w:cs="Times New Roman"/>
              </w:rPr>
            </w:pPr>
            <w:r>
              <w:rPr>
                <w:rFonts w:ascii="Times New Roman" w:hAnsi="Times New Roman" w:cs="Times New Roman"/>
              </w:rPr>
              <w:t>-1.079</w:t>
            </w:r>
          </w:p>
        </w:tc>
        <w:tc>
          <w:tcPr>
            <w:tcW w:w="1728" w:type="dxa"/>
            <w:tcBorders>
              <w:bottom w:val="single" w:sz="4" w:space="0" w:color="auto"/>
            </w:tcBorders>
          </w:tcPr>
          <w:p w14:paraId="514A3F8B" w14:textId="77777777" w:rsidR="00166B3E" w:rsidRDefault="004B5700">
            <w:pPr>
              <w:rPr>
                <w:rFonts w:ascii="Times New Roman" w:hAnsi="Times New Roman" w:cs="Times New Roman"/>
              </w:rPr>
            </w:pPr>
            <w:r>
              <w:rPr>
                <w:rFonts w:ascii="Times New Roman" w:hAnsi="Times New Roman" w:cs="Times New Roman"/>
              </w:rPr>
              <w:t>0.004</w:t>
            </w:r>
          </w:p>
        </w:tc>
        <w:tc>
          <w:tcPr>
            <w:tcW w:w="1728" w:type="dxa"/>
            <w:tcBorders>
              <w:bottom w:val="single" w:sz="4" w:space="0" w:color="auto"/>
            </w:tcBorders>
          </w:tcPr>
          <w:p w14:paraId="28749276" w14:textId="77777777" w:rsidR="00166B3E" w:rsidRDefault="004B5700">
            <w:pPr>
              <w:rPr>
                <w:rFonts w:ascii="Times New Roman" w:hAnsi="Times New Roman" w:cs="Times New Roman"/>
              </w:rPr>
            </w:pPr>
            <w:r>
              <w:rPr>
                <w:rFonts w:ascii="Times New Roman" w:hAnsi="Times New Roman" w:cs="Times New Roman"/>
              </w:rPr>
              <w:t>Values above 0.004 suggest male classification, while values below suggest female classification.</w:t>
            </w:r>
          </w:p>
        </w:tc>
      </w:tr>
    </w:tbl>
    <w:p w14:paraId="3BF15BC2"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Table 3, presents the group centroids, sectioning points, and classification criteria for the selected cranial chord measurements derived from discriminant function analysis. The results revealed positive centroids for male subjects and negative centroids for female subjects across all variables, </w:t>
      </w:r>
      <w:r>
        <w:rPr>
          <w:rFonts w:ascii="Times New Roman" w:hAnsi="Times New Roman" w:cs="Times New Roman"/>
        </w:rPr>
        <w:lastRenderedPageBreak/>
        <w:t>indicating clear separation between the sexes and demonstrating the discriminatory potential of the measured cranial chord parameters.</w:t>
      </w:r>
    </w:p>
    <w:p w14:paraId="3559F553"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The sectioning points for all variables were close to zero, providing a practical threshold for sex classification, such that values above the sectioning point suggest male classification, while values below indicate female classification.</w:t>
      </w:r>
    </w:p>
    <w:p w14:paraId="57252E71"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Among the parameters evaluated, frontal chord exhibited the widest separation between male and female centroids (1.808 and -1.794), indicating the strongest discriminatory capacity for sex determination. Parietal chord and occipital chord also demonstrated substantial centroid separation, with male centroids of 1.102 and 1.087, and female centroids of -1.093 and -1.079, respectively. These findings suggest that while all three cranial chord measurements are effective predictors of sex, frontal chord provides the highest discriminative accuracy and may be considered the most reliable parameter for sex estimation in the studied population.</w:t>
      </w:r>
    </w:p>
    <w:p w14:paraId="48739538" w14:textId="77777777" w:rsidR="00166B3E" w:rsidRDefault="00166B3E">
      <w:pPr>
        <w:spacing w:after="0" w:line="360" w:lineRule="auto"/>
        <w:jc w:val="both"/>
        <w:rPr>
          <w:rFonts w:ascii="Times New Roman" w:hAnsi="Times New Roman" w:cs="Times New Roman"/>
          <w:b/>
          <w:bCs/>
        </w:rPr>
      </w:pPr>
    </w:p>
    <w:p w14:paraId="15305BF7" w14:textId="77777777" w:rsidR="00166B3E" w:rsidRDefault="00166B3E">
      <w:pPr>
        <w:spacing w:after="0" w:line="360" w:lineRule="auto"/>
        <w:jc w:val="both"/>
        <w:rPr>
          <w:rFonts w:ascii="Times New Roman" w:hAnsi="Times New Roman" w:cs="Times New Roman"/>
          <w:b/>
          <w:bCs/>
        </w:rPr>
      </w:pPr>
    </w:p>
    <w:p w14:paraId="7B44C54E" w14:textId="77777777" w:rsidR="00166B3E" w:rsidRDefault="00166B3E">
      <w:pPr>
        <w:spacing w:after="0" w:line="360" w:lineRule="auto"/>
        <w:jc w:val="both"/>
        <w:rPr>
          <w:rFonts w:ascii="Times New Roman" w:hAnsi="Times New Roman" w:cs="Times New Roman"/>
          <w:b/>
          <w:bCs/>
        </w:rPr>
      </w:pPr>
    </w:p>
    <w:p w14:paraId="1852327B" w14:textId="77777777" w:rsidR="00166B3E" w:rsidRDefault="00166B3E">
      <w:pPr>
        <w:spacing w:after="0" w:line="360" w:lineRule="auto"/>
        <w:jc w:val="both"/>
        <w:rPr>
          <w:rFonts w:ascii="Times New Roman" w:hAnsi="Times New Roman" w:cs="Times New Roman"/>
          <w:b/>
          <w:bCs/>
        </w:rPr>
      </w:pPr>
    </w:p>
    <w:p w14:paraId="246756F3" w14:textId="77777777" w:rsidR="00166B3E" w:rsidRDefault="00166B3E">
      <w:pPr>
        <w:spacing w:after="0" w:line="360" w:lineRule="auto"/>
        <w:jc w:val="both"/>
        <w:rPr>
          <w:rFonts w:ascii="Times New Roman" w:hAnsi="Times New Roman" w:cs="Times New Roman"/>
          <w:b/>
          <w:bCs/>
        </w:rPr>
      </w:pPr>
    </w:p>
    <w:p w14:paraId="2B7F7FF2" w14:textId="77777777" w:rsidR="00166B3E" w:rsidRDefault="00166B3E">
      <w:pPr>
        <w:spacing w:after="0" w:line="360" w:lineRule="auto"/>
        <w:jc w:val="both"/>
        <w:rPr>
          <w:rFonts w:ascii="Times New Roman" w:hAnsi="Times New Roman" w:cs="Times New Roman"/>
          <w:b/>
          <w:bCs/>
        </w:rPr>
      </w:pPr>
    </w:p>
    <w:p w14:paraId="555C2E52" w14:textId="77777777" w:rsidR="00166B3E" w:rsidRDefault="00166B3E">
      <w:pPr>
        <w:spacing w:after="0" w:line="360" w:lineRule="auto"/>
        <w:jc w:val="both"/>
        <w:rPr>
          <w:rFonts w:ascii="Times New Roman" w:hAnsi="Times New Roman" w:cs="Times New Roman"/>
          <w:b/>
          <w:bCs/>
        </w:rPr>
      </w:pPr>
    </w:p>
    <w:p w14:paraId="4C69DD99" w14:textId="77777777" w:rsidR="00166B3E" w:rsidRDefault="00166B3E">
      <w:pPr>
        <w:spacing w:after="0" w:line="360" w:lineRule="auto"/>
        <w:jc w:val="both"/>
        <w:rPr>
          <w:rFonts w:ascii="Times New Roman" w:hAnsi="Times New Roman" w:cs="Times New Roman"/>
          <w:b/>
          <w:bCs/>
        </w:rPr>
      </w:pPr>
    </w:p>
    <w:p w14:paraId="1467204F" w14:textId="77777777" w:rsidR="00166B3E" w:rsidRDefault="00166B3E">
      <w:pPr>
        <w:spacing w:after="0" w:line="360" w:lineRule="auto"/>
        <w:jc w:val="both"/>
        <w:rPr>
          <w:rFonts w:ascii="Times New Roman" w:hAnsi="Times New Roman" w:cs="Times New Roman"/>
          <w:b/>
          <w:bCs/>
        </w:rPr>
      </w:pPr>
    </w:p>
    <w:p w14:paraId="7F710E09" w14:textId="77777777" w:rsidR="00166B3E" w:rsidRDefault="00166B3E">
      <w:pPr>
        <w:spacing w:after="0" w:line="360" w:lineRule="auto"/>
        <w:jc w:val="both"/>
        <w:rPr>
          <w:rFonts w:ascii="Times New Roman" w:hAnsi="Times New Roman" w:cs="Times New Roman"/>
          <w:b/>
          <w:bCs/>
        </w:rPr>
      </w:pPr>
    </w:p>
    <w:p w14:paraId="2F34656F" w14:textId="77777777" w:rsidR="00166B3E" w:rsidRDefault="004B5700">
      <w:pPr>
        <w:spacing w:after="0" w:line="360" w:lineRule="auto"/>
        <w:jc w:val="both"/>
        <w:rPr>
          <w:rFonts w:ascii="Times New Roman" w:hAnsi="Times New Roman" w:cs="Times New Roman"/>
          <w:b/>
          <w:bCs/>
        </w:rPr>
      </w:pPr>
      <w:r>
        <w:rPr>
          <w:rFonts w:ascii="Times New Roman" w:hAnsi="Times New Roman" w:cs="Times New Roman"/>
          <w:b/>
          <w:bCs/>
        </w:rPr>
        <w:t>Discussion</w:t>
      </w:r>
    </w:p>
    <w:p w14:paraId="0824180A"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Sex determination remains one of the most fundamental components of forensic anthropological investigation, as accurate identification of biological sex significantly narrows the scope of individual identification in medico-legal contexts. Among skeletal elements, the skull is particularly valuable due to its structural durability and the presence of measurable sexually dimorphic features. Advances in computed tomography (CT) have enhanced the precision of cranial morphometric analysis by enabling non-invasive acquisition of highly accurate cranial measurements, thereby improving forensic reliability and reproducibility (Kranioti and Vorniotakis, 2020; Franklin et al., 2022).</w:t>
      </w:r>
    </w:p>
    <w:p w14:paraId="6BBADA66"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lastRenderedPageBreak/>
        <w:t>The present study evaluated the effectiveness of selected cranial chord measurements; frontal chord, parietal chord, and occipital chord for sex determination among individuals from Edo and Delta States, Nigeria. The findings demonstrated clear sexual dimorphism across all measured parameters, with male subjects exhibiting significantly higher mean values than female subjects.</w:t>
      </w:r>
    </w:p>
    <w:p w14:paraId="7A595FAE"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The descriptive analysis revealed that males had consistently larger frontal, parietal, and occipital chord measurements compared to females. This observation reflects the well-established biological pattern of greater cranial robustness in males, which is largely attributed to hormonal influences, particularly testosterone, during skeletal maturation. Testosterone promotes increased bone deposition, prolonged cranial growth, and greater muscular attachment development, resulting in larger cranial dimensions in males compared to females.</w:t>
      </w:r>
    </w:p>
    <w:p w14:paraId="51B89451"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The findings of this study are consistent with previous investigations across different populations. Milella et al. (2021) reported significantly larger cranial vault dimensions in males among an Italian population, while Kato et al. (2024) similarly documented pronounced sexual dimorphism in cranial chord measurements among Japanese adults using three-dimensional CT reconstructions. Comparable findings were also reported by Sharma et al. (2023) in Northwest India, where male cranial vault dimensions were significantly greater than those of females.</w:t>
      </w:r>
    </w:p>
    <w:p w14:paraId="311EB5E0"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Independent samples t-test further confirmed statistically significant sex differences across all three cranial chord measurements (p &lt; 0.001). Among these, frontal chord exhibited the largest mean difference between sexes, indicating the strongest expression of sexual dimorphism. This suggests that frontal bone development may be more strongly influenced by sex-related biological factors than the parietal and occipital regions.</w:t>
      </w:r>
    </w:p>
    <w:p w14:paraId="02343309"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The significant sex differences observed in frontal chord may be explained by differential frontal bone growth and cranial vault expansion during puberty. Male cranial development is characterized by more pronounced frontal sinus expansion, supraorbital ridge prominence, and anterior vault growth, all of which contribute to increased frontal chord dimensions. Similar observations have been reported by Abdel Fattach et al. (2022), who identified frontal cranial dimensions as among the strongest sex-discriminating cranial parameters in an Egyptian CT-based study.</w:t>
      </w:r>
    </w:p>
    <w:p w14:paraId="27969FE3"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Discriminant function analysis demonstrated strong differentiation between male and female skulls, with an overall classification accuracy of 99.4%. This high predictive accuracy confirms the reliability of cranial chord measurements as effective tools for sex estimation within the studied </w:t>
      </w:r>
      <w:r>
        <w:rPr>
          <w:rFonts w:ascii="Times New Roman" w:hAnsi="Times New Roman" w:cs="Times New Roman"/>
        </w:rPr>
        <w:lastRenderedPageBreak/>
        <w:t>population. This classification accuracy compares favorably with findings from similar studies. Kato et al. (2024) reported a discriminant accuracy of 93.9% among Japanese adults, while Sharma et al. (2023) reported 93.6% in an Indian population. Jaafar et al. (2023), in a Nigerian CT-based craniometric study, also reported high discriminative accuracy for cranial measurements. The slightly higher classification accuracy observed in the present study may reflect the strong discriminatory power of the selected cranial chord variables within the studied population.</w:t>
      </w:r>
    </w:p>
    <w:p w14:paraId="5880831C"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The discriminant function group centroid analysis further demonstrated clear separation between male and female classifications for all measured variables. Positive centroid values for males and negative centroid values for females indicate robust discriminatory performance and confirm the effectiveness of the classification model.</w:t>
      </w:r>
    </w:p>
    <w:p w14:paraId="5532AA21"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Among the parameters assessed, frontal chord exhibited the widest separation between male and female centroids, indicating the highest discriminatory strength. This finding suggests that frontal chord is the most reliable predictor of sex among the cranial chord measurements evaluated.</w:t>
      </w:r>
    </w:p>
    <w:p w14:paraId="13B58F7B"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The superior predictive performance of frontal chord aligns with findings from Milella et al. (2021), who emphasized the frontal region as a highly sexually dimorphic component of cranial vault morphology. Similarly, Kato et al. (2024) reported that frontal cranial measurements yielded some of the highest discriminant coefficients in sex estimation models. These observations suggest that the frontal region may be particularly sensitive to sex-specific developmental influences.</w:t>
      </w:r>
    </w:p>
    <w:p w14:paraId="374E0CD8"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Parietal chord and occipital chord also demonstrated strong discriminatory ability, although their predictive power was slightly lower than that of frontal chord. Their significant contribution nonetheless confirms that cranial vault morphology as a whole plays an important role in sex determination.</w:t>
      </w:r>
    </w:p>
    <w:p w14:paraId="484F85EC" w14:textId="77777777" w:rsidR="00166B3E" w:rsidRDefault="00166B3E">
      <w:pPr>
        <w:spacing w:after="0" w:line="360" w:lineRule="auto"/>
        <w:jc w:val="both"/>
        <w:rPr>
          <w:rFonts w:ascii="Times New Roman" w:hAnsi="Times New Roman" w:cs="Times New Roman"/>
          <w:b/>
          <w:bCs/>
        </w:rPr>
      </w:pPr>
    </w:p>
    <w:p w14:paraId="2DD18534" w14:textId="77777777" w:rsidR="00166B3E" w:rsidRDefault="004B5700">
      <w:pPr>
        <w:spacing w:after="0" w:line="360" w:lineRule="auto"/>
        <w:jc w:val="both"/>
        <w:rPr>
          <w:rFonts w:ascii="Times New Roman" w:hAnsi="Times New Roman" w:cs="Times New Roman"/>
          <w:b/>
          <w:bCs/>
        </w:rPr>
      </w:pPr>
      <w:r>
        <w:rPr>
          <w:rFonts w:ascii="Times New Roman" w:hAnsi="Times New Roman" w:cs="Times New Roman"/>
          <w:b/>
          <w:bCs/>
        </w:rPr>
        <w:t>Conclusion</w:t>
      </w:r>
    </w:p>
    <w:p w14:paraId="59EFE6E5" w14:textId="0741343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This study demonstrated that cranial chord morphometry provides a reliable and scientifically valid method for sex determination in a Nigerian population. Significant sexual dimorphism was observed in frontal chord, parietal chord, and occipital chord measurements, with males exhibiting consistently larger values than females. Discriminant function analysis revealed high classification accuracy, confirming the usefulness of these cranial parameters for forensic sex estimation. Among the variables assessed, frontal chord exhibited the strongest discriminatory power and emerged as the most reliable predictor of sex. </w:t>
      </w:r>
    </w:p>
    <w:p w14:paraId="49660614" w14:textId="77777777" w:rsidR="00166B3E" w:rsidRDefault="00166B3E">
      <w:pPr>
        <w:spacing w:after="0" w:line="360" w:lineRule="auto"/>
        <w:jc w:val="both"/>
        <w:rPr>
          <w:rFonts w:ascii="Times New Roman" w:hAnsi="Times New Roman" w:cs="Times New Roman"/>
          <w:b/>
          <w:bCs/>
        </w:rPr>
      </w:pPr>
    </w:p>
    <w:p w14:paraId="6A0403CE" w14:textId="77777777" w:rsidR="00166B3E" w:rsidRDefault="00166B3E">
      <w:pPr>
        <w:spacing w:after="0" w:line="360" w:lineRule="auto"/>
        <w:jc w:val="both"/>
        <w:rPr>
          <w:rFonts w:ascii="Times New Roman" w:hAnsi="Times New Roman" w:cs="Times New Roman"/>
          <w:b/>
          <w:bCs/>
        </w:rPr>
      </w:pPr>
    </w:p>
    <w:p w14:paraId="3712EE2C" w14:textId="77777777" w:rsidR="00166B3E" w:rsidRDefault="004B5700" w:rsidP="00B940CD">
      <w:pPr>
        <w:spacing w:after="0" w:line="360" w:lineRule="auto"/>
        <w:rPr>
          <w:rFonts w:ascii="Times New Roman" w:hAnsi="Times New Roman" w:cs="Times New Roman"/>
          <w:b/>
          <w:bCs/>
        </w:rPr>
      </w:pPr>
      <w:r>
        <w:rPr>
          <w:rFonts w:ascii="Times New Roman" w:hAnsi="Times New Roman" w:cs="Times New Roman"/>
          <w:b/>
          <w:bCs/>
        </w:rPr>
        <w:t>REFERENCES</w:t>
      </w:r>
    </w:p>
    <w:p w14:paraId="6C47DCE2"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Abdel Fattah, E.A., Hammad, S.M., El-Gaidi, M.A. and Hassan, R.M. (2022) ‘Sex determination </w:t>
      </w:r>
    </w:p>
    <w:p w14:paraId="1BF1AE35"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from cranial vault measurements using computed tomography: A discriminant function approach’, </w:t>
      </w:r>
      <w:r>
        <w:rPr>
          <w:rFonts w:ascii="Times New Roman" w:hAnsi="Times New Roman" w:cs="Times New Roman"/>
          <w:i/>
          <w:iCs/>
        </w:rPr>
        <w:t>Egyptian Journal of Forensic Sciences</w:t>
      </w:r>
      <w:r>
        <w:rPr>
          <w:rFonts w:ascii="Times New Roman" w:hAnsi="Times New Roman" w:cs="Times New Roman"/>
        </w:rPr>
        <w:t>, 12(1), 1-12.</w:t>
      </w:r>
    </w:p>
    <w:p w14:paraId="21B4F482" w14:textId="77777777" w:rsidR="00166B3E" w:rsidRDefault="00166B3E">
      <w:pPr>
        <w:spacing w:after="0" w:line="360" w:lineRule="auto"/>
        <w:jc w:val="both"/>
        <w:rPr>
          <w:rFonts w:ascii="Times New Roman" w:hAnsi="Times New Roman" w:cs="Times New Roman"/>
        </w:rPr>
      </w:pPr>
    </w:p>
    <w:p w14:paraId="3614DD1E"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Absalan, M., Hosseini, S. and Ranjbar, Z. (2023) ‘Sexual dimorphism in craniometric parameters:</w:t>
      </w:r>
    </w:p>
    <w:p w14:paraId="5973A316" w14:textId="77777777" w:rsidR="00166B3E" w:rsidRDefault="004B5700">
      <w:pPr>
        <w:spacing w:after="0" w:line="360" w:lineRule="auto"/>
        <w:ind w:left="720" w:firstLine="60"/>
        <w:jc w:val="both"/>
        <w:rPr>
          <w:rFonts w:ascii="Times New Roman" w:hAnsi="Times New Roman" w:cs="Times New Roman"/>
        </w:rPr>
      </w:pPr>
      <w:r>
        <w:rPr>
          <w:rFonts w:ascii="Times New Roman" w:hAnsi="Times New Roman" w:cs="Times New Roman"/>
        </w:rPr>
        <w:t xml:space="preserve">a comparative study using three-dimensional computed tomography’, </w:t>
      </w:r>
      <w:r>
        <w:rPr>
          <w:rFonts w:ascii="Times New Roman" w:hAnsi="Times New Roman" w:cs="Times New Roman"/>
          <w:i/>
          <w:iCs/>
        </w:rPr>
        <w:t>International Journal of Morphology</w:t>
      </w:r>
      <w:r>
        <w:rPr>
          <w:rFonts w:ascii="Times New Roman" w:hAnsi="Times New Roman" w:cs="Times New Roman"/>
        </w:rPr>
        <w:t>, 41(2), 358-367.</w:t>
      </w:r>
    </w:p>
    <w:p w14:paraId="44445F01" w14:textId="77777777" w:rsidR="00166B3E" w:rsidRDefault="00166B3E">
      <w:pPr>
        <w:spacing w:after="0" w:line="360" w:lineRule="auto"/>
        <w:ind w:left="720" w:firstLine="60"/>
        <w:jc w:val="both"/>
        <w:rPr>
          <w:rFonts w:ascii="Times New Roman" w:hAnsi="Times New Roman" w:cs="Times New Roman"/>
        </w:rPr>
      </w:pPr>
    </w:p>
    <w:p w14:paraId="0DFD854E"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Bidmos, M.A., Mazengenya, P. and Dayal, M.R. (2022) ‘Discriminant function analysis in forensic </w:t>
      </w:r>
    </w:p>
    <w:p w14:paraId="51EFAFF1"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anthropology: Population specificity and accuracy revisited’, </w:t>
      </w:r>
      <w:r>
        <w:rPr>
          <w:rFonts w:ascii="Times New Roman" w:hAnsi="Times New Roman" w:cs="Times New Roman"/>
          <w:i/>
          <w:iCs/>
        </w:rPr>
        <w:t>Forensic Sciences Research</w:t>
      </w:r>
      <w:r>
        <w:rPr>
          <w:rFonts w:ascii="Times New Roman" w:hAnsi="Times New Roman" w:cs="Times New Roman"/>
        </w:rPr>
        <w:t>, 7(2), 157-166.</w:t>
      </w:r>
    </w:p>
    <w:p w14:paraId="733D89A3" w14:textId="77777777" w:rsidR="00166B3E" w:rsidRDefault="00166B3E">
      <w:pPr>
        <w:spacing w:after="0" w:line="360" w:lineRule="auto"/>
        <w:ind w:left="720"/>
        <w:jc w:val="both"/>
        <w:rPr>
          <w:rFonts w:ascii="Times New Roman" w:hAnsi="Times New Roman" w:cs="Times New Roman"/>
        </w:rPr>
      </w:pPr>
    </w:p>
    <w:p w14:paraId="1AD6314C"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Caires, R.A., Farias, R. and Pinto, V.P. (2017) ‘Metric analysis of sexual dimorphism in the</w:t>
      </w:r>
    </w:p>
    <w:p w14:paraId="262DE67C" w14:textId="77777777" w:rsidR="00166B3E" w:rsidRDefault="004B5700">
      <w:pPr>
        <w:spacing w:after="0" w:line="360" w:lineRule="auto"/>
        <w:ind w:firstLine="720"/>
        <w:jc w:val="both"/>
        <w:rPr>
          <w:rFonts w:ascii="Times New Roman" w:hAnsi="Times New Roman" w:cs="Times New Roman"/>
        </w:rPr>
      </w:pPr>
      <w:r>
        <w:rPr>
          <w:rFonts w:ascii="Times New Roman" w:hAnsi="Times New Roman" w:cs="Times New Roman"/>
        </w:rPr>
        <w:t xml:space="preserve"> Brazilian skull’, </w:t>
      </w:r>
      <w:r>
        <w:rPr>
          <w:rFonts w:ascii="Times New Roman" w:hAnsi="Times New Roman" w:cs="Times New Roman"/>
          <w:i/>
          <w:iCs/>
        </w:rPr>
        <w:t>Journal of Forensic and Legal Medicine</w:t>
      </w:r>
      <w:r>
        <w:rPr>
          <w:rFonts w:ascii="Times New Roman" w:hAnsi="Times New Roman" w:cs="Times New Roman"/>
        </w:rPr>
        <w:t>, 45, 9-14.</w:t>
      </w:r>
    </w:p>
    <w:p w14:paraId="49EFED86" w14:textId="77777777" w:rsidR="00166B3E" w:rsidRDefault="00166B3E">
      <w:pPr>
        <w:spacing w:after="0" w:line="360" w:lineRule="auto"/>
        <w:jc w:val="both"/>
        <w:rPr>
          <w:rFonts w:ascii="Times New Roman" w:hAnsi="Times New Roman" w:cs="Times New Roman"/>
        </w:rPr>
      </w:pPr>
    </w:p>
    <w:p w14:paraId="14781CA7"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Cappella, A., Zampieri, E. and Manzi, G. (2022) ‘Global patterns of sexual dimorphism in cranial </w:t>
      </w:r>
    </w:p>
    <w:p w14:paraId="5EEFE684"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size and shape: insights from population-based morphometric analyses’, </w:t>
      </w:r>
      <w:r>
        <w:rPr>
          <w:rFonts w:ascii="Times New Roman" w:hAnsi="Times New Roman" w:cs="Times New Roman"/>
          <w:i/>
          <w:iCs/>
        </w:rPr>
        <w:t>American Journal of Physical Anthropology</w:t>
      </w:r>
      <w:r>
        <w:rPr>
          <w:rFonts w:ascii="Times New Roman" w:hAnsi="Times New Roman" w:cs="Times New Roman"/>
        </w:rPr>
        <w:t>, 178(1), 89-101.</w:t>
      </w:r>
    </w:p>
    <w:p w14:paraId="346B4A78" w14:textId="77777777" w:rsidR="00166B3E" w:rsidRDefault="00166B3E">
      <w:pPr>
        <w:spacing w:after="0" w:line="360" w:lineRule="auto"/>
        <w:jc w:val="both"/>
        <w:rPr>
          <w:rFonts w:ascii="Times New Roman" w:hAnsi="Times New Roman" w:cs="Times New Roman"/>
        </w:rPr>
      </w:pPr>
    </w:p>
    <w:p w14:paraId="1314A262"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Del Giudice, M. (2024) ‘Sex differences in human morphology: New statistical and evolutionary </w:t>
      </w:r>
    </w:p>
    <w:p w14:paraId="19A63357" w14:textId="77777777" w:rsidR="00166B3E" w:rsidRDefault="004B5700">
      <w:pPr>
        <w:spacing w:after="0" w:line="360" w:lineRule="auto"/>
        <w:ind w:firstLine="720"/>
        <w:jc w:val="both"/>
        <w:rPr>
          <w:rFonts w:ascii="Times New Roman" w:hAnsi="Times New Roman" w:cs="Times New Roman"/>
        </w:rPr>
      </w:pPr>
      <w:r>
        <w:rPr>
          <w:rFonts w:ascii="Times New Roman" w:hAnsi="Times New Roman" w:cs="Times New Roman"/>
        </w:rPr>
        <w:t xml:space="preserve">perspectives’, </w:t>
      </w:r>
      <w:r>
        <w:rPr>
          <w:rFonts w:ascii="Times New Roman" w:hAnsi="Times New Roman" w:cs="Times New Roman"/>
          <w:i/>
          <w:iCs/>
        </w:rPr>
        <w:t>Evolution and Human Behavior</w:t>
      </w:r>
      <w:r>
        <w:rPr>
          <w:rFonts w:ascii="Times New Roman" w:hAnsi="Times New Roman" w:cs="Times New Roman"/>
        </w:rPr>
        <w:t>, 45(1), 1-12.</w:t>
      </w:r>
    </w:p>
    <w:p w14:paraId="180C4AC1" w14:textId="77777777" w:rsidR="00166B3E" w:rsidRDefault="00166B3E">
      <w:pPr>
        <w:spacing w:after="0" w:line="360" w:lineRule="auto"/>
        <w:jc w:val="both"/>
        <w:rPr>
          <w:rFonts w:ascii="Times New Roman" w:hAnsi="Times New Roman" w:cs="Times New Roman"/>
        </w:rPr>
      </w:pPr>
    </w:p>
    <w:p w14:paraId="2A9C7FCB"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Enaohwo, TM. (2018). Photogrammetric analysis of Petrus Campers facial angle among adult</w:t>
      </w:r>
    </w:p>
    <w:p w14:paraId="50DF52A1" w14:textId="77777777" w:rsidR="00166B3E" w:rsidRDefault="004B5700">
      <w:pPr>
        <w:spacing w:after="0" w:line="360" w:lineRule="auto"/>
        <w:ind w:firstLine="720"/>
        <w:jc w:val="both"/>
        <w:rPr>
          <w:rFonts w:ascii="Times New Roman" w:hAnsi="Times New Roman" w:cs="Times New Roman"/>
          <w:i/>
          <w:iCs/>
        </w:rPr>
      </w:pPr>
      <w:r>
        <w:rPr>
          <w:rFonts w:ascii="Times New Roman" w:hAnsi="Times New Roman" w:cs="Times New Roman"/>
        </w:rPr>
        <w:t xml:space="preserve"> Urhobo subjects.</w:t>
      </w:r>
      <w:r>
        <w:rPr>
          <w:rFonts w:ascii="Times New Roman" w:hAnsi="Times New Roman" w:cs="Times New Roman"/>
          <w:i/>
          <w:iCs/>
        </w:rPr>
        <w:t xml:space="preserve"> Anatomy Journal of Africa, </w:t>
      </w:r>
      <w:r>
        <w:rPr>
          <w:rFonts w:ascii="Times New Roman" w:hAnsi="Times New Roman" w:cs="Times New Roman"/>
        </w:rPr>
        <w:t>7(2), 1322-1324.</w:t>
      </w:r>
    </w:p>
    <w:p w14:paraId="2271DA0F" w14:textId="77777777" w:rsidR="00166B3E" w:rsidRDefault="00166B3E">
      <w:pPr>
        <w:spacing w:after="0" w:line="360" w:lineRule="auto"/>
        <w:jc w:val="both"/>
        <w:rPr>
          <w:rFonts w:ascii="Times New Roman" w:hAnsi="Times New Roman" w:cs="Times New Roman"/>
        </w:rPr>
      </w:pPr>
    </w:p>
    <w:p w14:paraId="04C736B0"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Enaohwo, TM., and Okoro, GO. (2018). Anthropometric study of the frontal sinus on plain </w:t>
      </w:r>
    </w:p>
    <w:p w14:paraId="6989AB1E"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radiographs in Delta State University Teaching Hospital. </w:t>
      </w:r>
      <w:r>
        <w:rPr>
          <w:rFonts w:ascii="Times New Roman" w:hAnsi="Times New Roman" w:cs="Times New Roman"/>
          <w:i/>
          <w:iCs/>
        </w:rPr>
        <w:t>Journal of Experimental and Clinical Anatomy,</w:t>
      </w:r>
      <w:r>
        <w:rPr>
          <w:rFonts w:ascii="Times New Roman" w:hAnsi="Times New Roman" w:cs="Times New Roman"/>
        </w:rPr>
        <w:t xml:space="preserve"> 17, 49-49.</w:t>
      </w:r>
    </w:p>
    <w:p w14:paraId="1BE75C4A" w14:textId="77777777" w:rsidR="00166B3E" w:rsidRDefault="00166B3E">
      <w:pPr>
        <w:spacing w:after="0" w:line="360" w:lineRule="auto"/>
        <w:jc w:val="both"/>
        <w:rPr>
          <w:rFonts w:ascii="Times New Roman" w:hAnsi="Times New Roman" w:cs="Times New Roman"/>
        </w:rPr>
      </w:pPr>
    </w:p>
    <w:p w14:paraId="15CC31A4"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Enaohwo, TM., Okoro OG., Igben, OVJ., Egwuyenga, MO., Owhefere, GO. (2025). Angular </w:t>
      </w:r>
    </w:p>
    <w:p w14:paraId="5599213E"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craniometric analysis of anthropometric variation in the Anioma facial angle. </w:t>
      </w:r>
      <w:r>
        <w:rPr>
          <w:rFonts w:ascii="Times New Roman" w:hAnsi="Times New Roman" w:cs="Times New Roman"/>
          <w:i/>
          <w:iCs/>
        </w:rPr>
        <w:t>Asian Journal of Medical Principles and Clinical Practice,</w:t>
      </w:r>
      <w:r>
        <w:rPr>
          <w:rFonts w:ascii="Times New Roman" w:hAnsi="Times New Roman" w:cs="Times New Roman"/>
        </w:rPr>
        <w:t xml:space="preserve"> 8(2), 864-868.</w:t>
      </w:r>
    </w:p>
    <w:p w14:paraId="6E9D17FE" w14:textId="77777777" w:rsidR="00166B3E" w:rsidRDefault="00166B3E">
      <w:pPr>
        <w:spacing w:after="0" w:line="360" w:lineRule="auto"/>
        <w:jc w:val="both"/>
        <w:rPr>
          <w:rFonts w:ascii="Times New Roman" w:hAnsi="Times New Roman" w:cs="Times New Roman"/>
        </w:rPr>
      </w:pPr>
    </w:p>
    <w:p w14:paraId="1BAE6EA0"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Franklin, D., Ubelaker, D.H. and Gould, L. (2023) ‘Age-related stability of cranial morphology:</w:t>
      </w:r>
    </w:p>
    <w:p w14:paraId="0DD6B3A4" w14:textId="77777777" w:rsidR="00166B3E" w:rsidRDefault="004B5700">
      <w:pPr>
        <w:spacing w:after="0" w:line="360" w:lineRule="auto"/>
        <w:ind w:firstLine="720"/>
        <w:jc w:val="both"/>
        <w:rPr>
          <w:rFonts w:ascii="Times New Roman" w:hAnsi="Times New Roman" w:cs="Times New Roman"/>
        </w:rPr>
      </w:pPr>
      <w:r>
        <w:rPr>
          <w:rFonts w:ascii="Times New Roman" w:hAnsi="Times New Roman" w:cs="Times New Roman"/>
        </w:rPr>
        <w:t xml:space="preserve"> implications for forensic identification’, </w:t>
      </w:r>
      <w:r>
        <w:rPr>
          <w:rFonts w:ascii="Times New Roman" w:hAnsi="Times New Roman" w:cs="Times New Roman"/>
          <w:i/>
          <w:iCs/>
        </w:rPr>
        <w:t>Forensic Anthropology</w:t>
      </w:r>
      <w:r>
        <w:rPr>
          <w:rFonts w:ascii="Times New Roman" w:hAnsi="Times New Roman" w:cs="Times New Roman"/>
        </w:rPr>
        <w:t>, 6(2), 211-225.</w:t>
      </w:r>
    </w:p>
    <w:p w14:paraId="00B640F2" w14:textId="77777777" w:rsidR="00166B3E" w:rsidRDefault="00166B3E">
      <w:pPr>
        <w:spacing w:after="0" w:line="360" w:lineRule="auto"/>
        <w:jc w:val="both"/>
        <w:rPr>
          <w:rFonts w:ascii="Times New Roman" w:hAnsi="Times New Roman" w:cs="Times New Roman"/>
        </w:rPr>
      </w:pPr>
    </w:p>
    <w:p w14:paraId="6AE63763"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Garvin, H.M. and Ruff, C.B. (2023) ‘Cranial shape stability after skeletal maturity: insights from\</w:t>
      </w:r>
      <w:r>
        <w:rPr>
          <w:rFonts w:ascii="Times New Roman" w:hAnsi="Times New Roman" w:cs="Times New Roman"/>
        </w:rPr>
        <w:tab/>
        <w:t xml:space="preserve"> longitudinal anthropometric data’, </w:t>
      </w:r>
      <w:r>
        <w:rPr>
          <w:rFonts w:ascii="Times New Roman" w:hAnsi="Times New Roman" w:cs="Times New Roman"/>
          <w:i/>
          <w:iCs/>
        </w:rPr>
        <w:t>Journal of Anatomy</w:t>
      </w:r>
      <w:r>
        <w:rPr>
          <w:rFonts w:ascii="Times New Roman" w:hAnsi="Times New Roman" w:cs="Times New Roman"/>
        </w:rPr>
        <w:t>, 242(3), 523-535.</w:t>
      </w:r>
    </w:p>
    <w:p w14:paraId="1CE7C901" w14:textId="77777777" w:rsidR="00166B3E" w:rsidRDefault="00166B3E">
      <w:pPr>
        <w:spacing w:after="0" w:line="360" w:lineRule="auto"/>
        <w:jc w:val="both"/>
        <w:rPr>
          <w:rFonts w:ascii="Times New Roman" w:hAnsi="Times New Roman" w:cs="Times New Roman"/>
        </w:rPr>
      </w:pPr>
    </w:p>
    <w:p w14:paraId="0316E9EF"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Heuzé, Y. and Bastir, M. (2023) ‘Craniofacial integration and modularity: Implications for growth,</w:t>
      </w:r>
    </w:p>
    <w:p w14:paraId="21191CA4" w14:textId="77777777" w:rsidR="00166B3E" w:rsidRDefault="004B5700">
      <w:pPr>
        <w:spacing w:after="0" w:line="360" w:lineRule="auto"/>
        <w:ind w:firstLine="720"/>
        <w:jc w:val="both"/>
        <w:rPr>
          <w:rFonts w:ascii="Times New Roman" w:hAnsi="Times New Roman" w:cs="Times New Roman"/>
        </w:rPr>
      </w:pPr>
      <w:r>
        <w:rPr>
          <w:rFonts w:ascii="Times New Roman" w:hAnsi="Times New Roman" w:cs="Times New Roman"/>
        </w:rPr>
        <w:t xml:space="preserve"> function, and sexual dimorphism’, </w:t>
      </w:r>
      <w:r>
        <w:rPr>
          <w:rFonts w:ascii="Times New Roman" w:hAnsi="Times New Roman" w:cs="Times New Roman"/>
          <w:i/>
          <w:iCs/>
        </w:rPr>
        <w:t>Journal of Anatomy</w:t>
      </w:r>
      <w:r>
        <w:rPr>
          <w:rFonts w:ascii="Times New Roman" w:hAnsi="Times New Roman" w:cs="Times New Roman"/>
        </w:rPr>
        <w:t>, 243(2), 235-249.</w:t>
      </w:r>
    </w:p>
    <w:p w14:paraId="5B6C7680"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Jaafar, I., Musa, A.B. and Ibrahim, S. (2023) ‘Computed tomography-based craniometric sex</w:t>
      </w:r>
    </w:p>
    <w:p w14:paraId="6B0B02CF" w14:textId="77777777" w:rsidR="00166B3E" w:rsidRDefault="004B5700">
      <w:pPr>
        <w:spacing w:after="0" w:line="360" w:lineRule="auto"/>
        <w:ind w:left="720" w:firstLine="60"/>
        <w:jc w:val="both"/>
        <w:rPr>
          <w:rFonts w:ascii="Times New Roman" w:hAnsi="Times New Roman" w:cs="Times New Roman"/>
        </w:rPr>
      </w:pPr>
      <w:r>
        <w:rPr>
          <w:rFonts w:ascii="Times New Roman" w:hAnsi="Times New Roman" w:cs="Times New Roman"/>
        </w:rPr>
        <w:t xml:space="preserve">estimation in a Northern Nigerian population’, </w:t>
      </w:r>
      <w:r>
        <w:rPr>
          <w:rFonts w:ascii="Times New Roman" w:hAnsi="Times New Roman" w:cs="Times New Roman"/>
          <w:i/>
          <w:iCs/>
        </w:rPr>
        <w:t>Anatomical Science International</w:t>
      </w:r>
      <w:r>
        <w:rPr>
          <w:rFonts w:ascii="Times New Roman" w:hAnsi="Times New Roman" w:cs="Times New Roman"/>
        </w:rPr>
        <w:t>, 98(2), 177-189.</w:t>
      </w:r>
    </w:p>
    <w:p w14:paraId="2077B823" w14:textId="77777777" w:rsidR="00166B3E" w:rsidRDefault="00166B3E">
      <w:pPr>
        <w:spacing w:after="0" w:line="360" w:lineRule="auto"/>
        <w:jc w:val="both"/>
        <w:rPr>
          <w:rFonts w:ascii="Times New Roman" w:hAnsi="Times New Roman" w:cs="Times New Roman"/>
        </w:rPr>
      </w:pPr>
    </w:p>
    <w:p w14:paraId="2BDFD0C9"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Kanchan, T., et al. (2024) ‘Meta-analysis of cranial sexual dimorphism across global populations’, </w:t>
      </w:r>
    </w:p>
    <w:p w14:paraId="44598018" w14:textId="77777777" w:rsidR="00166B3E" w:rsidRDefault="004B5700">
      <w:pPr>
        <w:spacing w:after="0" w:line="360" w:lineRule="auto"/>
        <w:ind w:firstLine="720"/>
        <w:jc w:val="both"/>
        <w:rPr>
          <w:rFonts w:ascii="Times New Roman" w:hAnsi="Times New Roman" w:cs="Times New Roman"/>
        </w:rPr>
      </w:pPr>
      <w:r>
        <w:rPr>
          <w:rFonts w:ascii="Times New Roman" w:hAnsi="Times New Roman" w:cs="Times New Roman"/>
          <w:i/>
          <w:iCs/>
        </w:rPr>
        <w:t>Forensic Anthropology Review</w:t>
      </w:r>
      <w:r>
        <w:rPr>
          <w:rFonts w:ascii="Times New Roman" w:hAnsi="Times New Roman" w:cs="Times New Roman"/>
        </w:rPr>
        <w:t>, 8(1), 45-63.</w:t>
      </w:r>
    </w:p>
    <w:p w14:paraId="3893E0BA" w14:textId="77777777" w:rsidR="00166B3E" w:rsidRDefault="00166B3E">
      <w:pPr>
        <w:spacing w:after="0" w:line="360" w:lineRule="auto"/>
        <w:jc w:val="both"/>
        <w:rPr>
          <w:rFonts w:ascii="Times New Roman" w:hAnsi="Times New Roman" w:cs="Times New Roman"/>
        </w:rPr>
      </w:pPr>
    </w:p>
    <w:p w14:paraId="1C210867"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Kato, A., Yamamoto, M., Sakaue, K. and Ishida, H. (2024) ‘Sex estimation using three-</w:t>
      </w:r>
    </w:p>
    <w:p w14:paraId="3A4C202D"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dimensional CT-derived cranial measurements in a modern Japanese population’, </w:t>
      </w:r>
      <w:r>
        <w:rPr>
          <w:rFonts w:ascii="Times New Roman" w:hAnsi="Times New Roman" w:cs="Times New Roman"/>
          <w:i/>
          <w:iCs/>
        </w:rPr>
        <w:t>International Journal of Legal Medicine</w:t>
      </w:r>
      <w:r>
        <w:rPr>
          <w:rFonts w:ascii="Times New Roman" w:hAnsi="Times New Roman" w:cs="Times New Roman"/>
        </w:rPr>
        <w:t>, 138(1), 87-99.</w:t>
      </w:r>
    </w:p>
    <w:p w14:paraId="157B2023" w14:textId="77777777" w:rsidR="00166B3E" w:rsidRDefault="00166B3E">
      <w:pPr>
        <w:spacing w:after="0" w:line="360" w:lineRule="auto"/>
        <w:jc w:val="both"/>
        <w:rPr>
          <w:rFonts w:ascii="Times New Roman" w:hAnsi="Times New Roman" w:cs="Times New Roman"/>
        </w:rPr>
      </w:pPr>
    </w:p>
    <w:p w14:paraId="2F8CA4A0"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Kumar, A. and Ross, A.H. (2022) ‘Adult cranial dimensional stability and implications for forensic </w:t>
      </w:r>
      <w:r>
        <w:rPr>
          <w:rFonts w:ascii="Times New Roman" w:hAnsi="Times New Roman" w:cs="Times New Roman"/>
        </w:rPr>
        <w:tab/>
        <w:t xml:space="preserve">age estimation’, </w:t>
      </w:r>
      <w:r>
        <w:rPr>
          <w:rFonts w:ascii="Times New Roman" w:hAnsi="Times New Roman" w:cs="Times New Roman"/>
          <w:i/>
          <w:iCs/>
        </w:rPr>
        <w:t>Journal of Forensic Anthropology</w:t>
      </w:r>
      <w:r>
        <w:rPr>
          <w:rFonts w:ascii="Times New Roman" w:hAnsi="Times New Roman" w:cs="Times New Roman"/>
        </w:rPr>
        <w:t>, 5(4), 201-214.</w:t>
      </w:r>
    </w:p>
    <w:p w14:paraId="419453A9" w14:textId="77777777" w:rsidR="00166B3E" w:rsidRDefault="00166B3E">
      <w:pPr>
        <w:spacing w:after="0" w:line="360" w:lineRule="auto"/>
        <w:jc w:val="both"/>
        <w:rPr>
          <w:rFonts w:ascii="Times New Roman" w:hAnsi="Times New Roman" w:cs="Times New Roman"/>
        </w:rPr>
      </w:pPr>
    </w:p>
    <w:p w14:paraId="725A4372"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Maina, M.B., Bello, A. and Ado, G. (2018) ‘Sexual dimorphism in cranial measurements among</w:t>
      </w:r>
    </w:p>
    <w:p w14:paraId="0BDA7071" w14:textId="77777777" w:rsidR="00166B3E" w:rsidRDefault="004B5700">
      <w:pPr>
        <w:spacing w:after="0" w:line="360" w:lineRule="auto"/>
        <w:ind w:left="720" w:firstLine="60"/>
        <w:jc w:val="both"/>
        <w:rPr>
          <w:rFonts w:ascii="Times New Roman" w:hAnsi="Times New Roman" w:cs="Times New Roman"/>
        </w:rPr>
      </w:pPr>
      <w:r>
        <w:rPr>
          <w:rFonts w:ascii="Times New Roman" w:hAnsi="Times New Roman" w:cs="Times New Roman"/>
        </w:rPr>
        <w:t xml:space="preserve">the Fulani ethnic group of Northern Nigeria’, </w:t>
      </w:r>
      <w:r>
        <w:rPr>
          <w:rFonts w:ascii="Times New Roman" w:hAnsi="Times New Roman" w:cs="Times New Roman"/>
          <w:i/>
          <w:iCs/>
        </w:rPr>
        <w:t>Anatomy Journal of Africa</w:t>
      </w:r>
      <w:r>
        <w:rPr>
          <w:rFonts w:ascii="Times New Roman" w:hAnsi="Times New Roman" w:cs="Times New Roman"/>
        </w:rPr>
        <w:t>, 7(1), 912-921.</w:t>
      </w:r>
    </w:p>
    <w:p w14:paraId="561854A0" w14:textId="77777777" w:rsidR="00166B3E" w:rsidRDefault="00166B3E">
      <w:pPr>
        <w:spacing w:after="0" w:line="360" w:lineRule="auto"/>
        <w:jc w:val="both"/>
        <w:rPr>
          <w:rFonts w:ascii="Times New Roman" w:hAnsi="Times New Roman" w:cs="Times New Roman"/>
        </w:rPr>
      </w:pPr>
    </w:p>
    <w:p w14:paraId="071CB2EB" w14:textId="77777777" w:rsidR="00310CBC" w:rsidRDefault="00310CBC">
      <w:pPr>
        <w:spacing w:after="0" w:line="360" w:lineRule="auto"/>
        <w:jc w:val="both"/>
        <w:rPr>
          <w:rFonts w:ascii="Times New Roman" w:hAnsi="Times New Roman" w:cs="Times New Roman"/>
        </w:rPr>
      </w:pPr>
    </w:p>
    <w:p w14:paraId="2E035AD2" w14:textId="77777777" w:rsidR="00310CBC" w:rsidRDefault="00310CBC">
      <w:pPr>
        <w:spacing w:after="0" w:line="360" w:lineRule="auto"/>
        <w:jc w:val="both"/>
        <w:rPr>
          <w:rFonts w:ascii="Times New Roman" w:hAnsi="Times New Roman" w:cs="Times New Roman"/>
        </w:rPr>
      </w:pPr>
    </w:p>
    <w:p w14:paraId="7E735317"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Milella, M., Belcastro, M.G., Mariotti, V. and Nikita, E. (2021) ‘Sexual dimorphism of the cranial</w:t>
      </w:r>
    </w:p>
    <w:p w14:paraId="294798CF" w14:textId="77777777" w:rsidR="00166B3E" w:rsidRDefault="004B5700">
      <w:pPr>
        <w:spacing w:after="0" w:line="360" w:lineRule="auto"/>
        <w:ind w:left="720" w:firstLine="60"/>
        <w:jc w:val="both"/>
        <w:rPr>
          <w:rFonts w:ascii="Times New Roman" w:hAnsi="Times New Roman" w:cs="Times New Roman"/>
        </w:rPr>
      </w:pPr>
      <w:r>
        <w:rPr>
          <w:rFonts w:ascii="Times New Roman" w:hAnsi="Times New Roman" w:cs="Times New Roman"/>
        </w:rPr>
        <w:t xml:space="preserve">vault: A geometric morphometric approach’, </w:t>
      </w:r>
      <w:r>
        <w:rPr>
          <w:rFonts w:ascii="Times New Roman" w:hAnsi="Times New Roman" w:cs="Times New Roman"/>
          <w:i/>
          <w:iCs/>
        </w:rPr>
        <w:t>American Journal of Physical Anthropology</w:t>
      </w:r>
      <w:r>
        <w:rPr>
          <w:rFonts w:ascii="Times New Roman" w:hAnsi="Times New Roman" w:cs="Times New Roman"/>
        </w:rPr>
        <w:t>, 174(3), 507-520.</w:t>
      </w:r>
    </w:p>
    <w:p w14:paraId="3ABE15FD" w14:textId="77777777" w:rsidR="00166B3E" w:rsidRDefault="00166B3E">
      <w:pPr>
        <w:spacing w:after="0" w:line="360" w:lineRule="auto"/>
        <w:ind w:left="720" w:firstLine="60"/>
        <w:jc w:val="both"/>
        <w:rPr>
          <w:rFonts w:ascii="Times New Roman" w:hAnsi="Times New Roman" w:cs="Times New Roman"/>
        </w:rPr>
      </w:pPr>
    </w:p>
    <w:p w14:paraId="295E6E1E"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Musa, A.B., Nwafor, J. and Adeoye, A. (2023) ‘Sexual dimorphism of the Nigerian skull based on </w:t>
      </w:r>
    </w:p>
    <w:p w14:paraId="26B33B42"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cranial linear measurements: a CT-based study’, </w:t>
      </w:r>
      <w:r>
        <w:rPr>
          <w:rFonts w:ascii="Times New Roman" w:hAnsi="Times New Roman" w:cs="Times New Roman"/>
          <w:i/>
          <w:iCs/>
        </w:rPr>
        <w:t>African Journal of Biomedical Research</w:t>
      </w:r>
      <w:r>
        <w:rPr>
          <w:rFonts w:ascii="Times New Roman" w:hAnsi="Times New Roman" w:cs="Times New Roman"/>
        </w:rPr>
        <w:t>, 26(1), 34-42.</w:t>
      </w:r>
    </w:p>
    <w:p w14:paraId="44F51BF5" w14:textId="77777777" w:rsidR="00166B3E" w:rsidRDefault="00166B3E">
      <w:pPr>
        <w:spacing w:after="0" w:line="360" w:lineRule="auto"/>
        <w:ind w:left="720"/>
        <w:jc w:val="both"/>
        <w:rPr>
          <w:rFonts w:ascii="Times New Roman" w:hAnsi="Times New Roman" w:cs="Times New Roman"/>
        </w:rPr>
      </w:pPr>
    </w:p>
    <w:p w14:paraId="0A3E5CB3"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Naidoo, S., Govender, R. and Moodley, K. (2024) ‘Assessment of cranial sexual dimorphism using </w:t>
      </w:r>
    </w:p>
    <w:p w14:paraId="1576F893"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CT scans among South African adults’, </w:t>
      </w:r>
      <w:r>
        <w:rPr>
          <w:rFonts w:ascii="Times New Roman" w:hAnsi="Times New Roman" w:cs="Times New Roman"/>
          <w:i/>
          <w:iCs/>
        </w:rPr>
        <w:t>South African Journal of Radiology</w:t>
      </w:r>
      <w:r>
        <w:rPr>
          <w:rFonts w:ascii="Times New Roman" w:hAnsi="Times New Roman" w:cs="Times New Roman"/>
        </w:rPr>
        <w:t>, 28(1), 27-52.</w:t>
      </w:r>
    </w:p>
    <w:p w14:paraId="102AE610" w14:textId="77777777" w:rsidR="00166B3E" w:rsidRDefault="00166B3E">
      <w:pPr>
        <w:spacing w:after="0" w:line="360" w:lineRule="auto"/>
        <w:jc w:val="both"/>
        <w:rPr>
          <w:rFonts w:ascii="Times New Roman" w:hAnsi="Times New Roman" w:cs="Times New Roman"/>
        </w:rPr>
      </w:pPr>
    </w:p>
    <w:p w14:paraId="58C8B24D"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Noback, M.L. and Harvati, K. (2023) ‘Population variation and covariation in cranial breadth and </w:t>
      </w:r>
    </w:p>
    <w:p w14:paraId="266D208C"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curvature: a 3D geometric analysis’, </w:t>
      </w:r>
      <w:r>
        <w:rPr>
          <w:rFonts w:ascii="Times New Roman" w:hAnsi="Times New Roman" w:cs="Times New Roman"/>
          <w:i/>
          <w:iCs/>
        </w:rPr>
        <w:t>American Journal of Biological Anthropology</w:t>
      </w:r>
      <w:r>
        <w:rPr>
          <w:rFonts w:ascii="Times New Roman" w:hAnsi="Times New Roman" w:cs="Times New Roman"/>
        </w:rPr>
        <w:t>, 182(2), 278-291.</w:t>
      </w:r>
    </w:p>
    <w:p w14:paraId="438655E7"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Oliveira, T.F., Cardoso, M.A. and Silva, D.M. (2023) ‘Sexual dimorphism of the skull in a </w:t>
      </w:r>
    </w:p>
    <w:p w14:paraId="139A5DDB"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Brazilian sample: a morphometric approach using CT data’, </w:t>
      </w:r>
      <w:r>
        <w:rPr>
          <w:rFonts w:ascii="Times New Roman" w:hAnsi="Times New Roman" w:cs="Times New Roman"/>
          <w:i/>
          <w:iCs/>
        </w:rPr>
        <w:t>Brazilian Journal of Morphological Sciences</w:t>
      </w:r>
      <w:r>
        <w:rPr>
          <w:rFonts w:ascii="Times New Roman" w:hAnsi="Times New Roman" w:cs="Times New Roman"/>
        </w:rPr>
        <w:t>, 40(2), 112-120.</w:t>
      </w:r>
    </w:p>
    <w:p w14:paraId="240F535B" w14:textId="77777777" w:rsidR="00166B3E" w:rsidRDefault="00166B3E">
      <w:pPr>
        <w:spacing w:after="0" w:line="360" w:lineRule="auto"/>
        <w:jc w:val="both"/>
        <w:rPr>
          <w:rFonts w:ascii="Times New Roman" w:hAnsi="Times New Roman" w:cs="Times New Roman"/>
        </w:rPr>
      </w:pPr>
    </w:p>
    <w:p w14:paraId="7AFD97C2"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Pérez-Ramos, A., Serrulla, F. and Lorenzo, C. (2022) ‘Cranial metric integration and </w:t>
      </w:r>
    </w:p>
    <w:p w14:paraId="6DB3D52D"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proportionality in modern Spanish skulls’, </w:t>
      </w:r>
      <w:r>
        <w:rPr>
          <w:rFonts w:ascii="Times New Roman" w:hAnsi="Times New Roman" w:cs="Times New Roman"/>
          <w:i/>
          <w:iCs/>
        </w:rPr>
        <w:t>Journal of Forensic Sciences</w:t>
      </w:r>
      <w:r>
        <w:rPr>
          <w:rFonts w:ascii="Times New Roman" w:hAnsi="Times New Roman" w:cs="Times New Roman"/>
        </w:rPr>
        <w:t>, 67(4), 1193-1205.</w:t>
      </w:r>
    </w:p>
    <w:p w14:paraId="2706082D" w14:textId="77777777" w:rsidR="00166B3E" w:rsidRDefault="00166B3E">
      <w:pPr>
        <w:spacing w:after="0" w:line="360" w:lineRule="auto"/>
        <w:jc w:val="both"/>
        <w:rPr>
          <w:rFonts w:ascii="Times New Roman" w:hAnsi="Times New Roman" w:cs="Times New Roman"/>
        </w:rPr>
      </w:pPr>
    </w:p>
    <w:p w14:paraId="2D745E52" w14:textId="77777777" w:rsidR="00166B3E" w:rsidRDefault="004B5700">
      <w:pPr>
        <w:spacing w:after="0" w:line="360" w:lineRule="auto"/>
        <w:jc w:val="both"/>
        <w:rPr>
          <w:rFonts w:ascii="Times New Roman" w:hAnsi="Times New Roman" w:cs="Times New Roman"/>
          <w:i/>
          <w:iCs/>
        </w:rPr>
      </w:pPr>
      <w:r>
        <w:rPr>
          <w:rFonts w:ascii="Times New Roman" w:hAnsi="Times New Roman" w:cs="Times New Roman"/>
        </w:rPr>
        <w:t xml:space="preserve">Qu, H. (2024) ‘Advances in linear discriminant analysis for biological classification’, </w:t>
      </w:r>
      <w:r>
        <w:rPr>
          <w:rFonts w:ascii="Times New Roman" w:hAnsi="Times New Roman" w:cs="Times New Roman"/>
          <w:i/>
          <w:iCs/>
        </w:rPr>
        <w:t xml:space="preserve">Pattern </w:t>
      </w:r>
    </w:p>
    <w:p w14:paraId="64533D90" w14:textId="77777777" w:rsidR="00166B3E" w:rsidRDefault="004B5700">
      <w:pPr>
        <w:spacing w:after="0" w:line="360" w:lineRule="auto"/>
        <w:ind w:firstLine="720"/>
        <w:jc w:val="both"/>
        <w:rPr>
          <w:rFonts w:ascii="Times New Roman" w:hAnsi="Times New Roman" w:cs="Times New Roman"/>
        </w:rPr>
      </w:pPr>
      <w:r>
        <w:rPr>
          <w:rFonts w:ascii="Times New Roman" w:hAnsi="Times New Roman" w:cs="Times New Roman"/>
          <w:i/>
          <w:iCs/>
        </w:rPr>
        <w:t>Recognition Letters</w:t>
      </w:r>
      <w:r>
        <w:rPr>
          <w:rFonts w:ascii="Times New Roman" w:hAnsi="Times New Roman" w:cs="Times New Roman"/>
        </w:rPr>
        <w:t>, 176, 1-8.</w:t>
      </w:r>
    </w:p>
    <w:p w14:paraId="686DABFB" w14:textId="77777777" w:rsidR="00166B3E" w:rsidRDefault="00166B3E">
      <w:pPr>
        <w:spacing w:after="0" w:line="360" w:lineRule="auto"/>
        <w:jc w:val="both"/>
        <w:rPr>
          <w:rFonts w:ascii="Times New Roman" w:hAnsi="Times New Roman" w:cs="Times New Roman"/>
        </w:rPr>
      </w:pPr>
    </w:p>
    <w:p w14:paraId="4C884D63" w14:textId="77777777" w:rsidR="00310CBC" w:rsidRDefault="004B5700">
      <w:pPr>
        <w:spacing w:after="0" w:line="360" w:lineRule="auto"/>
        <w:jc w:val="both"/>
        <w:rPr>
          <w:rFonts w:ascii="Times New Roman" w:hAnsi="Times New Roman" w:cs="Times New Roman"/>
        </w:rPr>
      </w:pPr>
      <w:r>
        <w:rPr>
          <w:rFonts w:ascii="Times New Roman" w:hAnsi="Times New Roman" w:cs="Times New Roman"/>
        </w:rPr>
        <w:t xml:space="preserve">Rahman, M. (2023) ‘Sex determination from hand and anthropometric variables using </w:t>
      </w:r>
    </w:p>
    <w:p w14:paraId="526BA0E3" w14:textId="51BFF78A" w:rsidR="00166B3E" w:rsidRDefault="004B5700" w:rsidP="00310CBC">
      <w:pPr>
        <w:spacing w:after="0" w:line="360" w:lineRule="auto"/>
        <w:ind w:firstLine="720"/>
        <w:jc w:val="both"/>
        <w:rPr>
          <w:rFonts w:ascii="Times New Roman" w:hAnsi="Times New Roman" w:cs="Times New Roman"/>
        </w:rPr>
      </w:pPr>
      <w:r>
        <w:rPr>
          <w:rFonts w:ascii="Times New Roman" w:hAnsi="Times New Roman" w:cs="Times New Roman"/>
        </w:rPr>
        <w:t xml:space="preserve">discriminant function analysis’, </w:t>
      </w:r>
      <w:r>
        <w:rPr>
          <w:rFonts w:ascii="Times New Roman" w:hAnsi="Times New Roman" w:cs="Times New Roman"/>
          <w:i/>
          <w:iCs/>
        </w:rPr>
        <w:t>Egyptian Journal of Forensic Sciences</w:t>
      </w:r>
      <w:r>
        <w:rPr>
          <w:rFonts w:ascii="Times New Roman" w:hAnsi="Times New Roman" w:cs="Times New Roman"/>
        </w:rPr>
        <w:t>, 13(2), 223-234.</w:t>
      </w:r>
    </w:p>
    <w:p w14:paraId="0608031A" w14:textId="77777777" w:rsidR="00166B3E" w:rsidRDefault="00166B3E">
      <w:pPr>
        <w:spacing w:after="0" w:line="360" w:lineRule="auto"/>
        <w:jc w:val="both"/>
        <w:rPr>
          <w:rFonts w:ascii="Times New Roman" w:hAnsi="Times New Roman" w:cs="Times New Roman"/>
        </w:rPr>
      </w:pPr>
    </w:p>
    <w:p w14:paraId="7C6BBFBA"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Ramamoorthy, R., Raj, A.S. and Kumar, S. (2020) ‘Craniometric evaluation of sexual dimorphism </w:t>
      </w:r>
    </w:p>
    <w:p w14:paraId="4CA7471E"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in South Indian population using CT images’, </w:t>
      </w:r>
      <w:r>
        <w:rPr>
          <w:rFonts w:ascii="Times New Roman" w:hAnsi="Times New Roman" w:cs="Times New Roman"/>
          <w:i/>
          <w:iCs/>
        </w:rPr>
        <w:t>International Journal of Legal Medicine</w:t>
      </w:r>
      <w:r>
        <w:rPr>
          <w:rFonts w:ascii="Times New Roman" w:hAnsi="Times New Roman" w:cs="Times New Roman"/>
        </w:rPr>
        <w:t>, 134(6), 2073-2083.</w:t>
      </w:r>
    </w:p>
    <w:p w14:paraId="4860302D" w14:textId="77777777" w:rsidR="00166B3E" w:rsidRDefault="00166B3E">
      <w:pPr>
        <w:spacing w:after="0" w:line="360" w:lineRule="auto"/>
        <w:jc w:val="both"/>
        <w:rPr>
          <w:rFonts w:ascii="Times New Roman" w:hAnsi="Times New Roman" w:cs="Times New Roman"/>
        </w:rPr>
      </w:pPr>
    </w:p>
    <w:p w14:paraId="2D2505DE"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Sharma, P., Kumar, V. and Singh, J. (2023) ‘Sexual dimorphism in craniofacial dimensions of </w:t>
      </w:r>
    </w:p>
    <w:p w14:paraId="005ECF1F"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Northwest Indians: a computed tomography study’, </w:t>
      </w:r>
      <w:r>
        <w:rPr>
          <w:rFonts w:ascii="Times New Roman" w:hAnsi="Times New Roman" w:cs="Times New Roman"/>
          <w:i/>
          <w:iCs/>
        </w:rPr>
        <w:t>Journal of Forensic and Legal Medicine</w:t>
      </w:r>
      <w:r>
        <w:rPr>
          <w:rFonts w:ascii="Times New Roman" w:hAnsi="Times New Roman" w:cs="Times New Roman"/>
        </w:rPr>
        <w:t>, 94, 102-208.</w:t>
      </w:r>
    </w:p>
    <w:p w14:paraId="503C97F3" w14:textId="77777777" w:rsidR="00166B3E" w:rsidRDefault="00166B3E">
      <w:pPr>
        <w:spacing w:after="0" w:line="360" w:lineRule="auto"/>
        <w:jc w:val="both"/>
        <w:rPr>
          <w:rFonts w:ascii="Times New Roman" w:hAnsi="Times New Roman" w:cs="Times New Roman"/>
        </w:rPr>
      </w:pPr>
    </w:p>
    <w:p w14:paraId="3F9E2E41"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 xml:space="preserve">Sholts, S.B., Choudhury, R. and Smith, H.F. (2024) ‘Cranial morphological constancy across adult </w:t>
      </w:r>
    </w:p>
    <w:p w14:paraId="326147D5" w14:textId="77777777" w:rsidR="00166B3E" w:rsidRDefault="004B5700">
      <w:pPr>
        <w:spacing w:after="0" w:line="360" w:lineRule="auto"/>
        <w:ind w:left="720"/>
        <w:jc w:val="both"/>
        <w:rPr>
          <w:rFonts w:ascii="Times New Roman" w:hAnsi="Times New Roman" w:cs="Times New Roman"/>
        </w:rPr>
      </w:pPr>
      <w:r>
        <w:rPr>
          <w:rFonts w:ascii="Times New Roman" w:hAnsi="Times New Roman" w:cs="Times New Roman"/>
        </w:rPr>
        <w:t xml:space="preserve">age ranges: implications for forensic anthropology’, </w:t>
      </w:r>
      <w:r>
        <w:rPr>
          <w:rFonts w:ascii="Times New Roman" w:hAnsi="Times New Roman" w:cs="Times New Roman"/>
          <w:i/>
          <w:iCs/>
        </w:rPr>
        <w:t>American Journal of Physical Anthropology</w:t>
      </w:r>
      <w:r>
        <w:rPr>
          <w:rFonts w:ascii="Times New Roman" w:hAnsi="Times New Roman" w:cs="Times New Roman"/>
        </w:rPr>
        <w:t>, 183(3), 312-325.</w:t>
      </w:r>
    </w:p>
    <w:p w14:paraId="590D9683" w14:textId="77777777" w:rsidR="00166B3E" w:rsidRDefault="00166B3E">
      <w:pPr>
        <w:spacing w:after="0" w:line="360" w:lineRule="auto"/>
        <w:jc w:val="both"/>
        <w:rPr>
          <w:rFonts w:ascii="Times New Roman" w:hAnsi="Times New Roman" w:cs="Times New Roman"/>
        </w:rPr>
      </w:pPr>
    </w:p>
    <w:p w14:paraId="7953FB26"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Sompetch, T., Sirirattanapong, S. and Pongpanich, S. (2015) ‘Cranial sexual dimorphism in Thais:</w:t>
      </w:r>
    </w:p>
    <w:p w14:paraId="25D6DFA9" w14:textId="77777777" w:rsidR="00166B3E" w:rsidRDefault="004B5700">
      <w:pPr>
        <w:spacing w:after="0" w:line="360" w:lineRule="auto"/>
        <w:ind w:left="720" w:firstLine="60"/>
        <w:jc w:val="both"/>
        <w:rPr>
          <w:rFonts w:ascii="Times New Roman" w:hAnsi="Times New Roman" w:cs="Times New Roman"/>
        </w:rPr>
      </w:pPr>
      <w:r>
        <w:rPr>
          <w:rFonts w:ascii="Times New Roman" w:hAnsi="Times New Roman" w:cs="Times New Roman"/>
        </w:rPr>
        <w:t xml:space="preserve">metric analysis of CT images’, </w:t>
      </w:r>
      <w:r>
        <w:rPr>
          <w:rFonts w:ascii="Times New Roman" w:hAnsi="Times New Roman" w:cs="Times New Roman"/>
          <w:i/>
          <w:iCs/>
        </w:rPr>
        <w:t>International Journal of Morphology</w:t>
      </w:r>
      <w:r>
        <w:rPr>
          <w:rFonts w:ascii="Times New Roman" w:hAnsi="Times New Roman" w:cs="Times New Roman"/>
        </w:rPr>
        <w:t>, 33(4), 1205-1213.</w:t>
      </w:r>
    </w:p>
    <w:p w14:paraId="3F4F1DCD" w14:textId="77777777" w:rsidR="00166B3E" w:rsidRDefault="00166B3E">
      <w:pPr>
        <w:spacing w:after="0" w:line="360" w:lineRule="auto"/>
        <w:jc w:val="both"/>
        <w:rPr>
          <w:rFonts w:ascii="Times New Roman" w:hAnsi="Times New Roman" w:cs="Times New Roman"/>
        </w:rPr>
      </w:pPr>
    </w:p>
    <w:p w14:paraId="59371F48"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Takeuchi, H., Shimizu, A. and Ito, K. (2024) ‘Sexual dimorphism in Japanese skulls assessed</w:t>
      </w:r>
    </w:p>
    <w:p w14:paraId="32B7F6E2" w14:textId="77777777" w:rsidR="00166B3E" w:rsidRDefault="004B5700">
      <w:pPr>
        <w:spacing w:after="0" w:line="360" w:lineRule="auto"/>
        <w:ind w:firstLine="720"/>
        <w:jc w:val="both"/>
        <w:rPr>
          <w:rFonts w:ascii="Times New Roman" w:hAnsi="Times New Roman" w:cs="Times New Roman"/>
        </w:rPr>
      </w:pPr>
      <w:r>
        <w:rPr>
          <w:rFonts w:ascii="Times New Roman" w:hAnsi="Times New Roman" w:cs="Times New Roman"/>
        </w:rPr>
        <w:t xml:space="preserve"> through 3D CT-based craniometrics’, </w:t>
      </w:r>
      <w:r>
        <w:rPr>
          <w:rFonts w:ascii="Times New Roman" w:hAnsi="Times New Roman" w:cs="Times New Roman"/>
          <w:i/>
          <w:iCs/>
        </w:rPr>
        <w:t>Anatomical Science International</w:t>
      </w:r>
      <w:r>
        <w:rPr>
          <w:rFonts w:ascii="Times New Roman" w:hAnsi="Times New Roman" w:cs="Times New Roman"/>
        </w:rPr>
        <w:t>, 99(1), 22-35.</w:t>
      </w:r>
    </w:p>
    <w:p w14:paraId="5686FAE4" w14:textId="77777777" w:rsidR="00166B3E" w:rsidRDefault="00166B3E">
      <w:pPr>
        <w:spacing w:after="0" w:line="360" w:lineRule="auto"/>
        <w:jc w:val="both"/>
        <w:rPr>
          <w:rFonts w:ascii="Times New Roman" w:hAnsi="Times New Roman" w:cs="Times New Roman"/>
        </w:rPr>
      </w:pPr>
    </w:p>
    <w:p w14:paraId="1353DEEA"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Toma, A.M., Dutu, M. and White, T. (2022) ‘Correlated craniofacial growth across sexes: evidence</w:t>
      </w:r>
    </w:p>
    <w:p w14:paraId="139B6192" w14:textId="77777777" w:rsidR="00166B3E" w:rsidRDefault="004B5700">
      <w:pPr>
        <w:spacing w:after="0" w:line="360" w:lineRule="auto"/>
        <w:ind w:firstLine="720"/>
        <w:jc w:val="both"/>
        <w:rPr>
          <w:rFonts w:ascii="Times New Roman" w:hAnsi="Times New Roman" w:cs="Times New Roman"/>
        </w:rPr>
      </w:pPr>
      <w:r>
        <w:rPr>
          <w:rFonts w:ascii="Times New Roman" w:hAnsi="Times New Roman" w:cs="Times New Roman"/>
        </w:rPr>
        <w:t xml:space="preserve"> from European CT datasets’, </w:t>
      </w:r>
      <w:r>
        <w:rPr>
          <w:rFonts w:ascii="Times New Roman" w:hAnsi="Times New Roman" w:cs="Times New Roman"/>
          <w:i/>
          <w:iCs/>
        </w:rPr>
        <w:t>European Journal of Anatomy</w:t>
      </w:r>
      <w:r>
        <w:rPr>
          <w:rFonts w:ascii="Times New Roman" w:hAnsi="Times New Roman" w:cs="Times New Roman"/>
        </w:rPr>
        <w:t>, 26(1), 1-13.</w:t>
      </w:r>
    </w:p>
    <w:p w14:paraId="4AFAD81C" w14:textId="77777777" w:rsidR="00166B3E" w:rsidRDefault="00166B3E">
      <w:pPr>
        <w:spacing w:after="0" w:line="360" w:lineRule="auto"/>
        <w:jc w:val="both"/>
        <w:rPr>
          <w:rFonts w:ascii="Times New Roman" w:hAnsi="Times New Roman" w:cs="Times New Roman"/>
        </w:rPr>
      </w:pPr>
    </w:p>
    <w:p w14:paraId="14417B3F"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Urbanová, P., Hejna, P. and Dvorák, J. (2024) ‘Integration of cranial metrics in adult skulls: a</w:t>
      </w:r>
    </w:p>
    <w:p w14:paraId="2F21E7E5" w14:textId="77777777" w:rsidR="00166B3E" w:rsidRDefault="004B5700">
      <w:pPr>
        <w:spacing w:after="0" w:line="360" w:lineRule="auto"/>
        <w:ind w:firstLine="720"/>
        <w:jc w:val="both"/>
        <w:rPr>
          <w:rFonts w:ascii="Times New Roman" w:hAnsi="Times New Roman" w:cs="Times New Roman"/>
        </w:rPr>
      </w:pPr>
      <w:r>
        <w:rPr>
          <w:rFonts w:ascii="Times New Roman" w:hAnsi="Times New Roman" w:cs="Times New Roman"/>
        </w:rPr>
        <w:t xml:space="preserve"> morphometric correlation analysis’, </w:t>
      </w:r>
      <w:r>
        <w:rPr>
          <w:rFonts w:ascii="Times New Roman" w:hAnsi="Times New Roman" w:cs="Times New Roman"/>
          <w:i/>
          <w:iCs/>
        </w:rPr>
        <w:t>Forensic Science International</w:t>
      </w:r>
      <w:r>
        <w:rPr>
          <w:rFonts w:ascii="Times New Roman" w:hAnsi="Times New Roman" w:cs="Times New Roman"/>
        </w:rPr>
        <w:t>, 354, 111-178.</w:t>
      </w:r>
    </w:p>
    <w:p w14:paraId="42CA0506" w14:textId="77777777" w:rsidR="00166B3E" w:rsidRDefault="00166B3E">
      <w:pPr>
        <w:spacing w:after="0" w:line="360" w:lineRule="auto"/>
        <w:jc w:val="both"/>
        <w:rPr>
          <w:rFonts w:ascii="Times New Roman" w:hAnsi="Times New Roman" w:cs="Times New Roman"/>
        </w:rPr>
      </w:pPr>
    </w:p>
    <w:p w14:paraId="5B2F7FEF" w14:textId="77777777" w:rsidR="00166B3E" w:rsidRDefault="004B5700">
      <w:pPr>
        <w:spacing w:after="0" w:line="360" w:lineRule="auto"/>
        <w:jc w:val="both"/>
        <w:rPr>
          <w:rFonts w:ascii="Times New Roman" w:hAnsi="Times New Roman" w:cs="Times New Roman"/>
        </w:rPr>
      </w:pPr>
      <w:r>
        <w:rPr>
          <w:rFonts w:ascii="Times New Roman" w:hAnsi="Times New Roman" w:cs="Times New Roman"/>
        </w:rPr>
        <w:t>Wescott, D.J. and Moore-Jansen, P.H. (2023) ‘Age prediction from cranial metrics: assessing</w:t>
      </w:r>
    </w:p>
    <w:p w14:paraId="484BDBF9" w14:textId="77777777" w:rsidR="00166B3E" w:rsidRDefault="004B5700">
      <w:pPr>
        <w:spacing w:after="0" w:line="360" w:lineRule="auto"/>
        <w:ind w:firstLine="720"/>
        <w:jc w:val="both"/>
        <w:rPr>
          <w:rFonts w:ascii="Times New Roman" w:hAnsi="Times New Roman" w:cs="Times New Roman"/>
        </w:rPr>
      </w:pPr>
      <w:r>
        <w:rPr>
          <w:rFonts w:ascii="Times New Roman" w:hAnsi="Times New Roman" w:cs="Times New Roman"/>
        </w:rPr>
        <w:t xml:space="preserve"> stability after maturity’, </w:t>
      </w:r>
      <w:r>
        <w:rPr>
          <w:rFonts w:ascii="Times New Roman" w:hAnsi="Times New Roman" w:cs="Times New Roman"/>
          <w:i/>
          <w:iCs/>
        </w:rPr>
        <w:t>Journal of Forensic Sciences</w:t>
      </w:r>
      <w:r>
        <w:rPr>
          <w:rFonts w:ascii="Times New Roman" w:hAnsi="Times New Roman" w:cs="Times New Roman"/>
        </w:rPr>
        <w:t>, 68(1), 85-97.</w:t>
      </w:r>
    </w:p>
    <w:p w14:paraId="2142CBBB" w14:textId="77777777" w:rsidR="00166B3E" w:rsidRDefault="004B5700">
      <w:pPr>
        <w:spacing w:after="0" w:line="360" w:lineRule="auto"/>
        <w:jc w:val="both"/>
        <w:rPr>
          <w:rFonts w:ascii="Times New Roman" w:hAnsi="Times New Roman" w:cs="Times New Roman"/>
          <w:vanish/>
        </w:rPr>
      </w:pPr>
      <w:r>
        <w:rPr>
          <w:rFonts w:ascii="Times New Roman" w:hAnsi="Times New Roman" w:cs="Times New Roman"/>
          <w:vanish/>
        </w:rPr>
        <w:t>Top of Form</w:t>
      </w:r>
    </w:p>
    <w:p w14:paraId="1A8E8A78" w14:textId="77777777" w:rsidR="00166B3E" w:rsidRDefault="00166B3E">
      <w:pPr>
        <w:spacing w:after="0" w:line="360" w:lineRule="auto"/>
        <w:jc w:val="both"/>
        <w:rPr>
          <w:rFonts w:ascii="Times New Roman" w:hAnsi="Times New Roman" w:cs="Times New Roman"/>
        </w:rPr>
      </w:pPr>
    </w:p>
    <w:p w14:paraId="6962E6A6" w14:textId="77777777" w:rsidR="00166B3E" w:rsidRDefault="004B5700">
      <w:pPr>
        <w:spacing w:after="0" w:line="360" w:lineRule="auto"/>
        <w:jc w:val="both"/>
        <w:rPr>
          <w:rFonts w:ascii="Times New Roman" w:hAnsi="Times New Roman" w:cs="Times New Roman"/>
          <w:vanish/>
        </w:rPr>
      </w:pPr>
      <w:r>
        <w:rPr>
          <w:rFonts w:ascii="Times New Roman" w:hAnsi="Times New Roman" w:cs="Times New Roman"/>
          <w:vanish/>
        </w:rPr>
        <w:t>Bottom of Form</w:t>
      </w:r>
    </w:p>
    <w:p w14:paraId="12374BF8" w14:textId="77777777" w:rsidR="00166B3E" w:rsidRDefault="00166B3E">
      <w:pPr>
        <w:spacing w:after="0" w:line="360" w:lineRule="auto"/>
        <w:rPr>
          <w:rFonts w:ascii="Times New Roman" w:hAnsi="Times New Roman" w:cs="Times New Roman"/>
          <w:b/>
          <w:bCs/>
        </w:rPr>
      </w:pPr>
    </w:p>
    <w:sectPr w:rsidR="00166B3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2E35A" w14:textId="77777777" w:rsidR="009B670D" w:rsidRDefault="009B670D" w:rsidP="00A9336F">
      <w:pPr>
        <w:spacing w:after="0" w:line="240" w:lineRule="auto"/>
      </w:pPr>
      <w:r>
        <w:separator/>
      </w:r>
    </w:p>
  </w:endnote>
  <w:endnote w:type="continuationSeparator" w:id="0">
    <w:p w14:paraId="77FC39F5" w14:textId="77777777" w:rsidR="009B670D" w:rsidRDefault="009B670D" w:rsidP="00A93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CCF7" w14:textId="77777777" w:rsidR="00A9336F" w:rsidRDefault="00A933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F09B5" w14:textId="77777777" w:rsidR="00A9336F" w:rsidRDefault="00A93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DB77" w14:textId="77777777" w:rsidR="00A9336F" w:rsidRDefault="00A933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DE89C" w14:textId="77777777" w:rsidR="009B670D" w:rsidRDefault="009B670D" w:rsidP="00A9336F">
      <w:pPr>
        <w:spacing w:after="0" w:line="240" w:lineRule="auto"/>
      </w:pPr>
      <w:r>
        <w:separator/>
      </w:r>
    </w:p>
  </w:footnote>
  <w:footnote w:type="continuationSeparator" w:id="0">
    <w:p w14:paraId="061D69D9" w14:textId="77777777" w:rsidR="009B670D" w:rsidRDefault="009B670D" w:rsidP="00A93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E2A5" w14:textId="29362D8A" w:rsidR="00A9336F" w:rsidRDefault="00A9336F">
    <w:pPr>
      <w:pStyle w:val="Header"/>
    </w:pPr>
    <w:r>
      <w:rPr>
        <w:noProof/>
      </w:rPr>
      <w:pict w14:anchorId="1EFB4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8103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589D" w14:textId="26741794" w:rsidR="00A9336F" w:rsidRDefault="00A9336F">
    <w:pPr>
      <w:pStyle w:val="Header"/>
    </w:pPr>
    <w:r>
      <w:rPr>
        <w:noProof/>
      </w:rPr>
      <w:pict w14:anchorId="4C9FB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8103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3DA7E" w14:textId="589FF60F" w:rsidR="00A9336F" w:rsidRDefault="00A9336F">
    <w:pPr>
      <w:pStyle w:val="Header"/>
    </w:pPr>
    <w:r>
      <w:rPr>
        <w:noProof/>
      </w:rPr>
      <w:pict w14:anchorId="5E0749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18103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D64D0A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AB9023D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30112B93"/>
    <w:multiLevelType w:val="multilevel"/>
    <w:tmpl w:val="C24ED26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16cid:durableId="193274078">
    <w:abstractNumId w:val="0"/>
  </w:num>
  <w:num w:numId="2" w16cid:durableId="1779593254">
    <w:abstractNumId w:val="1"/>
  </w:num>
  <w:num w:numId="3" w16cid:durableId="1986468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3E"/>
    <w:rsid w:val="00166B3E"/>
    <w:rsid w:val="002F5C13"/>
    <w:rsid w:val="00310CBC"/>
    <w:rsid w:val="003241E2"/>
    <w:rsid w:val="003C4B26"/>
    <w:rsid w:val="004B5700"/>
    <w:rsid w:val="00747717"/>
    <w:rsid w:val="009B670D"/>
    <w:rsid w:val="00A9336F"/>
    <w:rsid w:val="00B126FA"/>
    <w:rsid w:val="00B940CD"/>
    <w:rsid w:val="00BC3342"/>
    <w:rsid w:val="00D17B95"/>
    <w:rsid w:val="00E62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8D5A0"/>
  <w15:docId w15:val="{CD320C1F-33A0-464C-8FCD-821D11E4E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933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36F"/>
  </w:style>
  <w:style w:type="paragraph" w:styleId="Footer">
    <w:name w:val="footer"/>
    <w:basedOn w:val="Normal"/>
    <w:link w:val="FooterChar"/>
    <w:uiPriority w:val="99"/>
    <w:unhideWhenUsed/>
    <w:rsid w:val="00A933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6271">
      <w:bodyDiv w:val="1"/>
      <w:marLeft w:val="0"/>
      <w:marRight w:val="0"/>
      <w:marTop w:val="0"/>
      <w:marBottom w:val="0"/>
      <w:divBdr>
        <w:top w:val="none" w:sz="0" w:space="0" w:color="auto"/>
        <w:left w:val="none" w:sz="0" w:space="0" w:color="auto"/>
        <w:bottom w:val="none" w:sz="0" w:space="0" w:color="auto"/>
        <w:right w:val="none" w:sz="0" w:space="0" w:color="auto"/>
      </w:divBdr>
    </w:div>
    <w:div w:id="156776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14</Pages>
  <Words>3982</Words>
  <Characters>22702</Characters>
  <Application>Microsoft Office Word</Application>
  <DocSecurity>0</DocSecurity>
  <Lines>189</Lines>
  <Paragraphs>53</Paragraphs>
  <ScaleCrop>false</ScaleCrop>
  <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1166</cp:lastModifiedBy>
  <cp:revision>37</cp:revision>
  <dcterms:created xsi:type="dcterms:W3CDTF">2026-05-03T05:51:00Z</dcterms:created>
  <dcterms:modified xsi:type="dcterms:W3CDTF">2026-05-19T12:48:00Z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52f6416b356f4469847bb0bfae6934cf</vt:lpwstr>
  </property>
</Properties>
</file>