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42AF" w14:textId="3B7ECC76" w:rsidR="00CF47C4" w:rsidRPr="006247D3" w:rsidRDefault="00A766A7" w:rsidP="007F7C27">
      <w:pPr>
        <w:spacing w:after="0" w:line="240" w:lineRule="auto"/>
        <w:jc w:val="center"/>
        <w:rPr>
          <w:rFonts w:ascii="Times New Roman"/>
          <w:b/>
          <w:color w:val="00B0F0"/>
          <w:sz w:val="32"/>
          <w:szCs w:val="24"/>
        </w:rPr>
      </w:pPr>
      <w:r w:rsidRPr="006247D3">
        <w:rPr>
          <w:rFonts w:ascii="Times New Roman"/>
          <w:b/>
          <w:color w:val="00B0F0"/>
          <w:sz w:val="32"/>
          <w:szCs w:val="24"/>
        </w:rPr>
        <w:t>EFFECTS OF TAX INCENTIVES ON PERFORMANCE OF FIRMS IN EXPORT PROCESSING ZONES IN MACHAKOS COUNTY, KENYA</w:t>
      </w:r>
    </w:p>
    <w:p w14:paraId="085E80AD" w14:textId="3145E5B3" w:rsidR="00E75050" w:rsidRPr="006247D3" w:rsidRDefault="00E75050" w:rsidP="007F7C27">
      <w:pPr>
        <w:spacing w:after="0" w:line="240" w:lineRule="auto"/>
        <w:jc w:val="center"/>
        <w:rPr>
          <w:rFonts w:ascii="Times New Roman"/>
          <w:b/>
          <w:color w:val="00B0F0"/>
          <w:sz w:val="32"/>
          <w:szCs w:val="24"/>
        </w:rPr>
      </w:pPr>
    </w:p>
    <w:p w14:paraId="6189C60A" w14:textId="77777777" w:rsidR="00E75050" w:rsidRPr="006247D3" w:rsidRDefault="00E75050" w:rsidP="007F7C27">
      <w:pPr>
        <w:spacing w:after="0" w:line="240" w:lineRule="auto"/>
        <w:jc w:val="center"/>
        <w:rPr>
          <w:rFonts w:ascii="Times New Roman"/>
          <w:sz w:val="20"/>
          <w:szCs w:val="20"/>
        </w:rPr>
      </w:pPr>
    </w:p>
    <w:p w14:paraId="159B48F7" w14:textId="0C550FDF" w:rsidR="00CF47C4" w:rsidRDefault="00CF47C4" w:rsidP="00A516D0">
      <w:pPr>
        <w:spacing w:after="0" w:line="240" w:lineRule="auto"/>
        <w:jc w:val="center"/>
        <w:rPr>
          <w:rFonts w:ascii="Times New Roman"/>
          <w:color w:val="17365D" w:themeColor="text2" w:themeShade="BF"/>
          <w:sz w:val="28"/>
          <w:szCs w:val="20"/>
        </w:rPr>
      </w:pPr>
    </w:p>
    <w:p w14:paraId="07E7A1B1" w14:textId="77777777" w:rsidR="00806CBE" w:rsidRPr="006247D3" w:rsidRDefault="00806CBE" w:rsidP="00A516D0">
      <w:pPr>
        <w:spacing w:after="0" w:line="240" w:lineRule="auto"/>
        <w:jc w:val="center"/>
        <w:rPr>
          <w:rFonts w:ascii="Times New Roman"/>
          <w:i/>
          <w:sz w:val="20"/>
          <w:szCs w:val="20"/>
        </w:rPr>
      </w:pPr>
    </w:p>
    <w:p w14:paraId="014AE73A" w14:textId="77777777" w:rsidR="00CF47C4" w:rsidRPr="006247D3" w:rsidRDefault="00CF47C4" w:rsidP="007F7C27">
      <w:pPr>
        <w:spacing w:after="0" w:line="240" w:lineRule="auto"/>
        <w:jc w:val="both"/>
        <w:rPr>
          <w:rFonts w:ascii="Times New Roman"/>
          <w:sz w:val="20"/>
          <w:szCs w:val="20"/>
        </w:rPr>
      </w:pPr>
    </w:p>
    <w:p w14:paraId="31955817" w14:textId="3373E3EA" w:rsidR="00F527BA" w:rsidRPr="006247D3" w:rsidRDefault="008A7684" w:rsidP="00F527BA">
      <w:pPr>
        <w:pBdr>
          <w:top w:val="single" w:sz="4" w:space="1" w:color="auto"/>
        </w:pBdr>
        <w:spacing w:after="0" w:line="0" w:lineRule="atLeast"/>
        <w:jc w:val="both"/>
        <w:rPr>
          <w:rFonts w:ascii="Times New Roman"/>
          <w:b/>
          <w:i/>
          <w:lang w:val="fr-FR"/>
        </w:rPr>
      </w:pPr>
      <w:r w:rsidRPr="006247D3">
        <w:rPr>
          <w:rFonts w:ascii="Times New Roman"/>
          <w:b/>
          <w:i/>
          <w:szCs w:val="20"/>
        </w:rPr>
        <w:t>Abstract:</w:t>
      </w:r>
      <w:r w:rsidR="00A516D0" w:rsidRPr="006247D3">
        <w:rPr>
          <w:rFonts w:ascii="Times New Roman"/>
          <w:b/>
          <w:i/>
          <w:szCs w:val="20"/>
        </w:rPr>
        <w:t xml:space="preserve"> </w:t>
      </w:r>
    </w:p>
    <w:p w14:paraId="74F30083" w14:textId="77777777" w:rsidR="00F44B79" w:rsidRPr="00F44B79" w:rsidRDefault="00F44B79" w:rsidP="00F44B79">
      <w:pPr>
        <w:rPr>
          <w:rFonts w:eastAsia="Calibri" w:hAnsi="Calibri" w:cs="Vrinda"/>
          <w:kern w:val="2"/>
          <w:szCs w:val="28"/>
          <w:lang w:bidi="bn-IN"/>
          <w14:ligatures w14:val="standardContextual"/>
        </w:rPr>
      </w:pPr>
      <w:r w:rsidRPr="00F44B79">
        <w:rPr>
          <w:rFonts w:eastAsia="Calibri" w:hAnsi="Calibri" w:cs="Vrinda"/>
          <w:kern w:val="2"/>
          <w:szCs w:val="28"/>
          <w:lang w:bidi="bn-IN"/>
          <w14:ligatures w14:val="standardContextual"/>
        </w:rPr>
        <w:t>This study examined the effects of tax incentives on the performance of firms operating in Export Processing Zones in Machakos County, Kenya. The study focused on four categories of incentives: corporate tax incentives, government subsidies, export promotion incentives, and capital allowance incentives. A descriptive and correlational research design was adopted to assess the relationship between these incentives and firm performance. The target population comprised Export Processing Zone firms across 14 subsectors. A sample of 272 firms was selected using Yamane’s formula and stratified random sampling. Data were obtained through questionnaires and firm records, and the study reported 238 completed responses, representing an 87.5% response rate. The data were analyzed using descriptive statistics, Pearson correlation, ANOVA, and regression analysis. Reliability testing showed acceptable internal consistency for all study constructs, with Cronbach’s alpha values above 0.7. The correlation results indicated positive associations between firm performance and corporate tax incentives, government subsidies, export promotion incentives, and capital allowance incentives. Regression results showed that the model explained 62.7% of the variation in firm performance. Export promotion incentives had the strongest reported effect on firm performance, followed by capital allowance incentives, corporate tax incentives, and government subsidies. The findings suggest that tax incentives contribute to improved firm performance by supporting profitability, investment capacity, operational efficiency, and competitiveness. However, the relatively lower effect of subsidies indicates that fiscal incentives should be supported by broader policy measures. The study concludes that a coherent and predictable incentive framework is important for strengthening the performance of Export Processing Zone firms in Machakos County.</w:t>
      </w:r>
    </w:p>
    <w:p w14:paraId="5C694D39" w14:textId="3E26E383" w:rsidR="00A766A7" w:rsidRPr="006247D3" w:rsidRDefault="00A766A7" w:rsidP="00A766A7">
      <w:pPr>
        <w:pBdr>
          <w:top w:val="single" w:sz="4" w:space="1" w:color="auto"/>
        </w:pBdr>
        <w:spacing w:after="0" w:line="0" w:lineRule="atLeast"/>
        <w:jc w:val="both"/>
        <w:rPr>
          <w:rFonts w:ascii="Times New Roman" w:eastAsia="Calibri"/>
          <w:i/>
        </w:rPr>
      </w:pPr>
    </w:p>
    <w:p w14:paraId="4EC469C2" w14:textId="77777777" w:rsidR="00A766A7" w:rsidRPr="006247D3" w:rsidRDefault="00A766A7" w:rsidP="00A766A7">
      <w:pPr>
        <w:pBdr>
          <w:top w:val="single" w:sz="4" w:space="1" w:color="auto"/>
        </w:pBdr>
        <w:spacing w:after="0" w:line="0" w:lineRule="atLeast"/>
        <w:jc w:val="both"/>
        <w:rPr>
          <w:rFonts w:ascii="Times New Roman" w:eastAsia="Calibri"/>
          <w:i/>
        </w:rPr>
      </w:pPr>
    </w:p>
    <w:p w14:paraId="40AE372C" w14:textId="5D4421B5" w:rsidR="00A27561" w:rsidRPr="006247D3" w:rsidRDefault="00A766A7" w:rsidP="00A766A7">
      <w:pPr>
        <w:pBdr>
          <w:top w:val="single" w:sz="4" w:space="1" w:color="auto"/>
        </w:pBdr>
        <w:spacing w:after="0" w:line="0" w:lineRule="atLeast"/>
        <w:jc w:val="both"/>
        <w:rPr>
          <w:rFonts w:ascii="Times New Roman" w:eastAsia="Calibri"/>
          <w:i/>
        </w:rPr>
      </w:pPr>
      <w:r w:rsidRPr="006247D3">
        <w:rPr>
          <w:rFonts w:ascii="Times New Roman" w:eastAsia="Calibri"/>
          <w:b/>
          <w:bCs/>
          <w:iCs/>
        </w:rPr>
        <w:t>Keywords:</w:t>
      </w:r>
      <w:r w:rsidRPr="006247D3">
        <w:rPr>
          <w:rFonts w:ascii="Times New Roman" w:eastAsia="Calibri"/>
          <w:i/>
        </w:rPr>
        <w:t xml:space="preserve"> Tax incentives; Export Processing Zones (EPZs); Firm performance; Investment growth; Capital allowances; Corporate taxation;</w:t>
      </w:r>
    </w:p>
    <w:p w14:paraId="76876D7F" w14:textId="77777777" w:rsidR="00A27561" w:rsidRPr="006247D3" w:rsidRDefault="00A27561" w:rsidP="00A27561">
      <w:pPr>
        <w:pBdr>
          <w:top w:val="single" w:sz="4" w:space="1" w:color="auto"/>
        </w:pBdr>
        <w:spacing w:after="0" w:line="0" w:lineRule="atLeast"/>
        <w:jc w:val="both"/>
        <w:rPr>
          <w:rFonts w:ascii="Times New Roman" w:eastAsia="Calibri"/>
          <w:i/>
        </w:rPr>
      </w:pPr>
    </w:p>
    <w:p w14:paraId="6C4EC554" w14:textId="77777777" w:rsidR="00E75050" w:rsidRPr="006247D3" w:rsidRDefault="00E75050" w:rsidP="00E75050">
      <w:pPr>
        <w:pBdr>
          <w:top w:val="single" w:sz="4" w:space="1" w:color="auto"/>
        </w:pBdr>
        <w:spacing w:after="0" w:line="0" w:lineRule="atLeast"/>
        <w:jc w:val="both"/>
        <w:rPr>
          <w:rFonts w:ascii="Times New Roman" w:eastAsia="Calibri"/>
          <w:b/>
          <w:i/>
        </w:rPr>
      </w:pPr>
    </w:p>
    <w:p w14:paraId="3E31926A" w14:textId="77777777" w:rsidR="00CF47C4" w:rsidRPr="006247D3" w:rsidRDefault="00CF47C4" w:rsidP="00F527BA">
      <w:pPr>
        <w:pBdr>
          <w:top w:val="single" w:sz="4" w:space="1" w:color="auto"/>
          <w:bottom w:val="single" w:sz="4" w:space="1" w:color="auto"/>
        </w:pBdr>
        <w:spacing w:after="0" w:line="240" w:lineRule="auto"/>
        <w:jc w:val="both"/>
        <w:rPr>
          <w:rFonts w:ascii="Times New Roman"/>
          <w:sz w:val="20"/>
          <w:szCs w:val="20"/>
        </w:rPr>
      </w:pPr>
    </w:p>
    <w:p w14:paraId="0ECABEDB" w14:textId="02A32F56" w:rsidR="00D17811" w:rsidRPr="006247D3" w:rsidRDefault="008A7684" w:rsidP="007F7C27">
      <w:pPr>
        <w:pStyle w:val="ListParagraph"/>
        <w:numPr>
          <w:ilvl w:val="0"/>
          <w:numId w:val="5"/>
        </w:numPr>
        <w:spacing w:after="0" w:line="240" w:lineRule="auto"/>
        <w:ind w:left="360" w:hanging="360"/>
        <w:jc w:val="center"/>
        <w:rPr>
          <w:rFonts w:ascii="Times New Roman"/>
          <w:b/>
          <w:bCs/>
        </w:rPr>
      </w:pPr>
      <w:r w:rsidRPr="006247D3">
        <w:rPr>
          <w:rFonts w:ascii="Times New Roman"/>
          <w:b/>
          <w:szCs w:val="20"/>
        </w:rPr>
        <w:t>Introduction</w:t>
      </w:r>
      <w:r w:rsidR="00D17811" w:rsidRPr="006247D3">
        <w:rPr>
          <w:rFonts w:ascii="Times New Roman"/>
          <w:b/>
          <w:szCs w:val="20"/>
        </w:rPr>
        <w:t xml:space="preserve"> </w:t>
      </w:r>
    </w:p>
    <w:p w14:paraId="5F31BB14" w14:textId="77777777" w:rsidR="00712AED" w:rsidRPr="006247D3" w:rsidRDefault="00712AED" w:rsidP="00712AED">
      <w:pPr>
        <w:spacing w:before="100" w:beforeAutospacing="1" w:after="100" w:afterAutospacing="1" w:line="240" w:lineRule="auto"/>
        <w:jc w:val="both"/>
        <w:rPr>
          <w:rFonts w:ascii="Times New Roman"/>
          <w:color w:val="000000" w:themeColor="text1"/>
          <w:sz w:val="20"/>
          <w:szCs w:val="24"/>
        </w:rPr>
      </w:pPr>
      <w:r w:rsidRPr="006247D3">
        <w:rPr>
          <w:rFonts w:ascii="Times New Roman"/>
          <w:color w:val="000000" w:themeColor="text1"/>
          <w:sz w:val="20"/>
          <w:szCs w:val="24"/>
        </w:rPr>
        <w:t xml:space="preserve">Manufacturing has historically been a key driver of industrialization and economic prosperity across the world. However, like many developing countries, Kenya has faced challenges in establishing a strong industrial base, with agriculture and the services sector remaining the primary contributors to economic growth. Consequently, the manufacturing sector accounted for only 9.2% and 8.4% of Kenya’s Gross Domestic Product (GDP) in 2016 and 2017 respectively, signaling the onset of premature deindustrialization. At the same time, the services sector has experienced substantial growth, a trend often associated with deindustrialization and which has generated debate regarding whether </w:t>
      </w:r>
      <w:r w:rsidRPr="006247D3">
        <w:rPr>
          <w:rFonts w:ascii="Times New Roman"/>
          <w:color w:val="000000" w:themeColor="text1"/>
          <w:sz w:val="20"/>
          <w:szCs w:val="24"/>
        </w:rPr>
        <w:lastRenderedPageBreak/>
        <w:t>services can effectively replace the historical role of manufacturing in driving economic development (KAM Kenya Business Guide, 2018). Despite these concerns, enhancing the performance of the manufacturing sector remains a national priority. The Kenyan government has therefore continued to implement policies and strategies aimed at revitalizing the sector and strengthening its contribution to economic development.</w:t>
      </w:r>
    </w:p>
    <w:p w14:paraId="46540C43" w14:textId="77777777" w:rsidR="00712AED" w:rsidRPr="006247D3" w:rsidRDefault="00712AED" w:rsidP="00712AED">
      <w:pPr>
        <w:spacing w:before="100" w:beforeAutospacing="1" w:after="100" w:afterAutospacing="1" w:line="240" w:lineRule="auto"/>
        <w:jc w:val="both"/>
        <w:rPr>
          <w:rFonts w:ascii="Times New Roman"/>
          <w:color w:val="000000" w:themeColor="text1"/>
          <w:sz w:val="20"/>
          <w:szCs w:val="24"/>
        </w:rPr>
      </w:pPr>
      <w:r w:rsidRPr="006247D3">
        <w:rPr>
          <w:rFonts w:ascii="Times New Roman"/>
          <w:color w:val="000000" w:themeColor="text1"/>
          <w:sz w:val="20"/>
          <w:szCs w:val="24"/>
        </w:rPr>
        <w:t>According to the Medium-Term Plan III Concept Paper, the declining contribution of the manufacturing, industrial, and export sectors to GDP represents a major obstacle to sustainable economic growth. Consequently, manufacturing development, particularly through export-led industrialization, was identified as a key pillar of the Big Four Agenda launched on 12 December 2017. The initiative aimed to increase the manufacturing sector’s contribution to GDP from 8.4% to 15% by 2022. Achieving this objective requires targeted interventions that strengthen industrial ecosystems and enhance linkages between manufacturing and other sectors of the economy. The manufacturing agenda identifies eight priority subsectors, recognizing that the industry is not a homogeneous entity but rather a collection of diverse segments with distinct performance characteristics and economic contributions (</w:t>
      </w:r>
      <w:proofErr w:type="spellStart"/>
      <w:r w:rsidRPr="006247D3">
        <w:rPr>
          <w:rFonts w:ascii="Times New Roman"/>
          <w:color w:val="000000" w:themeColor="text1"/>
          <w:sz w:val="20"/>
          <w:szCs w:val="24"/>
        </w:rPr>
        <w:t>Nyakomitta</w:t>
      </w:r>
      <w:proofErr w:type="spellEnd"/>
      <w:r w:rsidRPr="006247D3">
        <w:rPr>
          <w:rFonts w:ascii="Times New Roman"/>
          <w:color w:val="000000" w:themeColor="text1"/>
          <w:sz w:val="20"/>
          <w:szCs w:val="24"/>
        </w:rPr>
        <w:t>, 2023).</w:t>
      </w:r>
    </w:p>
    <w:p w14:paraId="7A8200C1" w14:textId="77777777" w:rsidR="00712AED" w:rsidRPr="006247D3" w:rsidRDefault="00712AED" w:rsidP="00712AED">
      <w:pPr>
        <w:spacing w:before="100" w:beforeAutospacing="1" w:after="100" w:afterAutospacing="1" w:line="240" w:lineRule="auto"/>
        <w:jc w:val="both"/>
        <w:rPr>
          <w:rFonts w:ascii="Times New Roman"/>
          <w:color w:val="000000" w:themeColor="text1"/>
          <w:sz w:val="20"/>
          <w:szCs w:val="24"/>
        </w:rPr>
      </w:pPr>
      <w:r w:rsidRPr="006247D3">
        <w:rPr>
          <w:rFonts w:ascii="Times New Roman"/>
          <w:color w:val="000000" w:themeColor="text1"/>
          <w:sz w:val="20"/>
          <w:szCs w:val="24"/>
        </w:rPr>
        <w:t xml:space="preserve">Tax incentives are widely recognized as policy instruments used by governments to stimulate investment and economic growth. According to </w:t>
      </w:r>
      <w:proofErr w:type="spellStart"/>
      <w:r w:rsidRPr="006247D3">
        <w:rPr>
          <w:rFonts w:ascii="Times New Roman"/>
          <w:color w:val="000000" w:themeColor="text1"/>
          <w:sz w:val="20"/>
          <w:szCs w:val="24"/>
        </w:rPr>
        <w:t>Megersa</w:t>
      </w:r>
      <w:proofErr w:type="spellEnd"/>
      <w:r w:rsidRPr="006247D3">
        <w:rPr>
          <w:rFonts w:ascii="Times New Roman"/>
          <w:color w:val="000000" w:themeColor="text1"/>
          <w:sz w:val="20"/>
          <w:szCs w:val="24"/>
        </w:rPr>
        <w:t xml:space="preserve"> (2019), tax incentives include special exemptions, preferential allowances, tax credits, reduced liabilities, and deferred tax obligations designed to provide favorable treatment to selected taxpayers or activities. These incentives may take the form of temporary tax reductions, accelerated expense deductions, or reduced tariffs and trade-related duties.</w:t>
      </w:r>
    </w:p>
    <w:p w14:paraId="5ABBA4A0" w14:textId="77777777" w:rsidR="00712AED" w:rsidRPr="006247D3" w:rsidRDefault="00712AED" w:rsidP="00712AED">
      <w:pPr>
        <w:spacing w:before="100" w:beforeAutospacing="1" w:after="100" w:afterAutospacing="1" w:line="240" w:lineRule="auto"/>
        <w:jc w:val="both"/>
        <w:rPr>
          <w:rFonts w:ascii="Times New Roman"/>
          <w:color w:val="000000" w:themeColor="text1"/>
          <w:sz w:val="20"/>
          <w:szCs w:val="24"/>
        </w:rPr>
      </w:pPr>
      <w:r w:rsidRPr="006247D3">
        <w:rPr>
          <w:rFonts w:ascii="Times New Roman"/>
          <w:color w:val="000000" w:themeColor="text1"/>
          <w:sz w:val="20"/>
          <w:szCs w:val="24"/>
        </w:rPr>
        <w:t>Fiscal policy literature further defines tax incentives as preferential measures intended to encourage domestic and foreign investment in targeted sectors or regions. National tax administration frameworks similarly describe them as provisions that grant more favorable treatment than that available under the standard tax regime, thereby providing advantages to selected industries or economic activities (IEA Statistics, 2012). In developed economies, common incentives include accelerated depreciation allowances, investment tax credits, research and development deductions, and other favorable tax arrangements intended to stimulate innovation and capital formation (IEA, 2015). Such incentives are typically directed toward sectors where investment levels are insufficient or where strategic economic growth is desired (Liu &amp; Mao, 2019).</w:t>
      </w:r>
    </w:p>
    <w:p w14:paraId="5F28A0FD" w14:textId="77777777" w:rsidR="00712AED" w:rsidRPr="006247D3" w:rsidRDefault="00712AED" w:rsidP="00712AED">
      <w:pPr>
        <w:spacing w:before="100" w:beforeAutospacing="1" w:after="100" w:afterAutospacing="1" w:line="240" w:lineRule="auto"/>
        <w:jc w:val="both"/>
        <w:rPr>
          <w:rFonts w:ascii="Times New Roman"/>
          <w:color w:val="000000" w:themeColor="text1"/>
          <w:sz w:val="20"/>
          <w:szCs w:val="24"/>
        </w:rPr>
      </w:pPr>
      <w:r w:rsidRPr="006247D3">
        <w:rPr>
          <w:rFonts w:ascii="Times New Roman"/>
          <w:color w:val="000000" w:themeColor="text1"/>
          <w:sz w:val="20"/>
          <w:szCs w:val="24"/>
        </w:rPr>
        <w:t>Kenya employs a variety of tax incentives, including accelerated depreciation allowances, investment credits, subsidies, reduced tax rates, exemptions, indirect tax benefits, and incentives within Special Economic Zones. These measures are designed to attract investment and promote exports, although their effectiveness requires continuous cost-benefit evaluation. Tax incentives in Kenya are broadly categorized into investment-promoting and export-promoting incentives. Key investment incentives include the Capital Investment Deduction Scheme introduced in 1991 and the Mining Deductions Allowance established in 1974. Export-oriented incentives include Export Processing Zones (EPZs), Manufacturing Under Bond (MUB), and the Tax Remission for Export Office (TREO), all intended to encourage export production and attract investment (IEA, 2015).</w:t>
      </w:r>
    </w:p>
    <w:p w14:paraId="0A34775A" w14:textId="77777777" w:rsidR="00712AED" w:rsidRPr="006247D3" w:rsidRDefault="00712AED" w:rsidP="00712AED">
      <w:pPr>
        <w:spacing w:before="100" w:beforeAutospacing="1" w:after="100" w:afterAutospacing="1" w:line="240" w:lineRule="auto"/>
        <w:jc w:val="both"/>
        <w:rPr>
          <w:rFonts w:ascii="Times New Roman"/>
          <w:color w:val="000000" w:themeColor="text1"/>
          <w:sz w:val="20"/>
          <w:szCs w:val="24"/>
        </w:rPr>
      </w:pPr>
      <w:r w:rsidRPr="006247D3">
        <w:rPr>
          <w:rFonts w:ascii="Times New Roman"/>
          <w:color w:val="000000" w:themeColor="text1"/>
          <w:sz w:val="20"/>
          <w:szCs w:val="24"/>
        </w:rPr>
        <w:t>Governments often adopt policies that facilitate international trade, one of which is the establishment of Export Processing Zones (EPZs). These designated areas provide investors with favorable regulatory and fiscal environments that support export-oriented production (World Bank, 1992). EPZs contribute to foreign exchange earnings, employment creation, and broader economic development through the promotion of non-traditional exports (</w:t>
      </w:r>
      <w:proofErr w:type="spellStart"/>
      <w:r w:rsidRPr="006247D3">
        <w:rPr>
          <w:rFonts w:ascii="Times New Roman"/>
          <w:color w:val="000000" w:themeColor="text1"/>
          <w:sz w:val="20"/>
          <w:szCs w:val="24"/>
        </w:rPr>
        <w:t>Ngulu</w:t>
      </w:r>
      <w:proofErr w:type="spellEnd"/>
      <w:r w:rsidRPr="006247D3">
        <w:rPr>
          <w:rFonts w:ascii="Times New Roman"/>
          <w:color w:val="000000" w:themeColor="text1"/>
          <w:sz w:val="20"/>
          <w:szCs w:val="24"/>
        </w:rPr>
        <w:t>, 2014).</w:t>
      </w:r>
    </w:p>
    <w:p w14:paraId="786E4F4C" w14:textId="164008CB" w:rsidR="00E14AAB" w:rsidRPr="006247D3" w:rsidRDefault="00712AED" w:rsidP="00712AED">
      <w:pPr>
        <w:spacing w:before="100" w:beforeAutospacing="1" w:after="100" w:afterAutospacing="1" w:line="240" w:lineRule="auto"/>
        <w:jc w:val="both"/>
        <w:rPr>
          <w:rFonts w:ascii="Times New Roman"/>
          <w:sz w:val="20"/>
          <w:szCs w:val="24"/>
        </w:rPr>
      </w:pPr>
      <w:r w:rsidRPr="006247D3">
        <w:rPr>
          <w:rFonts w:ascii="Times New Roman"/>
          <w:color w:val="000000" w:themeColor="text1"/>
          <w:sz w:val="20"/>
          <w:szCs w:val="24"/>
        </w:rPr>
        <w:t>In Kenya, the Export Processing Zones Act (CAP 517) established the EPZ program, while the Export Processing Zones Authority (EPZA) provides investor support services to reduce operational costs and facilitate business establishment. The program aims to promote exports, generate employment, and strengthen linkages between zone-based firms and the domestic economy. By 2016, Kenya had established over 40 operational EPZs employing approximately 40,000 people and contributing 10.7% of the country’s total exports. More than 70% of EPZ exports were destined for the United States under the African Growth and Opportunity Act (AGOA) (</w:t>
      </w:r>
      <w:proofErr w:type="spellStart"/>
      <w:r w:rsidRPr="006247D3">
        <w:rPr>
          <w:rFonts w:ascii="Times New Roman"/>
          <w:color w:val="000000" w:themeColor="text1"/>
          <w:sz w:val="20"/>
          <w:szCs w:val="24"/>
        </w:rPr>
        <w:t>Tembur</w:t>
      </w:r>
      <w:proofErr w:type="spellEnd"/>
      <w:r w:rsidRPr="006247D3">
        <w:rPr>
          <w:rFonts w:ascii="Times New Roman"/>
          <w:color w:val="000000" w:themeColor="text1"/>
          <w:sz w:val="20"/>
          <w:szCs w:val="24"/>
        </w:rPr>
        <w:t>, 2016). By 2015, 57 EPZs were operational, hosting 114 licensed enterprises engaged in manufacturing, services, and related activities, producing a diverse range of export goods including apparel and pharmaceuticals.</w:t>
      </w:r>
    </w:p>
    <w:p w14:paraId="10A7548D" w14:textId="77777777" w:rsidR="00B13D13" w:rsidRPr="006247D3" w:rsidRDefault="00B13D13" w:rsidP="00B13D13">
      <w:pPr>
        <w:spacing w:after="0" w:line="240" w:lineRule="auto"/>
        <w:jc w:val="both"/>
        <w:rPr>
          <w:rFonts w:ascii="Times New Roman"/>
          <w:b/>
          <w:bCs/>
          <w:color w:val="000000" w:themeColor="text1"/>
          <w:sz w:val="20"/>
          <w:szCs w:val="24"/>
        </w:rPr>
      </w:pPr>
      <w:r w:rsidRPr="006247D3">
        <w:rPr>
          <w:rFonts w:ascii="Times New Roman"/>
          <w:b/>
          <w:bCs/>
          <w:color w:val="000000" w:themeColor="text1"/>
          <w:sz w:val="20"/>
          <w:szCs w:val="24"/>
        </w:rPr>
        <w:lastRenderedPageBreak/>
        <w:t>Study Problem</w:t>
      </w:r>
    </w:p>
    <w:p w14:paraId="71FA6938" w14:textId="77777777" w:rsidR="00B13D13" w:rsidRPr="006247D3" w:rsidRDefault="00B13D13" w:rsidP="00B13D13">
      <w:pPr>
        <w:spacing w:after="0" w:line="240" w:lineRule="auto"/>
        <w:jc w:val="both"/>
        <w:rPr>
          <w:rFonts w:ascii="Times New Roman"/>
          <w:b/>
          <w:bCs/>
          <w:color w:val="000000" w:themeColor="text1"/>
          <w:sz w:val="20"/>
          <w:szCs w:val="24"/>
        </w:rPr>
      </w:pPr>
    </w:p>
    <w:p w14:paraId="6AF9EA88" w14:textId="4B5C0000" w:rsidR="00B13D13" w:rsidRPr="006247D3" w:rsidRDefault="00712AED" w:rsidP="00BC2DBA">
      <w:pPr>
        <w:spacing w:after="240" w:line="240" w:lineRule="auto"/>
        <w:jc w:val="both"/>
        <w:rPr>
          <w:rFonts w:ascii="Times New Roman"/>
          <w:color w:val="000000" w:themeColor="text1"/>
          <w:sz w:val="20"/>
          <w:szCs w:val="24"/>
        </w:rPr>
      </w:pPr>
      <w:r w:rsidRPr="006247D3">
        <w:rPr>
          <w:rFonts w:ascii="Times New Roman"/>
          <w:color w:val="000000" w:themeColor="text1"/>
          <w:sz w:val="20"/>
          <w:szCs w:val="24"/>
        </w:rPr>
        <w:t>Many developing countries, including Kenya, face persistent challenges associated with high import dependence, leading governments to implement fiscal incentives aimed at promoting capital formation, attracting foreign investment, and creating employment opportunities (</w:t>
      </w:r>
      <w:proofErr w:type="spellStart"/>
      <w:r w:rsidRPr="006247D3">
        <w:rPr>
          <w:rFonts w:ascii="Times New Roman"/>
          <w:color w:val="000000" w:themeColor="text1"/>
          <w:sz w:val="20"/>
          <w:szCs w:val="24"/>
        </w:rPr>
        <w:t>Baissac</w:t>
      </w:r>
      <w:proofErr w:type="spellEnd"/>
      <w:r w:rsidRPr="006247D3">
        <w:rPr>
          <w:rFonts w:ascii="Times New Roman"/>
          <w:color w:val="000000" w:themeColor="text1"/>
          <w:sz w:val="20"/>
          <w:szCs w:val="24"/>
        </w:rPr>
        <w:t>, 2011). However, comprehensive evaluations of the effectiveness and returns of these incentives remain limited. Evidence suggests that incentives alone cannot address underlying investment constraints such as weak institutional governance, limited domestic markets, security concerns, and fragile legal systems (Château et al., 2014). Moreover, Kenya’s slow industrial growth and the contribution of structural factors remain insufficiently understood, necessitating further investigation.</w:t>
      </w:r>
    </w:p>
    <w:p w14:paraId="2D962564" w14:textId="35D4189C" w:rsidR="00EF4058" w:rsidRPr="006247D3" w:rsidRDefault="00712AED" w:rsidP="00EF4058">
      <w:pPr>
        <w:suppressAutoHyphens/>
        <w:autoSpaceDN w:val="0"/>
        <w:spacing w:after="0" w:line="240" w:lineRule="auto"/>
        <w:jc w:val="both"/>
        <w:textAlignment w:val="baseline"/>
        <w:rPr>
          <w:rFonts w:ascii="Times New Roman"/>
          <w:b/>
          <w:sz w:val="20"/>
          <w:szCs w:val="24"/>
        </w:rPr>
      </w:pPr>
      <w:r w:rsidRPr="006247D3">
        <w:rPr>
          <w:rFonts w:ascii="Times New Roman"/>
          <w:b/>
          <w:sz w:val="20"/>
          <w:szCs w:val="24"/>
        </w:rPr>
        <w:t>Objectives</w:t>
      </w:r>
    </w:p>
    <w:p w14:paraId="0D380DCD" w14:textId="77777777" w:rsidR="00EF4058" w:rsidRPr="006247D3" w:rsidRDefault="00EF4058" w:rsidP="00EF4058">
      <w:pPr>
        <w:suppressAutoHyphens/>
        <w:autoSpaceDN w:val="0"/>
        <w:spacing w:after="0" w:line="240" w:lineRule="auto"/>
        <w:jc w:val="both"/>
        <w:textAlignment w:val="baseline"/>
        <w:rPr>
          <w:rFonts w:ascii="Times New Roman"/>
          <w:b/>
          <w:sz w:val="20"/>
          <w:szCs w:val="24"/>
        </w:rPr>
      </w:pPr>
    </w:p>
    <w:p w14:paraId="4DB1B4D1" w14:textId="24C0D84A" w:rsidR="006D479D" w:rsidRPr="006247D3" w:rsidRDefault="006D479D" w:rsidP="006D479D">
      <w:pPr>
        <w:spacing w:after="240" w:line="240" w:lineRule="auto"/>
        <w:jc w:val="both"/>
        <w:rPr>
          <w:rFonts w:ascii="Times New Roman"/>
          <w:sz w:val="20"/>
          <w:szCs w:val="24"/>
        </w:rPr>
      </w:pPr>
      <w:r w:rsidRPr="006247D3">
        <w:rPr>
          <w:rFonts w:ascii="Times New Roman"/>
          <w:sz w:val="20"/>
          <w:szCs w:val="24"/>
        </w:rPr>
        <w:t xml:space="preserve">The objectives of this study were to:  </w:t>
      </w:r>
    </w:p>
    <w:p w14:paraId="29DBA115" w14:textId="4F0BA931" w:rsidR="00712AED" w:rsidRPr="006247D3" w:rsidRDefault="00712AED" w:rsidP="00712AED">
      <w:pPr>
        <w:pStyle w:val="ListParagraph"/>
        <w:numPr>
          <w:ilvl w:val="0"/>
          <w:numId w:val="10"/>
        </w:numPr>
        <w:spacing w:after="240" w:line="240" w:lineRule="auto"/>
        <w:jc w:val="both"/>
        <w:rPr>
          <w:rFonts w:ascii="Times New Roman"/>
          <w:sz w:val="20"/>
          <w:szCs w:val="24"/>
        </w:rPr>
      </w:pPr>
      <w:r w:rsidRPr="006247D3">
        <w:rPr>
          <w:rFonts w:ascii="Times New Roman"/>
          <w:sz w:val="20"/>
          <w:szCs w:val="24"/>
        </w:rPr>
        <w:t>To investigate how corporate tax incentives affect EPZ companies' performance in Kenya's Machakos County.</w:t>
      </w:r>
    </w:p>
    <w:p w14:paraId="69BF6490" w14:textId="236570FB" w:rsidR="00712AED" w:rsidRPr="006247D3" w:rsidRDefault="00712AED" w:rsidP="00712AED">
      <w:pPr>
        <w:pStyle w:val="ListParagraph"/>
        <w:numPr>
          <w:ilvl w:val="0"/>
          <w:numId w:val="10"/>
        </w:numPr>
        <w:spacing w:after="240" w:line="240" w:lineRule="auto"/>
        <w:jc w:val="both"/>
        <w:rPr>
          <w:rFonts w:ascii="Times New Roman"/>
          <w:sz w:val="20"/>
          <w:szCs w:val="24"/>
        </w:rPr>
      </w:pPr>
      <w:r w:rsidRPr="006247D3">
        <w:rPr>
          <w:rFonts w:ascii="Times New Roman"/>
          <w:sz w:val="20"/>
          <w:szCs w:val="24"/>
        </w:rPr>
        <w:t>To evaluate how subsidies affect EPZ enterprises' performance in Kenya's Machakos County.</w:t>
      </w:r>
    </w:p>
    <w:p w14:paraId="6E81E285" w14:textId="22B1F840" w:rsidR="00712AED" w:rsidRPr="006247D3" w:rsidRDefault="00712AED" w:rsidP="00712AED">
      <w:pPr>
        <w:pStyle w:val="ListParagraph"/>
        <w:numPr>
          <w:ilvl w:val="0"/>
          <w:numId w:val="10"/>
        </w:numPr>
        <w:spacing w:after="240" w:line="240" w:lineRule="auto"/>
        <w:jc w:val="both"/>
        <w:rPr>
          <w:rFonts w:ascii="Times New Roman"/>
          <w:sz w:val="20"/>
          <w:szCs w:val="24"/>
        </w:rPr>
      </w:pPr>
      <w:r w:rsidRPr="006247D3">
        <w:rPr>
          <w:rFonts w:ascii="Times New Roman"/>
          <w:sz w:val="20"/>
          <w:szCs w:val="24"/>
        </w:rPr>
        <w:t>To look into how export promotion incentives affect EPZ companies' performance in Kenya's Machakos County.</w:t>
      </w:r>
    </w:p>
    <w:p w14:paraId="02305EBD" w14:textId="09685E3C" w:rsidR="00EF4058" w:rsidRPr="006247D3" w:rsidRDefault="00712AED" w:rsidP="00712AED">
      <w:pPr>
        <w:pStyle w:val="ListParagraph"/>
        <w:numPr>
          <w:ilvl w:val="0"/>
          <w:numId w:val="10"/>
        </w:numPr>
        <w:spacing w:after="240" w:line="240" w:lineRule="auto"/>
        <w:jc w:val="both"/>
        <w:rPr>
          <w:rFonts w:ascii="Times New Roman"/>
          <w:color w:val="000000" w:themeColor="text1"/>
          <w:sz w:val="16"/>
          <w:szCs w:val="24"/>
        </w:rPr>
      </w:pPr>
      <w:r w:rsidRPr="006247D3">
        <w:rPr>
          <w:rFonts w:ascii="Times New Roman"/>
          <w:sz w:val="20"/>
          <w:szCs w:val="24"/>
        </w:rPr>
        <w:t>To assess how capital allowance incentives can improve the performance of EPZ companies in Kenya's Machakos County</w:t>
      </w:r>
      <w:r w:rsidR="006D479D" w:rsidRPr="006247D3">
        <w:rPr>
          <w:rFonts w:ascii="Times New Roman"/>
          <w:sz w:val="20"/>
          <w:szCs w:val="24"/>
        </w:rPr>
        <w:t>.</w:t>
      </w:r>
    </w:p>
    <w:p w14:paraId="6DF3A2A8" w14:textId="77777777" w:rsidR="00712AED" w:rsidRPr="006247D3" w:rsidRDefault="00712AED" w:rsidP="005F419B">
      <w:pPr>
        <w:spacing w:after="240" w:line="240" w:lineRule="auto"/>
        <w:jc w:val="both"/>
        <w:rPr>
          <w:rFonts w:ascii="Times New Roman"/>
          <w:color w:val="000000" w:themeColor="text1"/>
          <w:sz w:val="16"/>
          <w:szCs w:val="24"/>
        </w:rPr>
      </w:pPr>
    </w:p>
    <w:p w14:paraId="2EFD0ECB" w14:textId="77777777" w:rsidR="00712AED" w:rsidRPr="006247D3" w:rsidRDefault="00712AED" w:rsidP="005F419B">
      <w:pPr>
        <w:spacing w:after="240" w:line="240" w:lineRule="auto"/>
        <w:jc w:val="both"/>
        <w:rPr>
          <w:rFonts w:ascii="Times New Roman"/>
          <w:color w:val="000000" w:themeColor="text1"/>
          <w:sz w:val="16"/>
          <w:szCs w:val="24"/>
        </w:rPr>
      </w:pPr>
    </w:p>
    <w:p w14:paraId="1F7C2791" w14:textId="03F3D0D5" w:rsidR="00712AED" w:rsidRPr="006247D3" w:rsidRDefault="00712AED">
      <w:pPr>
        <w:rPr>
          <w:rFonts w:ascii="Times New Roman"/>
          <w:b/>
          <w:sz w:val="20"/>
        </w:rPr>
      </w:pPr>
      <w:r w:rsidRPr="006247D3">
        <w:rPr>
          <w:rFonts w:ascii="Times New Roman"/>
          <w:b/>
          <w:sz w:val="20"/>
        </w:rPr>
        <w:br w:type="page"/>
      </w:r>
    </w:p>
    <w:p w14:paraId="026B9B3B" w14:textId="752ECD05" w:rsidR="002106B2" w:rsidRPr="006247D3" w:rsidRDefault="002106B2" w:rsidP="005F419B">
      <w:pPr>
        <w:spacing w:line="240" w:lineRule="auto"/>
        <w:jc w:val="both"/>
        <w:rPr>
          <w:rFonts w:ascii="Times New Roman"/>
          <w:b/>
          <w:sz w:val="20"/>
        </w:rPr>
      </w:pPr>
      <w:r w:rsidRPr="006247D3">
        <w:rPr>
          <w:rFonts w:ascii="Times New Roman"/>
          <w:b/>
          <w:sz w:val="20"/>
        </w:rPr>
        <w:lastRenderedPageBreak/>
        <w:t xml:space="preserve">LITERATURE REVIEW  </w:t>
      </w:r>
    </w:p>
    <w:p w14:paraId="4F71FAA8" w14:textId="77643792" w:rsidR="00712AED" w:rsidRPr="006247D3" w:rsidRDefault="00712AED" w:rsidP="00712AED">
      <w:pPr>
        <w:spacing w:line="240" w:lineRule="auto"/>
        <w:jc w:val="both"/>
        <w:rPr>
          <w:rFonts w:ascii="Times New Roman"/>
          <w:b/>
          <w:bCs/>
          <w:sz w:val="20"/>
        </w:rPr>
      </w:pPr>
      <w:r w:rsidRPr="006247D3">
        <w:rPr>
          <w:rFonts w:ascii="Times New Roman"/>
          <w:b/>
          <w:bCs/>
          <w:sz w:val="20"/>
        </w:rPr>
        <w:t>Empirical Review</w:t>
      </w:r>
    </w:p>
    <w:p w14:paraId="29702EFF" w14:textId="77777777" w:rsidR="00712AED" w:rsidRPr="006247D3" w:rsidRDefault="00712AED" w:rsidP="00712AED">
      <w:pPr>
        <w:spacing w:line="240" w:lineRule="auto"/>
        <w:jc w:val="both"/>
        <w:rPr>
          <w:rFonts w:ascii="Times New Roman"/>
          <w:sz w:val="20"/>
        </w:rPr>
      </w:pPr>
      <w:r w:rsidRPr="006247D3">
        <w:rPr>
          <w:rFonts w:ascii="Times New Roman"/>
          <w:sz w:val="20"/>
        </w:rPr>
        <w:t xml:space="preserve">Empirical studies demonstrate that fiscal incentives play a significant role in influencing the performance of Export Processing Zone (EPZ) firms. Regarding corporate income tax incentives, research has consistently shown that higher corporate tax rates negatively affect firm performance and profitability. </w:t>
      </w:r>
      <w:proofErr w:type="spellStart"/>
      <w:r w:rsidRPr="006247D3">
        <w:rPr>
          <w:rFonts w:ascii="Times New Roman"/>
          <w:sz w:val="20"/>
        </w:rPr>
        <w:t>Gadzo</w:t>
      </w:r>
      <w:proofErr w:type="spellEnd"/>
      <w:r w:rsidRPr="006247D3">
        <w:rPr>
          <w:rFonts w:ascii="Times New Roman"/>
          <w:sz w:val="20"/>
        </w:rPr>
        <w:t xml:space="preserve"> (2013) established that increasing corporate income taxes reduce financial performance, while firm age and size positively influence growth and profitability. Similarly, </w:t>
      </w:r>
      <w:proofErr w:type="spellStart"/>
      <w:r w:rsidRPr="006247D3">
        <w:rPr>
          <w:rFonts w:ascii="Times New Roman"/>
          <w:sz w:val="20"/>
        </w:rPr>
        <w:t>Bardai</w:t>
      </w:r>
      <w:proofErr w:type="spellEnd"/>
      <w:r w:rsidRPr="006247D3">
        <w:rPr>
          <w:rFonts w:ascii="Times New Roman"/>
          <w:sz w:val="20"/>
        </w:rPr>
        <w:t xml:space="preserve"> et al. (2010) found that higher corporate tax obligations diminish business profits and financial performance, although larger and more established firms tend to perform better. Holmes (2010) further observed that while tax adjustments may not significantly affect business expansion, they negatively influence capital allocation and overall financial performance.</w:t>
      </w:r>
    </w:p>
    <w:p w14:paraId="39D778E1" w14:textId="77777777" w:rsidR="00712AED" w:rsidRPr="006247D3" w:rsidRDefault="00712AED" w:rsidP="00712AED">
      <w:pPr>
        <w:spacing w:line="240" w:lineRule="auto"/>
        <w:jc w:val="both"/>
        <w:rPr>
          <w:rFonts w:ascii="Times New Roman"/>
          <w:sz w:val="20"/>
        </w:rPr>
      </w:pPr>
      <w:r w:rsidRPr="006247D3">
        <w:rPr>
          <w:rFonts w:ascii="Times New Roman"/>
          <w:sz w:val="20"/>
        </w:rPr>
        <w:t xml:space="preserve">Studies focusing on EPZs indicate that tax incentives are critical drivers of investment and firm growth. Njeru and </w:t>
      </w:r>
      <w:proofErr w:type="spellStart"/>
      <w:r w:rsidRPr="006247D3">
        <w:rPr>
          <w:rFonts w:ascii="Times New Roman"/>
          <w:sz w:val="20"/>
        </w:rPr>
        <w:t>Ndimitu</w:t>
      </w:r>
      <w:proofErr w:type="spellEnd"/>
      <w:r w:rsidRPr="006247D3">
        <w:rPr>
          <w:rFonts w:ascii="Times New Roman"/>
          <w:sz w:val="20"/>
        </w:rPr>
        <w:t xml:space="preserve"> (2015) reported that increases in sales, profits, and tax incentives were associated with greater investment among EPZ firms. The incentives identified included corporate tax exemptions, investment allowances, import duty exemptions, loan guarantees, grants, relief from sales, employment and property taxes, and access to low-cost financial support. Although these incentives enhance the attractiveness of EPZs and facilitate access to skilled labor, challenges such as legal complexities and administrative disputes may limit their effectiveness.</w:t>
      </w:r>
    </w:p>
    <w:p w14:paraId="6802FF56" w14:textId="77777777" w:rsidR="00712AED" w:rsidRPr="006247D3" w:rsidRDefault="00712AED" w:rsidP="00712AED">
      <w:pPr>
        <w:spacing w:line="240" w:lineRule="auto"/>
        <w:jc w:val="both"/>
        <w:rPr>
          <w:rFonts w:ascii="Times New Roman"/>
          <w:sz w:val="20"/>
        </w:rPr>
      </w:pPr>
      <w:r w:rsidRPr="006247D3">
        <w:rPr>
          <w:rFonts w:ascii="Times New Roman"/>
          <w:sz w:val="20"/>
        </w:rPr>
        <w:t>Subsidies have also been identified as important determinants of firm performance. Srinivasan (2009) defined subsidies as direct government transfers intended to support households or businesses through income redistribution. Zhang (2014) found that government subsidies significantly improved the financial performance of wind energy firms, although similar effects were not observed among solar energy companies. Kleer (2010) argued that government-funded research and development subsidies are essential for supporting projects with substantial social benefits but limited private financial returns, particularly in basic research.</w:t>
      </w:r>
    </w:p>
    <w:p w14:paraId="68FD8150" w14:textId="77777777" w:rsidR="00712AED" w:rsidRPr="006247D3" w:rsidRDefault="00712AED" w:rsidP="00712AED">
      <w:pPr>
        <w:spacing w:line="240" w:lineRule="auto"/>
        <w:jc w:val="both"/>
        <w:rPr>
          <w:rFonts w:ascii="Times New Roman"/>
          <w:sz w:val="20"/>
        </w:rPr>
      </w:pPr>
      <w:r w:rsidRPr="006247D3">
        <w:rPr>
          <w:rFonts w:ascii="Times New Roman"/>
          <w:sz w:val="20"/>
        </w:rPr>
        <w:t>Export-oriented incentives have been linked to improved export performance and competitiveness. Export Promotion Programs (EPPs) provide firms with export-related knowledge and expertise, enhancing their international market performance (</w:t>
      </w:r>
      <w:proofErr w:type="spellStart"/>
      <w:r w:rsidRPr="006247D3">
        <w:rPr>
          <w:rFonts w:ascii="Times New Roman"/>
          <w:sz w:val="20"/>
        </w:rPr>
        <w:t>Freixanet</w:t>
      </w:r>
      <w:proofErr w:type="spellEnd"/>
      <w:r w:rsidRPr="006247D3">
        <w:rPr>
          <w:rFonts w:ascii="Times New Roman"/>
          <w:sz w:val="20"/>
        </w:rPr>
        <w:t>, 2022). Empirical evidence suggests a strong positive relationship between participation in export promotion initiatives and export success (Mota et al., 2021). Such programs enable firms to improve pricing strategies, achieve cost efficiencies, and strengthen competitiveness in international markets (Quaye et al., 2017).</w:t>
      </w:r>
    </w:p>
    <w:p w14:paraId="29EF2D35" w14:textId="5AB4C29D" w:rsidR="005F419B" w:rsidRPr="006247D3" w:rsidRDefault="00712AED" w:rsidP="00712AED">
      <w:pPr>
        <w:spacing w:line="240" w:lineRule="auto"/>
        <w:jc w:val="both"/>
        <w:rPr>
          <w:rFonts w:ascii="Times New Roman"/>
          <w:sz w:val="20"/>
        </w:rPr>
      </w:pPr>
      <w:r w:rsidRPr="006247D3">
        <w:rPr>
          <w:rFonts w:ascii="Times New Roman"/>
          <w:sz w:val="20"/>
        </w:rPr>
        <w:t xml:space="preserve">Tax-based capital incentives also contribute to firm performance. </w:t>
      </w:r>
      <w:proofErr w:type="spellStart"/>
      <w:r w:rsidRPr="006247D3">
        <w:rPr>
          <w:rFonts w:ascii="Times New Roman"/>
          <w:sz w:val="20"/>
        </w:rPr>
        <w:t>Agundu</w:t>
      </w:r>
      <w:proofErr w:type="spellEnd"/>
      <w:r w:rsidRPr="006247D3">
        <w:rPr>
          <w:rFonts w:ascii="Times New Roman"/>
          <w:sz w:val="20"/>
        </w:rPr>
        <w:t xml:space="preserve"> and </w:t>
      </w:r>
      <w:proofErr w:type="spellStart"/>
      <w:r w:rsidRPr="006247D3">
        <w:rPr>
          <w:rFonts w:ascii="Times New Roman"/>
          <w:sz w:val="20"/>
        </w:rPr>
        <w:t>Ohaka</w:t>
      </w:r>
      <w:proofErr w:type="spellEnd"/>
      <w:r w:rsidRPr="006247D3">
        <w:rPr>
          <w:rFonts w:ascii="Times New Roman"/>
          <w:sz w:val="20"/>
        </w:rPr>
        <w:t xml:space="preserve"> (2012) noted that capital allowances provide substantial financial benefits but require prudent investment decisions. </w:t>
      </w:r>
      <w:proofErr w:type="spellStart"/>
      <w:r w:rsidRPr="006247D3">
        <w:rPr>
          <w:rFonts w:ascii="Times New Roman"/>
          <w:sz w:val="20"/>
        </w:rPr>
        <w:t>Mayende</w:t>
      </w:r>
      <w:proofErr w:type="spellEnd"/>
      <w:r w:rsidRPr="006247D3">
        <w:rPr>
          <w:rFonts w:ascii="Times New Roman"/>
          <w:sz w:val="20"/>
        </w:rPr>
        <w:t xml:space="preserve"> (2013) found that firms receiving tax reliefs in Uganda outperformed competitors in value addition and gross sales. In Kenya, </w:t>
      </w:r>
      <w:proofErr w:type="spellStart"/>
      <w:r w:rsidRPr="006247D3">
        <w:rPr>
          <w:rFonts w:ascii="Times New Roman"/>
          <w:sz w:val="20"/>
        </w:rPr>
        <w:t>Gumo</w:t>
      </w:r>
      <w:proofErr w:type="spellEnd"/>
      <w:r w:rsidRPr="006247D3">
        <w:rPr>
          <w:rFonts w:ascii="Times New Roman"/>
          <w:sz w:val="20"/>
        </w:rPr>
        <w:t xml:space="preserve"> (2013) highlighted several tax incentives, including industrial building allowances, agricultural investment deductions, shipping investment allowances, and mining capital allowances, all aimed at stimulating investment and enhancing business performance</w:t>
      </w:r>
      <w:r w:rsidR="00681D97" w:rsidRPr="006247D3">
        <w:rPr>
          <w:rFonts w:ascii="Times New Roman"/>
          <w:sz w:val="20"/>
        </w:rPr>
        <w:t>.</w:t>
      </w:r>
    </w:p>
    <w:p w14:paraId="3B9C2D39" w14:textId="705CA407" w:rsidR="00712AED" w:rsidRPr="006247D3" w:rsidRDefault="00712AED" w:rsidP="00712AED">
      <w:pPr>
        <w:spacing w:line="240" w:lineRule="auto"/>
        <w:jc w:val="both"/>
        <w:rPr>
          <w:rFonts w:ascii="Times New Roman"/>
          <w:b/>
          <w:bCs/>
          <w:sz w:val="20"/>
        </w:rPr>
      </w:pPr>
      <w:r w:rsidRPr="006247D3">
        <w:rPr>
          <w:rFonts w:ascii="Times New Roman"/>
          <w:b/>
          <w:bCs/>
          <w:sz w:val="20"/>
        </w:rPr>
        <w:t>Theoretical Review</w:t>
      </w:r>
    </w:p>
    <w:p w14:paraId="1F37FED0" w14:textId="2D0D985B" w:rsidR="00712AED" w:rsidRPr="006247D3" w:rsidRDefault="00712AED" w:rsidP="00712AED">
      <w:pPr>
        <w:spacing w:line="240" w:lineRule="auto"/>
        <w:jc w:val="both"/>
        <w:rPr>
          <w:rFonts w:ascii="Times New Roman"/>
          <w:sz w:val="20"/>
        </w:rPr>
      </w:pPr>
      <w:r w:rsidRPr="006247D3">
        <w:rPr>
          <w:rFonts w:ascii="Times New Roman"/>
          <w:sz w:val="20"/>
        </w:rPr>
        <w:t>The study is anchored on three theories: the Resource-Based View (RBV), Tax Incentive Agency Theory, and the Cluster Approach Theory. The Resource-Based View posits that firms are unique bundles of tangible and intangible resources and capabilities that drive superior organizational performance and competitive advantage. According to RBV, sustainable growth depends not only on resource ownership but also on the effective deployment and combination of these resources to exploit opportunities and create customer value beyond competitors’ capabilities (</w:t>
      </w:r>
      <w:proofErr w:type="spellStart"/>
      <w:r w:rsidRPr="006247D3">
        <w:rPr>
          <w:rFonts w:ascii="Times New Roman"/>
          <w:sz w:val="20"/>
        </w:rPr>
        <w:t>Sumani</w:t>
      </w:r>
      <w:proofErr w:type="spellEnd"/>
      <w:r w:rsidRPr="006247D3">
        <w:rPr>
          <w:rFonts w:ascii="Times New Roman"/>
          <w:sz w:val="20"/>
        </w:rPr>
        <w:t xml:space="preserve"> et al., 2024; Komakech et al., 2024). Firms possessing valuable and rare resources are better positioned to expand, innovate, and achieve enhanced performance outcomes (</w:t>
      </w:r>
      <w:proofErr w:type="spellStart"/>
      <w:r w:rsidRPr="006247D3">
        <w:rPr>
          <w:rFonts w:ascii="Times New Roman"/>
          <w:sz w:val="20"/>
        </w:rPr>
        <w:t>Peteraf</w:t>
      </w:r>
      <w:proofErr w:type="spellEnd"/>
      <w:r w:rsidRPr="006247D3">
        <w:rPr>
          <w:rFonts w:ascii="Times New Roman"/>
          <w:sz w:val="20"/>
        </w:rPr>
        <w:t>, 2003).</w:t>
      </w:r>
    </w:p>
    <w:p w14:paraId="5B15C577" w14:textId="7D9A9F9D" w:rsidR="00712AED" w:rsidRPr="006247D3" w:rsidRDefault="00712AED" w:rsidP="00712AED">
      <w:pPr>
        <w:spacing w:line="240" w:lineRule="auto"/>
        <w:jc w:val="both"/>
        <w:rPr>
          <w:rFonts w:ascii="Times New Roman"/>
          <w:sz w:val="20"/>
        </w:rPr>
      </w:pPr>
      <w:r w:rsidRPr="006247D3">
        <w:rPr>
          <w:rFonts w:ascii="Times New Roman"/>
          <w:sz w:val="20"/>
        </w:rPr>
        <w:t xml:space="preserve">Tax Incentive Agency Theory explains how government incentives, such as grants and tax programs, address market failures and investment barriers arising from regulatory constraints. Incentives can stimulate investment by reducing costs and mitigating challenges related to bureaucracy, skill shortages, and other structural impediments. However, poorly designed incentives may encourage inefficient resource allocation and generate long-term economic </w:t>
      </w:r>
      <w:r w:rsidRPr="006247D3">
        <w:rPr>
          <w:rFonts w:ascii="Times New Roman"/>
          <w:sz w:val="20"/>
        </w:rPr>
        <w:lastRenderedPageBreak/>
        <w:t>distortions, particularly in sectors such as Export Processing Zones (EPZs), where firms benefit from preferential tax treatment (Wells et al., 2001).</w:t>
      </w:r>
    </w:p>
    <w:p w14:paraId="4AA2A8D1" w14:textId="6D454157" w:rsidR="00712AED" w:rsidRPr="006247D3" w:rsidRDefault="00712AED" w:rsidP="00712AED">
      <w:pPr>
        <w:spacing w:line="240" w:lineRule="auto"/>
        <w:jc w:val="both"/>
        <w:rPr>
          <w:rFonts w:ascii="Times New Roman"/>
          <w:sz w:val="20"/>
        </w:rPr>
      </w:pPr>
      <w:r w:rsidRPr="006247D3">
        <w:rPr>
          <w:rFonts w:ascii="Times New Roman"/>
          <w:sz w:val="20"/>
        </w:rPr>
        <w:t>The Cluster Approach Theory emphasizes the economic benefits derived from the geographic concentration of firms. Porter’s cluster model suggests that proximity enhances competition, innovation, knowledge sharing, and access to shared infrastructure, thereby improving firm performance (Porter, 1996; Porter, 1998). In EPZs, firms benefit from agglomeration economies, although challenges such as transaction costs, information asymmetries, market failures, and shortages of skilled human resources may limit these advantages, particularly in developing economies (Bruhn et al., 2018).</w:t>
      </w:r>
    </w:p>
    <w:p w14:paraId="0279EB76" w14:textId="77777777" w:rsidR="00CF47C4" w:rsidRPr="006247D3" w:rsidRDefault="00CF47C4" w:rsidP="000A3E17">
      <w:pPr>
        <w:spacing w:after="0" w:line="240" w:lineRule="auto"/>
        <w:rPr>
          <w:rFonts w:ascii="Times New Roman"/>
          <w:sz w:val="20"/>
          <w:szCs w:val="20"/>
        </w:rPr>
      </w:pPr>
    </w:p>
    <w:p w14:paraId="1A4ACEC2" w14:textId="227AE475" w:rsidR="00CF47C4" w:rsidRPr="006247D3" w:rsidRDefault="008A7684" w:rsidP="007F7C27">
      <w:pPr>
        <w:pStyle w:val="ListParagraph"/>
        <w:numPr>
          <w:ilvl w:val="0"/>
          <w:numId w:val="5"/>
        </w:numPr>
        <w:spacing w:after="0" w:line="240" w:lineRule="auto"/>
        <w:ind w:left="360" w:hanging="360"/>
        <w:jc w:val="center"/>
        <w:rPr>
          <w:rFonts w:ascii="Times New Roman"/>
          <w:b/>
          <w:szCs w:val="20"/>
        </w:rPr>
      </w:pPr>
      <w:r w:rsidRPr="006247D3">
        <w:rPr>
          <w:rFonts w:ascii="Times New Roman"/>
          <w:b/>
          <w:szCs w:val="20"/>
        </w:rPr>
        <w:t>Material And Methods</w:t>
      </w:r>
      <w:r w:rsidR="00D17811" w:rsidRPr="006247D3">
        <w:rPr>
          <w:rFonts w:ascii="Times New Roman"/>
          <w:b/>
          <w:szCs w:val="20"/>
        </w:rPr>
        <w:t xml:space="preserve"> </w:t>
      </w:r>
    </w:p>
    <w:p w14:paraId="4DE7537E" w14:textId="77777777" w:rsidR="00B13D13" w:rsidRPr="006247D3" w:rsidRDefault="00B13D13" w:rsidP="007F7C27">
      <w:pPr>
        <w:spacing w:after="0" w:line="240" w:lineRule="auto"/>
        <w:jc w:val="both"/>
        <w:rPr>
          <w:rFonts w:ascii="Times New Roman"/>
          <w:sz w:val="20"/>
          <w:szCs w:val="20"/>
        </w:rPr>
      </w:pPr>
    </w:p>
    <w:p w14:paraId="36A415FD" w14:textId="1E8B5801" w:rsidR="00B73CC4" w:rsidRPr="006247D3" w:rsidRDefault="00B73CC4" w:rsidP="00B73CC4">
      <w:pPr>
        <w:spacing w:line="240" w:lineRule="auto"/>
        <w:jc w:val="both"/>
        <w:rPr>
          <w:rFonts w:ascii="Times New Roman"/>
          <w:sz w:val="20"/>
        </w:rPr>
      </w:pPr>
      <w:r w:rsidRPr="006247D3">
        <w:rPr>
          <w:rFonts w:ascii="Times New Roman"/>
          <w:sz w:val="20"/>
        </w:rPr>
        <w:t>A correlation-based research approach combined with a descriptive research design was employed to examine the relationships among the study variables and provide a detailed explanation of the phenomenon under investigation. This design was appropriate because it allows for accurate description and assessment of how variables interact within a given context.</w:t>
      </w:r>
    </w:p>
    <w:p w14:paraId="3ABC8D1B" w14:textId="62BBDD4D" w:rsidR="00B73CC4" w:rsidRPr="006247D3" w:rsidRDefault="00B73CC4" w:rsidP="00B73CC4">
      <w:pPr>
        <w:spacing w:line="240" w:lineRule="auto"/>
        <w:jc w:val="both"/>
        <w:rPr>
          <w:rFonts w:ascii="Times New Roman"/>
          <w:sz w:val="20"/>
        </w:rPr>
      </w:pPr>
      <w:r w:rsidRPr="006247D3">
        <w:rPr>
          <w:rFonts w:ascii="Times New Roman"/>
          <w:sz w:val="20"/>
        </w:rPr>
        <w:t>The target population comprised managers from Export Processing Zone (EPZ) enterprises in Kenya. Following Mugenda (2008), the study focused on 14 subsectors, which together formed the manufacturing and service components of EPZ firms. The population was 850 firms, representing diverse industrial categories involved in production, transformation, and support services.</w:t>
      </w:r>
    </w:p>
    <w:p w14:paraId="73E120B6" w14:textId="5C25C2FD" w:rsidR="00B73CC4" w:rsidRPr="006247D3" w:rsidRDefault="00B73CC4" w:rsidP="00B73CC4">
      <w:pPr>
        <w:spacing w:line="240" w:lineRule="auto"/>
        <w:jc w:val="both"/>
        <w:rPr>
          <w:rFonts w:ascii="Times New Roman"/>
          <w:sz w:val="20"/>
        </w:rPr>
      </w:pPr>
      <w:r w:rsidRPr="006247D3">
        <w:rPr>
          <w:rFonts w:ascii="Times New Roman"/>
          <w:sz w:val="20"/>
        </w:rPr>
        <w:t>The sample size was determined using Yamane’s (1967) formula, which estimates an appropriate sample (n) from a known population (N) using a specified margin of error (e = 0.05). Stratified random sampling was then applied to enhance representativeness and reduce sampling error. The population was divided into 14 strata, and proportional random samples were drawn from each group, resulting in a total sample of 272 firms across sectors.</w:t>
      </w:r>
    </w:p>
    <w:p w14:paraId="0283B4EC" w14:textId="2FB652F5" w:rsidR="00B73CC4" w:rsidRPr="006247D3" w:rsidRDefault="00B73CC4" w:rsidP="00B73CC4">
      <w:pPr>
        <w:spacing w:line="240" w:lineRule="auto"/>
        <w:jc w:val="both"/>
        <w:rPr>
          <w:rFonts w:ascii="Times New Roman"/>
          <w:sz w:val="20"/>
        </w:rPr>
      </w:pPr>
      <w:r w:rsidRPr="006247D3">
        <w:rPr>
          <w:rFonts w:ascii="Times New Roman"/>
          <w:sz w:val="20"/>
        </w:rPr>
        <w:t>Data were obtained from company internal records and annual reports, covering a five-year panel period from 2015 to 2019. This produced a balanced dataset of 1,360 firm-year observations. The combination of cross-sectional and time-series data improved analytical robustness and information depth (Gujarati, 2003).</w:t>
      </w:r>
    </w:p>
    <w:p w14:paraId="1D32A341" w14:textId="00993BD4" w:rsidR="00B73CC4" w:rsidRPr="006247D3" w:rsidRDefault="00B73CC4" w:rsidP="00B73CC4">
      <w:pPr>
        <w:spacing w:line="240" w:lineRule="auto"/>
        <w:jc w:val="both"/>
        <w:rPr>
          <w:rFonts w:ascii="Times New Roman"/>
          <w:sz w:val="20"/>
        </w:rPr>
      </w:pPr>
      <w:r w:rsidRPr="006247D3">
        <w:rPr>
          <w:rFonts w:ascii="Times New Roman"/>
          <w:sz w:val="20"/>
        </w:rPr>
        <w:t>Data analysis was conducted using a dynamic panel regression model. Pearson correlation coefficients were used to assess relationships between variables, while ANOVA tested model significance at 5% and 95% confidence levels. Descriptive statistics such as means, standard deviations, and percentages were used for data presentation. The empirical model specified firm growth as a function of corporate tax incentives, subsidies, export promotion incentives, and capital allowance incentives.</w:t>
      </w:r>
    </w:p>
    <w:p w14:paraId="3DAD90E7" w14:textId="34EDB6D2" w:rsidR="00012505" w:rsidRPr="006247D3" w:rsidRDefault="00B73CC4" w:rsidP="00B73CC4">
      <w:pPr>
        <w:spacing w:line="240" w:lineRule="auto"/>
        <w:jc w:val="both"/>
        <w:rPr>
          <w:rFonts w:ascii="Times New Roman"/>
          <w:sz w:val="20"/>
        </w:rPr>
      </w:pPr>
      <w:r w:rsidRPr="006247D3">
        <w:rPr>
          <w:rFonts w:ascii="Times New Roman"/>
          <w:sz w:val="20"/>
        </w:rPr>
        <w:t>Reliability and validity were ensured using Cronbach’s alpha and construct validity tests. A 5-point Likert scale was applied for measurement. Ethical considerations included informed consent, confidentiality, and respondent anonymity throughout the study.</w:t>
      </w:r>
    </w:p>
    <w:p w14:paraId="26913379" w14:textId="6B683223" w:rsidR="00447E23" w:rsidRPr="006247D3" w:rsidRDefault="00447E23" w:rsidP="00EF5B55">
      <w:pPr>
        <w:spacing w:after="0" w:line="240" w:lineRule="auto"/>
        <w:jc w:val="both"/>
        <w:rPr>
          <w:rFonts w:ascii="Times New Roman"/>
          <w:color w:val="000000" w:themeColor="text1"/>
          <w:sz w:val="20"/>
          <w:szCs w:val="20"/>
        </w:rPr>
      </w:pPr>
    </w:p>
    <w:p w14:paraId="22E756B6" w14:textId="5E0EA0FA" w:rsidR="009016D8" w:rsidRPr="00E42C5E" w:rsidRDefault="009016D8" w:rsidP="00E42C5E">
      <w:pPr>
        <w:pStyle w:val="ListParagraph"/>
        <w:numPr>
          <w:ilvl w:val="0"/>
          <w:numId w:val="5"/>
        </w:numPr>
        <w:spacing w:after="0" w:line="240" w:lineRule="auto"/>
        <w:ind w:left="360" w:hanging="360"/>
        <w:jc w:val="center"/>
        <w:rPr>
          <w:rFonts w:ascii="Times New Roman"/>
          <w:b/>
          <w:szCs w:val="20"/>
        </w:rPr>
      </w:pPr>
      <w:r w:rsidRPr="006247D3">
        <w:rPr>
          <w:rFonts w:ascii="Times New Roman"/>
          <w:b/>
          <w:szCs w:val="20"/>
        </w:rPr>
        <w:t xml:space="preserve">Result </w:t>
      </w:r>
      <w:r w:rsidR="00E42C5E">
        <w:rPr>
          <w:rFonts w:ascii="Times New Roman"/>
          <w:b/>
          <w:szCs w:val="20"/>
        </w:rPr>
        <w:t xml:space="preserve">and </w:t>
      </w:r>
      <w:r w:rsidR="00E42C5E" w:rsidRPr="006247D3">
        <w:rPr>
          <w:rFonts w:ascii="Times New Roman"/>
          <w:b/>
          <w:szCs w:val="20"/>
        </w:rPr>
        <w:t xml:space="preserve">Discussion </w:t>
      </w:r>
    </w:p>
    <w:p w14:paraId="39B441AB" w14:textId="66173B30" w:rsidR="009016D8" w:rsidRPr="006247D3" w:rsidRDefault="00337EF2" w:rsidP="007F7C27">
      <w:pPr>
        <w:spacing w:after="0" w:line="240" w:lineRule="auto"/>
        <w:jc w:val="both"/>
        <w:rPr>
          <w:rFonts w:ascii="Times New Roman"/>
          <w:color w:val="FF0000"/>
          <w:sz w:val="20"/>
          <w:szCs w:val="20"/>
        </w:rPr>
      </w:pPr>
      <w:r w:rsidRPr="006247D3">
        <w:rPr>
          <w:rFonts w:ascii="Times New Roman"/>
          <w:b/>
          <w:bCs/>
          <w:color w:val="000000" w:themeColor="text1"/>
          <w:sz w:val="20"/>
          <w:szCs w:val="20"/>
        </w:rPr>
        <w:t>Rate of Response</w:t>
      </w:r>
    </w:p>
    <w:p w14:paraId="01F4057B" w14:textId="5F8D89AA" w:rsidR="00337EF2" w:rsidRPr="006247D3" w:rsidRDefault="00337EF2" w:rsidP="00337EF2">
      <w:pPr>
        <w:spacing w:after="0" w:line="240" w:lineRule="auto"/>
        <w:jc w:val="both"/>
        <w:rPr>
          <w:rFonts w:ascii="Times New Roman"/>
          <w:color w:val="000000" w:themeColor="text1"/>
          <w:sz w:val="20"/>
          <w:szCs w:val="20"/>
        </w:rPr>
      </w:pPr>
      <w:r w:rsidRPr="006247D3">
        <w:rPr>
          <w:rFonts w:ascii="Times New Roman"/>
          <w:color w:val="000000" w:themeColor="text1"/>
          <w:sz w:val="20"/>
          <w:szCs w:val="20"/>
        </w:rPr>
        <w:t>Out of 272 questionnaires distributed to EPZ firms in Machakos County, 238 were completed and returned, yielding an 87.5% response rate. According to Mugenda and Mugenda (2008), a response rate above 70% is considered excellent, indicating that the data collected is reliable and statistically generalizable. The non-response rate was 12.5% (34 questionnaires), which may be attributed to respondent unavailability, time constraints, or organizational factors. Overall, the high response rate enhances the validity and representativeness of the study findings.</w:t>
      </w:r>
    </w:p>
    <w:p w14:paraId="696FE5FB" w14:textId="77777777" w:rsidR="00337EF2" w:rsidRPr="006247D3" w:rsidRDefault="00337EF2" w:rsidP="00337EF2">
      <w:pPr>
        <w:spacing w:after="0" w:line="240" w:lineRule="auto"/>
        <w:jc w:val="both"/>
        <w:rPr>
          <w:rFonts w:ascii="Times New Roman"/>
          <w:color w:val="000000" w:themeColor="text1"/>
          <w:sz w:val="20"/>
          <w:szCs w:val="20"/>
        </w:rPr>
      </w:pPr>
    </w:p>
    <w:p w14:paraId="3D377A7A" w14:textId="77777777" w:rsidR="00337EF2" w:rsidRPr="006247D3" w:rsidRDefault="00337EF2" w:rsidP="00337EF2">
      <w:pPr>
        <w:spacing w:after="0" w:line="240" w:lineRule="auto"/>
        <w:jc w:val="both"/>
        <w:rPr>
          <w:rFonts w:ascii="Times New Roman"/>
          <w:color w:val="000000" w:themeColor="text1"/>
          <w:sz w:val="20"/>
          <w:szCs w:val="20"/>
        </w:rPr>
      </w:pPr>
    </w:p>
    <w:p w14:paraId="1FBBBE52" w14:textId="77777777" w:rsidR="00337EF2" w:rsidRPr="006247D3" w:rsidRDefault="00337EF2" w:rsidP="00337EF2">
      <w:pPr>
        <w:spacing w:after="0" w:line="240" w:lineRule="auto"/>
        <w:jc w:val="both"/>
        <w:rPr>
          <w:rFonts w:ascii="Times New Roman"/>
          <w:color w:val="000000" w:themeColor="text1"/>
          <w:sz w:val="20"/>
          <w:szCs w:val="20"/>
        </w:rPr>
      </w:pPr>
    </w:p>
    <w:p w14:paraId="1F93E3DA" w14:textId="77777777" w:rsidR="00D62A25" w:rsidRPr="006247D3" w:rsidRDefault="00D62A25" w:rsidP="00337EF2">
      <w:pPr>
        <w:spacing w:after="0" w:line="240" w:lineRule="auto"/>
        <w:jc w:val="both"/>
        <w:rPr>
          <w:rFonts w:ascii="Times New Roman"/>
          <w:color w:val="000000" w:themeColor="text1"/>
          <w:sz w:val="20"/>
          <w:szCs w:val="20"/>
        </w:rPr>
      </w:pPr>
    </w:p>
    <w:p w14:paraId="70FF7285" w14:textId="77777777" w:rsidR="00337EF2" w:rsidRPr="006247D3" w:rsidRDefault="00337EF2" w:rsidP="00337EF2">
      <w:pPr>
        <w:spacing w:after="0" w:line="240" w:lineRule="auto"/>
        <w:jc w:val="both"/>
        <w:rPr>
          <w:rFonts w:ascii="Times New Roman"/>
          <w:color w:val="000000" w:themeColor="text1"/>
          <w:sz w:val="20"/>
          <w:szCs w:val="20"/>
        </w:rPr>
      </w:pPr>
    </w:p>
    <w:p w14:paraId="7D41B9E3" w14:textId="3A4D9CD3" w:rsidR="00337EF2" w:rsidRPr="006247D3" w:rsidRDefault="00337EF2" w:rsidP="00337EF2">
      <w:pPr>
        <w:spacing w:after="0" w:line="240" w:lineRule="auto"/>
        <w:jc w:val="both"/>
        <w:rPr>
          <w:rFonts w:ascii="Times New Roman"/>
          <w:b/>
          <w:bCs/>
          <w:color w:val="000000" w:themeColor="text1"/>
          <w:sz w:val="20"/>
          <w:szCs w:val="20"/>
        </w:rPr>
      </w:pPr>
      <w:r w:rsidRPr="006247D3">
        <w:rPr>
          <w:rFonts w:ascii="Times New Roman"/>
          <w:b/>
          <w:bCs/>
          <w:color w:val="000000" w:themeColor="text1"/>
          <w:sz w:val="20"/>
          <w:szCs w:val="20"/>
        </w:rPr>
        <w:lastRenderedPageBreak/>
        <w:t xml:space="preserve">Table </w:t>
      </w:r>
      <w:r w:rsidR="00716971" w:rsidRPr="006247D3">
        <w:rPr>
          <w:rFonts w:ascii="Times New Roman"/>
          <w:b/>
          <w:bCs/>
          <w:color w:val="000000" w:themeColor="text1"/>
          <w:sz w:val="20"/>
          <w:szCs w:val="20"/>
        </w:rPr>
        <w:t>1</w:t>
      </w:r>
      <w:r w:rsidRPr="006247D3">
        <w:rPr>
          <w:rFonts w:ascii="Times New Roman"/>
          <w:b/>
          <w:bCs/>
          <w:color w:val="000000" w:themeColor="text1"/>
          <w:sz w:val="20"/>
          <w:szCs w:val="20"/>
        </w:rPr>
        <w:t>: Rate of Response</w:t>
      </w:r>
    </w:p>
    <w:tbl>
      <w:tblPr>
        <w:tblStyle w:val="TableGrid"/>
        <w:tblW w:w="0" w:type="auto"/>
        <w:tblLook w:val="04A0" w:firstRow="1" w:lastRow="0" w:firstColumn="1" w:lastColumn="0" w:noHBand="0" w:noVBand="1"/>
      </w:tblPr>
      <w:tblGrid>
        <w:gridCol w:w="2610"/>
        <w:gridCol w:w="1127"/>
        <w:gridCol w:w="1160"/>
      </w:tblGrid>
      <w:tr w:rsidR="00337EF2" w:rsidRPr="006247D3" w14:paraId="7E9297DA" w14:textId="77777777" w:rsidTr="00337EF2">
        <w:tc>
          <w:tcPr>
            <w:tcW w:w="0" w:type="auto"/>
            <w:hideMark/>
          </w:tcPr>
          <w:p w14:paraId="5D853E01" w14:textId="77777777" w:rsidR="00337EF2" w:rsidRPr="006247D3" w:rsidRDefault="00337EF2" w:rsidP="00337EF2">
            <w:pPr>
              <w:jc w:val="both"/>
              <w:rPr>
                <w:rFonts w:ascii="Times New Roman"/>
                <w:b/>
                <w:bCs/>
                <w:color w:val="000000" w:themeColor="text1"/>
                <w:sz w:val="20"/>
              </w:rPr>
            </w:pPr>
            <w:r w:rsidRPr="006247D3">
              <w:rPr>
                <w:rFonts w:ascii="Times New Roman"/>
                <w:b/>
                <w:bCs/>
                <w:color w:val="000000" w:themeColor="text1"/>
                <w:sz w:val="20"/>
              </w:rPr>
              <w:t>Category</w:t>
            </w:r>
          </w:p>
        </w:tc>
        <w:tc>
          <w:tcPr>
            <w:tcW w:w="0" w:type="auto"/>
            <w:hideMark/>
          </w:tcPr>
          <w:p w14:paraId="5BA8835B" w14:textId="77777777" w:rsidR="00337EF2" w:rsidRPr="006247D3" w:rsidRDefault="00337EF2" w:rsidP="00337EF2">
            <w:pPr>
              <w:jc w:val="both"/>
              <w:rPr>
                <w:rFonts w:ascii="Times New Roman"/>
                <w:b/>
                <w:bCs/>
                <w:color w:val="000000" w:themeColor="text1"/>
                <w:sz w:val="20"/>
              </w:rPr>
            </w:pPr>
            <w:r w:rsidRPr="006247D3">
              <w:rPr>
                <w:rFonts w:ascii="Times New Roman"/>
                <w:b/>
                <w:bCs/>
                <w:color w:val="000000" w:themeColor="text1"/>
                <w:sz w:val="20"/>
              </w:rPr>
              <w:t>Frequency</w:t>
            </w:r>
          </w:p>
        </w:tc>
        <w:tc>
          <w:tcPr>
            <w:tcW w:w="0" w:type="auto"/>
            <w:hideMark/>
          </w:tcPr>
          <w:p w14:paraId="6AC40F79" w14:textId="77777777" w:rsidR="00337EF2" w:rsidRPr="006247D3" w:rsidRDefault="00337EF2" w:rsidP="00337EF2">
            <w:pPr>
              <w:jc w:val="both"/>
              <w:rPr>
                <w:rFonts w:ascii="Times New Roman"/>
                <w:b/>
                <w:bCs/>
                <w:color w:val="000000" w:themeColor="text1"/>
                <w:sz w:val="20"/>
              </w:rPr>
            </w:pPr>
            <w:r w:rsidRPr="006247D3">
              <w:rPr>
                <w:rFonts w:ascii="Times New Roman"/>
                <w:b/>
                <w:bCs/>
                <w:color w:val="000000" w:themeColor="text1"/>
                <w:sz w:val="20"/>
              </w:rPr>
              <w:t>Percentage</w:t>
            </w:r>
          </w:p>
        </w:tc>
      </w:tr>
      <w:tr w:rsidR="00337EF2" w:rsidRPr="006247D3" w14:paraId="4CCEB13C" w14:textId="77777777" w:rsidTr="00337EF2">
        <w:tc>
          <w:tcPr>
            <w:tcW w:w="0" w:type="auto"/>
            <w:hideMark/>
          </w:tcPr>
          <w:p w14:paraId="58D892E9" w14:textId="77777777" w:rsidR="00337EF2" w:rsidRPr="006247D3" w:rsidRDefault="00337EF2" w:rsidP="00337EF2">
            <w:pPr>
              <w:jc w:val="both"/>
              <w:rPr>
                <w:rFonts w:ascii="Times New Roman"/>
                <w:color w:val="000000" w:themeColor="text1"/>
                <w:sz w:val="20"/>
              </w:rPr>
            </w:pPr>
            <w:r w:rsidRPr="006247D3">
              <w:rPr>
                <w:rFonts w:ascii="Times New Roman"/>
                <w:color w:val="000000" w:themeColor="text1"/>
                <w:sz w:val="20"/>
              </w:rPr>
              <w:t>Returned Questionnaires</w:t>
            </w:r>
          </w:p>
        </w:tc>
        <w:tc>
          <w:tcPr>
            <w:tcW w:w="0" w:type="auto"/>
            <w:hideMark/>
          </w:tcPr>
          <w:p w14:paraId="0788D348" w14:textId="77777777" w:rsidR="00337EF2" w:rsidRPr="006247D3" w:rsidRDefault="00337EF2" w:rsidP="00337EF2">
            <w:pPr>
              <w:jc w:val="both"/>
              <w:rPr>
                <w:rFonts w:ascii="Times New Roman"/>
                <w:color w:val="000000" w:themeColor="text1"/>
                <w:sz w:val="20"/>
              </w:rPr>
            </w:pPr>
            <w:r w:rsidRPr="006247D3">
              <w:rPr>
                <w:rFonts w:ascii="Times New Roman"/>
                <w:color w:val="000000" w:themeColor="text1"/>
                <w:sz w:val="20"/>
              </w:rPr>
              <w:t>238</w:t>
            </w:r>
          </w:p>
        </w:tc>
        <w:tc>
          <w:tcPr>
            <w:tcW w:w="0" w:type="auto"/>
            <w:hideMark/>
          </w:tcPr>
          <w:p w14:paraId="271E3472" w14:textId="77777777" w:rsidR="00337EF2" w:rsidRPr="006247D3" w:rsidRDefault="00337EF2" w:rsidP="00337EF2">
            <w:pPr>
              <w:jc w:val="both"/>
              <w:rPr>
                <w:rFonts w:ascii="Times New Roman"/>
                <w:color w:val="000000" w:themeColor="text1"/>
                <w:sz w:val="20"/>
              </w:rPr>
            </w:pPr>
            <w:r w:rsidRPr="006247D3">
              <w:rPr>
                <w:rFonts w:ascii="Times New Roman"/>
                <w:color w:val="000000" w:themeColor="text1"/>
                <w:sz w:val="20"/>
              </w:rPr>
              <w:t>87.5%</w:t>
            </w:r>
          </w:p>
        </w:tc>
      </w:tr>
      <w:tr w:rsidR="00337EF2" w:rsidRPr="006247D3" w14:paraId="6B8FFC3D" w14:textId="77777777" w:rsidTr="00337EF2">
        <w:tc>
          <w:tcPr>
            <w:tcW w:w="0" w:type="auto"/>
            <w:hideMark/>
          </w:tcPr>
          <w:p w14:paraId="30723100" w14:textId="77777777" w:rsidR="00337EF2" w:rsidRPr="006247D3" w:rsidRDefault="00337EF2" w:rsidP="00337EF2">
            <w:pPr>
              <w:jc w:val="both"/>
              <w:rPr>
                <w:rFonts w:ascii="Times New Roman"/>
                <w:color w:val="000000" w:themeColor="text1"/>
                <w:sz w:val="20"/>
              </w:rPr>
            </w:pPr>
            <w:r w:rsidRPr="006247D3">
              <w:rPr>
                <w:rFonts w:ascii="Times New Roman"/>
                <w:color w:val="000000" w:themeColor="text1"/>
                <w:sz w:val="20"/>
              </w:rPr>
              <w:t>Non-Returned Questionnaires</w:t>
            </w:r>
          </w:p>
        </w:tc>
        <w:tc>
          <w:tcPr>
            <w:tcW w:w="0" w:type="auto"/>
            <w:hideMark/>
          </w:tcPr>
          <w:p w14:paraId="27CE9D8D" w14:textId="77777777" w:rsidR="00337EF2" w:rsidRPr="006247D3" w:rsidRDefault="00337EF2" w:rsidP="00337EF2">
            <w:pPr>
              <w:jc w:val="both"/>
              <w:rPr>
                <w:rFonts w:ascii="Times New Roman"/>
                <w:color w:val="000000" w:themeColor="text1"/>
                <w:sz w:val="20"/>
              </w:rPr>
            </w:pPr>
            <w:r w:rsidRPr="006247D3">
              <w:rPr>
                <w:rFonts w:ascii="Times New Roman"/>
                <w:color w:val="000000" w:themeColor="text1"/>
                <w:sz w:val="20"/>
              </w:rPr>
              <w:t>34</w:t>
            </w:r>
          </w:p>
        </w:tc>
        <w:tc>
          <w:tcPr>
            <w:tcW w:w="0" w:type="auto"/>
            <w:hideMark/>
          </w:tcPr>
          <w:p w14:paraId="3C7EE7D0" w14:textId="77777777" w:rsidR="00337EF2" w:rsidRPr="006247D3" w:rsidRDefault="00337EF2" w:rsidP="00337EF2">
            <w:pPr>
              <w:jc w:val="both"/>
              <w:rPr>
                <w:rFonts w:ascii="Times New Roman"/>
                <w:color w:val="000000" w:themeColor="text1"/>
                <w:sz w:val="20"/>
              </w:rPr>
            </w:pPr>
            <w:r w:rsidRPr="006247D3">
              <w:rPr>
                <w:rFonts w:ascii="Times New Roman"/>
                <w:color w:val="000000" w:themeColor="text1"/>
                <w:sz w:val="20"/>
              </w:rPr>
              <w:t>12.5%</w:t>
            </w:r>
          </w:p>
        </w:tc>
      </w:tr>
      <w:tr w:rsidR="00337EF2" w:rsidRPr="006247D3" w14:paraId="5A35F03D" w14:textId="77777777" w:rsidTr="00337EF2">
        <w:tc>
          <w:tcPr>
            <w:tcW w:w="0" w:type="auto"/>
            <w:hideMark/>
          </w:tcPr>
          <w:p w14:paraId="0DCC9CA9" w14:textId="77777777" w:rsidR="00337EF2" w:rsidRPr="006247D3" w:rsidRDefault="00337EF2" w:rsidP="00337EF2">
            <w:pPr>
              <w:jc w:val="both"/>
              <w:rPr>
                <w:rFonts w:ascii="Times New Roman"/>
                <w:color w:val="000000" w:themeColor="text1"/>
                <w:sz w:val="20"/>
              </w:rPr>
            </w:pPr>
            <w:r w:rsidRPr="006247D3">
              <w:rPr>
                <w:rFonts w:ascii="Times New Roman"/>
                <w:b/>
                <w:bCs/>
                <w:color w:val="000000" w:themeColor="text1"/>
                <w:sz w:val="20"/>
              </w:rPr>
              <w:t>Total</w:t>
            </w:r>
          </w:p>
        </w:tc>
        <w:tc>
          <w:tcPr>
            <w:tcW w:w="0" w:type="auto"/>
            <w:hideMark/>
          </w:tcPr>
          <w:p w14:paraId="7DA2B377" w14:textId="77777777" w:rsidR="00337EF2" w:rsidRPr="006247D3" w:rsidRDefault="00337EF2" w:rsidP="00337EF2">
            <w:pPr>
              <w:jc w:val="both"/>
              <w:rPr>
                <w:rFonts w:ascii="Times New Roman"/>
                <w:color w:val="000000" w:themeColor="text1"/>
                <w:sz w:val="20"/>
              </w:rPr>
            </w:pPr>
            <w:r w:rsidRPr="006247D3">
              <w:rPr>
                <w:rFonts w:ascii="Times New Roman"/>
                <w:b/>
                <w:bCs/>
                <w:color w:val="000000" w:themeColor="text1"/>
                <w:sz w:val="20"/>
              </w:rPr>
              <w:t>272</w:t>
            </w:r>
          </w:p>
        </w:tc>
        <w:tc>
          <w:tcPr>
            <w:tcW w:w="0" w:type="auto"/>
            <w:hideMark/>
          </w:tcPr>
          <w:p w14:paraId="65CBE5A6" w14:textId="77777777" w:rsidR="00337EF2" w:rsidRPr="006247D3" w:rsidRDefault="00337EF2" w:rsidP="00337EF2">
            <w:pPr>
              <w:jc w:val="both"/>
              <w:rPr>
                <w:rFonts w:ascii="Times New Roman"/>
                <w:color w:val="000000" w:themeColor="text1"/>
                <w:sz w:val="20"/>
              </w:rPr>
            </w:pPr>
            <w:r w:rsidRPr="006247D3">
              <w:rPr>
                <w:rFonts w:ascii="Times New Roman"/>
                <w:b/>
                <w:bCs/>
                <w:color w:val="000000" w:themeColor="text1"/>
                <w:sz w:val="20"/>
              </w:rPr>
              <w:t>100%</w:t>
            </w:r>
          </w:p>
        </w:tc>
      </w:tr>
    </w:tbl>
    <w:p w14:paraId="1F68AC34" w14:textId="01A990ED" w:rsidR="006625B9" w:rsidRPr="006247D3" w:rsidRDefault="006625B9" w:rsidP="002957C2">
      <w:pPr>
        <w:spacing w:after="0" w:line="240" w:lineRule="auto"/>
        <w:jc w:val="both"/>
        <w:rPr>
          <w:rFonts w:ascii="Times New Roman"/>
          <w:color w:val="000000" w:themeColor="text1"/>
          <w:sz w:val="20"/>
          <w:szCs w:val="20"/>
        </w:rPr>
      </w:pPr>
    </w:p>
    <w:p w14:paraId="074CC928" w14:textId="27CDBEA7" w:rsidR="00716971" w:rsidRPr="006247D3" w:rsidRDefault="00716971" w:rsidP="00716971">
      <w:pPr>
        <w:spacing w:after="0" w:line="240" w:lineRule="auto"/>
        <w:jc w:val="both"/>
        <w:rPr>
          <w:rFonts w:ascii="Times New Roman"/>
          <w:color w:val="000000" w:themeColor="text1"/>
          <w:sz w:val="20"/>
          <w:szCs w:val="20"/>
        </w:rPr>
      </w:pPr>
      <w:r w:rsidRPr="006247D3">
        <w:rPr>
          <w:rFonts w:ascii="Times New Roman"/>
          <w:b/>
          <w:bCs/>
          <w:color w:val="000000" w:themeColor="text1"/>
          <w:sz w:val="20"/>
          <w:szCs w:val="20"/>
        </w:rPr>
        <w:t>Reliability Test Results</w:t>
      </w:r>
    </w:p>
    <w:p w14:paraId="49F8178E" w14:textId="0BA9AC89" w:rsidR="00716971" w:rsidRPr="006247D3" w:rsidRDefault="00716971" w:rsidP="00716971">
      <w:pPr>
        <w:spacing w:after="0" w:line="240" w:lineRule="auto"/>
        <w:jc w:val="both"/>
        <w:rPr>
          <w:rFonts w:ascii="Times New Roman"/>
          <w:color w:val="000000" w:themeColor="text1"/>
          <w:sz w:val="20"/>
          <w:szCs w:val="20"/>
        </w:rPr>
      </w:pPr>
      <w:r w:rsidRPr="006247D3">
        <w:rPr>
          <w:rFonts w:ascii="Times New Roman"/>
          <w:color w:val="000000" w:themeColor="text1"/>
          <w:sz w:val="20"/>
          <w:szCs w:val="20"/>
        </w:rPr>
        <w:t>The reliability analysis shows that all constructs achieved Cronbach’s Alpha values above the recommended threshold of 0.7, indicating acceptable internal consistency (Nunnally &amp; Bernstein, 1994). Export Promotion Incentives recorded a high reliability level (α = 0.889), while Firm Performance attained the highest internal consistency (α = 0.901). Corporate Tax Incentives (α = 0.872), Government Subsidies (α = 0.846), and Capital Allowance Incentives (α = 0.811) also demonstrated strong reliability. Overall, the instruments used in the study were reliable, confirming consistency of questionnaire items and strengthening the validity of the research findings across all measured constructs.</w:t>
      </w:r>
    </w:p>
    <w:p w14:paraId="4DAC77DB" w14:textId="617303EB" w:rsidR="00716971" w:rsidRPr="006247D3" w:rsidRDefault="00716971" w:rsidP="00716971">
      <w:pPr>
        <w:spacing w:after="0" w:line="240" w:lineRule="auto"/>
        <w:jc w:val="both"/>
        <w:rPr>
          <w:rFonts w:ascii="Times New Roman"/>
          <w:b/>
          <w:bCs/>
          <w:color w:val="000000" w:themeColor="text1"/>
          <w:sz w:val="20"/>
          <w:szCs w:val="20"/>
        </w:rPr>
      </w:pPr>
      <w:r w:rsidRPr="006247D3">
        <w:rPr>
          <w:rFonts w:ascii="Times New Roman"/>
          <w:b/>
          <w:bCs/>
          <w:color w:val="000000" w:themeColor="text1"/>
          <w:sz w:val="20"/>
          <w:szCs w:val="20"/>
        </w:rPr>
        <w:t>Table 2: Reliability Test Results</w:t>
      </w:r>
    </w:p>
    <w:tbl>
      <w:tblPr>
        <w:tblStyle w:val="TableGrid"/>
        <w:tblW w:w="0" w:type="auto"/>
        <w:tblLook w:val="04A0" w:firstRow="1" w:lastRow="0" w:firstColumn="1" w:lastColumn="0" w:noHBand="0" w:noVBand="1"/>
      </w:tblPr>
      <w:tblGrid>
        <w:gridCol w:w="2582"/>
        <w:gridCol w:w="1789"/>
        <w:gridCol w:w="1255"/>
        <w:gridCol w:w="1488"/>
      </w:tblGrid>
      <w:tr w:rsidR="00716971" w:rsidRPr="006247D3" w14:paraId="702340C5" w14:textId="77777777" w:rsidTr="00716971">
        <w:tc>
          <w:tcPr>
            <w:tcW w:w="0" w:type="auto"/>
            <w:hideMark/>
          </w:tcPr>
          <w:p w14:paraId="6C7EDB28" w14:textId="77777777" w:rsidR="00716971" w:rsidRPr="006247D3" w:rsidRDefault="00716971" w:rsidP="00716971">
            <w:pPr>
              <w:jc w:val="both"/>
              <w:rPr>
                <w:rFonts w:ascii="Times New Roman"/>
                <w:b/>
                <w:bCs/>
                <w:color w:val="000000" w:themeColor="text1"/>
                <w:sz w:val="20"/>
              </w:rPr>
            </w:pPr>
            <w:r w:rsidRPr="006247D3">
              <w:rPr>
                <w:rFonts w:ascii="Times New Roman"/>
                <w:b/>
                <w:bCs/>
                <w:color w:val="000000" w:themeColor="text1"/>
                <w:sz w:val="20"/>
              </w:rPr>
              <w:t>Construct</w:t>
            </w:r>
          </w:p>
        </w:tc>
        <w:tc>
          <w:tcPr>
            <w:tcW w:w="0" w:type="auto"/>
            <w:hideMark/>
          </w:tcPr>
          <w:p w14:paraId="59AA7C20" w14:textId="77777777" w:rsidR="00716971" w:rsidRPr="006247D3" w:rsidRDefault="00716971" w:rsidP="00716971">
            <w:pPr>
              <w:jc w:val="both"/>
              <w:rPr>
                <w:rFonts w:ascii="Times New Roman"/>
                <w:b/>
                <w:bCs/>
                <w:color w:val="000000" w:themeColor="text1"/>
                <w:sz w:val="20"/>
              </w:rPr>
            </w:pPr>
            <w:r w:rsidRPr="006247D3">
              <w:rPr>
                <w:rFonts w:ascii="Times New Roman"/>
                <w:b/>
                <w:bCs/>
                <w:color w:val="000000" w:themeColor="text1"/>
                <w:sz w:val="20"/>
              </w:rPr>
              <w:t>Cronbach’s Alpha</w:t>
            </w:r>
          </w:p>
        </w:tc>
        <w:tc>
          <w:tcPr>
            <w:tcW w:w="0" w:type="auto"/>
            <w:hideMark/>
          </w:tcPr>
          <w:p w14:paraId="7C68B55B" w14:textId="77777777" w:rsidR="00716971" w:rsidRPr="006247D3" w:rsidRDefault="00716971" w:rsidP="00716971">
            <w:pPr>
              <w:jc w:val="both"/>
              <w:rPr>
                <w:rFonts w:ascii="Times New Roman"/>
                <w:b/>
                <w:bCs/>
                <w:color w:val="000000" w:themeColor="text1"/>
                <w:sz w:val="20"/>
              </w:rPr>
            </w:pPr>
            <w:r w:rsidRPr="006247D3">
              <w:rPr>
                <w:rFonts w:ascii="Times New Roman"/>
                <w:b/>
                <w:bCs/>
                <w:color w:val="000000" w:themeColor="text1"/>
                <w:sz w:val="20"/>
              </w:rPr>
              <w:t>No. of Items</w:t>
            </w:r>
          </w:p>
        </w:tc>
        <w:tc>
          <w:tcPr>
            <w:tcW w:w="0" w:type="auto"/>
            <w:hideMark/>
          </w:tcPr>
          <w:p w14:paraId="58026D2D" w14:textId="77777777" w:rsidR="00716971" w:rsidRPr="006247D3" w:rsidRDefault="00716971" w:rsidP="00716971">
            <w:pPr>
              <w:jc w:val="both"/>
              <w:rPr>
                <w:rFonts w:ascii="Times New Roman"/>
                <w:b/>
                <w:bCs/>
                <w:color w:val="000000" w:themeColor="text1"/>
                <w:sz w:val="20"/>
              </w:rPr>
            </w:pPr>
            <w:r w:rsidRPr="006247D3">
              <w:rPr>
                <w:rFonts w:ascii="Times New Roman"/>
                <w:b/>
                <w:bCs/>
                <w:color w:val="000000" w:themeColor="text1"/>
                <w:sz w:val="20"/>
              </w:rPr>
              <w:t>Interpretation</w:t>
            </w:r>
          </w:p>
        </w:tc>
      </w:tr>
      <w:tr w:rsidR="00716971" w:rsidRPr="006247D3" w14:paraId="7E5EBB75" w14:textId="77777777" w:rsidTr="00716971">
        <w:tc>
          <w:tcPr>
            <w:tcW w:w="0" w:type="auto"/>
            <w:hideMark/>
          </w:tcPr>
          <w:p w14:paraId="1378B536"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Corporate Tax Incentives</w:t>
            </w:r>
          </w:p>
        </w:tc>
        <w:tc>
          <w:tcPr>
            <w:tcW w:w="0" w:type="auto"/>
            <w:hideMark/>
          </w:tcPr>
          <w:p w14:paraId="18CCA4F9"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0.872</w:t>
            </w:r>
          </w:p>
        </w:tc>
        <w:tc>
          <w:tcPr>
            <w:tcW w:w="0" w:type="auto"/>
            <w:hideMark/>
          </w:tcPr>
          <w:p w14:paraId="7DE19B73"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6</w:t>
            </w:r>
          </w:p>
        </w:tc>
        <w:tc>
          <w:tcPr>
            <w:tcW w:w="0" w:type="auto"/>
            <w:hideMark/>
          </w:tcPr>
          <w:p w14:paraId="5315976B"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Reliable</w:t>
            </w:r>
          </w:p>
        </w:tc>
      </w:tr>
      <w:tr w:rsidR="00716971" w:rsidRPr="006247D3" w14:paraId="1A1B674E" w14:textId="77777777" w:rsidTr="00716971">
        <w:tc>
          <w:tcPr>
            <w:tcW w:w="0" w:type="auto"/>
            <w:hideMark/>
          </w:tcPr>
          <w:p w14:paraId="134A84AC"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Government Subsidies</w:t>
            </w:r>
          </w:p>
        </w:tc>
        <w:tc>
          <w:tcPr>
            <w:tcW w:w="0" w:type="auto"/>
            <w:hideMark/>
          </w:tcPr>
          <w:p w14:paraId="2CD0760E"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0.846</w:t>
            </w:r>
          </w:p>
        </w:tc>
        <w:tc>
          <w:tcPr>
            <w:tcW w:w="0" w:type="auto"/>
            <w:hideMark/>
          </w:tcPr>
          <w:p w14:paraId="544DBA12"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6</w:t>
            </w:r>
          </w:p>
        </w:tc>
        <w:tc>
          <w:tcPr>
            <w:tcW w:w="0" w:type="auto"/>
            <w:hideMark/>
          </w:tcPr>
          <w:p w14:paraId="44E82D37"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Reliable</w:t>
            </w:r>
          </w:p>
        </w:tc>
      </w:tr>
      <w:tr w:rsidR="00716971" w:rsidRPr="006247D3" w14:paraId="459E6E4D" w14:textId="77777777" w:rsidTr="00716971">
        <w:tc>
          <w:tcPr>
            <w:tcW w:w="0" w:type="auto"/>
            <w:hideMark/>
          </w:tcPr>
          <w:p w14:paraId="2856EA63"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Export Promotion Incentives</w:t>
            </w:r>
          </w:p>
        </w:tc>
        <w:tc>
          <w:tcPr>
            <w:tcW w:w="0" w:type="auto"/>
            <w:hideMark/>
          </w:tcPr>
          <w:p w14:paraId="296AA3A5"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0.889</w:t>
            </w:r>
          </w:p>
        </w:tc>
        <w:tc>
          <w:tcPr>
            <w:tcW w:w="0" w:type="auto"/>
            <w:hideMark/>
          </w:tcPr>
          <w:p w14:paraId="7B14B5F2"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6</w:t>
            </w:r>
          </w:p>
        </w:tc>
        <w:tc>
          <w:tcPr>
            <w:tcW w:w="0" w:type="auto"/>
            <w:hideMark/>
          </w:tcPr>
          <w:p w14:paraId="64951047"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Highly Reliable</w:t>
            </w:r>
          </w:p>
        </w:tc>
      </w:tr>
      <w:tr w:rsidR="00716971" w:rsidRPr="006247D3" w14:paraId="4632BF30" w14:textId="77777777" w:rsidTr="00716971">
        <w:tc>
          <w:tcPr>
            <w:tcW w:w="0" w:type="auto"/>
            <w:hideMark/>
          </w:tcPr>
          <w:p w14:paraId="69FA5923"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Capital Allowance Incentives</w:t>
            </w:r>
          </w:p>
        </w:tc>
        <w:tc>
          <w:tcPr>
            <w:tcW w:w="0" w:type="auto"/>
            <w:hideMark/>
          </w:tcPr>
          <w:p w14:paraId="443A7366"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0.811</w:t>
            </w:r>
          </w:p>
        </w:tc>
        <w:tc>
          <w:tcPr>
            <w:tcW w:w="0" w:type="auto"/>
            <w:hideMark/>
          </w:tcPr>
          <w:p w14:paraId="1169E82C"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6</w:t>
            </w:r>
          </w:p>
        </w:tc>
        <w:tc>
          <w:tcPr>
            <w:tcW w:w="0" w:type="auto"/>
            <w:hideMark/>
          </w:tcPr>
          <w:p w14:paraId="26FCAAD7"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Reliable</w:t>
            </w:r>
          </w:p>
        </w:tc>
      </w:tr>
      <w:tr w:rsidR="00716971" w:rsidRPr="006247D3" w14:paraId="57E57EF5" w14:textId="77777777" w:rsidTr="00716971">
        <w:tc>
          <w:tcPr>
            <w:tcW w:w="0" w:type="auto"/>
            <w:hideMark/>
          </w:tcPr>
          <w:p w14:paraId="23DD8069"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Firm Performance</w:t>
            </w:r>
          </w:p>
        </w:tc>
        <w:tc>
          <w:tcPr>
            <w:tcW w:w="0" w:type="auto"/>
            <w:hideMark/>
          </w:tcPr>
          <w:p w14:paraId="03940C2C"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0.901</w:t>
            </w:r>
          </w:p>
        </w:tc>
        <w:tc>
          <w:tcPr>
            <w:tcW w:w="0" w:type="auto"/>
            <w:hideMark/>
          </w:tcPr>
          <w:p w14:paraId="61A3A729"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7</w:t>
            </w:r>
          </w:p>
        </w:tc>
        <w:tc>
          <w:tcPr>
            <w:tcW w:w="0" w:type="auto"/>
            <w:hideMark/>
          </w:tcPr>
          <w:p w14:paraId="5E50AC0E"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Highly Reliable</w:t>
            </w:r>
          </w:p>
        </w:tc>
      </w:tr>
    </w:tbl>
    <w:p w14:paraId="438CC050" w14:textId="77777777" w:rsidR="00337EF2" w:rsidRPr="006247D3" w:rsidRDefault="00337EF2" w:rsidP="002957C2">
      <w:pPr>
        <w:spacing w:after="0" w:line="240" w:lineRule="auto"/>
        <w:jc w:val="both"/>
        <w:rPr>
          <w:rFonts w:ascii="Times New Roman"/>
          <w:color w:val="000000" w:themeColor="text1"/>
          <w:sz w:val="20"/>
          <w:szCs w:val="20"/>
        </w:rPr>
      </w:pPr>
    </w:p>
    <w:p w14:paraId="3798886B" w14:textId="3DFBFE91" w:rsidR="00716971" w:rsidRPr="006247D3" w:rsidRDefault="00716971" w:rsidP="00716971">
      <w:pPr>
        <w:spacing w:after="0" w:line="240" w:lineRule="auto"/>
        <w:jc w:val="both"/>
        <w:rPr>
          <w:rFonts w:ascii="Times New Roman"/>
          <w:b/>
          <w:bCs/>
          <w:color w:val="000000" w:themeColor="text1"/>
          <w:sz w:val="20"/>
          <w:szCs w:val="20"/>
        </w:rPr>
      </w:pPr>
      <w:r w:rsidRPr="006247D3">
        <w:rPr>
          <w:rFonts w:ascii="Times New Roman"/>
          <w:b/>
          <w:bCs/>
          <w:color w:val="000000" w:themeColor="text1"/>
          <w:sz w:val="20"/>
          <w:szCs w:val="20"/>
        </w:rPr>
        <w:t>Correlation Analysis</w:t>
      </w:r>
    </w:p>
    <w:p w14:paraId="71B64FA7" w14:textId="6CA50C46" w:rsidR="00716971" w:rsidRPr="006247D3" w:rsidRDefault="00716971" w:rsidP="00716971">
      <w:pPr>
        <w:spacing w:after="0" w:line="240" w:lineRule="auto"/>
        <w:jc w:val="both"/>
        <w:rPr>
          <w:rFonts w:ascii="Times New Roman"/>
          <w:color w:val="000000" w:themeColor="text1"/>
          <w:sz w:val="20"/>
          <w:szCs w:val="20"/>
        </w:rPr>
      </w:pPr>
      <w:r w:rsidRPr="006247D3">
        <w:rPr>
          <w:rFonts w:ascii="Times New Roman"/>
          <w:color w:val="000000" w:themeColor="text1"/>
          <w:sz w:val="20"/>
          <w:szCs w:val="20"/>
        </w:rPr>
        <w:t xml:space="preserve">This study employed Pearson correlation analysis to examine the strength and direction of relationships between tax incentives and the performance of Export Processing Zone (EPZ) firms. The variables assessed included corporate tax incentives, government subsidies, export promotion incentives, and capital allowance incentives. The results, presented in Table </w:t>
      </w:r>
      <w:r w:rsidR="00E42C5E">
        <w:rPr>
          <w:rFonts w:ascii="Times New Roman"/>
          <w:color w:val="000000" w:themeColor="text1"/>
          <w:sz w:val="20"/>
          <w:szCs w:val="20"/>
        </w:rPr>
        <w:t>3</w:t>
      </w:r>
      <w:r w:rsidRPr="006247D3">
        <w:rPr>
          <w:rFonts w:ascii="Times New Roman"/>
          <w:color w:val="000000" w:themeColor="text1"/>
          <w:sz w:val="20"/>
          <w:szCs w:val="20"/>
        </w:rPr>
        <w:t>, indicate that all tax incentive variables were positively and significantly associated with firm performance at the 0.05 significance level.</w:t>
      </w:r>
    </w:p>
    <w:p w14:paraId="7A1AB140" w14:textId="77777777" w:rsidR="00716971" w:rsidRPr="006247D3" w:rsidRDefault="00716971" w:rsidP="00716971">
      <w:pPr>
        <w:spacing w:before="240" w:after="0" w:line="240" w:lineRule="auto"/>
        <w:jc w:val="both"/>
        <w:rPr>
          <w:rFonts w:ascii="Times New Roman"/>
          <w:color w:val="000000" w:themeColor="text1"/>
          <w:sz w:val="20"/>
          <w:szCs w:val="20"/>
        </w:rPr>
      </w:pPr>
      <w:r w:rsidRPr="006247D3">
        <w:rPr>
          <w:rFonts w:ascii="Times New Roman"/>
          <w:color w:val="000000" w:themeColor="text1"/>
          <w:sz w:val="20"/>
          <w:szCs w:val="20"/>
        </w:rPr>
        <w:t>Export promotion incentives exhibited the strongest positive correlation with firm performance (r = 0.703, p &lt; 0.05). This suggests that policies aimed at improving international market access, enhancing export competitiveness, and facilitating trade participation play a crucial role in improving firm outcomes. Capital allowance incentives also demonstrated a strong positive relationship with firm performance (r = 0.685, p &lt; 0.05), indicating that deductions on capital expenditure encourage investment in machinery, technology, and expansion, thereby improving productivity and efficiency.</w:t>
      </w:r>
    </w:p>
    <w:p w14:paraId="6D0EE08E" w14:textId="77777777" w:rsidR="00716971" w:rsidRPr="006247D3" w:rsidRDefault="00716971" w:rsidP="00716971">
      <w:pPr>
        <w:spacing w:before="240" w:after="0" w:line="240" w:lineRule="auto"/>
        <w:jc w:val="both"/>
        <w:rPr>
          <w:rFonts w:ascii="Times New Roman"/>
          <w:color w:val="000000" w:themeColor="text1"/>
          <w:sz w:val="20"/>
          <w:szCs w:val="20"/>
        </w:rPr>
      </w:pPr>
      <w:r w:rsidRPr="006247D3">
        <w:rPr>
          <w:rFonts w:ascii="Times New Roman"/>
          <w:color w:val="000000" w:themeColor="text1"/>
          <w:sz w:val="20"/>
          <w:szCs w:val="20"/>
        </w:rPr>
        <w:t>Corporate tax incentives were likewise strongly and positively correlated with firm performance (r = 0.642, p &lt; 0.05). This implies that reduced corporate tax rates, tax holidays, and other relief measures significantly enhance profitability, reinvestment capacity, and business expansion. Government subsidies showed a moderate but statistically significant positive relationship with firm performance (r = 0.518, p &lt; 0.05), suggesting that financial support from government reduces operational costs, improves liquidity, and supports production efficiency.</w:t>
      </w:r>
    </w:p>
    <w:p w14:paraId="6EC98E9C" w14:textId="77777777" w:rsidR="00716971" w:rsidRPr="006247D3" w:rsidRDefault="00716971" w:rsidP="00716971">
      <w:pPr>
        <w:spacing w:after="0" w:line="240" w:lineRule="auto"/>
        <w:jc w:val="both"/>
        <w:rPr>
          <w:rFonts w:ascii="Times New Roman"/>
          <w:color w:val="000000" w:themeColor="text1"/>
          <w:sz w:val="20"/>
          <w:szCs w:val="20"/>
        </w:rPr>
      </w:pPr>
      <w:r w:rsidRPr="006247D3">
        <w:rPr>
          <w:rFonts w:ascii="Times New Roman"/>
          <w:color w:val="000000" w:themeColor="text1"/>
          <w:sz w:val="20"/>
          <w:szCs w:val="20"/>
        </w:rPr>
        <w:t>Overall, the correlation findings confirm that all categories of tax incentives contribute positively to EPZ firm performance, with export promotion incentives having the greatest influence. These findings align with earlier studies by Ngugi and Owino (2021), Kinyua (2020), and Muriuki (2022), which similarly established that tax reliefs and government support mechanisms enhance firm performance, investment levels, and export competitiveness.</w:t>
      </w:r>
    </w:p>
    <w:p w14:paraId="4570ED95" w14:textId="442C5CA2" w:rsidR="00716971" w:rsidRPr="006247D3" w:rsidRDefault="00716971" w:rsidP="00716971">
      <w:pPr>
        <w:spacing w:after="0" w:line="240" w:lineRule="auto"/>
        <w:jc w:val="both"/>
        <w:rPr>
          <w:rFonts w:ascii="Times New Roman"/>
          <w:b/>
          <w:bCs/>
          <w:color w:val="000000" w:themeColor="text1"/>
          <w:sz w:val="20"/>
          <w:szCs w:val="20"/>
        </w:rPr>
      </w:pPr>
      <w:r w:rsidRPr="006247D3">
        <w:rPr>
          <w:rFonts w:ascii="Times New Roman"/>
          <w:b/>
          <w:bCs/>
          <w:color w:val="000000" w:themeColor="text1"/>
          <w:sz w:val="20"/>
          <w:szCs w:val="20"/>
        </w:rPr>
        <w:t>Table 3: Correlation between Tax Incentives and Firm Performance</w:t>
      </w:r>
    </w:p>
    <w:tbl>
      <w:tblPr>
        <w:tblStyle w:val="TableGrid"/>
        <w:tblW w:w="0" w:type="auto"/>
        <w:tblLook w:val="04A0" w:firstRow="1" w:lastRow="0" w:firstColumn="1" w:lastColumn="0" w:noHBand="0" w:noVBand="1"/>
      </w:tblPr>
      <w:tblGrid>
        <w:gridCol w:w="2516"/>
        <w:gridCol w:w="2082"/>
      </w:tblGrid>
      <w:tr w:rsidR="00716971" w:rsidRPr="006247D3" w14:paraId="42309EB9" w14:textId="77777777" w:rsidTr="00716971">
        <w:tc>
          <w:tcPr>
            <w:tcW w:w="0" w:type="auto"/>
            <w:hideMark/>
          </w:tcPr>
          <w:p w14:paraId="18575129" w14:textId="77777777" w:rsidR="00716971" w:rsidRPr="006247D3" w:rsidRDefault="00716971" w:rsidP="00716971">
            <w:pPr>
              <w:jc w:val="both"/>
              <w:rPr>
                <w:rFonts w:ascii="Times New Roman"/>
                <w:b/>
                <w:bCs/>
                <w:color w:val="000000" w:themeColor="text1"/>
                <w:sz w:val="20"/>
              </w:rPr>
            </w:pPr>
            <w:r w:rsidRPr="006247D3">
              <w:rPr>
                <w:rFonts w:ascii="Times New Roman"/>
                <w:b/>
                <w:bCs/>
                <w:color w:val="000000" w:themeColor="text1"/>
                <w:sz w:val="20"/>
              </w:rPr>
              <w:t>Variables</w:t>
            </w:r>
          </w:p>
        </w:tc>
        <w:tc>
          <w:tcPr>
            <w:tcW w:w="0" w:type="auto"/>
            <w:hideMark/>
          </w:tcPr>
          <w:p w14:paraId="68D1582D" w14:textId="77777777" w:rsidR="00716971" w:rsidRPr="006247D3" w:rsidRDefault="00716971" w:rsidP="00716971">
            <w:pPr>
              <w:jc w:val="both"/>
              <w:rPr>
                <w:rFonts w:ascii="Times New Roman"/>
                <w:b/>
                <w:bCs/>
                <w:color w:val="000000" w:themeColor="text1"/>
                <w:sz w:val="20"/>
              </w:rPr>
            </w:pPr>
            <w:r w:rsidRPr="006247D3">
              <w:rPr>
                <w:rFonts w:ascii="Times New Roman"/>
                <w:b/>
                <w:bCs/>
                <w:color w:val="000000" w:themeColor="text1"/>
                <w:sz w:val="20"/>
              </w:rPr>
              <w:t>Firm Performance (r)</w:t>
            </w:r>
          </w:p>
        </w:tc>
      </w:tr>
      <w:tr w:rsidR="00716971" w:rsidRPr="006247D3" w14:paraId="292A53E0" w14:textId="77777777" w:rsidTr="00716971">
        <w:tc>
          <w:tcPr>
            <w:tcW w:w="0" w:type="auto"/>
            <w:hideMark/>
          </w:tcPr>
          <w:p w14:paraId="5E45FA05"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Corporate tax incentives</w:t>
            </w:r>
          </w:p>
        </w:tc>
        <w:tc>
          <w:tcPr>
            <w:tcW w:w="0" w:type="auto"/>
            <w:hideMark/>
          </w:tcPr>
          <w:p w14:paraId="3D95715A"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0.642**</w:t>
            </w:r>
          </w:p>
        </w:tc>
      </w:tr>
      <w:tr w:rsidR="00716971" w:rsidRPr="006247D3" w14:paraId="0661BAE7" w14:textId="77777777" w:rsidTr="00716971">
        <w:tc>
          <w:tcPr>
            <w:tcW w:w="0" w:type="auto"/>
            <w:hideMark/>
          </w:tcPr>
          <w:p w14:paraId="57E08B78"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Government subsidies</w:t>
            </w:r>
          </w:p>
        </w:tc>
        <w:tc>
          <w:tcPr>
            <w:tcW w:w="0" w:type="auto"/>
            <w:hideMark/>
          </w:tcPr>
          <w:p w14:paraId="5C53654A"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0.518**</w:t>
            </w:r>
          </w:p>
        </w:tc>
      </w:tr>
      <w:tr w:rsidR="00716971" w:rsidRPr="006247D3" w14:paraId="0812306C" w14:textId="77777777" w:rsidTr="00716971">
        <w:tc>
          <w:tcPr>
            <w:tcW w:w="0" w:type="auto"/>
            <w:hideMark/>
          </w:tcPr>
          <w:p w14:paraId="6E4BDC6C"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Export promotion incentives</w:t>
            </w:r>
          </w:p>
        </w:tc>
        <w:tc>
          <w:tcPr>
            <w:tcW w:w="0" w:type="auto"/>
            <w:hideMark/>
          </w:tcPr>
          <w:p w14:paraId="6F541763"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0.703**</w:t>
            </w:r>
          </w:p>
        </w:tc>
      </w:tr>
      <w:tr w:rsidR="00716971" w:rsidRPr="006247D3" w14:paraId="0CAE114E" w14:textId="77777777" w:rsidTr="00716971">
        <w:tc>
          <w:tcPr>
            <w:tcW w:w="0" w:type="auto"/>
            <w:hideMark/>
          </w:tcPr>
          <w:p w14:paraId="3CD851A9"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Capital allowance incentives</w:t>
            </w:r>
          </w:p>
        </w:tc>
        <w:tc>
          <w:tcPr>
            <w:tcW w:w="0" w:type="auto"/>
            <w:hideMark/>
          </w:tcPr>
          <w:p w14:paraId="51C1A399" w14:textId="77777777" w:rsidR="00716971" w:rsidRPr="006247D3" w:rsidRDefault="00716971" w:rsidP="00716971">
            <w:pPr>
              <w:jc w:val="both"/>
              <w:rPr>
                <w:rFonts w:ascii="Times New Roman"/>
                <w:color w:val="000000" w:themeColor="text1"/>
                <w:sz w:val="20"/>
              </w:rPr>
            </w:pPr>
            <w:r w:rsidRPr="006247D3">
              <w:rPr>
                <w:rFonts w:ascii="Times New Roman"/>
                <w:color w:val="000000" w:themeColor="text1"/>
                <w:sz w:val="20"/>
              </w:rPr>
              <w:t>0.685**</w:t>
            </w:r>
          </w:p>
        </w:tc>
      </w:tr>
    </w:tbl>
    <w:p w14:paraId="0CDAA652" w14:textId="77777777" w:rsidR="00716971" w:rsidRPr="006247D3" w:rsidRDefault="00716971" w:rsidP="00716971">
      <w:pPr>
        <w:spacing w:after="0" w:line="240" w:lineRule="auto"/>
        <w:jc w:val="both"/>
        <w:rPr>
          <w:rFonts w:ascii="Times New Roman"/>
          <w:color w:val="000000" w:themeColor="text1"/>
          <w:sz w:val="20"/>
          <w:szCs w:val="20"/>
        </w:rPr>
      </w:pPr>
      <w:r w:rsidRPr="006247D3">
        <w:rPr>
          <w:rFonts w:ascii="Times New Roman"/>
          <w:b/>
          <w:bCs/>
          <w:color w:val="000000" w:themeColor="text1"/>
          <w:sz w:val="20"/>
          <w:szCs w:val="20"/>
        </w:rPr>
        <w:t>Note:</w:t>
      </w:r>
      <w:r w:rsidRPr="006247D3">
        <w:rPr>
          <w:rFonts w:ascii="Times New Roman"/>
          <w:color w:val="000000" w:themeColor="text1"/>
          <w:sz w:val="20"/>
          <w:szCs w:val="20"/>
        </w:rPr>
        <w:t xml:space="preserve"> </w:t>
      </w:r>
      <w:r w:rsidRPr="006247D3">
        <w:rPr>
          <w:rFonts w:ascii="Times New Roman"/>
          <w:b/>
          <w:bCs/>
          <w:color w:val="000000" w:themeColor="text1"/>
          <w:sz w:val="20"/>
          <w:szCs w:val="20"/>
        </w:rPr>
        <w:t>Correlation is significant at the 0.05 level</w:t>
      </w:r>
    </w:p>
    <w:p w14:paraId="641482FD" w14:textId="77777777" w:rsidR="00716971" w:rsidRPr="006247D3" w:rsidRDefault="00716971" w:rsidP="00716971">
      <w:pPr>
        <w:spacing w:after="0" w:line="240" w:lineRule="auto"/>
        <w:jc w:val="both"/>
        <w:rPr>
          <w:rFonts w:ascii="Times New Roman"/>
          <w:color w:val="000000" w:themeColor="text1"/>
          <w:sz w:val="20"/>
          <w:szCs w:val="20"/>
        </w:rPr>
      </w:pPr>
    </w:p>
    <w:p w14:paraId="067A86CF" w14:textId="01F20373" w:rsidR="00716971" w:rsidRPr="006247D3" w:rsidRDefault="00716971" w:rsidP="00716971">
      <w:pPr>
        <w:spacing w:after="0" w:line="240" w:lineRule="auto"/>
        <w:jc w:val="both"/>
        <w:rPr>
          <w:rFonts w:ascii="Times New Roman"/>
          <w:b/>
          <w:bCs/>
          <w:color w:val="000000" w:themeColor="text1"/>
          <w:sz w:val="20"/>
          <w:szCs w:val="20"/>
        </w:rPr>
      </w:pPr>
      <w:r w:rsidRPr="006247D3">
        <w:rPr>
          <w:rFonts w:ascii="Times New Roman"/>
          <w:b/>
          <w:bCs/>
          <w:color w:val="000000" w:themeColor="text1"/>
          <w:sz w:val="20"/>
          <w:szCs w:val="20"/>
        </w:rPr>
        <w:lastRenderedPageBreak/>
        <w:t>Panel Regression Analysis</w:t>
      </w:r>
    </w:p>
    <w:p w14:paraId="259279DC" w14:textId="3C7AF698" w:rsidR="00716971" w:rsidRPr="006247D3" w:rsidRDefault="00716971" w:rsidP="00716971">
      <w:pPr>
        <w:spacing w:after="0" w:line="240" w:lineRule="auto"/>
        <w:jc w:val="both"/>
        <w:rPr>
          <w:rFonts w:ascii="Times New Roman"/>
          <w:b/>
          <w:bCs/>
          <w:color w:val="000000" w:themeColor="text1"/>
          <w:sz w:val="20"/>
          <w:szCs w:val="20"/>
        </w:rPr>
      </w:pPr>
      <w:r w:rsidRPr="006247D3">
        <w:rPr>
          <w:rFonts w:ascii="Times New Roman"/>
          <w:b/>
          <w:bCs/>
          <w:color w:val="000000" w:themeColor="text1"/>
          <w:sz w:val="20"/>
          <w:szCs w:val="20"/>
        </w:rPr>
        <w:t>Model Summary</w:t>
      </w:r>
    </w:p>
    <w:p w14:paraId="7F59AB69" w14:textId="77777777" w:rsidR="00716971" w:rsidRPr="006247D3" w:rsidRDefault="00716971" w:rsidP="00716971">
      <w:pPr>
        <w:spacing w:after="0" w:line="240" w:lineRule="auto"/>
        <w:jc w:val="both"/>
        <w:rPr>
          <w:rFonts w:ascii="Times New Roman"/>
          <w:color w:val="000000" w:themeColor="text1"/>
          <w:sz w:val="20"/>
          <w:szCs w:val="20"/>
        </w:rPr>
      </w:pPr>
      <w:r w:rsidRPr="006247D3">
        <w:rPr>
          <w:rFonts w:ascii="Times New Roman"/>
          <w:color w:val="000000" w:themeColor="text1"/>
          <w:sz w:val="20"/>
          <w:szCs w:val="20"/>
        </w:rPr>
        <w:t>The panel regression analysis was conducted to determine the extent to which tax incentives explain variations in EPZ firm performance. The results show that the model explains 62.7% of the variation in firm performance (R² = 0.627), while the adjusted R² of 0.619 indicates that approximately 61.9% of the variation is explained by the included independent variables after adjusting for model complexity. The remaining variation is explained by factors not included in the model.</w:t>
      </w:r>
    </w:p>
    <w:p w14:paraId="2E11C7B8" w14:textId="77777777" w:rsidR="00716971" w:rsidRPr="006247D3" w:rsidRDefault="00716971" w:rsidP="00716971">
      <w:pPr>
        <w:spacing w:before="240" w:after="0" w:line="240" w:lineRule="auto"/>
        <w:jc w:val="both"/>
        <w:rPr>
          <w:rFonts w:ascii="Times New Roman"/>
          <w:color w:val="000000" w:themeColor="text1"/>
          <w:sz w:val="20"/>
          <w:szCs w:val="20"/>
        </w:rPr>
      </w:pPr>
      <w:r w:rsidRPr="006247D3">
        <w:rPr>
          <w:rFonts w:ascii="Times New Roman"/>
          <w:color w:val="000000" w:themeColor="text1"/>
          <w:sz w:val="20"/>
          <w:szCs w:val="20"/>
        </w:rPr>
        <w:t>The correlation coefficient (R = 0.792) indicates a strong positive relationship between the combined tax incentives and firm performance. The standard error of 0.284 suggests a good model fit, indicating that predicted values are relatively close to observed values. Overall, the model demonstrates that tax incentives play a substantial role in enhancing EPZ firm performance by improving profitability, investment capacity, operational efficiency, and liquidity.</w:t>
      </w:r>
    </w:p>
    <w:p w14:paraId="7B2798F5" w14:textId="77777777" w:rsidR="00716971" w:rsidRPr="006247D3" w:rsidRDefault="00716971" w:rsidP="00716971">
      <w:pPr>
        <w:spacing w:before="240" w:after="0" w:line="240" w:lineRule="auto"/>
        <w:jc w:val="both"/>
        <w:rPr>
          <w:rFonts w:ascii="Times New Roman"/>
          <w:color w:val="000000" w:themeColor="text1"/>
          <w:sz w:val="20"/>
          <w:szCs w:val="20"/>
        </w:rPr>
      </w:pPr>
      <w:r w:rsidRPr="006247D3">
        <w:rPr>
          <w:rFonts w:ascii="Times New Roman"/>
          <w:color w:val="000000" w:themeColor="text1"/>
          <w:sz w:val="20"/>
          <w:szCs w:val="20"/>
        </w:rPr>
        <w:t>These findings imply that maintaining and strengthening tax incentive frameworks is essential for sustaining growth in export-oriented industries. In particular, consistent policy implementation supports capital investment, export expansion, and cost reduction, thereby enhancing long-term firm stability and competitiveness.</w:t>
      </w:r>
    </w:p>
    <w:p w14:paraId="3FB7E485" w14:textId="77777777" w:rsidR="00716971" w:rsidRPr="006247D3" w:rsidRDefault="00716971" w:rsidP="00716971">
      <w:pPr>
        <w:spacing w:line="240" w:lineRule="auto"/>
        <w:jc w:val="both"/>
        <w:rPr>
          <w:b/>
          <w:color w:val="0D0D0D"/>
          <w:szCs w:val="24"/>
        </w:rPr>
      </w:pPr>
    </w:p>
    <w:p w14:paraId="44305095" w14:textId="7F38847A" w:rsidR="00716971" w:rsidRPr="006247D3" w:rsidRDefault="00716971" w:rsidP="00716971">
      <w:pPr>
        <w:spacing w:line="480" w:lineRule="auto"/>
        <w:jc w:val="both"/>
        <w:rPr>
          <w:rFonts w:ascii="Times New Roman"/>
          <w:b/>
          <w:color w:val="0D0D0D"/>
          <w:szCs w:val="24"/>
        </w:rPr>
      </w:pPr>
      <w:r w:rsidRPr="006247D3">
        <w:rPr>
          <w:rFonts w:ascii="Times New Roman"/>
          <w:b/>
          <w:color w:val="0D0D0D"/>
          <w:szCs w:val="24"/>
        </w:rPr>
        <w:t>Table 4: Model Summary</w:t>
      </w:r>
    </w:p>
    <w:tbl>
      <w:tblPr>
        <w:tblStyle w:val="TableGrid"/>
        <w:tblW w:w="0" w:type="auto"/>
        <w:tblLook w:val="04A0" w:firstRow="1" w:lastRow="0" w:firstColumn="1" w:lastColumn="0" w:noHBand="0" w:noVBand="1"/>
      </w:tblPr>
      <w:tblGrid>
        <w:gridCol w:w="666"/>
        <w:gridCol w:w="666"/>
        <w:gridCol w:w="1289"/>
        <w:gridCol w:w="1105"/>
      </w:tblGrid>
      <w:tr w:rsidR="006969A4" w:rsidRPr="006247D3" w14:paraId="2F48BFAF" w14:textId="77777777" w:rsidTr="006969A4">
        <w:tc>
          <w:tcPr>
            <w:tcW w:w="0" w:type="auto"/>
            <w:hideMark/>
          </w:tcPr>
          <w:p w14:paraId="683697A7" w14:textId="77777777" w:rsidR="006969A4" w:rsidRPr="006247D3" w:rsidRDefault="006969A4" w:rsidP="006969A4">
            <w:pPr>
              <w:spacing w:before="240"/>
              <w:jc w:val="both"/>
              <w:rPr>
                <w:rFonts w:ascii="Times New Roman"/>
                <w:color w:val="000000" w:themeColor="text1"/>
                <w:sz w:val="20"/>
              </w:rPr>
            </w:pPr>
            <w:r w:rsidRPr="006247D3">
              <w:rPr>
                <w:rFonts w:ascii="Times New Roman"/>
                <w:b/>
                <w:bCs/>
                <w:color w:val="000000" w:themeColor="text1"/>
                <w:sz w:val="20"/>
              </w:rPr>
              <w:t>R</w:t>
            </w:r>
          </w:p>
        </w:tc>
        <w:tc>
          <w:tcPr>
            <w:tcW w:w="0" w:type="auto"/>
            <w:hideMark/>
          </w:tcPr>
          <w:p w14:paraId="1164BF68" w14:textId="77777777" w:rsidR="006969A4" w:rsidRPr="006247D3" w:rsidRDefault="006969A4" w:rsidP="006969A4">
            <w:pPr>
              <w:spacing w:before="240"/>
              <w:jc w:val="both"/>
              <w:rPr>
                <w:rFonts w:ascii="Times New Roman"/>
                <w:color w:val="000000" w:themeColor="text1"/>
                <w:sz w:val="20"/>
              </w:rPr>
            </w:pPr>
            <w:r w:rsidRPr="006247D3">
              <w:rPr>
                <w:rFonts w:ascii="Times New Roman"/>
                <w:b/>
                <w:bCs/>
                <w:color w:val="000000" w:themeColor="text1"/>
                <w:sz w:val="20"/>
              </w:rPr>
              <w:t>R2</w:t>
            </w:r>
          </w:p>
        </w:tc>
        <w:tc>
          <w:tcPr>
            <w:tcW w:w="0" w:type="auto"/>
            <w:hideMark/>
          </w:tcPr>
          <w:p w14:paraId="610FB52C" w14:textId="77777777" w:rsidR="006969A4" w:rsidRPr="006247D3" w:rsidRDefault="006969A4" w:rsidP="006969A4">
            <w:pPr>
              <w:spacing w:before="240"/>
              <w:jc w:val="both"/>
              <w:rPr>
                <w:rFonts w:ascii="Times New Roman"/>
                <w:color w:val="000000" w:themeColor="text1"/>
                <w:sz w:val="20"/>
              </w:rPr>
            </w:pPr>
            <w:r w:rsidRPr="006247D3">
              <w:rPr>
                <w:rFonts w:ascii="Times New Roman"/>
                <w:b/>
                <w:bCs/>
                <w:color w:val="000000" w:themeColor="text1"/>
                <w:sz w:val="20"/>
              </w:rPr>
              <w:t>Adjusted R2</w:t>
            </w:r>
          </w:p>
        </w:tc>
        <w:tc>
          <w:tcPr>
            <w:tcW w:w="0" w:type="auto"/>
            <w:hideMark/>
          </w:tcPr>
          <w:p w14:paraId="32A64242" w14:textId="77777777" w:rsidR="006969A4" w:rsidRPr="006247D3" w:rsidRDefault="006969A4" w:rsidP="006969A4">
            <w:pPr>
              <w:spacing w:before="240"/>
              <w:jc w:val="both"/>
              <w:rPr>
                <w:rFonts w:ascii="Times New Roman"/>
                <w:color w:val="000000" w:themeColor="text1"/>
                <w:sz w:val="20"/>
              </w:rPr>
            </w:pPr>
            <w:r w:rsidRPr="006247D3">
              <w:rPr>
                <w:rFonts w:ascii="Times New Roman"/>
                <w:b/>
                <w:bCs/>
                <w:color w:val="000000" w:themeColor="text1"/>
                <w:sz w:val="20"/>
              </w:rPr>
              <w:t>Std. Error</w:t>
            </w:r>
          </w:p>
        </w:tc>
      </w:tr>
      <w:tr w:rsidR="006969A4" w:rsidRPr="006247D3" w14:paraId="3DAB0EAB" w14:textId="77777777" w:rsidTr="006969A4">
        <w:tc>
          <w:tcPr>
            <w:tcW w:w="0" w:type="auto"/>
            <w:hideMark/>
          </w:tcPr>
          <w:p w14:paraId="14EE7105" w14:textId="77777777" w:rsidR="006969A4" w:rsidRPr="006247D3" w:rsidRDefault="006969A4" w:rsidP="006969A4">
            <w:pPr>
              <w:spacing w:before="240"/>
              <w:jc w:val="both"/>
              <w:rPr>
                <w:rFonts w:ascii="Times New Roman"/>
                <w:color w:val="000000" w:themeColor="text1"/>
                <w:sz w:val="20"/>
              </w:rPr>
            </w:pPr>
            <w:r w:rsidRPr="006247D3">
              <w:rPr>
                <w:rFonts w:ascii="Times New Roman"/>
                <w:color w:val="000000" w:themeColor="text1"/>
                <w:sz w:val="20"/>
              </w:rPr>
              <w:t>0.792</w:t>
            </w:r>
          </w:p>
        </w:tc>
        <w:tc>
          <w:tcPr>
            <w:tcW w:w="0" w:type="auto"/>
            <w:hideMark/>
          </w:tcPr>
          <w:p w14:paraId="1A729B7E" w14:textId="77777777" w:rsidR="006969A4" w:rsidRPr="006247D3" w:rsidRDefault="006969A4" w:rsidP="006969A4">
            <w:pPr>
              <w:spacing w:before="240"/>
              <w:jc w:val="both"/>
              <w:rPr>
                <w:rFonts w:ascii="Times New Roman"/>
                <w:color w:val="000000" w:themeColor="text1"/>
                <w:sz w:val="20"/>
              </w:rPr>
            </w:pPr>
            <w:r w:rsidRPr="006247D3">
              <w:rPr>
                <w:rFonts w:ascii="Times New Roman"/>
                <w:color w:val="000000" w:themeColor="text1"/>
                <w:sz w:val="20"/>
              </w:rPr>
              <w:t>0.627</w:t>
            </w:r>
          </w:p>
        </w:tc>
        <w:tc>
          <w:tcPr>
            <w:tcW w:w="0" w:type="auto"/>
            <w:hideMark/>
          </w:tcPr>
          <w:p w14:paraId="39C3FFF9" w14:textId="77777777" w:rsidR="006969A4" w:rsidRPr="006247D3" w:rsidRDefault="006969A4" w:rsidP="006969A4">
            <w:pPr>
              <w:spacing w:before="240"/>
              <w:jc w:val="both"/>
              <w:rPr>
                <w:rFonts w:ascii="Times New Roman"/>
                <w:color w:val="000000" w:themeColor="text1"/>
                <w:sz w:val="20"/>
              </w:rPr>
            </w:pPr>
            <w:r w:rsidRPr="006247D3">
              <w:rPr>
                <w:rFonts w:ascii="Times New Roman"/>
                <w:color w:val="000000" w:themeColor="text1"/>
                <w:sz w:val="20"/>
              </w:rPr>
              <w:t>0.619</w:t>
            </w:r>
          </w:p>
        </w:tc>
        <w:tc>
          <w:tcPr>
            <w:tcW w:w="0" w:type="auto"/>
            <w:hideMark/>
          </w:tcPr>
          <w:p w14:paraId="2F3FCD13" w14:textId="77777777" w:rsidR="006969A4" w:rsidRPr="006247D3" w:rsidRDefault="006969A4" w:rsidP="006969A4">
            <w:pPr>
              <w:spacing w:before="240"/>
              <w:jc w:val="both"/>
              <w:rPr>
                <w:rFonts w:ascii="Times New Roman"/>
                <w:color w:val="000000" w:themeColor="text1"/>
                <w:sz w:val="20"/>
              </w:rPr>
            </w:pPr>
            <w:r w:rsidRPr="006247D3">
              <w:rPr>
                <w:rFonts w:ascii="Times New Roman"/>
                <w:color w:val="000000" w:themeColor="text1"/>
                <w:sz w:val="20"/>
              </w:rPr>
              <w:t>0.284</w:t>
            </w:r>
          </w:p>
        </w:tc>
      </w:tr>
    </w:tbl>
    <w:p w14:paraId="2059F291" w14:textId="40DFF4F5" w:rsidR="00716971" w:rsidRPr="006247D3" w:rsidRDefault="00716971" w:rsidP="00716971">
      <w:pPr>
        <w:spacing w:before="240" w:after="0" w:line="240" w:lineRule="auto"/>
        <w:jc w:val="both"/>
        <w:rPr>
          <w:rFonts w:ascii="Times New Roman"/>
          <w:color w:val="000000" w:themeColor="text1"/>
          <w:sz w:val="20"/>
          <w:szCs w:val="20"/>
        </w:rPr>
      </w:pPr>
    </w:p>
    <w:p w14:paraId="129CA571" w14:textId="77777777" w:rsidR="00716971" w:rsidRPr="006247D3" w:rsidRDefault="00716971" w:rsidP="00716971">
      <w:pPr>
        <w:spacing w:after="0" w:line="240" w:lineRule="auto"/>
        <w:jc w:val="both"/>
        <w:rPr>
          <w:rFonts w:ascii="Times New Roman"/>
          <w:color w:val="000000" w:themeColor="text1"/>
          <w:sz w:val="20"/>
          <w:szCs w:val="20"/>
        </w:rPr>
      </w:pPr>
    </w:p>
    <w:p w14:paraId="346B611B" w14:textId="363F35C8" w:rsidR="00716971" w:rsidRPr="006247D3" w:rsidRDefault="00716971" w:rsidP="00716971">
      <w:pPr>
        <w:spacing w:after="0" w:line="240" w:lineRule="auto"/>
        <w:jc w:val="both"/>
        <w:rPr>
          <w:rFonts w:ascii="Times New Roman"/>
          <w:b/>
          <w:bCs/>
          <w:color w:val="000000" w:themeColor="text1"/>
          <w:sz w:val="20"/>
          <w:szCs w:val="20"/>
        </w:rPr>
      </w:pPr>
      <w:r w:rsidRPr="006247D3">
        <w:rPr>
          <w:rFonts w:ascii="Times New Roman"/>
          <w:b/>
          <w:bCs/>
          <w:color w:val="000000" w:themeColor="text1"/>
          <w:sz w:val="20"/>
          <w:szCs w:val="20"/>
        </w:rPr>
        <w:t>ANOVA Results</w:t>
      </w:r>
    </w:p>
    <w:p w14:paraId="167916E3" w14:textId="77777777" w:rsidR="00716971" w:rsidRPr="006247D3" w:rsidRDefault="00716971" w:rsidP="00716971">
      <w:pPr>
        <w:spacing w:after="0" w:line="240" w:lineRule="auto"/>
        <w:jc w:val="both"/>
        <w:rPr>
          <w:rFonts w:ascii="Times New Roman"/>
          <w:color w:val="000000" w:themeColor="text1"/>
          <w:sz w:val="20"/>
          <w:szCs w:val="20"/>
        </w:rPr>
      </w:pPr>
      <w:r w:rsidRPr="006247D3">
        <w:rPr>
          <w:rFonts w:ascii="Times New Roman"/>
          <w:color w:val="000000" w:themeColor="text1"/>
          <w:sz w:val="20"/>
          <w:szCs w:val="20"/>
        </w:rPr>
        <w:t>The ANOVA results were used to assess the overall significance of the regression model. The findings confirm that the model is statistically significant, indicating that at least one of the independent variables—corporate tax incentives, government subsidies, export promotion incentives, and capital allowance incentives—has a significant effect on firm performance.</w:t>
      </w:r>
    </w:p>
    <w:p w14:paraId="3E6FC048" w14:textId="77777777" w:rsidR="00716971" w:rsidRPr="006247D3" w:rsidRDefault="00716971" w:rsidP="00716971">
      <w:pPr>
        <w:spacing w:before="240" w:after="0" w:line="240" w:lineRule="auto"/>
        <w:jc w:val="both"/>
        <w:rPr>
          <w:rFonts w:ascii="Times New Roman"/>
          <w:color w:val="000000" w:themeColor="text1"/>
          <w:sz w:val="20"/>
          <w:szCs w:val="20"/>
        </w:rPr>
      </w:pPr>
      <w:r w:rsidRPr="006247D3">
        <w:rPr>
          <w:rFonts w:ascii="Times New Roman"/>
          <w:color w:val="000000" w:themeColor="text1"/>
          <w:sz w:val="20"/>
          <w:szCs w:val="20"/>
        </w:rPr>
        <w:t>The F-statistic of 53.42 demonstrates that the model provides a strong overall fit. The regression sum of squares (47.326) explains a substantial proportion of the total variation in firm performance (75.463), while the residual sum of squares (28.137) represents variation not explained by the model. This suggests that although tax incentives significantly influence firm performance, other external and internal factors also contribute.</w:t>
      </w:r>
    </w:p>
    <w:p w14:paraId="60305E60" w14:textId="77777777" w:rsidR="00716971" w:rsidRPr="006247D3" w:rsidRDefault="00716971" w:rsidP="00716971">
      <w:pPr>
        <w:spacing w:after="0" w:line="240" w:lineRule="auto"/>
        <w:jc w:val="both"/>
        <w:rPr>
          <w:rFonts w:ascii="Times New Roman"/>
          <w:color w:val="000000" w:themeColor="text1"/>
          <w:sz w:val="20"/>
          <w:szCs w:val="20"/>
        </w:rPr>
      </w:pPr>
      <w:r w:rsidRPr="006247D3">
        <w:rPr>
          <w:rFonts w:ascii="Times New Roman"/>
          <w:color w:val="000000" w:themeColor="text1"/>
          <w:sz w:val="20"/>
          <w:szCs w:val="20"/>
        </w:rPr>
        <w:t>Overall, the ANOVA results reinforce the reliability of the regression model and confirm that tax incentives are a key determinant of EPZ firm performance in Machakos County. These findings are consistent with the correlation and model summary results, highlighting the importance of stable and effective tax policy frameworks in promoting competitiveness and growth.</w:t>
      </w:r>
    </w:p>
    <w:p w14:paraId="7B8E1ECA" w14:textId="77777777" w:rsidR="00716971" w:rsidRPr="006247D3" w:rsidRDefault="00716971" w:rsidP="00716971">
      <w:pPr>
        <w:spacing w:after="0" w:line="240" w:lineRule="auto"/>
        <w:jc w:val="both"/>
        <w:rPr>
          <w:rFonts w:ascii="Times New Roman"/>
          <w:color w:val="000000" w:themeColor="text1"/>
          <w:sz w:val="20"/>
          <w:szCs w:val="20"/>
        </w:rPr>
      </w:pPr>
    </w:p>
    <w:p w14:paraId="20DFC929" w14:textId="73D08B55" w:rsidR="00716971" w:rsidRPr="006247D3" w:rsidRDefault="00716971" w:rsidP="00716971">
      <w:pPr>
        <w:spacing w:after="0" w:line="480" w:lineRule="auto"/>
        <w:jc w:val="both"/>
        <w:rPr>
          <w:rFonts w:ascii="Times New Roman"/>
          <w:b/>
          <w:color w:val="0D0D0D"/>
          <w:sz w:val="20"/>
        </w:rPr>
      </w:pPr>
      <w:r w:rsidRPr="006247D3">
        <w:rPr>
          <w:rFonts w:ascii="Times New Roman"/>
          <w:b/>
          <w:color w:val="0D0D0D"/>
          <w:sz w:val="20"/>
        </w:rPr>
        <w:t>Table 5: ANOVA</w:t>
      </w:r>
    </w:p>
    <w:tbl>
      <w:tblPr>
        <w:tblStyle w:val="TableGrid"/>
        <w:tblW w:w="0" w:type="auto"/>
        <w:tblLook w:val="04A0" w:firstRow="1" w:lastRow="0" w:firstColumn="1" w:lastColumn="0" w:noHBand="0" w:noVBand="1"/>
      </w:tblPr>
      <w:tblGrid>
        <w:gridCol w:w="1105"/>
        <w:gridCol w:w="1561"/>
        <w:gridCol w:w="516"/>
        <w:gridCol w:w="1366"/>
        <w:gridCol w:w="666"/>
        <w:gridCol w:w="666"/>
      </w:tblGrid>
      <w:tr w:rsidR="006969A4" w:rsidRPr="006247D3" w14:paraId="1BB6017E" w14:textId="77777777" w:rsidTr="006969A4">
        <w:tc>
          <w:tcPr>
            <w:tcW w:w="0" w:type="auto"/>
            <w:hideMark/>
          </w:tcPr>
          <w:p w14:paraId="34814CD4" w14:textId="77777777" w:rsidR="006969A4" w:rsidRPr="006247D3" w:rsidRDefault="006969A4" w:rsidP="006969A4">
            <w:pPr>
              <w:jc w:val="both"/>
              <w:rPr>
                <w:rFonts w:ascii="Times New Roman"/>
                <w:color w:val="0D0D0D"/>
                <w:sz w:val="20"/>
                <w:szCs w:val="22"/>
              </w:rPr>
            </w:pPr>
            <w:r w:rsidRPr="006247D3">
              <w:rPr>
                <w:rFonts w:ascii="Times New Roman"/>
                <w:b/>
                <w:bCs/>
                <w:color w:val="0D0D0D"/>
                <w:sz w:val="20"/>
                <w:szCs w:val="22"/>
              </w:rPr>
              <w:t>Source</w:t>
            </w:r>
          </w:p>
        </w:tc>
        <w:tc>
          <w:tcPr>
            <w:tcW w:w="0" w:type="auto"/>
            <w:hideMark/>
          </w:tcPr>
          <w:p w14:paraId="5F6D2FC3" w14:textId="77777777" w:rsidR="006969A4" w:rsidRPr="006247D3" w:rsidRDefault="006969A4" w:rsidP="006969A4">
            <w:pPr>
              <w:jc w:val="both"/>
              <w:rPr>
                <w:rFonts w:ascii="Times New Roman"/>
                <w:color w:val="0D0D0D"/>
                <w:sz w:val="20"/>
                <w:szCs w:val="22"/>
              </w:rPr>
            </w:pPr>
            <w:r w:rsidRPr="006247D3">
              <w:rPr>
                <w:rFonts w:ascii="Times New Roman"/>
                <w:b/>
                <w:bCs/>
                <w:color w:val="0D0D0D"/>
                <w:sz w:val="20"/>
                <w:szCs w:val="22"/>
              </w:rPr>
              <w:t>Sum of Squares</w:t>
            </w:r>
          </w:p>
        </w:tc>
        <w:tc>
          <w:tcPr>
            <w:tcW w:w="0" w:type="auto"/>
            <w:hideMark/>
          </w:tcPr>
          <w:p w14:paraId="7ACE485E" w14:textId="77777777" w:rsidR="006969A4" w:rsidRPr="006247D3" w:rsidRDefault="006969A4" w:rsidP="006969A4">
            <w:pPr>
              <w:jc w:val="both"/>
              <w:rPr>
                <w:rFonts w:ascii="Times New Roman"/>
                <w:color w:val="0D0D0D"/>
                <w:sz w:val="20"/>
                <w:szCs w:val="22"/>
              </w:rPr>
            </w:pPr>
            <w:proofErr w:type="spellStart"/>
            <w:r w:rsidRPr="006247D3">
              <w:rPr>
                <w:rFonts w:ascii="Times New Roman"/>
                <w:b/>
                <w:bCs/>
                <w:color w:val="0D0D0D"/>
                <w:sz w:val="20"/>
                <w:szCs w:val="22"/>
              </w:rPr>
              <w:t>df</w:t>
            </w:r>
            <w:proofErr w:type="spellEnd"/>
          </w:p>
        </w:tc>
        <w:tc>
          <w:tcPr>
            <w:tcW w:w="0" w:type="auto"/>
            <w:hideMark/>
          </w:tcPr>
          <w:p w14:paraId="56BB3A01" w14:textId="77777777" w:rsidR="006969A4" w:rsidRPr="006247D3" w:rsidRDefault="006969A4" w:rsidP="006969A4">
            <w:pPr>
              <w:jc w:val="both"/>
              <w:rPr>
                <w:rFonts w:ascii="Times New Roman"/>
                <w:color w:val="0D0D0D"/>
                <w:sz w:val="20"/>
                <w:szCs w:val="22"/>
              </w:rPr>
            </w:pPr>
            <w:r w:rsidRPr="006247D3">
              <w:rPr>
                <w:rFonts w:ascii="Times New Roman"/>
                <w:b/>
                <w:bCs/>
                <w:color w:val="0D0D0D"/>
                <w:sz w:val="20"/>
                <w:szCs w:val="22"/>
              </w:rPr>
              <w:t>Mean Square</w:t>
            </w:r>
          </w:p>
        </w:tc>
        <w:tc>
          <w:tcPr>
            <w:tcW w:w="0" w:type="auto"/>
            <w:hideMark/>
          </w:tcPr>
          <w:p w14:paraId="67AD1BF1" w14:textId="77777777" w:rsidR="006969A4" w:rsidRPr="006247D3" w:rsidRDefault="006969A4" w:rsidP="006969A4">
            <w:pPr>
              <w:jc w:val="both"/>
              <w:rPr>
                <w:rFonts w:ascii="Times New Roman"/>
                <w:color w:val="0D0D0D"/>
                <w:sz w:val="20"/>
                <w:szCs w:val="22"/>
              </w:rPr>
            </w:pPr>
            <w:r w:rsidRPr="006247D3">
              <w:rPr>
                <w:rFonts w:ascii="Times New Roman"/>
                <w:b/>
                <w:bCs/>
                <w:color w:val="0D0D0D"/>
                <w:sz w:val="20"/>
                <w:szCs w:val="22"/>
              </w:rPr>
              <w:t>F</w:t>
            </w:r>
          </w:p>
        </w:tc>
        <w:tc>
          <w:tcPr>
            <w:tcW w:w="0" w:type="auto"/>
            <w:hideMark/>
          </w:tcPr>
          <w:p w14:paraId="7715D5BF" w14:textId="77777777" w:rsidR="006969A4" w:rsidRPr="006247D3" w:rsidRDefault="006969A4" w:rsidP="006969A4">
            <w:pPr>
              <w:jc w:val="both"/>
              <w:rPr>
                <w:rFonts w:ascii="Times New Roman"/>
                <w:color w:val="0D0D0D"/>
                <w:sz w:val="20"/>
                <w:szCs w:val="22"/>
              </w:rPr>
            </w:pPr>
            <w:r w:rsidRPr="006247D3">
              <w:rPr>
                <w:rFonts w:ascii="Times New Roman"/>
                <w:b/>
                <w:bCs/>
                <w:color w:val="0D0D0D"/>
                <w:sz w:val="20"/>
                <w:szCs w:val="22"/>
              </w:rPr>
              <w:t>Sig</w:t>
            </w:r>
          </w:p>
        </w:tc>
      </w:tr>
      <w:tr w:rsidR="006969A4" w:rsidRPr="006247D3" w14:paraId="445DAE06" w14:textId="77777777" w:rsidTr="006969A4">
        <w:tc>
          <w:tcPr>
            <w:tcW w:w="0" w:type="auto"/>
            <w:hideMark/>
          </w:tcPr>
          <w:p w14:paraId="3063F10D"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Regression</w:t>
            </w:r>
          </w:p>
        </w:tc>
        <w:tc>
          <w:tcPr>
            <w:tcW w:w="0" w:type="auto"/>
            <w:hideMark/>
          </w:tcPr>
          <w:p w14:paraId="052354FF"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47.326</w:t>
            </w:r>
          </w:p>
        </w:tc>
        <w:tc>
          <w:tcPr>
            <w:tcW w:w="0" w:type="auto"/>
            <w:hideMark/>
          </w:tcPr>
          <w:p w14:paraId="378062E0"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4</w:t>
            </w:r>
          </w:p>
        </w:tc>
        <w:tc>
          <w:tcPr>
            <w:tcW w:w="0" w:type="auto"/>
            <w:hideMark/>
          </w:tcPr>
          <w:p w14:paraId="535DF39B"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11.831</w:t>
            </w:r>
          </w:p>
        </w:tc>
        <w:tc>
          <w:tcPr>
            <w:tcW w:w="0" w:type="auto"/>
            <w:hideMark/>
          </w:tcPr>
          <w:p w14:paraId="56575F0B"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53.42</w:t>
            </w:r>
          </w:p>
        </w:tc>
        <w:tc>
          <w:tcPr>
            <w:tcW w:w="0" w:type="auto"/>
            <w:hideMark/>
          </w:tcPr>
          <w:p w14:paraId="70E60BC0"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0.000</w:t>
            </w:r>
          </w:p>
        </w:tc>
      </w:tr>
      <w:tr w:rsidR="006969A4" w:rsidRPr="006247D3" w14:paraId="35C0AF1B" w14:textId="77777777" w:rsidTr="006969A4">
        <w:tc>
          <w:tcPr>
            <w:tcW w:w="0" w:type="auto"/>
            <w:hideMark/>
          </w:tcPr>
          <w:p w14:paraId="58E9FDF6"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Residual</w:t>
            </w:r>
          </w:p>
        </w:tc>
        <w:tc>
          <w:tcPr>
            <w:tcW w:w="0" w:type="auto"/>
            <w:hideMark/>
          </w:tcPr>
          <w:p w14:paraId="23C0A1C8"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28.137</w:t>
            </w:r>
          </w:p>
        </w:tc>
        <w:tc>
          <w:tcPr>
            <w:tcW w:w="0" w:type="auto"/>
            <w:hideMark/>
          </w:tcPr>
          <w:p w14:paraId="300B4036"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233</w:t>
            </w:r>
          </w:p>
        </w:tc>
        <w:tc>
          <w:tcPr>
            <w:tcW w:w="0" w:type="auto"/>
            <w:hideMark/>
          </w:tcPr>
          <w:p w14:paraId="3AAB2731"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0.121</w:t>
            </w:r>
          </w:p>
        </w:tc>
        <w:tc>
          <w:tcPr>
            <w:tcW w:w="0" w:type="auto"/>
            <w:hideMark/>
          </w:tcPr>
          <w:p w14:paraId="530B58E4" w14:textId="77777777" w:rsidR="006969A4" w:rsidRPr="006247D3" w:rsidRDefault="006969A4" w:rsidP="006969A4">
            <w:pPr>
              <w:jc w:val="both"/>
              <w:rPr>
                <w:rFonts w:ascii="Times New Roman"/>
                <w:color w:val="0D0D0D"/>
                <w:sz w:val="20"/>
                <w:szCs w:val="22"/>
              </w:rPr>
            </w:pPr>
          </w:p>
        </w:tc>
        <w:tc>
          <w:tcPr>
            <w:tcW w:w="0" w:type="auto"/>
            <w:hideMark/>
          </w:tcPr>
          <w:p w14:paraId="755E17B7" w14:textId="77777777" w:rsidR="006969A4" w:rsidRPr="006247D3" w:rsidRDefault="006969A4" w:rsidP="006969A4">
            <w:pPr>
              <w:jc w:val="both"/>
              <w:rPr>
                <w:rFonts w:ascii="Times New Roman"/>
                <w:color w:val="0D0D0D"/>
                <w:sz w:val="20"/>
                <w:szCs w:val="22"/>
              </w:rPr>
            </w:pPr>
          </w:p>
        </w:tc>
      </w:tr>
      <w:tr w:rsidR="006969A4" w:rsidRPr="006247D3" w14:paraId="5F717B3B" w14:textId="77777777" w:rsidTr="006969A4">
        <w:tc>
          <w:tcPr>
            <w:tcW w:w="0" w:type="auto"/>
            <w:hideMark/>
          </w:tcPr>
          <w:p w14:paraId="3C0A80BE"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Total</w:t>
            </w:r>
          </w:p>
        </w:tc>
        <w:tc>
          <w:tcPr>
            <w:tcW w:w="0" w:type="auto"/>
            <w:hideMark/>
          </w:tcPr>
          <w:p w14:paraId="79F9BC02"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75.463</w:t>
            </w:r>
          </w:p>
        </w:tc>
        <w:tc>
          <w:tcPr>
            <w:tcW w:w="0" w:type="auto"/>
            <w:hideMark/>
          </w:tcPr>
          <w:p w14:paraId="7CAE8166" w14:textId="77777777" w:rsidR="006969A4" w:rsidRPr="006247D3" w:rsidRDefault="006969A4" w:rsidP="006969A4">
            <w:pPr>
              <w:jc w:val="both"/>
              <w:rPr>
                <w:rFonts w:ascii="Times New Roman"/>
                <w:color w:val="0D0D0D"/>
                <w:sz w:val="20"/>
                <w:szCs w:val="22"/>
              </w:rPr>
            </w:pPr>
            <w:r w:rsidRPr="006247D3">
              <w:rPr>
                <w:rFonts w:ascii="Times New Roman"/>
                <w:color w:val="0D0D0D"/>
                <w:sz w:val="20"/>
                <w:szCs w:val="22"/>
              </w:rPr>
              <w:t>237</w:t>
            </w:r>
          </w:p>
        </w:tc>
        <w:tc>
          <w:tcPr>
            <w:tcW w:w="0" w:type="auto"/>
            <w:hideMark/>
          </w:tcPr>
          <w:p w14:paraId="4DA71CD1" w14:textId="77777777" w:rsidR="006969A4" w:rsidRPr="006247D3" w:rsidRDefault="006969A4" w:rsidP="006969A4">
            <w:pPr>
              <w:jc w:val="both"/>
              <w:rPr>
                <w:rFonts w:ascii="Times New Roman"/>
                <w:color w:val="0D0D0D"/>
                <w:sz w:val="20"/>
                <w:szCs w:val="22"/>
              </w:rPr>
            </w:pPr>
          </w:p>
        </w:tc>
        <w:tc>
          <w:tcPr>
            <w:tcW w:w="0" w:type="auto"/>
            <w:hideMark/>
          </w:tcPr>
          <w:p w14:paraId="1F095405" w14:textId="77777777" w:rsidR="006969A4" w:rsidRPr="006247D3" w:rsidRDefault="006969A4" w:rsidP="006969A4">
            <w:pPr>
              <w:jc w:val="both"/>
              <w:rPr>
                <w:rFonts w:ascii="Times New Roman"/>
                <w:color w:val="0D0D0D"/>
                <w:sz w:val="20"/>
                <w:szCs w:val="22"/>
              </w:rPr>
            </w:pPr>
          </w:p>
        </w:tc>
        <w:tc>
          <w:tcPr>
            <w:tcW w:w="0" w:type="auto"/>
            <w:hideMark/>
          </w:tcPr>
          <w:p w14:paraId="43E91257" w14:textId="77777777" w:rsidR="006969A4" w:rsidRPr="006247D3" w:rsidRDefault="006969A4" w:rsidP="006969A4">
            <w:pPr>
              <w:jc w:val="both"/>
              <w:rPr>
                <w:rFonts w:ascii="Times New Roman"/>
                <w:color w:val="0D0D0D"/>
                <w:sz w:val="20"/>
                <w:szCs w:val="22"/>
              </w:rPr>
            </w:pPr>
          </w:p>
        </w:tc>
      </w:tr>
    </w:tbl>
    <w:p w14:paraId="4434E41D" w14:textId="54061299" w:rsidR="00716971" w:rsidRPr="006247D3" w:rsidRDefault="00716971" w:rsidP="00716971">
      <w:pPr>
        <w:spacing w:line="480" w:lineRule="auto"/>
        <w:jc w:val="both"/>
        <w:rPr>
          <w:color w:val="0D0D0D"/>
          <w:szCs w:val="24"/>
        </w:rPr>
      </w:pPr>
    </w:p>
    <w:p w14:paraId="5D464D4A" w14:textId="44943896" w:rsidR="00716971" w:rsidRPr="006247D3" w:rsidRDefault="00716971" w:rsidP="00716971">
      <w:pPr>
        <w:spacing w:after="0" w:line="240" w:lineRule="auto"/>
        <w:jc w:val="both"/>
        <w:rPr>
          <w:rFonts w:ascii="Times New Roman"/>
          <w:b/>
          <w:bCs/>
          <w:color w:val="000000" w:themeColor="text1"/>
          <w:sz w:val="20"/>
          <w:szCs w:val="20"/>
        </w:rPr>
      </w:pPr>
      <w:r w:rsidRPr="006247D3">
        <w:rPr>
          <w:rFonts w:ascii="Times New Roman"/>
          <w:b/>
          <w:bCs/>
          <w:color w:val="000000" w:themeColor="text1"/>
          <w:sz w:val="20"/>
          <w:szCs w:val="20"/>
        </w:rPr>
        <w:lastRenderedPageBreak/>
        <w:t>Regression Coefficients</w:t>
      </w:r>
    </w:p>
    <w:p w14:paraId="16527236" w14:textId="5AB09D6D" w:rsidR="00716971" w:rsidRPr="006247D3" w:rsidRDefault="00716971" w:rsidP="00716971">
      <w:pPr>
        <w:spacing w:after="0" w:line="240" w:lineRule="auto"/>
        <w:jc w:val="both"/>
        <w:rPr>
          <w:rFonts w:ascii="Times New Roman"/>
          <w:color w:val="000000" w:themeColor="text1"/>
          <w:sz w:val="20"/>
          <w:szCs w:val="20"/>
        </w:rPr>
      </w:pPr>
      <w:r w:rsidRPr="006247D3">
        <w:rPr>
          <w:rFonts w:ascii="Times New Roman"/>
          <w:color w:val="000000" w:themeColor="text1"/>
          <w:sz w:val="20"/>
          <w:szCs w:val="20"/>
        </w:rPr>
        <w:t>The regression coefficient results further establish the magnitude and direction of the relationship between each tax incentive and firm performance. All variables were found to be statistically significant contributors.</w:t>
      </w:r>
      <w:r w:rsidR="006969A4" w:rsidRPr="006247D3">
        <w:rPr>
          <w:rFonts w:ascii="Times New Roman"/>
          <w:color w:val="000000" w:themeColor="text1"/>
          <w:sz w:val="20"/>
          <w:szCs w:val="20"/>
        </w:rPr>
        <w:t xml:space="preserve"> </w:t>
      </w:r>
      <w:r w:rsidRPr="006247D3">
        <w:rPr>
          <w:rFonts w:ascii="Times New Roman"/>
          <w:color w:val="000000" w:themeColor="text1"/>
          <w:sz w:val="20"/>
          <w:szCs w:val="20"/>
        </w:rPr>
        <w:t>Corporate tax incentives recorded a positive and significant coefficient (β = 0.286, p = 0.000), implying that a one-unit increase in corporate tax incentives leads to a 28.6% improvement in firm performance, holding other variables constant. This highlights the importance of tax relief measures in enhancing profitability, reinvestment capacity, and competitiveness.</w:t>
      </w:r>
    </w:p>
    <w:p w14:paraId="73F43218" w14:textId="77777777" w:rsidR="00716971" w:rsidRPr="006247D3" w:rsidRDefault="00716971" w:rsidP="00152CF2">
      <w:pPr>
        <w:spacing w:before="240" w:after="0" w:line="240" w:lineRule="auto"/>
        <w:jc w:val="both"/>
        <w:rPr>
          <w:rFonts w:ascii="Times New Roman"/>
          <w:color w:val="000000" w:themeColor="text1"/>
          <w:sz w:val="20"/>
          <w:szCs w:val="20"/>
        </w:rPr>
      </w:pPr>
      <w:r w:rsidRPr="006247D3">
        <w:rPr>
          <w:rFonts w:ascii="Times New Roman"/>
          <w:color w:val="000000" w:themeColor="text1"/>
          <w:sz w:val="20"/>
          <w:szCs w:val="20"/>
        </w:rPr>
        <w:t>Government subsidies also had a positive and significant effect (β = 0.174, p = 0.003), indicating that financial support from the government improves operational efficiency and reduces production costs, though its impact is relatively lower compared to other incentives.</w:t>
      </w:r>
    </w:p>
    <w:p w14:paraId="7A32B08F" w14:textId="77777777" w:rsidR="00716971" w:rsidRPr="006247D3" w:rsidRDefault="00716971" w:rsidP="00152CF2">
      <w:pPr>
        <w:spacing w:before="240" w:after="0" w:line="240" w:lineRule="auto"/>
        <w:jc w:val="both"/>
        <w:rPr>
          <w:rFonts w:ascii="Times New Roman"/>
          <w:color w:val="000000" w:themeColor="text1"/>
          <w:sz w:val="20"/>
          <w:szCs w:val="20"/>
        </w:rPr>
      </w:pPr>
      <w:r w:rsidRPr="006247D3">
        <w:rPr>
          <w:rFonts w:ascii="Times New Roman"/>
          <w:color w:val="000000" w:themeColor="text1"/>
          <w:sz w:val="20"/>
          <w:szCs w:val="20"/>
        </w:rPr>
        <w:t>Export promotion incentives had the strongest positive effect (β = 0.321, p = 0.000), demonstrating that trade facilitation, market access support, and compliance with international standards significantly enhance export revenues and global competitiveness.</w:t>
      </w:r>
    </w:p>
    <w:p w14:paraId="05AC693F" w14:textId="77777777" w:rsidR="00716971" w:rsidRPr="006247D3" w:rsidRDefault="00716971" w:rsidP="00152CF2">
      <w:pPr>
        <w:spacing w:before="240" w:after="0" w:line="240" w:lineRule="auto"/>
        <w:jc w:val="both"/>
        <w:rPr>
          <w:rFonts w:ascii="Times New Roman"/>
          <w:color w:val="000000" w:themeColor="text1"/>
          <w:sz w:val="20"/>
          <w:szCs w:val="20"/>
        </w:rPr>
      </w:pPr>
      <w:r w:rsidRPr="006247D3">
        <w:rPr>
          <w:rFonts w:ascii="Times New Roman"/>
          <w:color w:val="000000" w:themeColor="text1"/>
          <w:sz w:val="20"/>
          <w:szCs w:val="20"/>
        </w:rPr>
        <w:t>Capital allowance incentives also had a strong positive influence (β = 0.299, p = 0.000), indicating that tax deductions on capital expenditure encourage investment in technology, machinery, and expansion activities, thereby improving productivity and long-term growth.</w:t>
      </w:r>
    </w:p>
    <w:p w14:paraId="640D0C31" w14:textId="77777777" w:rsidR="00337EF2" w:rsidRPr="006247D3" w:rsidRDefault="00337EF2" w:rsidP="002957C2">
      <w:pPr>
        <w:spacing w:after="0" w:line="240" w:lineRule="auto"/>
        <w:jc w:val="both"/>
        <w:rPr>
          <w:rFonts w:ascii="Times New Roman"/>
          <w:color w:val="000000" w:themeColor="text1"/>
          <w:sz w:val="20"/>
          <w:szCs w:val="20"/>
        </w:rPr>
      </w:pPr>
    </w:p>
    <w:p w14:paraId="19E9240E" w14:textId="77777777" w:rsidR="00337EF2" w:rsidRPr="006247D3" w:rsidRDefault="00337EF2" w:rsidP="002957C2">
      <w:pPr>
        <w:spacing w:after="0" w:line="240" w:lineRule="auto"/>
        <w:jc w:val="both"/>
        <w:rPr>
          <w:rFonts w:ascii="Times New Roman"/>
          <w:color w:val="000000" w:themeColor="text1"/>
          <w:sz w:val="20"/>
          <w:szCs w:val="20"/>
        </w:rPr>
      </w:pPr>
    </w:p>
    <w:p w14:paraId="63B7406D" w14:textId="41406EE3" w:rsidR="00D26557" w:rsidRPr="006247D3" w:rsidRDefault="00D26557" w:rsidP="00D26557">
      <w:pPr>
        <w:spacing w:after="0" w:line="480" w:lineRule="auto"/>
        <w:jc w:val="both"/>
        <w:rPr>
          <w:rFonts w:ascii="Times New Roman"/>
          <w:color w:val="000000" w:themeColor="text1"/>
          <w:sz w:val="18"/>
          <w:szCs w:val="18"/>
        </w:rPr>
      </w:pPr>
      <w:r w:rsidRPr="006247D3">
        <w:rPr>
          <w:rFonts w:ascii="Times New Roman"/>
          <w:b/>
          <w:color w:val="0D0D0D"/>
          <w:sz w:val="20"/>
        </w:rPr>
        <w:t>Table 6: Coefficients of Regression.</w:t>
      </w:r>
    </w:p>
    <w:tbl>
      <w:tblPr>
        <w:tblStyle w:val="TableGrid"/>
        <w:tblW w:w="0" w:type="auto"/>
        <w:tblLook w:val="04A0" w:firstRow="1" w:lastRow="0" w:firstColumn="1" w:lastColumn="0" w:noHBand="0" w:noVBand="1"/>
      </w:tblPr>
      <w:tblGrid>
        <w:gridCol w:w="2249"/>
        <w:gridCol w:w="894"/>
        <w:gridCol w:w="1055"/>
        <w:gridCol w:w="805"/>
        <w:gridCol w:w="666"/>
      </w:tblGrid>
      <w:tr w:rsidR="00D26557" w:rsidRPr="006247D3" w14:paraId="10B8FF24" w14:textId="77777777" w:rsidTr="00D26557">
        <w:tc>
          <w:tcPr>
            <w:tcW w:w="0" w:type="auto"/>
            <w:hideMark/>
          </w:tcPr>
          <w:p w14:paraId="082F7F1A" w14:textId="77777777" w:rsidR="00D26557" w:rsidRPr="006247D3" w:rsidRDefault="00D26557" w:rsidP="00D26557">
            <w:pPr>
              <w:jc w:val="both"/>
              <w:rPr>
                <w:rFonts w:ascii="Times New Roman"/>
                <w:color w:val="000000" w:themeColor="text1"/>
                <w:sz w:val="20"/>
              </w:rPr>
            </w:pPr>
            <w:r w:rsidRPr="006247D3">
              <w:rPr>
                <w:rFonts w:ascii="Times New Roman"/>
                <w:b/>
                <w:bCs/>
                <w:color w:val="000000" w:themeColor="text1"/>
                <w:sz w:val="20"/>
              </w:rPr>
              <w:t>Variable</w:t>
            </w:r>
          </w:p>
        </w:tc>
        <w:tc>
          <w:tcPr>
            <w:tcW w:w="0" w:type="auto"/>
            <w:hideMark/>
          </w:tcPr>
          <w:p w14:paraId="212BB255" w14:textId="77777777" w:rsidR="00D26557" w:rsidRPr="006247D3" w:rsidRDefault="00D26557" w:rsidP="00D26557">
            <w:pPr>
              <w:jc w:val="both"/>
              <w:rPr>
                <w:rFonts w:ascii="Times New Roman"/>
                <w:color w:val="000000" w:themeColor="text1"/>
                <w:sz w:val="20"/>
              </w:rPr>
            </w:pPr>
            <w:r w:rsidRPr="006247D3">
              <w:rPr>
                <w:rFonts w:ascii="Times New Roman"/>
                <w:b/>
                <w:bCs/>
                <w:color w:val="000000" w:themeColor="text1"/>
                <w:sz w:val="20"/>
              </w:rPr>
              <w:t>Beta (β)</w:t>
            </w:r>
          </w:p>
        </w:tc>
        <w:tc>
          <w:tcPr>
            <w:tcW w:w="0" w:type="auto"/>
            <w:hideMark/>
          </w:tcPr>
          <w:p w14:paraId="24652EF6" w14:textId="77777777" w:rsidR="00D26557" w:rsidRPr="006247D3" w:rsidRDefault="00D26557" w:rsidP="00D26557">
            <w:pPr>
              <w:jc w:val="both"/>
              <w:rPr>
                <w:rFonts w:ascii="Times New Roman"/>
                <w:color w:val="000000" w:themeColor="text1"/>
                <w:sz w:val="20"/>
              </w:rPr>
            </w:pPr>
            <w:r w:rsidRPr="006247D3">
              <w:rPr>
                <w:rFonts w:ascii="Times New Roman"/>
                <w:b/>
                <w:bCs/>
                <w:color w:val="000000" w:themeColor="text1"/>
                <w:sz w:val="20"/>
              </w:rPr>
              <w:t>Std Error</w:t>
            </w:r>
          </w:p>
        </w:tc>
        <w:tc>
          <w:tcPr>
            <w:tcW w:w="0" w:type="auto"/>
            <w:hideMark/>
          </w:tcPr>
          <w:p w14:paraId="58C7632A" w14:textId="77777777" w:rsidR="00D26557" w:rsidRPr="006247D3" w:rsidRDefault="00D26557" w:rsidP="00D26557">
            <w:pPr>
              <w:jc w:val="both"/>
              <w:rPr>
                <w:rFonts w:ascii="Times New Roman"/>
                <w:color w:val="000000" w:themeColor="text1"/>
                <w:sz w:val="20"/>
              </w:rPr>
            </w:pPr>
            <w:r w:rsidRPr="006247D3">
              <w:rPr>
                <w:rFonts w:ascii="Times New Roman"/>
                <w:b/>
                <w:bCs/>
                <w:color w:val="000000" w:themeColor="text1"/>
                <w:sz w:val="20"/>
              </w:rPr>
              <w:t>t-value</w:t>
            </w:r>
          </w:p>
        </w:tc>
        <w:tc>
          <w:tcPr>
            <w:tcW w:w="0" w:type="auto"/>
            <w:hideMark/>
          </w:tcPr>
          <w:p w14:paraId="74342D41" w14:textId="77777777" w:rsidR="00D26557" w:rsidRPr="006247D3" w:rsidRDefault="00D26557" w:rsidP="00D26557">
            <w:pPr>
              <w:jc w:val="both"/>
              <w:rPr>
                <w:rFonts w:ascii="Times New Roman"/>
                <w:color w:val="000000" w:themeColor="text1"/>
                <w:sz w:val="20"/>
              </w:rPr>
            </w:pPr>
            <w:r w:rsidRPr="006247D3">
              <w:rPr>
                <w:rFonts w:ascii="Times New Roman"/>
                <w:b/>
                <w:bCs/>
                <w:color w:val="000000" w:themeColor="text1"/>
                <w:sz w:val="20"/>
              </w:rPr>
              <w:t>Sig</w:t>
            </w:r>
          </w:p>
        </w:tc>
      </w:tr>
      <w:tr w:rsidR="00D26557" w:rsidRPr="006247D3" w14:paraId="71CE24D3" w14:textId="77777777" w:rsidTr="00D26557">
        <w:tc>
          <w:tcPr>
            <w:tcW w:w="0" w:type="auto"/>
            <w:hideMark/>
          </w:tcPr>
          <w:p w14:paraId="2420CA8B"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Constant</w:t>
            </w:r>
          </w:p>
        </w:tc>
        <w:tc>
          <w:tcPr>
            <w:tcW w:w="0" w:type="auto"/>
            <w:hideMark/>
          </w:tcPr>
          <w:p w14:paraId="1906EE65"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1.214</w:t>
            </w:r>
          </w:p>
        </w:tc>
        <w:tc>
          <w:tcPr>
            <w:tcW w:w="0" w:type="auto"/>
            <w:hideMark/>
          </w:tcPr>
          <w:p w14:paraId="39F45F80"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0.231</w:t>
            </w:r>
          </w:p>
        </w:tc>
        <w:tc>
          <w:tcPr>
            <w:tcW w:w="0" w:type="auto"/>
            <w:hideMark/>
          </w:tcPr>
          <w:p w14:paraId="6F007DED"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5.26</w:t>
            </w:r>
          </w:p>
        </w:tc>
        <w:tc>
          <w:tcPr>
            <w:tcW w:w="0" w:type="auto"/>
            <w:hideMark/>
          </w:tcPr>
          <w:p w14:paraId="00EBD16E"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0.000</w:t>
            </w:r>
          </w:p>
        </w:tc>
      </w:tr>
      <w:tr w:rsidR="00D26557" w:rsidRPr="006247D3" w14:paraId="1F86E7AF" w14:textId="77777777" w:rsidTr="00D26557">
        <w:tc>
          <w:tcPr>
            <w:tcW w:w="0" w:type="auto"/>
            <w:hideMark/>
          </w:tcPr>
          <w:p w14:paraId="0C67B7E1"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Corporate Tax Incentives</w:t>
            </w:r>
          </w:p>
        </w:tc>
        <w:tc>
          <w:tcPr>
            <w:tcW w:w="0" w:type="auto"/>
            <w:hideMark/>
          </w:tcPr>
          <w:p w14:paraId="0205F01C"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0.286</w:t>
            </w:r>
          </w:p>
        </w:tc>
        <w:tc>
          <w:tcPr>
            <w:tcW w:w="0" w:type="auto"/>
            <w:hideMark/>
          </w:tcPr>
          <w:p w14:paraId="38D90C95"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0.061</w:t>
            </w:r>
          </w:p>
        </w:tc>
        <w:tc>
          <w:tcPr>
            <w:tcW w:w="0" w:type="auto"/>
            <w:hideMark/>
          </w:tcPr>
          <w:p w14:paraId="79C482A0"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4.69</w:t>
            </w:r>
          </w:p>
        </w:tc>
        <w:tc>
          <w:tcPr>
            <w:tcW w:w="0" w:type="auto"/>
            <w:hideMark/>
          </w:tcPr>
          <w:p w14:paraId="02D42472"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0.000</w:t>
            </w:r>
          </w:p>
        </w:tc>
      </w:tr>
      <w:tr w:rsidR="00D26557" w:rsidRPr="006247D3" w14:paraId="62C380CB" w14:textId="77777777" w:rsidTr="00D26557">
        <w:tc>
          <w:tcPr>
            <w:tcW w:w="0" w:type="auto"/>
            <w:hideMark/>
          </w:tcPr>
          <w:p w14:paraId="1572D5E2"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Subsidies</w:t>
            </w:r>
          </w:p>
        </w:tc>
        <w:tc>
          <w:tcPr>
            <w:tcW w:w="0" w:type="auto"/>
            <w:hideMark/>
          </w:tcPr>
          <w:p w14:paraId="7183F725"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0.174</w:t>
            </w:r>
          </w:p>
        </w:tc>
        <w:tc>
          <w:tcPr>
            <w:tcW w:w="0" w:type="auto"/>
            <w:hideMark/>
          </w:tcPr>
          <w:p w14:paraId="6EAD418C"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0.058</w:t>
            </w:r>
          </w:p>
        </w:tc>
        <w:tc>
          <w:tcPr>
            <w:tcW w:w="0" w:type="auto"/>
            <w:hideMark/>
          </w:tcPr>
          <w:p w14:paraId="07B8827C"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3.00</w:t>
            </w:r>
          </w:p>
        </w:tc>
        <w:tc>
          <w:tcPr>
            <w:tcW w:w="0" w:type="auto"/>
            <w:hideMark/>
          </w:tcPr>
          <w:p w14:paraId="4C7294CE"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0.003</w:t>
            </w:r>
          </w:p>
        </w:tc>
      </w:tr>
      <w:tr w:rsidR="00D26557" w:rsidRPr="006247D3" w14:paraId="21A2570F" w14:textId="77777777" w:rsidTr="00D26557">
        <w:tc>
          <w:tcPr>
            <w:tcW w:w="0" w:type="auto"/>
            <w:hideMark/>
          </w:tcPr>
          <w:p w14:paraId="0130E369"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Export Incentives</w:t>
            </w:r>
          </w:p>
        </w:tc>
        <w:tc>
          <w:tcPr>
            <w:tcW w:w="0" w:type="auto"/>
            <w:hideMark/>
          </w:tcPr>
          <w:p w14:paraId="4B90E9B1"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0.321</w:t>
            </w:r>
          </w:p>
        </w:tc>
        <w:tc>
          <w:tcPr>
            <w:tcW w:w="0" w:type="auto"/>
            <w:hideMark/>
          </w:tcPr>
          <w:p w14:paraId="11620E23"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0.067</w:t>
            </w:r>
          </w:p>
        </w:tc>
        <w:tc>
          <w:tcPr>
            <w:tcW w:w="0" w:type="auto"/>
            <w:hideMark/>
          </w:tcPr>
          <w:p w14:paraId="79C503B1"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4.79</w:t>
            </w:r>
          </w:p>
        </w:tc>
        <w:tc>
          <w:tcPr>
            <w:tcW w:w="0" w:type="auto"/>
            <w:hideMark/>
          </w:tcPr>
          <w:p w14:paraId="162B993C"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0.000</w:t>
            </w:r>
          </w:p>
        </w:tc>
      </w:tr>
      <w:tr w:rsidR="00D26557" w:rsidRPr="006247D3" w14:paraId="4D9737E2" w14:textId="77777777" w:rsidTr="00D26557">
        <w:tc>
          <w:tcPr>
            <w:tcW w:w="0" w:type="auto"/>
            <w:hideMark/>
          </w:tcPr>
          <w:p w14:paraId="6BF2A021"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Capital Allowances</w:t>
            </w:r>
          </w:p>
        </w:tc>
        <w:tc>
          <w:tcPr>
            <w:tcW w:w="0" w:type="auto"/>
            <w:hideMark/>
          </w:tcPr>
          <w:p w14:paraId="55F60F58"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0.299</w:t>
            </w:r>
          </w:p>
        </w:tc>
        <w:tc>
          <w:tcPr>
            <w:tcW w:w="0" w:type="auto"/>
            <w:hideMark/>
          </w:tcPr>
          <w:p w14:paraId="5BB77876"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0.064</w:t>
            </w:r>
          </w:p>
        </w:tc>
        <w:tc>
          <w:tcPr>
            <w:tcW w:w="0" w:type="auto"/>
            <w:hideMark/>
          </w:tcPr>
          <w:p w14:paraId="28952A60"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4.67</w:t>
            </w:r>
          </w:p>
        </w:tc>
        <w:tc>
          <w:tcPr>
            <w:tcW w:w="0" w:type="auto"/>
            <w:hideMark/>
          </w:tcPr>
          <w:p w14:paraId="7D8760BD" w14:textId="77777777" w:rsidR="00D26557" w:rsidRPr="006247D3" w:rsidRDefault="00D26557" w:rsidP="00D26557">
            <w:pPr>
              <w:jc w:val="both"/>
              <w:rPr>
                <w:rFonts w:ascii="Times New Roman"/>
                <w:color w:val="000000" w:themeColor="text1"/>
                <w:sz w:val="20"/>
              </w:rPr>
            </w:pPr>
            <w:r w:rsidRPr="006247D3">
              <w:rPr>
                <w:rFonts w:ascii="Times New Roman"/>
                <w:color w:val="000000" w:themeColor="text1"/>
                <w:sz w:val="20"/>
              </w:rPr>
              <w:t>0.000</w:t>
            </w:r>
          </w:p>
        </w:tc>
      </w:tr>
    </w:tbl>
    <w:p w14:paraId="603C230E" w14:textId="77777777" w:rsidR="00337EF2" w:rsidRPr="006247D3" w:rsidRDefault="00337EF2" w:rsidP="002957C2">
      <w:pPr>
        <w:spacing w:after="0" w:line="240" w:lineRule="auto"/>
        <w:jc w:val="both"/>
        <w:rPr>
          <w:rFonts w:ascii="Times New Roman"/>
          <w:color w:val="000000" w:themeColor="text1"/>
          <w:sz w:val="20"/>
          <w:szCs w:val="20"/>
        </w:rPr>
      </w:pPr>
    </w:p>
    <w:p w14:paraId="3DEB68FB" w14:textId="77777777" w:rsidR="00337EF2" w:rsidRPr="006247D3" w:rsidRDefault="00337EF2" w:rsidP="002957C2">
      <w:pPr>
        <w:spacing w:after="0" w:line="240" w:lineRule="auto"/>
        <w:jc w:val="both"/>
        <w:rPr>
          <w:rFonts w:ascii="Times New Roman"/>
          <w:color w:val="000000" w:themeColor="text1"/>
          <w:sz w:val="20"/>
          <w:szCs w:val="20"/>
        </w:rPr>
      </w:pPr>
    </w:p>
    <w:p w14:paraId="5CE6198B" w14:textId="77777777" w:rsidR="009016D8" w:rsidRPr="006247D3" w:rsidRDefault="009016D8" w:rsidP="007F7C27">
      <w:pPr>
        <w:spacing w:after="0" w:line="240" w:lineRule="auto"/>
        <w:jc w:val="both"/>
        <w:rPr>
          <w:rFonts w:ascii="Times New Roman"/>
          <w:color w:val="FF0000"/>
          <w:sz w:val="20"/>
          <w:szCs w:val="20"/>
        </w:rPr>
      </w:pPr>
    </w:p>
    <w:p w14:paraId="57235BD9" w14:textId="77777777" w:rsidR="006969A4" w:rsidRPr="006247D3" w:rsidRDefault="006969A4" w:rsidP="006969A4">
      <w:pPr>
        <w:spacing w:after="0" w:line="240" w:lineRule="auto"/>
        <w:jc w:val="both"/>
        <w:rPr>
          <w:rFonts w:ascii="Times New Roman"/>
          <w:color w:val="000000" w:themeColor="text1"/>
          <w:sz w:val="20"/>
          <w:szCs w:val="20"/>
        </w:rPr>
      </w:pPr>
      <w:r w:rsidRPr="006247D3">
        <w:rPr>
          <w:rFonts w:ascii="Times New Roman"/>
          <w:color w:val="000000" w:themeColor="text1"/>
          <w:sz w:val="20"/>
          <w:szCs w:val="20"/>
        </w:rPr>
        <w:t>The study examined the effects of fiscal and incentive policies on the performance of Export Processing Zone (EPZ) firms. Findings indicate that corporate tax incentives, including tax holidays, reduced corporate tax rates, and tax reliefs, significantly enhance profitability, cost efficiency, and investment levels. Regression results confirmed a positive and statistically significant effect (b = 0.286, p &lt; 0.05), suggesting that such incentives strengthen firms’ financial capacity, expand operational scope, and improve competitiveness in both domestic and export markets.</w:t>
      </w:r>
    </w:p>
    <w:p w14:paraId="02877924" w14:textId="77777777" w:rsidR="006969A4" w:rsidRPr="006247D3" w:rsidRDefault="006969A4" w:rsidP="006969A4">
      <w:pPr>
        <w:spacing w:after="0" w:line="240" w:lineRule="auto"/>
        <w:jc w:val="both"/>
        <w:rPr>
          <w:rFonts w:ascii="Times New Roman"/>
          <w:color w:val="000000" w:themeColor="text1"/>
          <w:sz w:val="20"/>
          <w:szCs w:val="20"/>
        </w:rPr>
      </w:pPr>
    </w:p>
    <w:p w14:paraId="223EFD5F" w14:textId="77777777" w:rsidR="006969A4" w:rsidRPr="006247D3" w:rsidRDefault="006969A4" w:rsidP="006969A4">
      <w:pPr>
        <w:spacing w:after="0" w:line="240" w:lineRule="auto"/>
        <w:jc w:val="both"/>
        <w:rPr>
          <w:rFonts w:ascii="Times New Roman"/>
          <w:color w:val="000000" w:themeColor="text1"/>
          <w:sz w:val="20"/>
          <w:szCs w:val="20"/>
        </w:rPr>
      </w:pPr>
      <w:r w:rsidRPr="006247D3">
        <w:rPr>
          <w:rFonts w:ascii="Times New Roman"/>
          <w:color w:val="000000" w:themeColor="text1"/>
          <w:sz w:val="20"/>
          <w:szCs w:val="20"/>
        </w:rPr>
        <w:t>Government subsidies were also found to positively influence firm performance, although their effect was comparatively moderate. Subsidies contributed to reduced operational costs and improved production efficiency, supporting competitiveness in export markets. The regression coefficient (b = 0.174, p = 0.003) confirmed statistical significance, though the findings suggest that subsidies alone are insufficient to drive substantial firm growth without complementary policy measures.</w:t>
      </w:r>
    </w:p>
    <w:p w14:paraId="658AEE31" w14:textId="77777777" w:rsidR="006969A4" w:rsidRPr="006247D3" w:rsidRDefault="006969A4" w:rsidP="006969A4">
      <w:pPr>
        <w:spacing w:after="0" w:line="240" w:lineRule="auto"/>
        <w:jc w:val="both"/>
        <w:rPr>
          <w:rFonts w:ascii="Times New Roman"/>
          <w:color w:val="000000" w:themeColor="text1"/>
          <w:sz w:val="20"/>
          <w:szCs w:val="20"/>
        </w:rPr>
      </w:pPr>
    </w:p>
    <w:p w14:paraId="1DE0C5FD" w14:textId="77777777" w:rsidR="006969A4" w:rsidRPr="006247D3" w:rsidRDefault="006969A4" w:rsidP="006969A4">
      <w:pPr>
        <w:spacing w:after="0" w:line="240" w:lineRule="auto"/>
        <w:jc w:val="both"/>
        <w:rPr>
          <w:rFonts w:ascii="Times New Roman"/>
          <w:color w:val="000000" w:themeColor="text1"/>
          <w:sz w:val="20"/>
          <w:szCs w:val="20"/>
        </w:rPr>
      </w:pPr>
      <w:r w:rsidRPr="006247D3">
        <w:rPr>
          <w:rFonts w:ascii="Times New Roman"/>
          <w:color w:val="000000" w:themeColor="text1"/>
          <w:sz w:val="20"/>
          <w:szCs w:val="20"/>
        </w:rPr>
        <w:t>Export promotion incentives demonstrated the strongest impact on firm performance. These measures enhanced access to global markets, increased revenues, and improved foreign exchange earnings. The regression result (b = 0.321, p &lt; 0.05) highlights their strategic importance in promoting international market penetration and sustainable growth.</w:t>
      </w:r>
    </w:p>
    <w:p w14:paraId="53183BDF" w14:textId="77777777" w:rsidR="006969A4" w:rsidRPr="006247D3" w:rsidRDefault="006969A4" w:rsidP="006969A4">
      <w:pPr>
        <w:spacing w:after="0" w:line="240" w:lineRule="auto"/>
        <w:jc w:val="both"/>
        <w:rPr>
          <w:rFonts w:ascii="Times New Roman"/>
          <w:color w:val="000000" w:themeColor="text1"/>
          <w:sz w:val="20"/>
          <w:szCs w:val="20"/>
        </w:rPr>
      </w:pPr>
    </w:p>
    <w:p w14:paraId="176CA9AF" w14:textId="20B370F2" w:rsidR="009016D8" w:rsidRDefault="006969A4" w:rsidP="006969A4">
      <w:pPr>
        <w:spacing w:after="0" w:line="240" w:lineRule="auto"/>
        <w:jc w:val="both"/>
        <w:rPr>
          <w:rFonts w:ascii="Times New Roman"/>
          <w:color w:val="000000" w:themeColor="text1"/>
          <w:sz w:val="20"/>
          <w:szCs w:val="20"/>
        </w:rPr>
      </w:pPr>
      <w:r w:rsidRPr="006247D3">
        <w:rPr>
          <w:rFonts w:ascii="Times New Roman"/>
          <w:color w:val="000000" w:themeColor="text1"/>
          <w:sz w:val="20"/>
          <w:szCs w:val="20"/>
        </w:rPr>
        <w:t>Capital allowance incentives also showed a strong positive effect (b = 0.299, p &lt; 0.05), facilitating investment in machinery, technology, and productive assets. These incentives improved operational efficiency, encouraged modernization, and supported long-term productivity and competitiveness of EPZ firms. Overall, the findings underscore the critical role of integrated fiscal incentives in driving industrial growth and export competitiveness.</w:t>
      </w:r>
    </w:p>
    <w:p w14:paraId="65CD2920" w14:textId="77777777" w:rsidR="001009EC" w:rsidRPr="006247D3" w:rsidRDefault="001009EC" w:rsidP="006969A4">
      <w:pPr>
        <w:spacing w:after="0" w:line="240" w:lineRule="auto"/>
        <w:jc w:val="both"/>
        <w:rPr>
          <w:rFonts w:ascii="Times New Roman"/>
          <w:color w:val="000000" w:themeColor="text1"/>
          <w:sz w:val="20"/>
          <w:szCs w:val="20"/>
        </w:rPr>
      </w:pPr>
    </w:p>
    <w:p w14:paraId="20BFD3D4" w14:textId="77777777" w:rsidR="009016D8" w:rsidRPr="006247D3" w:rsidRDefault="009016D8" w:rsidP="007F7C27">
      <w:pPr>
        <w:spacing w:after="0" w:line="240" w:lineRule="auto"/>
        <w:jc w:val="both"/>
        <w:rPr>
          <w:rFonts w:ascii="Times New Roman"/>
          <w:color w:val="FF0000"/>
          <w:sz w:val="20"/>
          <w:szCs w:val="20"/>
        </w:rPr>
      </w:pPr>
    </w:p>
    <w:p w14:paraId="597BF41D" w14:textId="3A27586F" w:rsidR="009016D8" w:rsidRPr="006247D3" w:rsidRDefault="009016D8" w:rsidP="009016D8">
      <w:pPr>
        <w:pStyle w:val="ListParagraph"/>
        <w:numPr>
          <w:ilvl w:val="0"/>
          <w:numId w:val="5"/>
        </w:numPr>
        <w:spacing w:after="0" w:line="240" w:lineRule="auto"/>
        <w:ind w:left="360" w:hanging="360"/>
        <w:jc w:val="center"/>
        <w:rPr>
          <w:rFonts w:ascii="Times New Roman"/>
          <w:b/>
          <w:sz w:val="20"/>
          <w:szCs w:val="20"/>
        </w:rPr>
      </w:pPr>
      <w:r w:rsidRPr="006247D3">
        <w:rPr>
          <w:rFonts w:ascii="Times New Roman"/>
          <w:b/>
          <w:szCs w:val="20"/>
        </w:rPr>
        <w:lastRenderedPageBreak/>
        <w:t xml:space="preserve">Conclusion </w:t>
      </w:r>
    </w:p>
    <w:p w14:paraId="0996FEE2" w14:textId="77777777" w:rsidR="00FE5643" w:rsidRPr="006247D3" w:rsidRDefault="00FE5643" w:rsidP="00FE5643">
      <w:pPr>
        <w:spacing w:after="0" w:line="240" w:lineRule="auto"/>
        <w:jc w:val="center"/>
        <w:rPr>
          <w:rFonts w:ascii="Times New Roman"/>
          <w:b/>
          <w:sz w:val="20"/>
          <w:szCs w:val="20"/>
        </w:rPr>
      </w:pPr>
    </w:p>
    <w:p w14:paraId="7D278FBC" w14:textId="77777777" w:rsidR="00F44B79" w:rsidRDefault="00F44B79" w:rsidP="00F44B79">
      <w:r w:rsidRPr="00B603A3">
        <w:t>The study concludes that tax incentives have a positive influence on the performance of Export Processing Zone firms in Machakos County, Kenya. Corporate tax incentives were found to support firm performance by improving profitability, reducing tax-related costs, and strengthening reinvestment capacity. Government subsidies also contributed positively to firm performance, although their effect was weaker than that of the other incentives examined. This suggests that subsidies may be more effective when applied together with complementary fiscal and operational support measures. Export promotion incentives emerged as the strongest contributor to firm performance, indicating the importance of market access, trade facilitation, and export competitiveness for firms operating in Export Processing Zones. Capital allowance incentives also showed a strong positive effect, suggesting that deductions linked to investment in machinery, technology, and productive assets can improve efficiency and support long-term growth. Overall, the findings show that tax incentives are relevant policy instruments for enhancing firm performance, but their effectiveness depends on consistent implementation, transparency, and integration with broader measures that improve the business environment.</w:t>
      </w:r>
    </w:p>
    <w:p w14:paraId="3EF7EED2" w14:textId="59E339A7" w:rsidR="00FE5643" w:rsidRPr="006247D3" w:rsidRDefault="00FE5643" w:rsidP="006969A4">
      <w:pPr>
        <w:spacing w:after="0" w:line="240" w:lineRule="auto"/>
        <w:jc w:val="both"/>
        <w:rPr>
          <w:rFonts w:ascii="Times New Roman"/>
          <w:b/>
          <w:sz w:val="20"/>
          <w:szCs w:val="20"/>
        </w:rPr>
      </w:pPr>
    </w:p>
    <w:p w14:paraId="4DEE4513" w14:textId="77777777" w:rsidR="009016D8" w:rsidRPr="006247D3" w:rsidRDefault="009016D8" w:rsidP="007F7C27">
      <w:pPr>
        <w:spacing w:after="0" w:line="240" w:lineRule="auto"/>
        <w:jc w:val="both"/>
        <w:rPr>
          <w:rFonts w:ascii="Times New Roman"/>
          <w:color w:val="FF0000"/>
          <w:sz w:val="20"/>
          <w:szCs w:val="20"/>
        </w:rPr>
      </w:pPr>
    </w:p>
    <w:p w14:paraId="7D7F09EF" w14:textId="77777777" w:rsidR="00400389" w:rsidRPr="006247D3" w:rsidRDefault="00400389" w:rsidP="007F7C27">
      <w:pPr>
        <w:spacing w:after="0" w:line="240" w:lineRule="auto"/>
        <w:jc w:val="both"/>
        <w:rPr>
          <w:rFonts w:ascii="Times New Roman"/>
          <w:color w:val="FF0000"/>
          <w:sz w:val="20"/>
          <w:szCs w:val="20"/>
        </w:rPr>
      </w:pPr>
    </w:p>
    <w:p w14:paraId="67A6271B" w14:textId="77777777" w:rsidR="00F13286" w:rsidRPr="006247D3" w:rsidRDefault="00F13286" w:rsidP="00F13286">
      <w:pPr>
        <w:pStyle w:val="ListParagraph"/>
        <w:numPr>
          <w:ilvl w:val="0"/>
          <w:numId w:val="5"/>
        </w:numPr>
        <w:spacing w:after="0" w:line="240" w:lineRule="auto"/>
        <w:ind w:left="360" w:hanging="360"/>
        <w:jc w:val="center"/>
        <w:rPr>
          <w:rFonts w:ascii="Times New Roman"/>
          <w:b/>
          <w:sz w:val="20"/>
          <w:szCs w:val="20"/>
        </w:rPr>
      </w:pPr>
      <w:r w:rsidRPr="006247D3">
        <w:rPr>
          <w:rFonts w:ascii="Times New Roman"/>
          <w:b/>
          <w:szCs w:val="20"/>
        </w:rPr>
        <w:t>Recommendations</w:t>
      </w:r>
    </w:p>
    <w:p w14:paraId="233633A9" w14:textId="279B699A" w:rsidR="00F13286" w:rsidRPr="006247D3" w:rsidRDefault="00F13286" w:rsidP="00F13286">
      <w:pPr>
        <w:spacing w:after="0" w:line="240" w:lineRule="auto"/>
        <w:jc w:val="both"/>
        <w:rPr>
          <w:rFonts w:ascii="Times New Roman"/>
          <w:b/>
          <w:sz w:val="20"/>
          <w:szCs w:val="20"/>
        </w:rPr>
      </w:pPr>
    </w:p>
    <w:p w14:paraId="1BDC5FC3" w14:textId="3E002BC1" w:rsidR="006969A4" w:rsidRPr="006247D3" w:rsidRDefault="006969A4" w:rsidP="006969A4">
      <w:pPr>
        <w:jc w:val="both"/>
        <w:rPr>
          <w:rFonts w:ascii="Times New Roman"/>
          <w:sz w:val="20"/>
          <w:szCs w:val="20"/>
        </w:rPr>
      </w:pPr>
      <w:r w:rsidRPr="006247D3">
        <w:rPr>
          <w:rFonts w:ascii="Times New Roman"/>
          <w:sz w:val="20"/>
          <w:szCs w:val="20"/>
        </w:rPr>
        <w:t xml:space="preserve">The recommendations emphasize strengthening the policy and operational environment for Export Processing Zone (EPZ) firms to enhance competitiveness, efficiency, and sustainable growth. At the policy level, governments are advised to establish a predictable, transparent, and </w:t>
      </w:r>
      <w:proofErr w:type="spellStart"/>
      <w:r w:rsidRPr="006247D3">
        <w:rPr>
          <w:rFonts w:ascii="Times New Roman"/>
          <w:sz w:val="20"/>
          <w:szCs w:val="20"/>
        </w:rPr>
        <w:t>harmonised</w:t>
      </w:r>
      <w:proofErr w:type="spellEnd"/>
      <w:r w:rsidRPr="006247D3">
        <w:rPr>
          <w:rFonts w:ascii="Times New Roman"/>
          <w:sz w:val="20"/>
          <w:szCs w:val="20"/>
        </w:rPr>
        <w:t xml:space="preserve"> tax regime. A uniform taxation framework would enable EPZ firms to plan effectively, reinvest profits, and achieve long-term stability. Increased transparency in tax relief </w:t>
      </w:r>
      <w:proofErr w:type="spellStart"/>
      <w:r w:rsidRPr="006247D3">
        <w:rPr>
          <w:rFonts w:ascii="Times New Roman"/>
          <w:sz w:val="20"/>
          <w:szCs w:val="20"/>
        </w:rPr>
        <w:t>programmes</w:t>
      </w:r>
      <w:proofErr w:type="spellEnd"/>
      <w:r w:rsidRPr="006247D3">
        <w:rPr>
          <w:rFonts w:ascii="Times New Roman"/>
          <w:sz w:val="20"/>
          <w:szCs w:val="20"/>
        </w:rPr>
        <w:t>, alongside regular policy reviews, is expected to improve investor confidence and operational certainty.</w:t>
      </w:r>
    </w:p>
    <w:p w14:paraId="27C70E1B" w14:textId="5A425693" w:rsidR="006969A4" w:rsidRPr="006247D3" w:rsidRDefault="006969A4" w:rsidP="006969A4">
      <w:pPr>
        <w:jc w:val="both"/>
        <w:rPr>
          <w:rFonts w:ascii="Times New Roman"/>
          <w:sz w:val="20"/>
          <w:szCs w:val="20"/>
        </w:rPr>
      </w:pPr>
      <w:r w:rsidRPr="006247D3">
        <w:rPr>
          <w:rFonts w:ascii="Times New Roman"/>
          <w:sz w:val="20"/>
          <w:szCs w:val="20"/>
        </w:rPr>
        <w:t xml:space="preserve">Export promotion incentives should be expanded to enhance firms’ access to international markets. Policy makers are encouraged to support participation in trade fairs, government-sponsored trade missions, and compliance with global quality standards, thereby improving global competitiveness and market diversification. In addition, capital allowance incentives should be sustained and strategically designed to stimulate investment in productive assets, technology, and infrastructure. Targeted incentives for innovation, energy efficiency, and sustainable technologies are particularly recommended to promote </w:t>
      </w:r>
      <w:proofErr w:type="spellStart"/>
      <w:r w:rsidRPr="006247D3">
        <w:rPr>
          <w:rFonts w:ascii="Times New Roman"/>
          <w:sz w:val="20"/>
          <w:szCs w:val="20"/>
        </w:rPr>
        <w:t>modernisation</w:t>
      </w:r>
      <w:proofErr w:type="spellEnd"/>
      <w:r w:rsidRPr="006247D3">
        <w:rPr>
          <w:rFonts w:ascii="Times New Roman"/>
          <w:sz w:val="20"/>
          <w:szCs w:val="20"/>
        </w:rPr>
        <w:t xml:space="preserve"> and productivity growth. Furthermore, carefully structured subsidies may reduce operational costs and enhance both domestic and international competitiveness when combined with other fiscal incentives.</w:t>
      </w:r>
    </w:p>
    <w:p w14:paraId="117188D0" w14:textId="79115763" w:rsidR="006969A4" w:rsidRPr="006247D3" w:rsidRDefault="006969A4" w:rsidP="006969A4">
      <w:pPr>
        <w:jc w:val="both"/>
        <w:rPr>
          <w:rFonts w:ascii="Times New Roman"/>
          <w:sz w:val="20"/>
          <w:szCs w:val="20"/>
        </w:rPr>
      </w:pPr>
      <w:r w:rsidRPr="006247D3">
        <w:rPr>
          <w:rFonts w:ascii="Times New Roman"/>
          <w:sz w:val="20"/>
          <w:szCs w:val="20"/>
        </w:rPr>
        <w:t xml:space="preserve">At the firm level, EPZ enterprises are encouraged to fully </w:t>
      </w:r>
      <w:proofErr w:type="spellStart"/>
      <w:r w:rsidRPr="006247D3">
        <w:rPr>
          <w:rFonts w:ascii="Times New Roman"/>
          <w:sz w:val="20"/>
          <w:szCs w:val="20"/>
        </w:rPr>
        <w:t>utilise</w:t>
      </w:r>
      <w:proofErr w:type="spellEnd"/>
      <w:r w:rsidRPr="006247D3">
        <w:rPr>
          <w:rFonts w:ascii="Times New Roman"/>
          <w:sz w:val="20"/>
          <w:szCs w:val="20"/>
        </w:rPr>
        <w:t xml:space="preserve"> available tax incentives, including corporate tax relief, export promotion schemes, and capital allowances, to reduce costs and expand production capacity. Strategic planning should </w:t>
      </w:r>
      <w:proofErr w:type="spellStart"/>
      <w:r w:rsidRPr="006247D3">
        <w:rPr>
          <w:rFonts w:ascii="Times New Roman"/>
          <w:sz w:val="20"/>
          <w:szCs w:val="20"/>
        </w:rPr>
        <w:t>prioritise</w:t>
      </w:r>
      <w:proofErr w:type="spellEnd"/>
      <w:r w:rsidRPr="006247D3">
        <w:rPr>
          <w:rFonts w:ascii="Times New Roman"/>
          <w:sz w:val="20"/>
          <w:szCs w:val="20"/>
        </w:rPr>
        <w:t xml:space="preserve"> efficiency, technological advancement, infrastructure improvement, and entry into new markets. Continuous monitoring and evaluation of incentive </w:t>
      </w:r>
      <w:proofErr w:type="spellStart"/>
      <w:r w:rsidRPr="006247D3">
        <w:rPr>
          <w:rFonts w:ascii="Times New Roman"/>
          <w:sz w:val="20"/>
          <w:szCs w:val="20"/>
        </w:rPr>
        <w:t>utilisation</w:t>
      </w:r>
      <w:proofErr w:type="spellEnd"/>
      <w:r w:rsidRPr="006247D3">
        <w:rPr>
          <w:rFonts w:ascii="Times New Roman"/>
          <w:sz w:val="20"/>
          <w:szCs w:val="20"/>
        </w:rPr>
        <w:t xml:space="preserve"> is essential to ensure measurable improvements in productivity, profitability, and overall performance. Firms should also invest in capacity building and employee training in financial management, international trade compliance, and innovation to strengthen </w:t>
      </w:r>
      <w:proofErr w:type="spellStart"/>
      <w:r w:rsidRPr="006247D3">
        <w:rPr>
          <w:rFonts w:ascii="Times New Roman"/>
          <w:sz w:val="20"/>
          <w:szCs w:val="20"/>
        </w:rPr>
        <w:t>organisational</w:t>
      </w:r>
      <w:proofErr w:type="spellEnd"/>
      <w:r w:rsidRPr="006247D3">
        <w:rPr>
          <w:rFonts w:ascii="Times New Roman"/>
          <w:sz w:val="20"/>
          <w:szCs w:val="20"/>
        </w:rPr>
        <w:t xml:space="preserve"> capability.</w:t>
      </w:r>
    </w:p>
    <w:p w14:paraId="02527EF2" w14:textId="29526D93" w:rsidR="00F13286" w:rsidRDefault="006969A4" w:rsidP="006969A4">
      <w:pPr>
        <w:jc w:val="both"/>
        <w:rPr>
          <w:rFonts w:ascii="Times New Roman"/>
          <w:sz w:val="20"/>
          <w:szCs w:val="20"/>
        </w:rPr>
      </w:pPr>
      <w:r w:rsidRPr="006247D3">
        <w:rPr>
          <w:rFonts w:ascii="Times New Roman"/>
          <w:sz w:val="20"/>
          <w:szCs w:val="20"/>
        </w:rPr>
        <w:lastRenderedPageBreak/>
        <w:t>Future research should examine the role of non-financial incentives such as infrastructure, training, and market information systems in enhancing firm performance. Longitudinal studies are recommended to assess the long-term impacts of tax incentives on employment creation, exports, and sustainability. Comparative studies between EPZ and non-EPZ firms, as well as sector-specific analyses, would further inform more targeted and effective incentive policies.</w:t>
      </w:r>
    </w:p>
    <w:p w14:paraId="6DA7A895" w14:textId="77777777" w:rsidR="00BE6633" w:rsidRDefault="00BE6633" w:rsidP="006969A4">
      <w:pPr>
        <w:jc w:val="both"/>
        <w:rPr>
          <w:rFonts w:ascii="Times New Roman"/>
          <w:sz w:val="20"/>
          <w:szCs w:val="20"/>
        </w:rPr>
      </w:pPr>
    </w:p>
    <w:p w14:paraId="44F712F8" w14:textId="77777777" w:rsidR="00BE6633" w:rsidRDefault="00BE6633" w:rsidP="00BE6633">
      <w:r w:rsidRPr="00B603A3">
        <w:t>Limitations</w:t>
      </w:r>
    </w:p>
    <w:p w14:paraId="559F93C7" w14:textId="77777777" w:rsidR="00BE6633" w:rsidRDefault="00BE6633" w:rsidP="00BE6633">
      <w:r w:rsidRPr="00B603A3">
        <w:t xml:space="preserve">This study was limited to firms operating in Export Processing Zones in Machakos County, Kenya, and the findings may not fully represent firms in other counties, sectors, or non-Export Processing Zone settings. The study focused on four categories of incentives: corporate tax incentives, government subsidies, export promotion incentives, and capital allowance incentives. Other factors that may influence firm performance, such as infrastructure quality, market conditions, management capacity, </w:t>
      </w:r>
      <w:proofErr w:type="spellStart"/>
      <w:r w:rsidRPr="00B603A3">
        <w:t>labour</w:t>
      </w:r>
      <w:proofErr w:type="spellEnd"/>
      <w:r w:rsidRPr="00B603A3">
        <w:t xml:space="preserve"> skills, technology adoption, and regulatory efficiency, were not examined in detail. The use of survey responses and firm records may also be affected by reporting accuracy, availability of data, and respondent interpretation of the questionnaire items. In addition, the correlational and regression-based design identifies associations between tax incentives and firm performance but does not establish definitive causality. Future studies should consider broader geographic coverage, sector-specific comparisons, and longitudinal approaches to assess the long-term effects of tax incentives on performance, employment, investment, and export growth.</w:t>
      </w:r>
    </w:p>
    <w:p w14:paraId="691E2825" w14:textId="77777777" w:rsidR="00BE6633" w:rsidRPr="006247D3" w:rsidRDefault="00BE6633" w:rsidP="006969A4">
      <w:pPr>
        <w:jc w:val="both"/>
        <w:rPr>
          <w:rFonts w:ascii="Times New Roman"/>
          <w:sz w:val="20"/>
          <w:szCs w:val="20"/>
        </w:rPr>
      </w:pPr>
    </w:p>
    <w:p w14:paraId="48FE268A" w14:textId="77777777" w:rsidR="00EF5B55" w:rsidRPr="006247D3" w:rsidRDefault="00EF5B55">
      <w:pPr>
        <w:rPr>
          <w:rFonts w:ascii="Times New Roman"/>
          <w:color w:val="FF0000"/>
          <w:sz w:val="20"/>
          <w:szCs w:val="20"/>
        </w:rPr>
      </w:pPr>
    </w:p>
    <w:p w14:paraId="1D63B427" w14:textId="785782F5" w:rsidR="00CF47C4" w:rsidRPr="006247D3" w:rsidRDefault="008A7684" w:rsidP="007F7C27">
      <w:pPr>
        <w:spacing w:after="0" w:line="240" w:lineRule="auto"/>
        <w:ind w:left="360" w:hanging="360"/>
        <w:jc w:val="center"/>
        <w:rPr>
          <w:rFonts w:ascii="Times New Roman"/>
          <w:b/>
          <w:szCs w:val="20"/>
        </w:rPr>
      </w:pPr>
      <w:r w:rsidRPr="006247D3">
        <w:rPr>
          <w:rFonts w:ascii="Times New Roman"/>
          <w:b/>
          <w:szCs w:val="20"/>
        </w:rPr>
        <w:t>References</w:t>
      </w:r>
      <w:r w:rsidR="00D17811" w:rsidRPr="006247D3">
        <w:rPr>
          <w:rFonts w:ascii="Times New Roman"/>
          <w:b/>
          <w:szCs w:val="20"/>
        </w:rPr>
        <w:t xml:space="preserve"> </w:t>
      </w:r>
    </w:p>
    <w:p w14:paraId="6D3A1148"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Africa Economic Zones. (2019). Special Economic Zones: An Operational Review of Their Impacts. CIIP.</w:t>
      </w:r>
    </w:p>
    <w:p w14:paraId="67B5EAD8"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 xml:space="preserve">Aghion, P., </w:t>
      </w:r>
      <w:proofErr w:type="spellStart"/>
      <w:r w:rsidRPr="006247D3">
        <w:rPr>
          <w:rFonts w:ascii="Times New Roman"/>
          <w:szCs w:val="24"/>
        </w:rPr>
        <w:t>Bachetta</w:t>
      </w:r>
      <w:proofErr w:type="spellEnd"/>
      <w:r w:rsidRPr="006247D3">
        <w:rPr>
          <w:rFonts w:ascii="Times New Roman"/>
          <w:szCs w:val="24"/>
        </w:rPr>
        <w:t xml:space="preserve">, P., </w:t>
      </w:r>
      <w:proofErr w:type="spellStart"/>
      <w:r w:rsidRPr="006247D3">
        <w:rPr>
          <w:rFonts w:ascii="Times New Roman"/>
          <w:szCs w:val="24"/>
        </w:rPr>
        <w:t>Rancière</w:t>
      </w:r>
      <w:proofErr w:type="spellEnd"/>
      <w:r w:rsidRPr="006247D3">
        <w:rPr>
          <w:rFonts w:ascii="Times New Roman"/>
          <w:szCs w:val="24"/>
        </w:rPr>
        <w:t>, R., &amp; Rogoff, K. (2009). Missing Link: The Impact of Financial Development on International Trade. Review of Economic Studies, 76(2), 371–405.</w:t>
      </w:r>
    </w:p>
    <w:p w14:paraId="48FF4BB1"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Blomstrom, M., &amp; Kokko, A. (2003). The Economics of Foreign Direct Investment Incentives. NBER Working Paper.</w:t>
      </w:r>
    </w:p>
    <w:p w14:paraId="05079C5F"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Boadu, F. O. (2014). Tax Incentives and Business Location in Developing Countries: Evidence from Ghana. Journal of Economic Policy Reform, 17(4), 291–305.</w:t>
      </w:r>
    </w:p>
    <w:p w14:paraId="10069E8A"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 xml:space="preserve">Bruhn, M., Karlan, D., &amp; </w:t>
      </w:r>
      <w:proofErr w:type="spellStart"/>
      <w:r w:rsidRPr="006247D3">
        <w:rPr>
          <w:rFonts w:ascii="Times New Roman"/>
          <w:szCs w:val="24"/>
        </w:rPr>
        <w:t>Schoar</w:t>
      </w:r>
      <w:proofErr w:type="spellEnd"/>
      <w:r w:rsidRPr="006247D3">
        <w:rPr>
          <w:rFonts w:ascii="Times New Roman"/>
          <w:szCs w:val="24"/>
        </w:rPr>
        <w:t>, A. (2018). The impact of consulting services on small and medium enterprises: Evidence from a randomized trial in Mexico. Journal of Political Economy, 126(2), 635-687.</w:t>
      </w:r>
    </w:p>
    <w:p w14:paraId="68FCC62F"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 xml:space="preserve">Château, J., </w:t>
      </w:r>
      <w:proofErr w:type="spellStart"/>
      <w:r w:rsidRPr="006247D3">
        <w:rPr>
          <w:rFonts w:ascii="Times New Roman"/>
          <w:szCs w:val="24"/>
        </w:rPr>
        <w:t>Magné</w:t>
      </w:r>
      <w:proofErr w:type="spellEnd"/>
      <w:r w:rsidRPr="006247D3">
        <w:rPr>
          <w:rFonts w:ascii="Times New Roman"/>
          <w:szCs w:val="24"/>
        </w:rPr>
        <w:t>, B., &amp; Cozzi, L. (2014). Economic implications of the IEA efficient world scenario.</w:t>
      </w:r>
    </w:p>
    <w:p w14:paraId="444BDFCD"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Chen, T. J., &amp; van Parys, S. (2012). Investment Incentives and Tax Competition. In Handbook on International Taxation.</w:t>
      </w:r>
    </w:p>
    <w:p w14:paraId="2DD59670"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lastRenderedPageBreak/>
        <w:t xml:space="preserve">Chen, X. (2024). The Global Minimum Tax, Investment Incentives and Asymmetric Tax Competition. </w:t>
      </w:r>
      <w:proofErr w:type="spellStart"/>
      <w:r w:rsidRPr="006247D3">
        <w:rPr>
          <w:rFonts w:ascii="Times New Roman"/>
          <w:szCs w:val="24"/>
        </w:rPr>
        <w:t>arXiv</w:t>
      </w:r>
      <w:proofErr w:type="spellEnd"/>
      <w:r w:rsidRPr="006247D3">
        <w:rPr>
          <w:rFonts w:ascii="Times New Roman"/>
          <w:szCs w:val="24"/>
        </w:rPr>
        <w:t xml:space="preserve"> preprint.</w:t>
      </w:r>
    </w:p>
    <w:p w14:paraId="75F90DCB" w14:textId="77777777" w:rsidR="006969A4" w:rsidRPr="006247D3" w:rsidRDefault="006969A4" w:rsidP="006969A4">
      <w:pPr>
        <w:spacing w:before="240" w:after="0" w:line="240" w:lineRule="auto"/>
        <w:ind w:left="720" w:hanging="720"/>
        <w:jc w:val="both"/>
        <w:rPr>
          <w:rFonts w:ascii="Times New Roman"/>
          <w:szCs w:val="24"/>
        </w:rPr>
      </w:pPr>
      <w:proofErr w:type="spellStart"/>
      <w:r w:rsidRPr="006247D3">
        <w:rPr>
          <w:rFonts w:ascii="Times New Roman"/>
          <w:szCs w:val="24"/>
        </w:rPr>
        <w:t>Farole</w:t>
      </w:r>
      <w:proofErr w:type="spellEnd"/>
      <w:r w:rsidRPr="006247D3">
        <w:rPr>
          <w:rFonts w:ascii="Times New Roman"/>
          <w:szCs w:val="24"/>
        </w:rPr>
        <w:t>, T. (2011). Special Economic Zones in Africa: Comparing Performance and Learning from Global Experiences. World Bank.</w:t>
      </w:r>
    </w:p>
    <w:p w14:paraId="6E930D0B" w14:textId="77777777" w:rsidR="006969A4" w:rsidRPr="006247D3" w:rsidRDefault="006969A4" w:rsidP="006969A4">
      <w:pPr>
        <w:spacing w:before="240" w:after="0" w:line="240" w:lineRule="auto"/>
        <w:ind w:left="720" w:hanging="720"/>
        <w:jc w:val="both"/>
        <w:rPr>
          <w:rFonts w:ascii="Times New Roman"/>
          <w:szCs w:val="24"/>
        </w:rPr>
      </w:pPr>
      <w:proofErr w:type="spellStart"/>
      <w:r w:rsidRPr="006247D3">
        <w:rPr>
          <w:rFonts w:ascii="Times New Roman"/>
          <w:szCs w:val="24"/>
        </w:rPr>
        <w:t>Freixanet</w:t>
      </w:r>
      <w:proofErr w:type="spellEnd"/>
      <w:r w:rsidRPr="006247D3">
        <w:rPr>
          <w:rFonts w:ascii="Times New Roman"/>
          <w:szCs w:val="24"/>
        </w:rPr>
        <w:t xml:space="preserve">, J. (2022). Export promotion programs: A system-based systematic review and agenda for future research. </w:t>
      </w:r>
      <w:r w:rsidRPr="006247D3">
        <w:rPr>
          <w:rFonts w:ascii="Times New Roman"/>
          <w:i/>
          <w:iCs/>
          <w:szCs w:val="24"/>
        </w:rPr>
        <w:t>Journal of World Business</w:t>
      </w:r>
      <w:r w:rsidRPr="006247D3">
        <w:rPr>
          <w:rFonts w:ascii="Times New Roman"/>
          <w:szCs w:val="24"/>
        </w:rPr>
        <w:t xml:space="preserve">, </w:t>
      </w:r>
      <w:r w:rsidRPr="006247D3">
        <w:rPr>
          <w:rFonts w:ascii="Times New Roman"/>
          <w:i/>
          <w:iCs/>
          <w:szCs w:val="24"/>
        </w:rPr>
        <w:t>57</w:t>
      </w:r>
      <w:r w:rsidRPr="006247D3">
        <w:rPr>
          <w:rFonts w:ascii="Times New Roman"/>
          <w:szCs w:val="24"/>
        </w:rPr>
        <w:t>(4), 101344</w:t>
      </w:r>
    </w:p>
    <w:p w14:paraId="1A685935"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Harding, T., &amp; Hoopes, J. (2014). Do Tax Havens Breed Bribery? Journal of Public Economics, 112, 89–100.</w:t>
      </w:r>
    </w:p>
    <w:p w14:paraId="3033039F"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Invest Kenya Authority. (2025). Incentives – Kenya Investment Authority.</w:t>
      </w:r>
    </w:p>
    <w:p w14:paraId="301EBB89"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Kaplinsky, R., &amp; Morris, M. (2015). Incentives and Innovation in Global Value Chains. UNU-WIDER Working Paper.</w:t>
      </w:r>
    </w:p>
    <w:p w14:paraId="260D4944"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Kenya Standard Incentives for Investors. (n.d.). East African Community Investment Guide.</w:t>
      </w:r>
    </w:p>
    <w:p w14:paraId="66C08F04"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Klemm, A., &amp; Parys, S. (2012). Empirical Evidence on the Effects of Tax Incentives. IMF Working Paper.</w:t>
      </w:r>
    </w:p>
    <w:p w14:paraId="043B7A14"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 xml:space="preserve">Komakech, R. A., Ombati, T. O., Kikwatha, R. W., &amp; Wainaina, M. G. (2024). Resource Based View Theory and Its Applications in Supply Chain Management: A Systematic Literature Review. Management Science Letters. </w:t>
      </w:r>
    </w:p>
    <w:p w14:paraId="78C6FAC6"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Koome, D. K. (2019). Effect of Tax Incentives on the Performance of Export Processing Zone Enterprises in Kenya (Unpublished master’s project, JKUAT).</w:t>
      </w:r>
    </w:p>
    <w:p w14:paraId="048F6FE6"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KPMG. (2024). Investing in Africa: A Guide to Tax / Incentives in Africa (including Kenya).</w:t>
      </w:r>
    </w:p>
    <w:p w14:paraId="0DC488AC"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Kuria, D. J. (2017). Effects of Corporate Income and Value Added Tax Incentives on the Performance of Export Processing Zone (EPZ) Firms in Kenya. European Journal of Business and Strategic Management, 2(8), 17–37.</w:t>
      </w:r>
    </w:p>
    <w:p w14:paraId="47BBF837"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Kuria, D. J. (2018). Effect of Custom Duty Incentives on the Performance of EPZ Firms in Kenya. International Journal of Finance, 3(1), 1–13.</w:t>
      </w:r>
    </w:p>
    <w:p w14:paraId="112E25A2"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Kuria, D. J. (2018). Effect of VAT Incentives on the Performance of EPZ Firms in Kenya. American Journal of Finance, 3(1), 31–45.</w:t>
      </w:r>
    </w:p>
    <w:p w14:paraId="32666E8D"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Kuria, J. N. (2017). Effects of Tax Incentives on the Performance of Export Processing Zone (EPZ) Firms in Kenya (Doctoral dissertation, United States International University‑Africa).</w:t>
      </w:r>
    </w:p>
    <w:p w14:paraId="1EABE1A1"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Liu, Y., &amp; Mao, J. (2019). How do tax incentives affect investment and productivity? Firm-level evidence from China. American Economic Journal: Economic Policy, 11(3), 261-291.</w:t>
      </w:r>
    </w:p>
    <w:p w14:paraId="42FB9F20" w14:textId="77777777" w:rsidR="006969A4" w:rsidRPr="006247D3" w:rsidRDefault="006969A4" w:rsidP="006969A4">
      <w:pPr>
        <w:spacing w:before="240" w:after="0" w:line="240" w:lineRule="auto"/>
        <w:ind w:left="720" w:hanging="720"/>
        <w:jc w:val="both"/>
        <w:rPr>
          <w:rFonts w:ascii="Times New Roman"/>
          <w:szCs w:val="24"/>
        </w:rPr>
      </w:pPr>
      <w:proofErr w:type="spellStart"/>
      <w:r w:rsidRPr="006247D3">
        <w:rPr>
          <w:rFonts w:ascii="Times New Roman"/>
          <w:szCs w:val="24"/>
        </w:rPr>
        <w:t>Maketaxfair</w:t>
      </w:r>
      <w:proofErr w:type="spellEnd"/>
      <w:r w:rsidRPr="006247D3">
        <w:rPr>
          <w:rFonts w:ascii="Times New Roman"/>
          <w:szCs w:val="24"/>
        </w:rPr>
        <w:t>. (2023). The Kenya Fair: The Fair Tax Monitor – Analysis of Tax Incentives in Kenya. Oxfam / Budget Justice Network.</w:t>
      </w:r>
    </w:p>
    <w:p w14:paraId="4A146CF6" w14:textId="77777777" w:rsidR="006969A4" w:rsidRPr="006247D3" w:rsidRDefault="006969A4" w:rsidP="006969A4">
      <w:pPr>
        <w:spacing w:before="240" w:after="0" w:line="240" w:lineRule="auto"/>
        <w:ind w:left="720" w:hanging="720"/>
        <w:jc w:val="both"/>
        <w:rPr>
          <w:rFonts w:ascii="Times New Roman"/>
          <w:szCs w:val="24"/>
        </w:rPr>
      </w:pPr>
      <w:proofErr w:type="spellStart"/>
      <w:r w:rsidRPr="006247D3">
        <w:rPr>
          <w:rFonts w:ascii="Times New Roman"/>
          <w:szCs w:val="24"/>
        </w:rPr>
        <w:t>Megersa</w:t>
      </w:r>
      <w:proofErr w:type="spellEnd"/>
      <w:r w:rsidRPr="006247D3">
        <w:rPr>
          <w:rFonts w:ascii="Times New Roman"/>
          <w:szCs w:val="24"/>
        </w:rPr>
        <w:t>, K. (2019). Review of tax incentives and their impacts in Asia.</w:t>
      </w:r>
    </w:p>
    <w:p w14:paraId="0CA4E725"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lastRenderedPageBreak/>
        <w:t>Miriti, N. M. (2025). Tax Incentives and Financial Performance of SMEs in Export Processing Zones, Nairobi City County, Kenya. (Unpublished MBA project, Kenyatta University).</w:t>
      </w:r>
    </w:p>
    <w:p w14:paraId="2D443EC0"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Moberg, L. (2010). Exploring the Links between SEZs and Structural Transformation. ODI.</w:t>
      </w:r>
    </w:p>
    <w:p w14:paraId="2E280A17"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 xml:space="preserve">Mota, J., Moreira, A., &amp; Alves, A. (2021). Impact of export promotion programs on export performance. </w:t>
      </w:r>
      <w:r w:rsidRPr="006247D3">
        <w:rPr>
          <w:rFonts w:ascii="Times New Roman"/>
          <w:i/>
          <w:iCs/>
          <w:szCs w:val="24"/>
        </w:rPr>
        <w:t>Economies</w:t>
      </w:r>
      <w:r w:rsidRPr="006247D3">
        <w:rPr>
          <w:rFonts w:ascii="Times New Roman"/>
          <w:szCs w:val="24"/>
        </w:rPr>
        <w:t xml:space="preserve">, </w:t>
      </w:r>
      <w:r w:rsidRPr="006247D3">
        <w:rPr>
          <w:rFonts w:ascii="Times New Roman"/>
          <w:i/>
          <w:iCs/>
          <w:szCs w:val="24"/>
        </w:rPr>
        <w:t>9</w:t>
      </w:r>
      <w:r w:rsidRPr="006247D3">
        <w:rPr>
          <w:rFonts w:ascii="Times New Roman"/>
          <w:szCs w:val="24"/>
        </w:rPr>
        <w:t>(3), 127.</w:t>
      </w:r>
    </w:p>
    <w:p w14:paraId="5117F2FD"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 xml:space="preserve">Musila, J., &amp; </w:t>
      </w:r>
      <w:proofErr w:type="spellStart"/>
      <w:r w:rsidRPr="006247D3">
        <w:rPr>
          <w:rFonts w:ascii="Times New Roman"/>
          <w:szCs w:val="24"/>
        </w:rPr>
        <w:t>Yiheyis</w:t>
      </w:r>
      <w:proofErr w:type="spellEnd"/>
      <w:r w:rsidRPr="006247D3">
        <w:rPr>
          <w:rFonts w:ascii="Times New Roman"/>
          <w:szCs w:val="24"/>
        </w:rPr>
        <w:t>, Z. (2015). The Effect of Tax Incentives on Foreign Direct Investment in Africa. Journal of Economic &amp; Financial Studies, 3(2), 1–14.</w:t>
      </w:r>
    </w:p>
    <w:p w14:paraId="1ED1BD90"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Mutti, J., &amp; Grubert, H. (2004). Export-Oriented FDI: Tax Sensitivity and Location Decisions. Journal of Public Economics, 88(9–10), 1931–1957.</w:t>
      </w:r>
    </w:p>
    <w:p w14:paraId="6F61F522"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Ngulu, G. (2014). Competitiveness of Kenyan Textile Industry at the International Markets under the Africa Growth and Opportunity Act (AGOA) (Doctoral dissertation, University of Nairobi).</w:t>
      </w:r>
    </w:p>
    <w:p w14:paraId="1C05FF8E"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Njoroge, R. N. (2021). Effect of Tax Incentives on the Performance of Export Processing Zone Enterprises in Mombasa County, Kenya. (Unpublished thesis, KESRA/JKUAT).</w:t>
      </w:r>
    </w:p>
    <w:p w14:paraId="2D29BB23"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Njuguna, W. (2019). The Perceived Effects of Tax Incentives on Performance of Manufacturing Firms in Export Processing Zones in Kenya. (Unpublished research project, KESRA/JKUAT).</w:t>
      </w:r>
    </w:p>
    <w:p w14:paraId="34FCEB4F" w14:textId="77777777" w:rsidR="006969A4" w:rsidRPr="006247D3" w:rsidRDefault="006969A4" w:rsidP="006969A4">
      <w:pPr>
        <w:spacing w:before="240" w:after="0" w:line="240" w:lineRule="auto"/>
        <w:ind w:left="720" w:hanging="720"/>
        <w:jc w:val="both"/>
        <w:rPr>
          <w:rFonts w:ascii="Times New Roman"/>
          <w:szCs w:val="24"/>
        </w:rPr>
      </w:pPr>
      <w:proofErr w:type="spellStart"/>
      <w:r w:rsidRPr="006247D3">
        <w:rPr>
          <w:rFonts w:ascii="Times New Roman"/>
          <w:szCs w:val="24"/>
        </w:rPr>
        <w:t>Nyakomitta</w:t>
      </w:r>
      <w:proofErr w:type="spellEnd"/>
      <w:r w:rsidRPr="006247D3">
        <w:rPr>
          <w:rFonts w:ascii="Times New Roman"/>
          <w:szCs w:val="24"/>
        </w:rPr>
        <w:t>, C. J. (2023). Key Account Management and Brand Performance Among Insurance Companies in Kenya (Doctoral dissertation, University of Nairobi).</w:t>
      </w:r>
    </w:p>
    <w:p w14:paraId="65DBF503"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 xml:space="preserve">Oduori, O. D., </w:t>
      </w:r>
      <w:proofErr w:type="spellStart"/>
      <w:r w:rsidRPr="006247D3">
        <w:rPr>
          <w:rFonts w:ascii="Times New Roman"/>
          <w:szCs w:val="24"/>
        </w:rPr>
        <w:t>Odunga</w:t>
      </w:r>
      <w:proofErr w:type="spellEnd"/>
      <w:r w:rsidRPr="006247D3">
        <w:rPr>
          <w:rFonts w:ascii="Times New Roman"/>
          <w:szCs w:val="24"/>
        </w:rPr>
        <w:t xml:space="preserve">, M. R., &amp; Cheboi, J. (2024). Effect of Value Added Tax Incentives on Financial Performance of Export Processing Zone </w:t>
      </w:r>
      <w:proofErr w:type="spellStart"/>
      <w:r w:rsidRPr="006247D3">
        <w:rPr>
          <w:rFonts w:ascii="Times New Roman"/>
          <w:szCs w:val="24"/>
        </w:rPr>
        <w:t>Agro</w:t>
      </w:r>
      <w:proofErr w:type="spellEnd"/>
      <w:r w:rsidRPr="006247D3">
        <w:rPr>
          <w:rFonts w:ascii="Times New Roman"/>
          <w:szCs w:val="24"/>
        </w:rPr>
        <w:t>-Processing Firms in Nairobi County, Kenya. Journal of Finance and Accounting, 4(3).</w:t>
      </w:r>
    </w:p>
    <w:p w14:paraId="42536096"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Oxfam (2023). Analysis of Kenya’s Tax Expenditure: EPZs and Fiscal Cost. Fair Tax Monitor Report.</w:t>
      </w:r>
    </w:p>
    <w:p w14:paraId="13AD34EF"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Paul, J. B. (2019). Effects of Tax Incentives on the Performance of Export Processing Zone Firms: A Case of Athi River EPZ. (Unpublished research project, KESRA/JKUAT).</w:t>
      </w:r>
    </w:p>
    <w:p w14:paraId="76D47183"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PwC Tanzania. (2025). Tanzania – Corporate Tax Credits and Incentives: Tax Summaries.</w:t>
      </w:r>
    </w:p>
    <w:p w14:paraId="4F13B3BD"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PwC. (2025). Kenya – Corporate Tax Credits and Incentives. Tax Summaries.</w:t>
      </w:r>
    </w:p>
    <w:p w14:paraId="41E32AF5"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 xml:space="preserve">Quaye, D. M., Sekyere, K. N., &amp; Acheampong, G. (2017). Export promotion </w:t>
      </w:r>
      <w:proofErr w:type="spellStart"/>
      <w:r w:rsidRPr="006247D3">
        <w:rPr>
          <w:rFonts w:ascii="Times New Roman"/>
          <w:szCs w:val="24"/>
        </w:rPr>
        <w:t>programmes</w:t>
      </w:r>
      <w:proofErr w:type="spellEnd"/>
      <w:r w:rsidRPr="006247D3">
        <w:rPr>
          <w:rFonts w:ascii="Times New Roman"/>
          <w:szCs w:val="24"/>
        </w:rPr>
        <w:t xml:space="preserve"> and export performance: a study of selected SMEs in the manufacturing sector of Ghana. </w:t>
      </w:r>
      <w:r w:rsidRPr="006247D3">
        <w:rPr>
          <w:rFonts w:ascii="Times New Roman"/>
          <w:i/>
          <w:iCs/>
          <w:szCs w:val="24"/>
        </w:rPr>
        <w:t>Review of International Business and Strategy</w:t>
      </w:r>
      <w:r w:rsidRPr="006247D3">
        <w:rPr>
          <w:rFonts w:ascii="Times New Roman"/>
          <w:szCs w:val="24"/>
        </w:rPr>
        <w:t xml:space="preserve">, </w:t>
      </w:r>
      <w:r w:rsidRPr="006247D3">
        <w:rPr>
          <w:rFonts w:ascii="Times New Roman"/>
          <w:i/>
          <w:iCs/>
          <w:szCs w:val="24"/>
        </w:rPr>
        <w:t>27</w:t>
      </w:r>
      <w:r w:rsidRPr="006247D3">
        <w:rPr>
          <w:rFonts w:ascii="Times New Roman"/>
          <w:szCs w:val="24"/>
        </w:rPr>
        <w:t>(4), 466-483.</w:t>
      </w:r>
    </w:p>
    <w:p w14:paraId="42F3D5EA"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 xml:space="preserve">Sgrignoli, P., </w:t>
      </w:r>
      <w:proofErr w:type="spellStart"/>
      <w:r w:rsidRPr="006247D3">
        <w:rPr>
          <w:rFonts w:ascii="Times New Roman"/>
          <w:szCs w:val="24"/>
        </w:rPr>
        <w:t>Metulini</w:t>
      </w:r>
      <w:proofErr w:type="spellEnd"/>
      <w:r w:rsidRPr="006247D3">
        <w:rPr>
          <w:rFonts w:ascii="Times New Roman"/>
          <w:szCs w:val="24"/>
        </w:rPr>
        <w:t xml:space="preserve">, R., Zhu, Z., &amp; </w:t>
      </w:r>
      <w:proofErr w:type="spellStart"/>
      <w:r w:rsidRPr="006247D3">
        <w:rPr>
          <w:rFonts w:ascii="Times New Roman"/>
          <w:szCs w:val="24"/>
        </w:rPr>
        <w:t>Riccaboni</w:t>
      </w:r>
      <w:proofErr w:type="spellEnd"/>
      <w:r w:rsidRPr="006247D3">
        <w:rPr>
          <w:rFonts w:ascii="Times New Roman"/>
          <w:szCs w:val="24"/>
        </w:rPr>
        <w:t xml:space="preserve">, M. (2017). The Indirect Effects of FDI on Trade: A Network Perspective. </w:t>
      </w:r>
      <w:proofErr w:type="spellStart"/>
      <w:r w:rsidRPr="006247D3">
        <w:rPr>
          <w:rFonts w:ascii="Times New Roman"/>
          <w:szCs w:val="24"/>
        </w:rPr>
        <w:t>arXiv</w:t>
      </w:r>
      <w:proofErr w:type="spellEnd"/>
      <w:r w:rsidRPr="006247D3">
        <w:rPr>
          <w:rFonts w:ascii="Times New Roman"/>
          <w:szCs w:val="24"/>
        </w:rPr>
        <w:t xml:space="preserve"> preprint.</w:t>
      </w:r>
    </w:p>
    <w:p w14:paraId="1F6254D7"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Srinivasan, S. (2009). Subsidy policy and the enlargement of choice. Renewable and Sustainable Energy Reviews, 13(9), 2728-2733.</w:t>
      </w:r>
    </w:p>
    <w:p w14:paraId="1A5D85FD"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STATISTICS, E. (2012). IEA STATISTICS.</w:t>
      </w:r>
    </w:p>
    <w:p w14:paraId="10E9F223" w14:textId="77777777" w:rsidR="006969A4" w:rsidRPr="006247D3" w:rsidRDefault="006969A4" w:rsidP="006969A4">
      <w:pPr>
        <w:spacing w:before="240" w:after="0" w:line="240" w:lineRule="auto"/>
        <w:ind w:left="720" w:hanging="720"/>
        <w:jc w:val="both"/>
        <w:rPr>
          <w:rFonts w:ascii="Times New Roman"/>
          <w:szCs w:val="24"/>
        </w:rPr>
      </w:pPr>
      <w:proofErr w:type="spellStart"/>
      <w:r w:rsidRPr="006247D3">
        <w:rPr>
          <w:rFonts w:ascii="Times New Roman"/>
          <w:szCs w:val="24"/>
        </w:rPr>
        <w:lastRenderedPageBreak/>
        <w:t>Sumani</w:t>
      </w:r>
      <w:proofErr w:type="spellEnd"/>
      <w:r w:rsidRPr="006247D3">
        <w:rPr>
          <w:rFonts w:ascii="Times New Roman"/>
          <w:szCs w:val="24"/>
        </w:rPr>
        <w:t xml:space="preserve">, D., Hulu, M. Z. T., </w:t>
      </w:r>
      <w:proofErr w:type="spellStart"/>
      <w:r w:rsidRPr="006247D3">
        <w:rPr>
          <w:rFonts w:ascii="Times New Roman"/>
          <w:szCs w:val="24"/>
        </w:rPr>
        <w:t>Simamora</w:t>
      </w:r>
      <w:proofErr w:type="spellEnd"/>
      <w:r w:rsidRPr="006247D3">
        <w:rPr>
          <w:rFonts w:ascii="Times New Roman"/>
          <w:szCs w:val="24"/>
        </w:rPr>
        <w:t>, M. R., &amp; Kesuma, S. A. (2024). Resource Based View Theory to Achieve a Sustainable Competitive Advantage of the Firm: Systematic Literature Review. International Journal of Entrepreneurship and Sustainability Studies, 4(1), 1–15. journals.researchsynergypress.com</w:t>
      </w:r>
    </w:p>
    <w:p w14:paraId="79FAD72B" w14:textId="77777777" w:rsidR="006969A4" w:rsidRPr="006247D3" w:rsidRDefault="006969A4" w:rsidP="006969A4">
      <w:pPr>
        <w:spacing w:before="240" w:after="0" w:line="240" w:lineRule="auto"/>
        <w:ind w:left="720" w:hanging="720"/>
        <w:jc w:val="both"/>
        <w:rPr>
          <w:rFonts w:ascii="Times New Roman"/>
          <w:szCs w:val="24"/>
        </w:rPr>
      </w:pPr>
      <w:proofErr w:type="spellStart"/>
      <w:r w:rsidRPr="006247D3">
        <w:rPr>
          <w:rFonts w:ascii="Times New Roman"/>
          <w:szCs w:val="24"/>
        </w:rPr>
        <w:t>Tembur</w:t>
      </w:r>
      <w:proofErr w:type="spellEnd"/>
      <w:r w:rsidRPr="006247D3">
        <w:rPr>
          <w:rFonts w:ascii="Times New Roman"/>
          <w:szCs w:val="24"/>
        </w:rPr>
        <w:t>, N. C. (2016). Effect of tax incentives on financial performance of Export processing Zone firms in Kenya (Doctoral dissertation, University of Nairobi).</w:t>
      </w:r>
    </w:p>
    <w:p w14:paraId="271D7E24"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UFZEPA (Uganda Free Zones Authority). (n.d.). Free Zone Incentives to Investors.</w:t>
      </w:r>
    </w:p>
    <w:p w14:paraId="317CE5C0"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UNCTAD. (2019). World Investment Report: Special Economic Zones and FDI. UNCTAD.</w:t>
      </w:r>
    </w:p>
    <w:p w14:paraId="1F86B2D8"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United Nations Conference on Trade and Development (UNCTAD). (2023). Economic Incentives and Special Economic Zones: Trends in Africa.</w:t>
      </w:r>
    </w:p>
    <w:p w14:paraId="0D87D5E0"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 xml:space="preserve">Vallarino, D. (2024). Machine Learning and Econometric Approaches to Fiscal Policies: Understanding Industrial Investment Dynamics in Uruguay. </w:t>
      </w:r>
      <w:proofErr w:type="spellStart"/>
      <w:r w:rsidRPr="006247D3">
        <w:rPr>
          <w:rFonts w:ascii="Times New Roman"/>
          <w:szCs w:val="24"/>
        </w:rPr>
        <w:t>arXiv</w:t>
      </w:r>
      <w:proofErr w:type="spellEnd"/>
      <w:r w:rsidRPr="006247D3">
        <w:rPr>
          <w:rFonts w:ascii="Times New Roman"/>
          <w:szCs w:val="24"/>
        </w:rPr>
        <w:t xml:space="preserve"> preprint.</w:t>
      </w:r>
    </w:p>
    <w:p w14:paraId="2F2497D7"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Wangu, M. R. (2018). Effects of Tax Incentives in the Development of Manufacturing Industries in Nairobi, Kenya. (Unpublished thesis, KESRA/JKUAT).</w:t>
      </w:r>
    </w:p>
    <w:p w14:paraId="29E1E60E"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World Bank. (2018). Special Economic Zones: Performance, Lessons Learned, and Implications for Zone Development.</w:t>
      </w:r>
    </w:p>
    <w:p w14:paraId="5A435D7C"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ZEE, H., Kimberly, A., &amp; Parys, S. (2012). Tax Incentives for Investment: A Global Perspective. Journal of Development Economics, 96(2), 131–141.</w:t>
      </w:r>
    </w:p>
    <w:p w14:paraId="656632F0" w14:textId="77777777" w:rsidR="006969A4" w:rsidRPr="006247D3" w:rsidRDefault="006969A4" w:rsidP="006969A4">
      <w:pPr>
        <w:spacing w:before="240" w:after="0" w:line="240" w:lineRule="auto"/>
        <w:ind w:left="720" w:hanging="720"/>
        <w:jc w:val="both"/>
        <w:rPr>
          <w:rFonts w:ascii="Times New Roman"/>
          <w:szCs w:val="24"/>
        </w:rPr>
      </w:pPr>
      <w:r w:rsidRPr="006247D3">
        <w:rPr>
          <w:rFonts w:ascii="Times New Roman"/>
          <w:szCs w:val="24"/>
        </w:rPr>
        <w:t>Zeng, D. Z. (2013). SEZ as a Development Strategy. World Bank Group, Policy Research Working Paper.</w:t>
      </w:r>
    </w:p>
    <w:p w14:paraId="1CBD19AD" w14:textId="77777777" w:rsidR="006969A4" w:rsidRPr="006969A4" w:rsidRDefault="006969A4" w:rsidP="006969A4">
      <w:pPr>
        <w:spacing w:before="240" w:after="0" w:line="240" w:lineRule="auto"/>
        <w:ind w:left="720" w:hanging="720"/>
        <w:jc w:val="both"/>
        <w:rPr>
          <w:rFonts w:ascii="Times New Roman"/>
          <w:szCs w:val="24"/>
        </w:rPr>
      </w:pPr>
      <w:r w:rsidRPr="006247D3">
        <w:rPr>
          <w:rFonts w:ascii="Times New Roman"/>
          <w:szCs w:val="24"/>
        </w:rPr>
        <w:t>Zeng, D. Z. (2016). Global Experiences with Special Economic Zones: Focus on China and Africa. World Bank Group.</w:t>
      </w:r>
    </w:p>
    <w:p w14:paraId="67D4E3F5" w14:textId="77777777" w:rsidR="006969A4" w:rsidRPr="00400389" w:rsidRDefault="006969A4" w:rsidP="006969A4">
      <w:pPr>
        <w:spacing w:after="0" w:line="240" w:lineRule="auto"/>
        <w:ind w:left="360" w:hanging="360"/>
        <w:jc w:val="both"/>
        <w:rPr>
          <w:rFonts w:ascii="Times New Roman"/>
          <w:b/>
          <w:szCs w:val="20"/>
        </w:rPr>
      </w:pPr>
    </w:p>
    <w:sectPr w:rsidR="006969A4" w:rsidRPr="00400389" w:rsidSect="00B402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2DEF" w14:textId="77777777" w:rsidR="008B46C6" w:rsidRDefault="008B46C6">
      <w:pPr>
        <w:spacing w:after="0" w:line="240" w:lineRule="auto"/>
      </w:pPr>
      <w:r>
        <w:separator/>
      </w:r>
    </w:p>
  </w:endnote>
  <w:endnote w:type="continuationSeparator" w:id="0">
    <w:p w14:paraId="2A87445F" w14:textId="77777777" w:rsidR="008B46C6" w:rsidRDefault="008B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7A42" w14:textId="77777777" w:rsidR="00806CBE" w:rsidRDefault="00806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3906" w14:textId="4F5DDA30" w:rsidR="00B76753" w:rsidRDefault="00E75050" w:rsidP="00EB64DB">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sidR="00B76753">
      <w:rPr>
        <w:rFonts w:ascii="Times New Roman"/>
        <w:sz w:val="20"/>
      </w:rPr>
      <w:tab/>
    </w:r>
    <w:r w:rsidR="00B76753">
      <w:rPr>
        <w:rFonts w:ascii="Times New Roman"/>
        <w:sz w:val="20"/>
      </w:rPr>
      <w:tab/>
    </w:r>
    <w:r w:rsidR="00B76753">
      <w:rPr>
        <w:rFonts w:ascii="Times New Roman"/>
        <w:sz w:val="20"/>
      </w:rPr>
      <w:tab/>
    </w:r>
    <w:r w:rsidR="00B76753">
      <w:rPr>
        <w:rFonts w:ascii="Times New Roman"/>
        <w:sz w:val="20"/>
      </w:rPr>
      <w:tab/>
    </w:r>
    <w:r w:rsidR="00B76753">
      <w:rPr>
        <w:rFonts w:ascii="Times New Roman"/>
        <w:sz w:val="20"/>
      </w:rPr>
      <w:tab/>
      <w:t xml:space="preserve">                                        </w:t>
    </w:r>
    <w:r w:rsidR="00B76753">
      <w:rPr>
        <w:rFonts w:ascii="Times New Roman"/>
        <w:sz w:val="20"/>
      </w:rPr>
      <w:fldChar w:fldCharType="begin"/>
    </w:r>
    <w:r w:rsidR="00B76753">
      <w:rPr>
        <w:rFonts w:ascii="Times New Roman"/>
        <w:sz w:val="20"/>
      </w:rPr>
      <w:instrText xml:space="preserve"> PAGE  \* Arabic  \* MERGEFORMAT </w:instrText>
    </w:r>
    <w:r w:rsidR="00B76753">
      <w:rPr>
        <w:rFonts w:ascii="Times New Roman"/>
        <w:sz w:val="20"/>
      </w:rPr>
      <w:fldChar w:fldCharType="separate"/>
    </w:r>
    <w:r w:rsidR="00EB4058">
      <w:rPr>
        <w:rFonts w:ascii="Times New Roman"/>
        <w:noProof/>
        <w:sz w:val="20"/>
      </w:rPr>
      <w:t>2</w:t>
    </w:r>
    <w:r w:rsidR="00B76753">
      <w:rPr>
        <w:rFonts w:ascii="Times New Roman"/>
        <w:sz w:val="20"/>
      </w:rPr>
      <w:fldChar w:fldCharType="end"/>
    </w:r>
    <w:r w:rsidR="00B76753">
      <w:rPr>
        <w:rFonts w:ascii="Times New Roman"/>
        <w:sz w:val="20"/>
      </w:rPr>
      <w:t xml:space="preserve"> | Page</w:t>
    </w:r>
  </w:p>
  <w:p w14:paraId="39EC74CB" w14:textId="77777777" w:rsidR="00B76753" w:rsidRPr="00EB64DB" w:rsidRDefault="00B76753" w:rsidP="00EB6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AF29" w14:textId="2C969A07" w:rsidR="00B76753" w:rsidRDefault="007D0AD6">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sidR="00B76753">
      <w:rPr>
        <w:rFonts w:ascii="Times New Roman"/>
        <w:sz w:val="20"/>
      </w:rPr>
      <w:tab/>
    </w:r>
    <w:r w:rsidR="00B76753">
      <w:rPr>
        <w:rFonts w:ascii="Times New Roman"/>
        <w:sz w:val="20"/>
      </w:rPr>
      <w:tab/>
    </w:r>
    <w:r w:rsidR="00B76753">
      <w:rPr>
        <w:rFonts w:ascii="Times New Roman"/>
        <w:sz w:val="20"/>
      </w:rPr>
      <w:tab/>
    </w:r>
    <w:r w:rsidR="00B76753">
      <w:rPr>
        <w:rFonts w:ascii="Times New Roman"/>
        <w:sz w:val="20"/>
      </w:rPr>
      <w:tab/>
    </w:r>
    <w:r w:rsidR="00B76753">
      <w:rPr>
        <w:rFonts w:ascii="Times New Roman"/>
        <w:sz w:val="20"/>
      </w:rPr>
      <w:tab/>
      <w:t xml:space="preserve">                                        </w:t>
    </w:r>
    <w:r w:rsidR="00B76753">
      <w:rPr>
        <w:rFonts w:ascii="Times New Roman"/>
        <w:sz w:val="20"/>
      </w:rPr>
      <w:fldChar w:fldCharType="begin"/>
    </w:r>
    <w:r w:rsidR="00B76753">
      <w:rPr>
        <w:rFonts w:ascii="Times New Roman"/>
        <w:sz w:val="20"/>
      </w:rPr>
      <w:instrText xml:space="preserve"> PAGE  \* Arabic  \* MERGEFORMAT </w:instrText>
    </w:r>
    <w:r w:rsidR="00B76753">
      <w:rPr>
        <w:rFonts w:ascii="Times New Roman"/>
        <w:sz w:val="20"/>
      </w:rPr>
      <w:fldChar w:fldCharType="separate"/>
    </w:r>
    <w:r w:rsidR="00EB4058">
      <w:rPr>
        <w:rFonts w:ascii="Times New Roman"/>
        <w:noProof/>
        <w:sz w:val="20"/>
      </w:rPr>
      <w:t>1</w:t>
    </w:r>
    <w:r w:rsidR="00B76753">
      <w:rPr>
        <w:rFonts w:ascii="Times New Roman"/>
        <w:sz w:val="20"/>
      </w:rPr>
      <w:fldChar w:fldCharType="end"/>
    </w:r>
    <w:r w:rsidR="00B76753">
      <w:rPr>
        <w:rFonts w:ascii="Times New Roman"/>
        <w:sz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D071" w14:textId="77777777" w:rsidR="008B46C6" w:rsidRDefault="008B46C6">
      <w:pPr>
        <w:spacing w:after="0" w:line="240" w:lineRule="auto"/>
      </w:pPr>
      <w:r>
        <w:separator/>
      </w:r>
    </w:p>
  </w:footnote>
  <w:footnote w:type="continuationSeparator" w:id="0">
    <w:p w14:paraId="267650C0" w14:textId="77777777" w:rsidR="008B46C6" w:rsidRDefault="008B4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E2EF" w14:textId="52138440" w:rsidR="00806CBE" w:rsidRDefault="00806CBE">
    <w:pPr>
      <w:pStyle w:val="Header"/>
    </w:pPr>
    <w:r>
      <w:rPr>
        <w:noProof/>
      </w:rPr>
      <w:pict w14:anchorId="5613D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912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6429" w14:textId="4F9A739C" w:rsidR="00B76753" w:rsidRDefault="00806CBE">
    <w:pPr>
      <w:pBdr>
        <w:bottom w:val="single" w:sz="4" w:space="1" w:color="auto"/>
      </w:pBdr>
      <w:tabs>
        <w:tab w:val="left" w:pos="90"/>
      </w:tabs>
      <w:spacing w:line="240" w:lineRule="auto"/>
      <w:jc w:val="right"/>
      <w:rPr>
        <w:rFonts w:ascii="Times New Roman"/>
        <w:i/>
        <w:szCs w:val="20"/>
      </w:rPr>
    </w:pPr>
    <w:r>
      <w:rPr>
        <w:noProof/>
      </w:rPr>
      <w:pict w14:anchorId="35A32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9127"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54C0" w14:textId="454C5A13" w:rsidR="00B76753" w:rsidRPr="00E75050" w:rsidRDefault="00806CBE" w:rsidP="00E75050">
    <w:pPr>
      <w:pStyle w:val="Header"/>
    </w:pPr>
    <w:r>
      <w:rPr>
        <w:noProof/>
      </w:rPr>
      <w:pict w14:anchorId="1D46E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912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r w:rsidR="00B76753" w:rsidRPr="00E750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1" w15:restartNumberingAfterBreak="0">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60C72"/>
    <w:multiLevelType w:val="multilevel"/>
    <w:tmpl w:val="2FB60C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6" w15:restartNumberingAfterBreak="0">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num w:numId="1" w16cid:durableId="1831629665">
    <w:abstractNumId w:val="9"/>
  </w:num>
  <w:num w:numId="2" w16cid:durableId="685789795">
    <w:abstractNumId w:val="5"/>
  </w:num>
  <w:num w:numId="3" w16cid:durableId="543373906">
    <w:abstractNumId w:val="0"/>
  </w:num>
  <w:num w:numId="4" w16cid:durableId="1242638839">
    <w:abstractNumId w:val="7"/>
  </w:num>
  <w:num w:numId="5" w16cid:durableId="1799256734">
    <w:abstractNumId w:val="6"/>
  </w:num>
  <w:num w:numId="6" w16cid:durableId="2075422148">
    <w:abstractNumId w:val="8"/>
  </w:num>
  <w:num w:numId="7" w16cid:durableId="934939673">
    <w:abstractNumId w:val="4"/>
  </w:num>
  <w:num w:numId="8" w16cid:durableId="642928873">
    <w:abstractNumId w:val="1"/>
  </w:num>
  <w:num w:numId="9" w16cid:durableId="1856534665">
    <w:abstractNumId w:val="2"/>
  </w:num>
  <w:num w:numId="10" w16cid:durableId="1959484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E22"/>
    <w:rsid w:val="00000F32"/>
    <w:rsid w:val="00012505"/>
    <w:rsid w:val="00016496"/>
    <w:rsid w:val="000423E1"/>
    <w:rsid w:val="000442BE"/>
    <w:rsid w:val="00061B45"/>
    <w:rsid w:val="00076BC1"/>
    <w:rsid w:val="000A3E17"/>
    <w:rsid w:val="000A4F4A"/>
    <w:rsid w:val="000D3808"/>
    <w:rsid w:val="000F717F"/>
    <w:rsid w:val="001009EC"/>
    <w:rsid w:val="00115D67"/>
    <w:rsid w:val="00142D35"/>
    <w:rsid w:val="001442B1"/>
    <w:rsid w:val="0015131E"/>
    <w:rsid w:val="00152CF2"/>
    <w:rsid w:val="001813DF"/>
    <w:rsid w:val="00191607"/>
    <w:rsid w:val="001926F4"/>
    <w:rsid w:val="001B049F"/>
    <w:rsid w:val="001B4C6F"/>
    <w:rsid w:val="001B7C21"/>
    <w:rsid w:val="001D25A9"/>
    <w:rsid w:val="002070DD"/>
    <w:rsid w:val="0021009B"/>
    <w:rsid w:val="002106B2"/>
    <w:rsid w:val="00214DED"/>
    <w:rsid w:val="00223511"/>
    <w:rsid w:val="002406C0"/>
    <w:rsid w:val="00245EBF"/>
    <w:rsid w:val="002572BB"/>
    <w:rsid w:val="002657F0"/>
    <w:rsid w:val="00273AFB"/>
    <w:rsid w:val="00276BD7"/>
    <w:rsid w:val="00284BA2"/>
    <w:rsid w:val="0029571F"/>
    <w:rsid w:val="002957C2"/>
    <w:rsid w:val="002D463B"/>
    <w:rsid w:val="002E01AB"/>
    <w:rsid w:val="002E1ECF"/>
    <w:rsid w:val="002F63B1"/>
    <w:rsid w:val="002F7C3C"/>
    <w:rsid w:val="00301557"/>
    <w:rsid w:val="00304126"/>
    <w:rsid w:val="003074D9"/>
    <w:rsid w:val="00337EF2"/>
    <w:rsid w:val="00342E10"/>
    <w:rsid w:val="00345023"/>
    <w:rsid w:val="003540A2"/>
    <w:rsid w:val="00363217"/>
    <w:rsid w:val="00374262"/>
    <w:rsid w:val="00385639"/>
    <w:rsid w:val="00395EF0"/>
    <w:rsid w:val="003A37D2"/>
    <w:rsid w:val="003F6BF5"/>
    <w:rsid w:val="00400389"/>
    <w:rsid w:val="00427D67"/>
    <w:rsid w:val="00432BC1"/>
    <w:rsid w:val="004413E4"/>
    <w:rsid w:val="00447E23"/>
    <w:rsid w:val="00452C5D"/>
    <w:rsid w:val="00466D4E"/>
    <w:rsid w:val="00472CB1"/>
    <w:rsid w:val="004824B7"/>
    <w:rsid w:val="00493CCB"/>
    <w:rsid w:val="004A27EE"/>
    <w:rsid w:val="004B123D"/>
    <w:rsid w:val="004C4A1B"/>
    <w:rsid w:val="004D5213"/>
    <w:rsid w:val="004F081F"/>
    <w:rsid w:val="004F1E63"/>
    <w:rsid w:val="00513A81"/>
    <w:rsid w:val="00523FC5"/>
    <w:rsid w:val="0052772D"/>
    <w:rsid w:val="005370EE"/>
    <w:rsid w:val="0054449B"/>
    <w:rsid w:val="00550689"/>
    <w:rsid w:val="0055239A"/>
    <w:rsid w:val="00553DDD"/>
    <w:rsid w:val="00555147"/>
    <w:rsid w:val="00572CCB"/>
    <w:rsid w:val="00580FE7"/>
    <w:rsid w:val="005879C7"/>
    <w:rsid w:val="00592FF7"/>
    <w:rsid w:val="00593D8C"/>
    <w:rsid w:val="00595641"/>
    <w:rsid w:val="005A5154"/>
    <w:rsid w:val="005B4E25"/>
    <w:rsid w:val="005F419B"/>
    <w:rsid w:val="005F4261"/>
    <w:rsid w:val="005F55CB"/>
    <w:rsid w:val="00611C34"/>
    <w:rsid w:val="00612794"/>
    <w:rsid w:val="006247D3"/>
    <w:rsid w:val="0063473D"/>
    <w:rsid w:val="00634FCE"/>
    <w:rsid w:val="00647223"/>
    <w:rsid w:val="006625B9"/>
    <w:rsid w:val="00674664"/>
    <w:rsid w:val="00681D97"/>
    <w:rsid w:val="006969A4"/>
    <w:rsid w:val="006D479D"/>
    <w:rsid w:val="006F61CC"/>
    <w:rsid w:val="00712AED"/>
    <w:rsid w:val="00716971"/>
    <w:rsid w:val="00730CDC"/>
    <w:rsid w:val="007319C1"/>
    <w:rsid w:val="00737E2C"/>
    <w:rsid w:val="00756AB9"/>
    <w:rsid w:val="00763E7B"/>
    <w:rsid w:val="00777498"/>
    <w:rsid w:val="007860D0"/>
    <w:rsid w:val="007B09D3"/>
    <w:rsid w:val="007B27D7"/>
    <w:rsid w:val="007C17A6"/>
    <w:rsid w:val="007C2C49"/>
    <w:rsid w:val="007D0AD6"/>
    <w:rsid w:val="007F7C27"/>
    <w:rsid w:val="00806CBE"/>
    <w:rsid w:val="00821E20"/>
    <w:rsid w:val="00825AFF"/>
    <w:rsid w:val="00845F44"/>
    <w:rsid w:val="008A7684"/>
    <w:rsid w:val="008B4351"/>
    <w:rsid w:val="008B46C6"/>
    <w:rsid w:val="008C5158"/>
    <w:rsid w:val="008F5296"/>
    <w:rsid w:val="009016D8"/>
    <w:rsid w:val="0091395E"/>
    <w:rsid w:val="00921AB0"/>
    <w:rsid w:val="00931D65"/>
    <w:rsid w:val="009440A4"/>
    <w:rsid w:val="00945C41"/>
    <w:rsid w:val="009804B0"/>
    <w:rsid w:val="009834DD"/>
    <w:rsid w:val="009B3E22"/>
    <w:rsid w:val="009E6068"/>
    <w:rsid w:val="00A27561"/>
    <w:rsid w:val="00A36484"/>
    <w:rsid w:val="00A516D0"/>
    <w:rsid w:val="00A5347F"/>
    <w:rsid w:val="00A67C1E"/>
    <w:rsid w:val="00A766A7"/>
    <w:rsid w:val="00AA492C"/>
    <w:rsid w:val="00AB2F45"/>
    <w:rsid w:val="00AB41C6"/>
    <w:rsid w:val="00AB54F9"/>
    <w:rsid w:val="00AD778C"/>
    <w:rsid w:val="00AE3804"/>
    <w:rsid w:val="00B03B38"/>
    <w:rsid w:val="00B13D13"/>
    <w:rsid w:val="00B23084"/>
    <w:rsid w:val="00B31089"/>
    <w:rsid w:val="00B402A1"/>
    <w:rsid w:val="00B47313"/>
    <w:rsid w:val="00B514EF"/>
    <w:rsid w:val="00B73CC4"/>
    <w:rsid w:val="00B76753"/>
    <w:rsid w:val="00B7753E"/>
    <w:rsid w:val="00BC2DBA"/>
    <w:rsid w:val="00BE6633"/>
    <w:rsid w:val="00C52127"/>
    <w:rsid w:val="00C81B4A"/>
    <w:rsid w:val="00CA24C5"/>
    <w:rsid w:val="00CC44E3"/>
    <w:rsid w:val="00CD2E8A"/>
    <w:rsid w:val="00CD4764"/>
    <w:rsid w:val="00CF47C4"/>
    <w:rsid w:val="00D10CD7"/>
    <w:rsid w:val="00D16966"/>
    <w:rsid w:val="00D17811"/>
    <w:rsid w:val="00D26557"/>
    <w:rsid w:val="00D479AE"/>
    <w:rsid w:val="00D62A25"/>
    <w:rsid w:val="00DA045B"/>
    <w:rsid w:val="00DA52A0"/>
    <w:rsid w:val="00DB1820"/>
    <w:rsid w:val="00DD2805"/>
    <w:rsid w:val="00DD57FD"/>
    <w:rsid w:val="00DD66BC"/>
    <w:rsid w:val="00DE4248"/>
    <w:rsid w:val="00E0379F"/>
    <w:rsid w:val="00E14AAB"/>
    <w:rsid w:val="00E42C5E"/>
    <w:rsid w:val="00E60D3E"/>
    <w:rsid w:val="00E75050"/>
    <w:rsid w:val="00E77ABB"/>
    <w:rsid w:val="00E82A82"/>
    <w:rsid w:val="00EA189F"/>
    <w:rsid w:val="00EB4058"/>
    <w:rsid w:val="00EB5B6A"/>
    <w:rsid w:val="00EB64DB"/>
    <w:rsid w:val="00EB7E4A"/>
    <w:rsid w:val="00EC72E7"/>
    <w:rsid w:val="00ED3B30"/>
    <w:rsid w:val="00EE3FAD"/>
    <w:rsid w:val="00EE4BB8"/>
    <w:rsid w:val="00EF4058"/>
    <w:rsid w:val="00EF48A0"/>
    <w:rsid w:val="00EF5B55"/>
    <w:rsid w:val="00F0555B"/>
    <w:rsid w:val="00F111E0"/>
    <w:rsid w:val="00F13286"/>
    <w:rsid w:val="00F21715"/>
    <w:rsid w:val="00F370E0"/>
    <w:rsid w:val="00F437F3"/>
    <w:rsid w:val="00F44B79"/>
    <w:rsid w:val="00F527BA"/>
    <w:rsid w:val="00F61B05"/>
    <w:rsid w:val="00F80670"/>
    <w:rsid w:val="00F81792"/>
    <w:rsid w:val="00F81B28"/>
    <w:rsid w:val="00F83B8C"/>
    <w:rsid w:val="00FA2FBC"/>
    <w:rsid w:val="00FB0A93"/>
    <w:rsid w:val="00FB3B6B"/>
    <w:rsid w:val="00FC0372"/>
    <w:rsid w:val="00FD68F5"/>
    <w:rsid w:val="00FE56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5BE06"/>
  <w15:docId w15:val="{8350A499-C881-4DB7-8856-E6AE27F6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7C4"/>
  </w:style>
  <w:style w:type="paragraph" w:styleId="Heading3">
    <w:name w:val="heading 3"/>
    <w:basedOn w:val="Normal"/>
    <w:next w:val="Normal"/>
    <w:link w:val="Heading3Char"/>
    <w:uiPriority w:val="9"/>
    <w:semiHidden/>
    <w:unhideWhenUsed/>
    <w:qFormat/>
    <w:rsid w:val="00EF40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074D9"/>
    <w:pPr>
      <w:keepNext/>
      <w:keepLines/>
      <w:spacing w:before="200" w:after="0" w:line="360" w:lineRule="auto"/>
      <w:jc w:val="both"/>
      <w:outlineLvl w:val="3"/>
    </w:pPr>
    <w:rPr>
      <w:rFonts w:ascii="Times New Roman" w:eastAsiaTheme="majorEastAsia" w:cstheme="majorBidi"/>
      <w:b/>
      <w:bCs/>
      <w:iCs/>
      <w:sz w:val="24"/>
      <w:lang w:val="en-GB"/>
    </w:rPr>
  </w:style>
  <w:style w:type="paragraph" w:styleId="Heading5">
    <w:name w:val="heading 5"/>
    <w:basedOn w:val="Normal"/>
    <w:next w:val="Normal"/>
    <w:link w:val="Heading5Char"/>
    <w:uiPriority w:val="9"/>
    <w:semiHidden/>
    <w:unhideWhenUsed/>
    <w:qFormat/>
    <w:rsid w:val="0036321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qFormat/>
    <w:rsid w:val="00CF47C4"/>
  </w:style>
  <w:style w:type="table" w:styleId="TableGrid">
    <w:name w:val="Table Grid"/>
    <w:basedOn w:val="TableNormal"/>
    <w:uiPriority w:val="39"/>
    <w:qFormat/>
    <w:rsid w:val="00CF47C4"/>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 w:type="character" w:customStyle="1" w:styleId="Heading4Char">
    <w:name w:val="Heading 4 Char"/>
    <w:basedOn w:val="DefaultParagraphFont"/>
    <w:link w:val="Heading4"/>
    <w:uiPriority w:val="9"/>
    <w:rsid w:val="003074D9"/>
    <w:rPr>
      <w:rFonts w:ascii="Times New Roman" w:eastAsiaTheme="majorEastAsia" w:cstheme="majorBidi"/>
      <w:b/>
      <w:bCs/>
      <w:iCs/>
      <w:sz w:val="24"/>
      <w:lang w:val="en-GB"/>
    </w:rPr>
  </w:style>
  <w:style w:type="paragraph" w:styleId="NormalWeb">
    <w:name w:val="Normal (Web)"/>
    <w:basedOn w:val="Normal"/>
    <w:uiPriority w:val="99"/>
    <w:semiHidden/>
    <w:unhideWhenUsed/>
    <w:rsid w:val="00E14AAB"/>
    <w:pPr>
      <w:spacing w:before="100" w:beforeAutospacing="1" w:after="100" w:afterAutospacing="1" w:line="240" w:lineRule="auto"/>
    </w:pPr>
    <w:rPr>
      <w:rFonts w:ascii="Times New Roman"/>
      <w:sz w:val="24"/>
      <w:szCs w:val="24"/>
    </w:rPr>
  </w:style>
  <w:style w:type="character" w:styleId="Strong">
    <w:name w:val="Strong"/>
    <w:basedOn w:val="DefaultParagraphFont"/>
    <w:uiPriority w:val="22"/>
    <w:qFormat/>
    <w:rsid w:val="00E14AAB"/>
    <w:rPr>
      <w:b/>
      <w:bCs/>
    </w:rPr>
  </w:style>
  <w:style w:type="character" w:customStyle="1" w:styleId="Heading3Char">
    <w:name w:val="Heading 3 Char"/>
    <w:basedOn w:val="DefaultParagraphFont"/>
    <w:link w:val="Heading3"/>
    <w:uiPriority w:val="9"/>
    <w:semiHidden/>
    <w:rsid w:val="00EF4058"/>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363217"/>
    <w:rPr>
      <w:rFonts w:asciiTheme="majorHAnsi" w:eastAsiaTheme="majorEastAsia" w:hAnsiTheme="majorHAnsi" w:cstheme="majorBidi"/>
      <w:color w:val="365F91" w:themeColor="accent1" w:themeShade="BF"/>
    </w:rPr>
  </w:style>
  <w:style w:type="table" w:customStyle="1" w:styleId="TableGrid0">
    <w:name w:val="TableGrid"/>
    <w:qFormat/>
    <w:rsid w:val="00363217"/>
    <w:pPr>
      <w:spacing w:after="160" w:line="278" w:lineRule="auto"/>
    </w:pPr>
    <w:rPr>
      <w:rFonts w:asciiTheme="minorHAnsi" w:eastAsiaTheme="minorEastAsia" w:hAnsiTheme="minorHAnsi" w:cstheme="minorBidi"/>
      <w:sz w:val="20"/>
      <w:szCs w:val="20"/>
    </w:rPr>
    <w:tblPr>
      <w:tblCellMar>
        <w:top w:w="0" w:type="dxa"/>
        <w:left w:w="0" w:type="dxa"/>
        <w:bottom w:w="0" w:type="dxa"/>
        <w:right w:w="0" w:type="dxa"/>
      </w:tblCellMar>
    </w:tblPr>
  </w:style>
  <w:style w:type="character" w:styleId="Hyperlink">
    <w:name w:val="Hyperlink"/>
    <w:basedOn w:val="DefaultParagraphFont"/>
    <w:uiPriority w:val="99"/>
    <w:unhideWhenUsed/>
    <w:rsid w:val="00AA492C"/>
    <w:rPr>
      <w:color w:val="0000FF" w:themeColor="hyperlink"/>
      <w:u w:val="single"/>
    </w:rPr>
  </w:style>
  <w:style w:type="character" w:styleId="UnresolvedMention">
    <w:name w:val="Unresolved Mention"/>
    <w:basedOn w:val="DefaultParagraphFont"/>
    <w:uiPriority w:val="99"/>
    <w:semiHidden/>
    <w:unhideWhenUsed/>
    <w:rsid w:val="00AA4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2588">
      <w:bodyDiv w:val="1"/>
      <w:marLeft w:val="0"/>
      <w:marRight w:val="0"/>
      <w:marTop w:val="0"/>
      <w:marBottom w:val="0"/>
      <w:divBdr>
        <w:top w:val="none" w:sz="0" w:space="0" w:color="auto"/>
        <w:left w:val="none" w:sz="0" w:space="0" w:color="auto"/>
        <w:bottom w:val="none" w:sz="0" w:space="0" w:color="auto"/>
        <w:right w:val="none" w:sz="0" w:space="0" w:color="auto"/>
      </w:divBdr>
    </w:div>
    <w:div w:id="633952882">
      <w:bodyDiv w:val="1"/>
      <w:marLeft w:val="0"/>
      <w:marRight w:val="0"/>
      <w:marTop w:val="0"/>
      <w:marBottom w:val="0"/>
      <w:divBdr>
        <w:top w:val="none" w:sz="0" w:space="0" w:color="auto"/>
        <w:left w:val="none" w:sz="0" w:space="0" w:color="auto"/>
        <w:bottom w:val="none" w:sz="0" w:space="0" w:color="auto"/>
        <w:right w:val="none" w:sz="0" w:space="0" w:color="auto"/>
      </w:divBdr>
      <w:divsChild>
        <w:div w:id="1365058429">
          <w:marLeft w:val="0"/>
          <w:marRight w:val="0"/>
          <w:marTop w:val="0"/>
          <w:marBottom w:val="0"/>
          <w:divBdr>
            <w:top w:val="none" w:sz="0" w:space="0" w:color="auto"/>
            <w:left w:val="none" w:sz="0" w:space="0" w:color="auto"/>
            <w:bottom w:val="none" w:sz="0" w:space="0" w:color="auto"/>
            <w:right w:val="none" w:sz="0" w:space="0" w:color="auto"/>
          </w:divBdr>
          <w:divsChild>
            <w:div w:id="796223013">
              <w:marLeft w:val="0"/>
              <w:marRight w:val="0"/>
              <w:marTop w:val="0"/>
              <w:marBottom w:val="0"/>
              <w:divBdr>
                <w:top w:val="none" w:sz="0" w:space="0" w:color="auto"/>
                <w:left w:val="none" w:sz="0" w:space="0" w:color="auto"/>
                <w:bottom w:val="none" w:sz="0" w:space="0" w:color="auto"/>
                <w:right w:val="none" w:sz="0" w:space="0" w:color="auto"/>
              </w:divBdr>
            </w:div>
          </w:divsChild>
        </w:div>
        <w:div w:id="456263451">
          <w:marLeft w:val="0"/>
          <w:marRight w:val="0"/>
          <w:marTop w:val="0"/>
          <w:marBottom w:val="0"/>
          <w:divBdr>
            <w:top w:val="none" w:sz="0" w:space="0" w:color="auto"/>
            <w:left w:val="none" w:sz="0" w:space="0" w:color="auto"/>
            <w:bottom w:val="none" w:sz="0" w:space="0" w:color="auto"/>
            <w:right w:val="none" w:sz="0" w:space="0" w:color="auto"/>
          </w:divBdr>
          <w:divsChild>
            <w:div w:id="14758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5878">
      <w:bodyDiv w:val="1"/>
      <w:marLeft w:val="0"/>
      <w:marRight w:val="0"/>
      <w:marTop w:val="0"/>
      <w:marBottom w:val="0"/>
      <w:divBdr>
        <w:top w:val="none" w:sz="0" w:space="0" w:color="auto"/>
        <w:left w:val="none" w:sz="0" w:space="0" w:color="auto"/>
        <w:bottom w:val="none" w:sz="0" w:space="0" w:color="auto"/>
        <w:right w:val="none" w:sz="0" w:space="0" w:color="auto"/>
      </w:divBdr>
    </w:div>
    <w:div w:id="1797217755">
      <w:bodyDiv w:val="1"/>
      <w:marLeft w:val="0"/>
      <w:marRight w:val="0"/>
      <w:marTop w:val="0"/>
      <w:marBottom w:val="0"/>
      <w:divBdr>
        <w:top w:val="none" w:sz="0" w:space="0" w:color="auto"/>
        <w:left w:val="none" w:sz="0" w:space="0" w:color="auto"/>
        <w:bottom w:val="none" w:sz="0" w:space="0" w:color="auto"/>
        <w:right w:val="none" w:sz="0" w:space="0" w:color="auto"/>
      </w:divBdr>
    </w:div>
    <w:div w:id="1918858201">
      <w:bodyDiv w:val="1"/>
      <w:marLeft w:val="0"/>
      <w:marRight w:val="0"/>
      <w:marTop w:val="0"/>
      <w:marBottom w:val="0"/>
      <w:divBdr>
        <w:top w:val="none" w:sz="0" w:space="0" w:color="auto"/>
        <w:left w:val="none" w:sz="0" w:space="0" w:color="auto"/>
        <w:bottom w:val="none" w:sz="0" w:space="0" w:color="auto"/>
        <w:right w:val="none" w:sz="0" w:space="0" w:color="auto"/>
      </w:divBdr>
      <w:divsChild>
        <w:div w:id="679508860">
          <w:marLeft w:val="0"/>
          <w:marRight w:val="0"/>
          <w:marTop w:val="0"/>
          <w:marBottom w:val="0"/>
          <w:divBdr>
            <w:top w:val="none" w:sz="0" w:space="0" w:color="auto"/>
            <w:left w:val="none" w:sz="0" w:space="0" w:color="auto"/>
            <w:bottom w:val="none" w:sz="0" w:space="0" w:color="auto"/>
            <w:right w:val="none" w:sz="0" w:space="0" w:color="auto"/>
          </w:divBdr>
          <w:divsChild>
            <w:div w:id="133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B16D-6946-41EB-8471-FF3B85A4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5910</Words>
  <Characters>33690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SDI 1084</cp:lastModifiedBy>
  <cp:revision>9</cp:revision>
  <cp:lastPrinted>2021-07-24T12:16:00Z</cp:lastPrinted>
  <dcterms:created xsi:type="dcterms:W3CDTF">2026-06-11T12:47:00Z</dcterms:created>
  <dcterms:modified xsi:type="dcterms:W3CDTF">2026-06-13T13:35:00Z</dcterms:modified>
</cp:coreProperties>
</file>