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B93E" w14:textId="6CE13817" w:rsidR="00B05A71" w:rsidRDefault="00E270A8" w:rsidP="00055D83">
      <w:pPr>
        <w:spacing w:before="0" w:line="240" w:lineRule="auto"/>
        <w:jc w:val="center"/>
        <w:rPr>
          <w:rFonts w:cs="Times New Roman"/>
          <w:b/>
          <w:bCs/>
          <w:color w:val="000000" w:themeColor="text1"/>
          <w:sz w:val="36"/>
          <w:szCs w:val="36"/>
        </w:rPr>
      </w:pPr>
      <w:r w:rsidRPr="00E270A8">
        <w:rPr>
          <w:rFonts w:cs="Times New Roman"/>
          <w:b/>
          <w:bCs/>
          <w:color w:val="000000" w:themeColor="text1"/>
          <w:sz w:val="36"/>
          <w:szCs w:val="36"/>
        </w:rPr>
        <w:t>FINANCIAL RISK AND FINANCIAL PERFORMANCE OF COMERCIAL STATE CORPORATIONS IN KENYA</w:t>
      </w:r>
    </w:p>
    <w:p w14:paraId="6BD2E617" w14:textId="77777777" w:rsidR="00E270A8" w:rsidRPr="007A56B8" w:rsidRDefault="00E270A8"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Default="00DD21C0" w:rsidP="00055D83">
      <w:pPr>
        <w:spacing w:before="0" w:line="240" w:lineRule="auto"/>
        <w:jc w:val="center"/>
        <w:rPr>
          <w:rFonts w:cs="Times New Roman"/>
          <w:b/>
          <w:color w:val="000000" w:themeColor="text1"/>
          <w:szCs w:val="24"/>
        </w:rPr>
      </w:pPr>
    </w:p>
    <w:p w14:paraId="269E48E7" w14:textId="77777777" w:rsidR="00F81C76" w:rsidRDefault="00F81C76" w:rsidP="00055D83">
      <w:pPr>
        <w:spacing w:before="0" w:line="240" w:lineRule="auto"/>
        <w:jc w:val="center"/>
        <w:rPr>
          <w:rFonts w:cs="Times New Roman"/>
          <w:b/>
          <w:color w:val="000000" w:themeColor="text1"/>
          <w:szCs w:val="24"/>
        </w:rPr>
      </w:pPr>
    </w:p>
    <w:p w14:paraId="66E367CF" w14:textId="77777777" w:rsidR="00F81C76" w:rsidRPr="007A56B8" w:rsidRDefault="00F81C76"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4FE5D9CA" w14:textId="77777777" w:rsidR="000B6AD0" w:rsidRDefault="000B6AD0" w:rsidP="000B6AD0">
      <w:pPr>
        <w:pStyle w:val="isselectedend"/>
      </w:pPr>
      <w:r>
        <w:t>Commercial state corporations in Kenya continue to face financial performance challenges, reflected in persistent weak and negative returns on assets across several entities. This study examined the effect of financial risk on the financial performance of commercial state-owned enterprises in Kenya during the period 2019–2024. The study focused on four dimensions of financial risk: default risk, interest rate risk, foreign exchange rate risk, and liquidity risk. An explanatory research design was adopted, and secondary data were obtained from audited financial statements of commercial state-owned enterprises. Although the target population comprised 46 entities, the analysis was based on 42 enterprises with available financial data, yielding 252 firm-year observations for return on assets. Financial performance was measured using return on assets, while the explanatory variables were measured using debt-to-asset ratio, interest expense ratio, foreign exchange gain or loss ratio, and current ratio. Panel regression analysis was applied after conducting diagnostic tests for multicollinearity, normality, heteroskedasticity, autocorrelation, stationarity, and model specification. The results indicated that default risk had a negative and statistically significant effect on financial performance. Liquidity risk had a positive and statistically significant effect, suggesting that adequate liquidity supports operational performance. Interest rate risk showed a weak positive statistical relationship with return on assets, while foreign exchange rate risk was positive but statistically insignificant. The study concludes that default risk and liquidity risk are the main financial risk factors influencing performance among commercial state-owned enterprises in Kenya. The findings highlight the need for prudent debt management, improved liquidity planning, and strengthened financial risk governance to support sustainable financial performance.</w:t>
      </w:r>
    </w:p>
    <w:p w14:paraId="2C452565" w14:textId="342022DA" w:rsidR="004261F9" w:rsidRPr="004261F9" w:rsidRDefault="004261F9" w:rsidP="004261F9">
      <w:pPr>
        <w:spacing w:line="240" w:lineRule="auto"/>
        <w:rPr>
          <w:rFonts w:cs="Times New Roman"/>
          <w:color w:val="000000" w:themeColor="text1"/>
          <w:szCs w:val="24"/>
        </w:rPr>
      </w:pPr>
    </w:p>
    <w:p w14:paraId="73B850E8" w14:textId="77777777" w:rsidR="004261F9" w:rsidRPr="004261F9" w:rsidRDefault="004261F9" w:rsidP="004261F9">
      <w:pPr>
        <w:spacing w:line="240" w:lineRule="auto"/>
        <w:rPr>
          <w:rFonts w:cs="Times New Roman"/>
          <w:color w:val="000000" w:themeColor="text1"/>
          <w:szCs w:val="24"/>
        </w:rPr>
      </w:pPr>
    </w:p>
    <w:p w14:paraId="07E3F2DD" w14:textId="3DDF6502" w:rsidR="00863107" w:rsidRPr="00863107" w:rsidRDefault="004261F9" w:rsidP="004261F9">
      <w:pPr>
        <w:spacing w:line="240" w:lineRule="auto"/>
        <w:rPr>
          <w:rFonts w:cs="Times New Roman"/>
          <w:color w:val="000000" w:themeColor="text1"/>
          <w:szCs w:val="24"/>
        </w:rPr>
      </w:pPr>
      <w:r w:rsidRPr="004261F9">
        <w:rPr>
          <w:rFonts w:cs="Times New Roman"/>
          <w:b/>
          <w:bCs/>
          <w:color w:val="000000" w:themeColor="text1"/>
          <w:szCs w:val="24"/>
        </w:rPr>
        <w:t>Keywords:</w:t>
      </w:r>
      <w:r>
        <w:rPr>
          <w:rFonts w:cs="Times New Roman"/>
          <w:color w:val="000000" w:themeColor="text1"/>
          <w:szCs w:val="24"/>
        </w:rPr>
        <w:t xml:space="preserve"> </w:t>
      </w:r>
      <w:r w:rsidRPr="004261F9">
        <w:rPr>
          <w:rFonts w:cs="Times New Roman"/>
          <w:i/>
          <w:iCs/>
          <w:color w:val="000000" w:themeColor="text1"/>
          <w:szCs w:val="24"/>
        </w:rPr>
        <w:t xml:space="preserve">Financial risk, Default risk, Liquidity risk, Interest rate risk, </w:t>
      </w:r>
      <w:proofErr w:type="gramStart"/>
      <w:r w:rsidRPr="004261F9">
        <w:rPr>
          <w:rFonts w:cs="Times New Roman"/>
          <w:i/>
          <w:iCs/>
          <w:color w:val="000000" w:themeColor="text1"/>
          <w:szCs w:val="24"/>
        </w:rPr>
        <w:t>Foreign</w:t>
      </w:r>
      <w:proofErr w:type="gramEnd"/>
      <w:r w:rsidRPr="004261F9">
        <w:rPr>
          <w:rFonts w:cs="Times New Roman"/>
          <w:i/>
          <w:iCs/>
          <w:color w:val="000000" w:themeColor="text1"/>
          <w:szCs w:val="24"/>
        </w:rPr>
        <w:t xml:space="preserve"> exchange risk, </w:t>
      </w:r>
      <w:proofErr w:type="gramStart"/>
      <w:r w:rsidRPr="004261F9">
        <w:rPr>
          <w:rFonts w:cs="Times New Roman"/>
          <w:i/>
          <w:iCs/>
          <w:color w:val="000000" w:themeColor="text1"/>
          <w:szCs w:val="24"/>
        </w:rPr>
        <w:t>Financial</w:t>
      </w:r>
      <w:proofErr w:type="gramEnd"/>
      <w:r w:rsidRPr="004261F9">
        <w:rPr>
          <w:rFonts w:cs="Times New Roman"/>
          <w:i/>
          <w:iCs/>
          <w:color w:val="000000" w:themeColor="text1"/>
          <w:szCs w:val="24"/>
        </w:rPr>
        <w:t xml:space="preserve"> performance, Commercial State Corporations</w:t>
      </w:r>
      <w:r w:rsidR="00863107" w:rsidRPr="00863107">
        <w:rPr>
          <w:rFonts w:cs="Times New Roman"/>
          <w:color w:val="000000" w:themeColor="text1"/>
          <w:szCs w:val="24"/>
        </w:rPr>
        <w:t>.</w:t>
      </w:r>
    </w:p>
    <w:p w14:paraId="4EE8B371" w14:textId="77777777" w:rsidR="00863107" w:rsidRPr="00863107" w:rsidRDefault="00863107" w:rsidP="00863107">
      <w:pPr>
        <w:spacing w:line="240" w:lineRule="auto"/>
        <w:rPr>
          <w:rFonts w:cs="Times New Roman"/>
          <w:color w:val="000000" w:themeColor="text1"/>
          <w:szCs w:val="24"/>
        </w:rPr>
      </w:pPr>
    </w:p>
    <w:p w14:paraId="3C2E1B6D" w14:textId="77777777" w:rsidR="00500683" w:rsidRDefault="00500683" w:rsidP="00500683">
      <w:pPr>
        <w:spacing w:line="240" w:lineRule="auto"/>
        <w:rPr>
          <w:rFonts w:cs="Times New Roman"/>
          <w:color w:val="000000" w:themeColor="text1"/>
          <w:szCs w:val="24"/>
        </w:rPr>
      </w:pPr>
    </w:p>
    <w:p w14:paraId="3DB2FC4D" w14:textId="77777777" w:rsidR="004261F9" w:rsidRDefault="004261F9" w:rsidP="00500683">
      <w:pPr>
        <w:spacing w:line="240" w:lineRule="auto"/>
        <w:rPr>
          <w:rFonts w:cs="Times New Roman"/>
          <w:color w:val="000000" w:themeColor="text1"/>
          <w:szCs w:val="24"/>
        </w:rPr>
      </w:pPr>
    </w:p>
    <w:p w14:paraId="218E3FB3" w14:textId="77777777" w:rsidR="008E7193" w:rsidRDefault="008E7193" w:rsidP="00500683">
      <w:pPr>
        <w:spacing w:line="240" w:lineRule="auto"/>
        <w:rPr>
          <w:rFonts w:cs="Times New Roman"/>
          <w:color w:val="000000" w:themeColor="text1"/>
          <w:szCs w:val="24"/>
        </w:rPr>
      </w:pPr>
    </w:p>
    <w:p w14:paraId="27CCF896" w14:textId="77777777" w:rsidR="004261F9" w:rsidRPr="007A56B8" w:rsidRDefault="004261F9" w:rsidP="00500683">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22647532"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lastRenderedPageBreak/>
        <w:t>State corporations play a central role in public service delivery and national development; however, their sustainability is largely dependent on strong financial performance. Effective financial performance ensures that these entities are able to meet their mandates, remain operationally efficient, and reduce reliance on government subsidies. The financial performance of state corporations is influenced by several interrelated factors, including strategic resource utilization, governance systems, and clearly defined financial policies (</w:t>
      </w:r>
      <w:proofErr w:type="spellStart"/>
      <w:r w:rsidRPr="00533290">
        <w:rPr>
          <w:rFonts w:cs="Times New Roman"/>
          <w:color w:val="000000" w:themeColor="text1"/>
          <w:szCs w:val="24"/>
        </w:rPr>
        <w:t>Tsindeliani</w:t>
      </w:r>
      <w:proofErr w:type="spellEnd"/>
      <w:r w:rsidRPr="00533290">
        <w:rPr>
          <w:rFonts w:cs="Times New Roman"/>
          <w:color w:val="000000" w:themeColor="text1"/>
          <w:szCs w:val="24"/>
        </w:rPr>
        <w:t xml:space="preserve"> et al., 2019). In particular, governance structures that emphasize transparency and accountability significantly improve the financial outcomes of public institutions (Gallego-</w:t>
      </w:r>
      <w:proofErr w:type="spellStart"/>
      <w:r w:rsidRPr="00533290">
        <w:rPr>
          <w:rFonts w:cs="Times New Roman"/>
          <w:color w:val="000000" w:themeColor="text1"/>
          <w:szCs w:val="24"/>
        </w:rPr>
        <w:t>Abaraj</w:t>
      </w:r>
      <w:proofErr w:type="spellEnd"/>
      <w:r w:rsidRPr="00533290">
        <w:rPr>
          <w:rFonts w:cs="Times New Roman"/>
          <w:color w:val="000000" w:themeColor="text1"/>
          <w:szCs w:val="24"/>
        </w:rPr>
        <w:t xml:space="preserve"> &amp; Rodriguez-Dominguez, 2025). Similarly, the integration of Environmental, Social, and Governance (ESG) principles enhances resilience and contributes to improved financial performance (Chen, Song, &amp; Gao, 2023). Operational efficiency in managing inventories, receivables, and cash flows also remains critical in determining financial success in state enterprises.</w:t>
      </w:r>
    </w:p>
    <w:p w14:paraId="6721ADD3"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Globally, reforms in state-owned enterprises have demonstrated the importance of strengthening corporate governance and operational controls. In Europe, reforms focusing on fiscal prudence, long-term planning, and risk reduction have led to improved financial outcomes in state corporations (Allen et al., 2020). These entities have increasingly adopted financial models emphasizing sustainability and performance improvement. For example, corporate sustainability practices in Romania combine financial performance with environmentally conscious investment strategies (</w:t>
      </w:r>
      <w:proofErr w:type="spellStart"/>
      <w:r w:rsidRPr="00533290">
        <w:rPr>
          <w:rFonts w:cs="Times New Roman"/>
          <w:color w:val="000000" w:themeColor="text1"/>
          <w:szCs w:val="24"/>
        </w:rPr>
        <w:t>Peretzicas</w:t>
      </w:r>
      <w:proofErr w:type="spellEnd"/>
      <w:r w:rsidRPr="00533290">
        <w:rPr>
          <w:rFonts w:cs="Times New Roman"/>
          <w:color w:val="000000" w:themeColor="text1"/>
          <w:szCs w:val="24"/>
        </w:rPr>
        <w:t>, Florea, &amp; Borodin et al., 2025). Similarly, infrastructure-driven innovation and robust financial management systems in Chile have improved outcomes in public–private partnerships (Mansilla &amp; Vassallo, 2020). Across these contexts, financial risk management—particularly liquidity and liability exposure management—has emerged as a key determinant of performance improvement.</w:t>
      </w:r>
    </w:p>
    <w:p w14:paraId="01E4620A"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In contrast, several developing economies continue to experience poor financial performance in state corporations. In Nigeria, state-owned enterprises have consistently recorded fiscal inefficiencies attributed to weak transparency and accountability systems (</w:t>
      </w:r>
      <w:proofErr w:type="spellStart"/>
      <w:r w:rsidRPr="00533290">
        <w:rPr>
          <w:rFonts w:cs="Times New Roman"/>
          <w:color w:val="000000" w:themeColor="text1"/>
          <w:szCs w:val="24"/>
        </w:rPr>
        <w:t>Emmanson</w:t>
      </w:r>
      <w:proofErr w:type="spellEnd"/>
      <w:r w:rsidRPr="00533290">
        <w:rPr>
          <w:rFonts w:cs="Times New Roman"/>
          <w:color w:val="000000" w:themeColor="text1"/>
          <w:szCs w:val="24"/>
        </w:rPr>
        <w:t xml:space="preserve"> &amp; Ajayi, 2021). Despite increased government budget allocations rising from NGN 1.6 trillion in 2018 to NGN 2.2 trillion in 2022, many corporations continue to struggle with revenue generation and operational efficiency (</w:t>
      </w:r>
      <w:proofErr w:type="spellStart"/>
      <w:r w:rsidRPr="00533290">
        <w:rPr>
          <w:rFonts w:cs="Times New Roman"/>
          <w:color w:val="000000" w:themeColor="text1"/>
          <w:szCs w:val="24"/>
        </w:rPr>
        <w:t>Adelusi</w:t>
      </w:r>
      <w:proofErr w:type="spellEnd"/>
      <w:r w:rsidRPr="00533290">
        <w:rPr>
          <w:rFonts w:cs="Times New Roman"/>
          <w:color w:val="000000" w:themeColor="text1"/>
          <w:szCs w:val="24"/>
        </w:rPr>
        <w:t xml:space="preserve">, </w:t>
      </w:r>
      <w:proofErr w:type="spellStart"/>
      <w:r w:rsidRPr="00533290">
        <w:rPr>
          <w:rFonts w:cs="Times New Roman"/>
          <w:color w:val="000000" w:themeColor="text1"/>
          <w:szCs w:val="24"/>
        </w:rPr>
        <w:t>Adelusi</w:t>
      </w:r>
      <w:proofErr w:type="spellEnd"/>
      <w:r w:rsidRPr="00533290">
        <w:rPr>
          <w:rFonts w:cs="Times New Roman"/>
          <w:color w:val="000000" w:themeColor="text1"/>
          <w:szCs w:val="24"/>
        </w:rPr>
        <w:t xml:space="preserve">, </w:t>
      </w:r>
      <w:proofErr w:type="spellStart"/>
      <w:r w:rsidRPr="00533290">
        <w:rPr>
          <w:rFonts w:cs="Times New Roman"/>
          <w:color w:val="000000" w:themeColor="text1"/>
          <w:szCs w:val="24"/>
        </w:rPr>
        <w:t>Omodero</w:t>
      </w:r>
      <w:proofErr w:type="spellEnd"/>
      <w:r w:rsidRPr="00533290">
        <w:rPr>
          <w:rFonts w:cs="Times New Roman"/>
          <w:color w:val="000000" w:themeColor="text1"/>
          <w:szCs w:val="24"/>
        </w:rPr>
        <w:t>, &amp; Rufus, 2024). The power sector, for instance, recorded a fiscal deficit of NGN 1.5 trillion in 2020 due to weak financial planning and high debt levels (</w:t>
      </w:r>
      <w:proofErr w:type="spellStart"/>
      <w:r w:rsidRPr="00533290">
        <w:rPr>
          <w:rFonts w:cs="Times New Roman"/>
          <w:color w:val="000000" w:themeColor="text1"/>
          <w:szCs w:val="24"/>
        </w:rPr>
        <w:t>Yetano</w:t>
      </w:r>
      <w:proofErr w:type="spellEnd"/>
      <w:r w:rsidRPr="00533290">
        <w:rPr>
          <w:rFonts w:cs="Times New Roman"/>
          <w:color w:val="000000" w:themeColor="text1"/>
          <w:szCs w:val="24"/>
        </w:rPr>
        <w:t xml:space="preserve"> Roche et al., 2020). Additionally, poor financial risk management practices—such as weak cash flow systems and ineffective debt collection—have further weakened profitability (Usman, 2025). As a result, approximately 60% of Nigerian state-owned enterprises depend on government funding for recurrent expenditure, raising concerns about long-term sustainability (</w:t>
      </w:r>
      <w:proofErr w:type="spellStart"/>
      <w:r w:rsidRPr="00533290">
        <w:rPr>
          <w:rFonts w:cs="Times New Roman"/>
          <w:color w:val="000000" w:themeColor="text1"/>
          <w:szCs w:val="24"/>
        </w:rPr>
        <w:t>Ebekozien</w:t>
      </w:r>
      <w:proofErr w:type="spellEnd"/>
      <w:r w:rsidRPr="00533290">
        <w:rPr>
          <w:rFonts w:cs="Times New Roman"/>
          <w:color w:val="000000" w:themeColor="text1"/>
          <w:szCs w:val="24"/>
        </w:rPr>
        <w:t xml:space="preserve"> et al., 2025).</w:t>
      </w:r>
    </w:p>
    <w:p w14:paraId="43AFA33D"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 xml:space="preserve">In Kenya, commercial state corporations (CSCs) also continue to experience persistent financial underperformance. Reports from the Office of the Auditor-General indicate recurring losses across key enterprises. For example, </w:t>
      </w:r>
      <w:proofErr w:type="spellStart"/>
      <w:r w:rsidRPr="00533290">
        <w:rPr>
          <w:rFonts w:cs="Times New Roman"/>
          <w:color w:val="000000" w:themeColor="text1"/>
          <w:szCs w:val="24"/>
        </w:rPr>
        <w:t>Nzoia</w:t>
      </w:r>
      <w:proofErr w:type="spellEnd"/>
      <w:r w:rsidRPr="00533290">
        <w:rPr>
          <w:rFonts w:cs="Times New Roman"/>
          <w:color w:val="000000" w:themeColor="text1"/>
          <w:szCs w:val="24"/>
        </w:rPr>
        <w:t xml:space="preserve"> Sugar recorded a return on assets (ROA) of -25.6% in 2019, deteriorating further to -38.9% in 2022 before slightly improving to -11.2% in 2024. Similarly, </w:t>
      </w:r>
      <w:proofErr w:type="spellStart"/>
      <w:r w:rsidRPr="00533290">
        <w:rPr>
          <w:rFonts w:cs="Times New Roman"/>
          <w:color w:val="000000" w:themeColor="text1"/>
          <w:szCs w:val="24"/>
        </w:rPr>
        <w:t>Chemelil</w:t>
      </w:r>
      <w:proofErr w:type="spellEnd"/>
      <w:r w:rsidRPr="00533290">
        <w:rPr>
          <w:rFonts w:cs="Times New Roman"/>
          <w:color w:val="000000" w:themeColor="text1"/>
          <w:szCs w:val="24"/>
        </w:rPr>
        <w:t xml:space="preserve"> Sugar and South Nyanza Sugar have consistently reported ROA below -10%. Other institutions such as the Kenya Broadcasting Corporation reported severe losses (-40.4% in 2019, -55.4% in 2020, and -9.2% in 2023), while East African Portland Cement also remained in negative performance territory (-15.6% in 2019, -14.8% in 2020, and -9.2% in 2023). Even strategic monopoly corporations such as Kenya Power and Lighting Company and Kenya Ports Authority have shown fluctuating profitability and instability in returns. Overall, CSCs recorded an average ROA of -3.95% in 2019 and -3.46% in 2024, reflecting systemic inefficiencies and dependence on Treasury bailouts (National Treasury, 2025).</w:t>
      </w:r>
    </w:p>
    <w:p w14:paraId="4C9B55A7"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Financial performance is a critical measure of an organization’s ability to meet obligations, sustain operations, and achieve long-term viability (Nhete, 2021). It reflects the balance between income generation, expenditure control, and access to sustainable financing. Strong financial performance is also closely linked to effective risk management practices that ensure continuity of operations (</w:t>
      </w:r>
      <w:proofErr w:type="spellStart"/>
      <w:r w:rsidRPr="00533290">
        <w:rPr>
          <w:rFonts w:cs="Times New Roman"/>
          <w:color w:val="000000" w:themeColor="text1"/>
          <w:szCs w:val="24"/>
        </w:rPr>
        <w:t>Gleißner</w:t>
      </w:r>
      <w:proofErr w:type="spellEnd"/>
      <w:r w:rsidRPr="00533290">
        <w:rPr>
          <w:rFonts w:cs="Times New Roman"/>
          <w:color w:val="000000" w:themeColor="text1"/>
          <w:szCs w:val="24"/>
        </w:rPr>
        <w:t xml:space="preserve">, Günther, &amp; </w:t>
      </w:r>
      <w:proofErr w:type="spellStart"/>
      <w:r w:rsidRPr="00533290">
        <w:rPr>
          <w:rFonts w:cs="Times New Roman"/>
          <w:color w:val="000000" w:themeColor="text1"/>
          <w:szCs w:val="24"/>
        </w:rPr>
        <w:t>Walkshäusl</w:t>
      </w:r>
      <w:proofErr w:type="spellEnd"/>
      <w:r w:rsidRPr="00533290">
        <w:rPr>
          <w:rFonts w:cs="Times New Roman"/>
          <w:color w:val="000000" w:themeColor="text1"/>
          <w:szCs w:val="24"/>
        </w:rPr>
        <w:t>, 2022). For state corporations, improving financial performance requires adopting performance-based financial systems that reduce dependence on government funding (</w:t>
      </w:r>
      <w:proofErr w:type="spellStart"/>
      <w:r w:rsidRPr="00533290">
        <w:rPr>
          <w:rFonts w:cs="Times New Roman"/>
          <w:color w:val="000000" w:themeColor="text1"/>
          <w:szCs w:val="24"/>
        </w:rPr>
        <w:t>Kotolo</w:t>
      </w:r>
      <w:proofErr w:type="spellEnd"/>
      <w:r w:rsidRPr="00533290">
        <w:rPr>
          <w:rFonts w:cs="Times New Roman"/>
          <w:color w:val="000000" w:themeColor="text1"/>
          <w:szCs w:val="24"/>
        </w:rPr>
        <w:t xml:space="preserve">, </w:t>
      </w:r>
      <w:proofErr w:type="spellStart"/>
      <w:r w:rsidRPr="00533290">
        <w:rPr>
          <w:rFonts w:cs="Times New Roman"/>
          <w:color w:val="000000" w:themeColor="text1"/>
          <w:szCs w:val="24"/>
        </w:rPr>
        <w:t>Namusonge</w:t>
      </w:r>
      <w:proofErr w:type="spellEnd"/>
      <w:r w:rsidRPr="00533290">
        <w:rPr>
          <w:rFonts w:cs="Times New Roman"/>
          <w:color w:val="000000" w:themeColor="text1"/>
          <w:szCs w:val="24"/>
        </w:rPr>
        <w:t xml:space="preserve">, &amp; </w:t>
      </w:r>
      <w:proofErr w:type="spellStart"/>
      <w:r w:rsidRPr="00533290">
        <w:rPr>
          <w:rFonts w:cs="Times New Roman"/>
          <w:color w:val="000000" w:themeColor="text1"/>
          <w:szCs w:val="24"/>
        </w:rPr>
        <w:t>Sasaka</w:t>
      </w:r>
      <w:proofErr w:type="spellEnd"/>
      <w:r w:rsidRPr="00533290">
        <w:rPr>
          <w:rFonts w:cs="Times New Roman"/>
          <w:color w:val="000000" w:themeColor="text1"/>
          <w:szCs w:val="24"/>
        </w:rPr>
        <w:t>, 2024).</w:t>
      </w:r>
    </w:p>
    <w:p w14:paraId="53F67FA0"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lastRenderedPageBreak/>
        <w:t>Key determinants of financial performance in public entities include governance quality, diversified revenue streams, and effective cost management (Nhete, 2021). Financial health is typically assessed through liquidity, solvency, and profitability ratios (</w:t>
      </w:r>
      <w:proofErr w:type="spellStart"/>
      <w:r w:rsidRPr="00533290">
        <w:rPr>
          <w:rFonts w:cs="Times New Roman"/>
          <w:color w:val="000000" w:themeColor="text1"/>
          <w:szCs w:val="24"/>
        </w:rPr>
        <w:t>Zabolotnyy</w:t>
      </w:r>
      <w:proofErr w:type="spellEnd"/>
      <w:r w:rsidRPr="00533290">
        <w:rPr>
          <w:rFonts w:cs="Times New Roman"/>
          <w:color w:val="000000" w:themeColor="text1"/>
          <w:szCs w:val="24"/>
        </w:rPr>
        <w:t xml:space="preserve"> &amp; Wasilewski, 2019). Various methodologies have been applied in measuring performance, including profitability ratios, debt analysis, and liquidity assessments (</w:t>
      </w:r>
      <w:proofErr w:type="spellStart"/>
      <w:r w:rsidRPr="00533290">
        <w:rPr>
          <w:rFonts w:cs="Times New Roman"/>
          <w:color w:val="000000" w:themeColor="text1"/>
          <w:szCs w:val="24"/>
        </w:rPr>
        <w:t>Gleißner</w:t>
      </w:r>
      <w:proofErr w:type="spellEnd"/>
      <w:r w:rsidRPr="00533290">
        <w:rPr>
          <w:rFonts w:cs="Times New Roman"/>
          <w:color w:val="000000" w:themeColor="text1"/>
          <w:szCs w:val="24"/>
        </w:rPr>
        <w:t xml:space="preserve"> et al., 2022), as well as audit quality and internal control evaluation (</w:t>
      </w:r>
      <w:proofErr w:type="spellStart"/>
      <w:r w:rsidRPr="00533290">
        <w:rPr>
          <w:rFonts w:cs="Times New Roman"/>
          <w:color w:val="000000" w:themeColor="text1"/>
          <w:szCs w:val="24"/>
        </w:rPr>
        <w:t>Nnah</w:t>
      </w:r>
      <w:proofErr w:type="spellEnd"/>
      <w:r w:rsidRPr="00533290">
        <w:rPr>
          <w:rFonts w:cs="Times New Roman"/>
          <w:color w:val="000000" w:themeColor="text1"/>
          <w:szCs w:val="24"/>
        </w:rPr>
        <w:t xml:space="preserve"> &amp; </w:t>
      </w:r>
      <w:proofErr w:type="spellStart"/>
      <w:r w:rsidRPr="00533290">
        <w:rPr>
          <w:rFonts w:cs="Times New Roman"/>
          <w:color w:val="000000" w:themeColor="text1"/>
          <w:szCs w:val="24"/>
        </w:rPr>
        <w:t>Maccarthy</w:t>
      </w:r>
      <w:proofErr w:type="spellEnd"/>
      <w:r w:rsidRPr="00533290">
        <w:rPr>
          <w:rFonts w:cs="Times New Roman"/>
          <w:color w:val="000000" w:themeColor="text1"/>
          <w:szCs w:val="24"/>
        </w:rPr>
        <w:t>, 2024). In addition, financial structuring and capital management also influence corporate performance (Biondi, 2025). In SMEs, performance has been measured through cash flow strength, creditworthiness, and investment levels (Owino, Irungu, &amp; Muchiri, 2025).</w:t>
      </w:r>
    </w:p>
    <w:p w14:paraId="186AB0D2"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In this study, financial performance is measured using Return on Assets (ROA), which evaluates the efficiency with which assets generate profit. ROA is widely regarded as a reliable indicator of organizational performance (Deloitte, 2023), as it provides a comprehensive measure of profitability relative to asset base. Unlike other measures such as return on equity, ROA is less affected by financial restructuring and leverage changes. Data for ROA is derived from audited financial statements and official government reports, ensuring accuracy and reliability.</w:t>
      </w:r>
    </w:p>
    <w:p w14:paraId="47604A7B"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Despite reforms in Kenya aimed at improving governance, fiscal responsibility, and performance contracting, many state corporations still face challenges such as inefficient revenue collection, weak internal controls, and high operational costs. Empirical studies indicate that financial performance in the public sector is strongly influenced by stewardship practices such as budgeting discipline, internal controls, and resource allocation efficiency (</w:t>
      </w:r>
      <w:proofErr w:type="spellStart"/>
      <w:r w:rsidRPr="00533290">
        <w:rPr>
          <w:rFonts w:cs="Times New Roman"/>
          <w:color w:val="000000" w:themeColor="text1"/>
          <w:szCs w:val="24"/>
        </w:rPr>
        <w:t>Nyamita</w:t>
      </w:r>
      <w:proofErr w:type="spellEnd"/>
      <w:r w:rsidRPr="00533290">
        <w:rPr>
          <w:rFonts w:cs="Times New Roman"/>
          <w:color w:val="000000" w:themeColor="text1"/>
          <w:szCs w:val="24"/>
        </w:rPr>
        <w:t xml:space="preserve">, Dorasamy, &amp; </w:t>
      </w:r>
      <w:proofErr w:type="spellStart"/>
      <w:r w:rsidRPr="00533290">
        <w:rPr>
          <w:rFonts w:cs="Times New Roman"/>
          <w:color w:val="000000" w:themeColor="text1"/>
          <w:szCs w:val="24"/>
        </w:rPr>
        <w:t>Garbharran</w:t>
      </w:r>
      <w:proofErr w:type="spellEnd"/>
      <w:r w:rsidRPr="00533290">
        <w:rPr>
          <w:rFonts w:cs="Times New Roman"/>
          <w:color w:val="000000" w:themeColor="text1"/>
          <w:szCs w:val="24"/>
        </w:rPr>
        <w:t>, 2015; Mwaura, 2020). However, the effectiveness of reforms is often limited by implementation gaps.</w:t>
      </w:r>
    </w:p>
    <w:p w14:paraId="49462B34"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 xml:space="preserve">Financial risk refers to the possibility of losses arising from fluctuations in financial variables, cash flow uncertainty, or exposure to internal and external shocks (Akash, Reza, &amp; Alam, 2024). It is a major concern for institutions operating in uncertain financial environments (Mwangi, </w:t>
      </w:r>
      <w:proofErr w:type="spellStart"/>
      <w:r w:rsidRPr="00533290">
        <w:rPr>
          <w:rFonts w:cs="Times New Roman"/>
          <w:color w:val="000000" w:themeColor="text1"/>
          <w:szCs w:val="24"/>
        </w:rPr>
        <w:t>Ong’era</w:t>
      </w:r>
      <w:proofErr w:type="spellEnd"/>
      <w:r w:rsidRPr="00533290">
        <w:rPr>
          <w:rFonts w:cs="Times New Roman"/>
          <w:color w:val="000000" w:themeColor="text1"/>
          <w:szCs w:val="24"/>
        </w:rPr>
        <w:t>, &amp; Matanda, 2022). Financial risk may also arise from changes in interest rates, exchange rates, or default events (Khalid et al., 2025), all of which can weaken operational stability (Al-Filali et al., 2024).</w:t>
      </w:r>
    </w:p>
    <w:p w14:paraId="6EEAF6AD"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Financial risk is commonly measured using indicators such as liquidity ratios, credit risk, and interest rate sensitivity (Mwangi et al., 2022). Other studies use debt-service coverage ratios and foreign exchange exposure metrics (</w:t>
      </w:r>
      <w:proofErr w:type="spellStart"/>
      <w:r w:rsidRPr="00533290">
        <w:rPr>
          <w:rFonts w:cs="Times New Roman"/>
          <w:color w:val="000000" w:themeColor="text1"/>
          <w:szCs w:val="24"/>
        </w:rPr>
        <w:t>Gleißner</w:t>
      </w:r>
      <w:proofErr w:type="spellEnd"/>
      <w:r w:rsidRPr="00533290">
        <w:rPr>
          <w:rFonts w:cs="Times New Roman"/>
          <w:color w:val="000000" w:themeColor="text1"/>
          <w:szCs w:val="24"/>
        </w:rPr>
        <w:t xml:space="preserve"> et al., 2022). In this study, financial risk is assessed using four key dimensions: default risk, interest rate risk, foreign exchange risk, and liquidity risk.</w:t>
      </w:r>
    </w:p>
    <w:p w14:paraId="58239BEA"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Default risk refers to the probability of failing to meet debt obligations, often measured using debt-to-asset ratios and repayment history (</w:t>
      </w:r>
      <w:proofErr w:type="spellStart"/>
      <w:r w:rsidRPr="00533290">
        <w:rPr>
          <w:rFonts w:cs="Times New Roman"/>
          <w:color w:val="000000" w:themeColor="text1"/>
          <w:szCs w:val="24"/>
        </w:rPr>
        <w:t>Nnah</w:t>
      </w:r>
      <w:proofErr w:type="spellEnd"/>
      <w:r w:rsidRPr="00533290">
        <w:rPr>
          <w:rFonts w:cs="Times New Roman"/>
          <w:color w:val="000000" w:themeColor="text1"/>
          <w:szCs w:val="24"/>
        </w:rPr>
        <w:t xml:space="preserve"> &amp; </w:t>
      </w:r>
      <w:proofErr w:type="spellStart"/>
      <w:r w:rsidRPr="00533290">
        <w:rPr>
          <w:rFonts w:cs="Times New Roman"/>
          <w:color w:val="000000" w:themeColor="text1"/>
          <w:szCs w:val="24"/>
        </w:rPr>
        <w:t>Maccarthy</w:t>
      </w:r>
      <w:proofErr w:type="spellEnd"/>
      <w:r w:rsidRPr="00533290">
        <w:rPr>
          <w:rFonts w:cs="Times New Roman"/>
          <w:color w:val="000000" w:themeColor="text1"/>
          <w:szCs w:val="24"/>
        </w:rPr>
        <w:t xml:space="preserve">, 2024; </w:t>
      </w:r>
      <w:proofErr w:type="spellStart"/>
      <w:r w:rsidRPr="00533290">
        <w:rPr>
          <w:rFonts w:cs="Times New Roman"/>
          <w:color w:val="000000" w:themeColor="text1"/>
          <w:szCs w:val="24"/>
        </w:rPr>
        <w:t>Kotolo</w:t>
      </w:r>
      <w:proofErr w:type="spellEnd"/>
      <w:r w:rsidRPr="00533290">
        <w:rPr>
          <w:rFonts w:cs="Times New Roman"/>
          <w:color w:val="000000" w:themeColor="text1"/>
          <w:szCs w:val="24"/>
        </w:rPr>
        <w:t xml:space="preserve"> et al., 2024). Interest rate risk reflects exposure to changes in borrowing costs and is often measured using interest coverage ratios (Al-Filali et al., 2024). Foreign exchange risk arises from currency fluctuations affecting international transactions and is measured using exchange gain/loss ratios (Zhao et al., 2018). Liquidity risk refers to the inability to meet short-term obligations and is measured using current and quick ratios (</w:t>
      </w:r>
      <w:proofErr w:type="spellStart"/>
      <w:r w:rsidRPr="00533290">
        <w:rPr>
          <w:rFonts w:cs="Times New Roman"/>
          <w:color w:val="000000" w:themeColor="text1"/>
          <w:szCs w:val="24"/>
        </w:rPr>
        <w:t>Adelusi</w:t>
      </w:r>
      <w:proofErr w:type="spellEnd"/>
      <w:r w:rsidRPr="00533290">
        <w:rPr>
          <w:rFonts w:cs="Times New Roman"/>
          <w:color w:val="000000" w:themeColor="text1"/>
          <w:szCs w:val="24"/>
        </w:rPr>
        <w:t xml:space="preserve"> et al., 2024).</w:t>
      </w:r>
    </w:p>
    <w:p w14:paraId="3AC92A99"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These four dimensions provide a comprehensive framework for assessing financial vulnerability in state corporations. They are particularly relevant in Kenya, where Auditor-General reports indicate that financial distress is driven by debt accumulation, financing costs, currency mismatches, and liquidity constraints (Office of the Auditor-General, 2023; National Treasury, 2022).</w:t>
      </w:r>
    </w:p>
    <w:p w14:paraId="7CE3B33E"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Commercial state corporations in Kenya operate across key sectors such as energy, transport, manufacturing, agriculture, and infrastructure. Their dual mandate involves providing public services while maintaining financial sustainability. However, many CSCs continue to experience declining profitability and rising debt levels (National Treasury, 2024).</w:t>
      </w:r>
    </w:p>
    <w:p w14:paraId="7571A934" w14:textId="77777777"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lastRenderedPageBreak/>
        <w:t>Empirical evidence indicates persistent negative ROA across most CSCs in Kenya. Among 46 corporations, over two-thirds consistently report negative ROA, indicating inefficient asset utilization. The average ROA has remained negative, ranging from -3.95 in 2019 to -3.46 in 2024 (Office of the Auditor General, 2024). Although temporary improvements were observed in 2021 and 2022, these gains were not sustained. The cyclical pattern of recovery followed by decline reflects structural inefficiencies in governance and financial management.</w:t>
      </w:r>
    </w:p>
    <w:p w14:paraId="75A66C7C" w14:textId="77777777" w:rsidR="00533290" w:rsidRDefault="00533290" w:rsidP="00533290">
      <w:pPr>
        <w:rPr>
          <w:rFonts w:eastAsia="Times New Roman" w:cs="Times New Roman"/>
          <w:szCs w:val="24"/>
        </w:rPr>
      </w:pPr>
      <w:r w:rsidRPr="001D06D6">
        <w:rPr>
          <w:rFonts w:eastAsia="Times New Roman" w:cs="Times New Roman"/>
          <w:noProof/>
          <w:szCs w:val="24"/>
          <w:highlight w:val="cyan"/>
        </w:rPr>
        <w:drawing>
          <wp:inline distT="114300" distB="114300" distL="114300" distR="114300" wp14:anchorId="74C430A3" wp14:editId="3AFC423E">
            <wp:extent cx="5781282" cy="3398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85111" cy="3400771"/>
                    </a:xfrm>
                    <a:prstGeom prst="rect">
                      <a:avLst/>
                    </a:prstGeom>
                    <a:ln/>
                  </pic:spPr>
                </pic:pic>
              </a:graphicData>
            </a:graphic>
          </wp:inline>
        </w:drawing>
      </w:r>
    </w:p>
    <w:p w14:paraId="0C9CC1D1" w14:textId="7A8629E6" w:rsidR="00533290" w:rsidRPr="00533290" w:rsidRDefault="00533290" w:rsidP="00533290">
      <w:pPr>
        <w:spacing w:before="0"/>
        <w:rPr>
          <w:b/>
          <w:bCs/>
          <w:i/>
          <w:iCs/>
        </w:rPr>
      </w:pPr>
      <w:bookmarkStart w:id="2" w:name="_Toc206777466"/>
      <w:bookmarkStart w:id="3" w:name="_Toc209382602"/>
      <w:bookmarkStart w:id="4" w:name="_Toc222129180"/>
      <w:bookmarkStart w:id="5" w:name="_Toc222132667"/>
      <w:bookmarkStart w:id="6" w:name="_Toc226928446"/>
      <w:r w:rsidRPr="00533290">
        <w:rPr>
          <w:b/>
          <w:bCs/>
          <w:i/>
          <w:iCs/>
        </w:rPr>
        <w:t>Figure 1 ROA for Commercial State-Owned Corporations</w:t>
      </w:r>
      <w:bookmarkEnd w:id="2"/>
      <w:bookmarkEnd w:id="3"/>
      <w:bookmarkEnd w:id="4"/>
      <w:bookmarkEnd w:id="5"/>
      <w:bookmarkEnd w:id="6"/>
    </w:p>
    <w:p w14:paraId="0B54AE1D" w14:textId="70CFCDB1" w:rsidR="00533290" w:rsidRPr="00533290" w:rsidRDefault="00533290" w:rsidP="00533290">
      <w:pPr>
        <w:shd w:val="clear" w:color="auto" w:fill="FFFFFF"/>
        <w:spacing w:line="240" w:lineRule="auto"/>
        <w:rPr>
          <w:rFonts w:cs="Times New Roman"/>
          <w:color w:val="000000" w:themeColor="text1"/>
          <w:szCs w:val="24"/>
        </w:rPr>
      </w:pPr>
      <w:r w:rsidRPr="00533290">
        <w:rPr>
          <w:rFonts w:cs="Times New Roman"/>
          <w:color w:val="000000" w:themeColor="text1"/>
          <w:szCs w:val="24"/>
        </w:rPr>
        <w:t>In 2019, about 30 corporations recorded negative ROA, with similar trends continuing through 2024. In 2023 and 2024, more than 25 corporations remained loss-making. Despite government support, many entities lack sustainable revenue models and rely heavily on Treasury bailouts (Institute of Public Finance, 2023). This situation reflects deeper systemic inefficiencies in capital allocation, operational management, and governance frameworks.</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1.1 Research Problem</w:t>
      </w:r>
    </w:p>
    <w:p w14:paraId="5D4CDA2B" w14:textId="77777777" w:rsidR="003E21E7" w:rsidRPr="003E21E7" w:rsidRDefault="003E21E7" w:rsidP="003E21E7">
      <w:pPr>
        <w:spacing w:after="240" w:line="240" w:lineRule="auto"/>
        <w:rPr>
          <w:rFonts w:cs="Times New Roman"/>
          <w:color w:val="000000" w:themeColor="text1"/>
          <w:szCs w:val="24"/>
        </w:rPr>
      </w:pPr>
      <w:r w:rsidRPr="003E21E7">
        <w:rPr>
          <w:rFonts w:cs="Times New Roman"/>
          <w:color w:val="000000" w:themeColor="text1"/>
          <w:szCs w:val="24"/>
        </w:rPr>
        <w:t>Commercial State Corporations (CSCs) in Kenya play a critical role in national development by generating employment, mobilizing government revenue, and supporting key sectors such as agriculture, transport, energy, manufacturing, and finance (Nhete, 2021). Despite sustained government support and policy interventions, many State-Owned Enterprises (SOEs) continue to experience persistent financial distress (IMF, 2023). Auditor General Reports on State Corporations (2019–2024) indicate consistently negative performance, with only marginal improvement from -3.95% in 2019 to -3.46% in 2024. This trend reflects weak returns on assets despite significant capital investment, underscoring the need to examine the influence of financial risk on financial performance in Kenyan CSOs.</w:t>
      </w:r>
    </w:p>
    <w:p w14:paraId="27FDC211" w14:textId="32E42446" w:rsidR="00BD15A0" w:rsidRPr="007A56B8" w:rsidRDefault="003E21E7" w:rsidP="003E21E7">
      <w:pPr>
        <w:spacing w:after="240" w:line="240" w:lineRule="auto"/>
        <w:rPr>
          <w:rFonts w:cs="Times New Roman"/>
          <w:b/>
          <w:szCs w:val="24"/>
        </w:rPr>
      </w:pPr>
      <w:r w:rsidRPr="003E21E7">
        <w:rPr>
          <w:rFonts w:cs="Times New Roman"/>
          <w:color w:val="000000" w:themeColor="text1"/>
          <w:szCs w:val="24"/>
        </w:rPr>
        <w:t xml:space="preserve">Empirical studies reveal contextual and conceptual gaps. Eugenia and </w:t>
      </w:r>
      <w:proofErr w:type="spellStart"/>
      <w:r w:rsidRPr="003E21E7">
        <w:rPr>
          <w:rFonts w:cs="Times New Roman"/>
          <w:color w:val="000000" w:themeColor="text1"/>
          <w:szCs w:val="24"/>
        </w:rPr>
        <w:t>Ifurueze</w:t>
      </w:r>
      <w:proofErr w:type="spellEnd"/>
      <w:r w:rsidRPr="003E21E7">
        <w:rPr>
          <w:rFonts w:cs="Times New Roman"/>
          <w:color w:val="000000" w:themeColor="text1"/>
          <w:szCs w:val="24"/>
        </w:rPr>
        <w:t xml:space="preserve"> (2021) established that operational and financial risk significantly influence SOE performance in Ghana and Nigeria, but their findings lack relevance to Kenya. Ndege (2023) focused on credit and liquidity risk but omitted other key risks such as foreign exchange and interest rate risk. Similarly, </w:t>
      </w:r>
      <w:proofErr w:type="spellStart"/>
      <w:r w:rsidRPr="003E21E7">
        <w:rPr>
          <w:rFonts w:cs="Times New Roman"/>
          <w:color w:val="000000" w:themeColor="text1"/>
          <w:szCs w:val="24"/>
        </w:rPr>
        <w:t>Ddaiddo</w:t>
      </w:r>
      <w:proofErr w:type="spellEnd"/>
      <w:r w:rsidRPr="003E21E7">
        <w:rPr>
          <w:rFonts w:cs="Times New Roman"/>
          <w:color w:val="000000" w:themeColor="text1"/>
          <w:szCs w:val="24"/>
        </w:rPr>
        <w:t xml:space="preserve"> (2024) considered only management efficiency and liquidity risk, leaving </w:t>
      </w:r>
      <w:r w:rsidRPr="003E21E7">
        <w:rPr>
          <w:rFonts w:cs="Times New Roman"/>
          <w:color w:val="000000" w:themeColor="text1"/>
          <w:szCs w:val="24"/>
        </w:rPr>
        <w:lastRenderedPageBreak/>
        <w:t>out broader financial risk dimensions. These gaps justify the need for this study to assess the effect of comprehensive financial risk on the financial performance of CSOs in Kenya.</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1.2 Research Objective</w:t>
      </w:r>
    </w:p>
    <w:p w14:paraId="3A006523" w14:textId="6BAF0F79"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3E21E7" w:rsidRPr="003E21E7">
        <w:rPr>
          <w:rFonts w:cs="Times New Roman"/>
          <w:color w:val="000000" w:themeColor="text1"/>
          <w:szCs w:val="24"/>
        </w:rPr>
        <w:t>examine the effect of financial risk on the financial performance of commercial state-owned enterprises (CSOEs)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34DA1550" w14:textId="5B18606E" w:rsidR="003E21E7" w:rsidRPr="003E21E7"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3E21E7">
        <w:rPr>
          <w:rFonts w:ascii="Times New Roman" w:hAnsi="Times New Roman"/>
          <w:sz w:val="24"/>
          <w:szCs w:val="24"/>
        </w:rPr>
        <w:t>To determine the effect of default risk on the financial performance of commercial state-owned enterprises in Kenya.</w:t>
      </w:r>
    </w:p>
    <w:p w14:paraId="2D7062A0" w14:textId="60903187" w:rsidR="003E21E7" w:rsidRPr="003E21E7"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3E21E7">
        <w:rPr>
          <w:rFonts w:ascii="Times New Roman" w:hAnsi="Times New Roman"/>
          <w:sz w:val="24"/>
          <w:szCs w:val="24"/>
        </w:rPr>
        <w:t>To evaluate the effect of interest rate risk on the financial performance of commercial state-owned enterprises in Kenya.</w:t>
      </w:r>
    </w:p>
    <w:p w14:paraId="4B844F51" w14:textId="2A3E4095" w:rsidR="003E21E7" w:rsidRPr="003E21E7"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3E21E7">
        <w:rPr>
          <w:rFonts w:ascii="Times New Roman" w:hAnsi="Times New Roman"/>
          <w:sz w:val="24"/>
          <w:szCs w:val="24"/>
        </w:rPr>
        <w:t>To establish the effect of foreign exchange rate risk on the financial performance of commercial state-owned enterprises in Kenya.</w:t>
      </w:r>
    </w:p>
    <w:p w14:paraId="03DEEE1C" w14:textId="6AA452C9" w:rsidR="002A562C" w:rsidRPr="002A562C"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3E21E7">
        <w:rPr>
          <w:rFonts w:ascii="Times New Roman" w:hAnsi="Times New Roman"/>
          <w:sz w:val="24"/>
          <w:szCs w:val="24"/>
        </w:rPr>
        <w:t>To assess the effect of liquidity risk on the financial performance of commercial state-owned enterprises in Kenya</w:t>
      </w:r>
      <w:r w:rsidR="002A562C" w:rsidRPr="002A562C">
        <w:rPr>
          <w:rFonts w:ascii="Times New Roman" w:hAnsi="Times New Roman"/>
          <w:sz w:val="24"/>
          <w:szCs w:val="24"/>
        </w:rPr>
        <w:t>.</w:t>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035EB8A2"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Modern Portfolio Theory (MPT), originally developed by Markowitz (1952), has undergone significant refinement in financial economics, particularly in portfolio selection and risk-return optimisation. The theory emphasises diversification as a fundamental strategy for balancing risk and return, making it highly relevant in financial risk management, especially within public and state-owned enterprises. Ndege (2023) highlights MPT’s importance in understanding financial risk management in state enterprises, while </w:t>
      </w:r>
      <w:proofErr w:type="spellStart"/>
      <w:r w:rsidRPr="002D6969">
        <w:rPr>
          <w:rFonts w:cs="Times New Roman"/>
          <w:bCs/>
          <w:color w:val="000000" w:themeColor="text1"/>
          <w:kern w:val="2"/>
          <w:szCs w:val="24"/>
          <w:lang w:val="en-GB"/>
        </w:rPr>
        <w:t>Ddaiddo</w:t>
      </w:r>
      <w:proofErr w:type="spellEnd"/>
      <w:r w:rsidRPr="002D6969">
        <w:rPr>
          <w:rFonts w:cs="Times New Roman"/>
          <w:bCs/>
          <w:color w:val="000000" w:themeColor="text1"/>
          <w:kern w:val="2"/>
          <w:szCs w:val="24"/>
          <w:lang w:val="en-GB"/>
        </w:rPr>
        <w:t xml:space="preserve"> (2024) underscores its relevance in analysing firm-specific characteristics and their influence on financial performance. Similarly, Gleissner, Günther, and </w:t>
      </w:r>
      <w:proofErr w:type="spellStart"/>
      <w:r w:rsidRPr="002D6969">
        <w:rPr>
          <w:rFonts w:cs="Times New Roman"/>
          <w:bCs/>
          <w:color w:val="000000" w:themeColor="text1"/>
          <w:kern w:val="2"/>
          <w:szCs w:val="24"/>
          <w:lang w:val="en-GB"/>
        </w:rPr>
        <w:t>Walkshausl</w:t>
      </w:r>
      <w:proofErr w:type="spellEnd"/>
      <w:r w:rsidRPr="002D6969">
        <w:rPr>
          <w:rFonts w:cs="Times New Roman"/>
          <w:bCs/>
          <w:color w:val="000000" w:themeColor="text1"/>
          <w:kern w:val="2"/>
          <w:szCs w:val="24"/>
          <w:lang w:val="en-GB"/>
        </w:rPr>
        <w:t xml:space="preserve"> (2022) demonstrate the model’s applicability in evaluating risk-performance trade-offs in public sector organisations.</w:t>
      </w:r>
    </w:p>
    <w:p w14:paraId="4E5F4342"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MPT assumes that investors and firms are risk-averse and therefore seek to maximise returns at a given level of risk through diversification. A key principle is that while systematic risk cannot be eliminated, unsystematic (idiosyncratic) risk can be reduced through portfolio diversification. Akash, Reza, and Alam (2024) argue that this framework provides managers with practical tools to mitigate exposure to adverse financial conditions. </w:t>
      </w:r>
      <w:proofErr w:type="spellStart"/>
      <w:r w:rsidRPr="002D6969">
        <w:rPr>
          <w:rFonts w:cs="Times New Roman"/>
          <w:bCs/>
          <w:color w:val="000000" w:themeColor="text1"/>
          <w:kern w:val="2"/>
          <w:szCs w:val="24"/>
          <w:lang w:val="en-GB"/>
        </w:rPr>
        <w:t>Adelusi</w:t>
      </w:r>
      <w:proofErr w:type="spellEnd"/>
      <w:r w:rsidRPr="002D6969">
        <w:rPr>
          <w:rFonts w:cs="Times New Roman"/>
          <w:bCs/>
          <w:color w:val="000000" w:themeColor="text1"/>
          <w:kern w:val="2"/>
          <w:szCs w:val="24"/>
          <w:lang w:val="en-GB"/>
        </w:rPr>
        <w:t xml:space="preserve"> et al. (2024) further support diversification as a governance mechanism that enhances institutional resilience, while Mageto (2022) highlights its role in reducing interest-rate risk in Kenyan state organisations.</w:t>
      </w:r>
    </w:p>
    <w:p w14:paraId="2DB69C7A"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The theory is based on assumptions of rationality, risk aversion, normally distributed returns, and efficient markets with perfect information. Although these assumptions simplify real-world financial conditions, </w:t>
      </w:r>
      <w:proofErr w:type="spellStart"/>
      <w:r w:rsidRPr="002D6969">
        <w:rPr>
          <w:rFonts w:cs="Times New Roman"/>
          <w:bCs/>
          <w:color w:val="000000" w:themeColor="text1"/>
          <w:kern w:val="2"/>
          <w:szCs w:val="24"/>
          <w:lang w:val="en-GB"/>
        </w:rPr>
        <w:t>Adelusi</w:t>
      </w:r>
      <w:proofErr w:type="spellEnd"/>
      <w:r w:rsidRPr="002D6969">
        <w:rPr>
          <w:rFonts w:cs="Times New Roman"/>
          <w:bCs/>
          <w:color w:val="000000" w:themeColor="text1"/>
          <w:kern w:val="2"/>
          <w:szCs w:val="24"/>
          <w:lang w:val="en-GB"/>
        </w:rPr>
        <w:t xml:space="preserve"> et al. (2024) note that they provide analytical clarity, while Biondi (2025) considers them useful for structured capital allocation analysis. Lijuan (2025) acknowledges limitations such as ignored transaction costs but maintains their relevance in risk analysis contexts.</w:t>
      </w:r>
    </w:p>
    <w:p w14:paraId="2C8ADD1F"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In this study, MPT provides a theoretical basis for linking financial risk and financial performance. Financial risks—including default risk, interest rate risk, foreign exchange risk, and liquidity risk—can be mitigated through diversification strategies. This, in turn, improves financial outcomes such as Return on Assets (ROA). </w:t>
      </w:r>
      <w:proofErr w:type="spellStart"/>
      <w:r w:rsidRPr="002D6969">
        <w:rPr>
          <w:rFonts w:cs="Times New Roman"/>
          <w:bCs/>
          <w:color w:val="000000" w:themeColor="text1"/>
          <w:kern w:val="2"/>
          <w:szCs w:val="24"/>
          <w:lang w:val="en-GB"/>
        </w:rPr>
        <w:t>Ddaiddo</w:t>
      </w:r>
      <w:proofErr w:type="spellEnd"/>
      <w:r w:rsidRPr="002D6969">
        <w:rPr>
          <w:rFonts w:cs="Times New Roman"/>
          <w:bCs/>
          <w:color w:val="000000" w:themeColor="text1"/>
          <w:kern w:val="2"/>
          <w:szCs w:val="24"/>
          <w:lang w:val="en-GB"/>
        </w:rPr>
        <w:t xml:space="preserve"> (2024) finds that firms applying diversification strategies demonstrate stronger financial health, while Mwangi, </w:t>
      </w:r>
      <w:proofErr w:type="spellStart"/>
      <w:r w:rsidRPr="002D6969">
        <w:rPr>
          <w:rFonts w:cs="Times New Roman"/>
          <w:bCs/>
          <w:color w:val="000000" w:themeColor="text1"/>
          <w:kern w:val="2"/>
          <w:szCs w:val="24"/>
          <w:lang w:val="en-GB"/>
        </w:rPr>
        <w:t>Ong’era</w:t>
      </w:r>
      <w:proofErr w:type="spellEnd"/>
      <w:r w:rsidRPr="002D6969">
        <w:rPr>
          <w:rFonts w:cs="Times New Roman"/>
          <w:bCs/>
          <w:color w:val="000000" w:themeColor="text1"/>
          <w:kern w:val="2"/>
          <w:szCs w:val="24"/>
          <w:lang w:val="en-GB"/>
        </w:rPr>
        <w:t>, and Matanda (2022) show that financial risk exposure significantly affects bank profitability. Kaino, Mburu, and Kiragu (2025) further confirm that risk management based on MPT improves financial performance in parastatals in transport and energy sectors.</w:t>
      </w:r>
    </w:p>
    <w:p w14:paraId="5C2A479C"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The Capital Asset Pricing Model (CAPM), developed by Sharpe (1964) and Lintner (1965), extends MPT by establishing a linear relationship between systematic risk and expected return. The model provides a framework for asset pricing and capital allocation decisions. Rodriguez et al. (2024) note its continued importance in both private and public sector financial decision-making, while Wanjiru, </w:t>
      </w:r>
      <w:proofErr w:type="spellStart"/>
      <w:r w:rsidRPr="002D6969">
        <w:rPr>
          <w:rFonts w:cs="Times New Roman"/>
          <w:bCs/>
          <w:color w:val="000000" w:themeColor="text1"/>
          <w:kern w:val="2"/>
          <w:szCs w:val="24"/>
          <w:lang w:val="en-GB"/>
        </w:rPr>
        <w:t>Jagongo</w:t>
      </w:r>
      <w:proofErr w:type="spellEnd"/>
      <w:r w:rsidRPr="002D6969">
        <w:rPr>
          <w:rFonts w:cs="Times New Roman"/>
          <w:bCs/>
          <w:color w:val="000000" w:themeColor="text1"/>
          <w:kern w:val="2"/>
          <w:szCs w:val="24"/>
          <w:lang w:val="en-GB"/>
        </w:rPr>
        <w:t xml:space="preserve">, and </w:t>
      </w:r>
      <w:proofErr w:type="spellStart"/>
      <w:r w:rsidRPr="002D6969">
        <w:rPr>
          <w:rFonts w:cs="Times New Roman"/>
          <w:bCs/>
          <w:color w:val="000000" w:themeColor="text1"/>
          <w:kern w:val="2"/>
          <w:szCs w:val="24"/>
          <w:lang w:val="en-GB"/>
        </w:rPr>
        <w:t>Ndede</w:t>
      </w:r>
      <w:proofErr w:type="spellEnd"/>
      <w:r w:rsidRPr="002D6969">
        <w:rPr>
          <w:rFonts w:cs="Times New Roman"/>
          <w:bCs/>
          <w:color w:val="000000" w:themeColor="text1"/>
          <w:kern w:val="2"/>
          <w:szCs w:val="24"/>
          <w:lang w:val="en-GB"/>
        </w:rPr>
        <w:t xml:space="preserve"> (2024) confirm its relevance in estimating cost of equity in commercial banks. Shen et al. (2023) further affirm its empirical utility in evaluating firm value and investment risk.</w:t>
      </w:r>
    </w:p>
    <w:p w14:paraId="683119D7"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CAPM posits that expected return is determined by the risk-free rate, market risk premium, and beta coefficient, which measures sensitivity to market movements. Higher systematic risk requires higher expected returns. Shahin, Khalil, and Sallam (2022) argue that CAPM offers a structured link between risk exposure and profitability expectations. </w:t>
      </w:r>
      <w:proofErr w:type="spellStart"/>
      <w:r w:rsidRPr="002D6969">
        <w:rPr>
          <w:rFonts w:cs="Times New Roman"/>
          <w:bCs/>
          <w:color w:val="000000" w:themeColor="text1"/>
          <w:kern w:val="2"/>
          <w:szCs w:val="24"/>
          <w:lang w:val="en-GB"/>
        </w:rPr>
        <w:t>Katsiampa</w:t>
      </w:r>
      <w:proofErr w:type="spellEnd"/>
      <w:r w:rsidRPr="002D6969">
        <w:rPr>
          <w:rFonts w:cs="Times New Roman"/>
          <w:bCs/>
          <w:color w:val="000000" w:themeColor="text1"/>
          <w:kern w:val="2"/>
          <w:szCs w:val="24"/>
          <w:lang w:val="en-GB"/>
        </w:rPr>
        <w:t xml:space="preserve"> et al. (2022) demonstrate its application in analysing financial performance under digitalisation risks in fintech firms, while Aziz et al. (2024) highlight its relevance in contexts where market power </w:t>
      </w:r>
      <w:proofErr w:type="gramStart"/>
      <w:r w:rsidRPr="002D6969">
        <w:rPr>
          <w:rFonts w:cs="Times New Roman"/>
          <w:bCs/>
          <w:color w:val="000000" w:themeColor="text1"/>
          <w:kern w:val="2"/>
          <w:szCs w:val="24"/>
          <w:lang w:val="en-GB"/>
        </w:rPr>
        <w:t>moderates</w:t>
      </w:r>
      <w:proofErr w:type="gramEnd"/>
      <w:r w:rsidRPr="002D6969">
        <w:rPr>
          <w:rFonts w:cs="Times New Roman"/>
          <w:bCs/>
          <w:color w:val="000000" w:themeColor="text1"/>
          <w:kern w:val="2"/>
          <w:szCs w:val="24"/>
          <w:lang w:val="en-GB"/>
        </w:rPr>
        <w:t xml:space="preserve"> risk-return relationships.</w:t>
      </w:r>
    </w:p>
    <w:p w14:paraId="646D71AA"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lastRenderedPageBreak/>
        <w:t xml:space="preserve">The model assumes rational investors, homogeneous expectations, efficient markets, and absence of taxes and transaction costs. Critics such as Freeman (2023) argue that these assumptions are unrealistic, particularly homogeneous expectations, while Ho and Vo (2019) view them as simplifying complex market realities. Nevertheless, these assumptions remain useful for theoretical modelling and empirical estimation. </w:t>
      </w:r>
      <w:proofErr w:type="spellStart"/>
      <w:r w:rsidRPr="002D6969">
        <w:rPr>
          <w:rFonts w:cs="Times New Roman"/>
          <w:bCs/>
          <w:color w:val="000000" w:themeColor="text1"/>
          <w:kern w:val="2"/>
          <w:szCs w:val="24"/>
          <w:lang w:val="en-GB"/>
        </w:rPr>
        <w:t>Soomiyol</w:t>
      </w:r>
      <w:proofErr w:type="spellEnd"/>
      <w:r w:rsidRPr="002D6969">
        <w:rPr>
          <w:rFonts w:cs="Times New Roman"/>
          <w:bCs/>
          <w:color w:val="000000" w:themeColor="text1"/>
          <w:kern w:val="2"/>
          <w:szCs w:val="24"/>
          <w:lang w:val="en-GB"/>
        </w:rPr>
        <w:t xml:space="preserve">, </w:t>
      </w:r>
      <w:proofErr w:type="spellStart"/>
      <w:r w:rsidRPr="002D6969">
        <w:rPr>
          <w:rFonts w:cs="Times New Roman"/>
          <w:bCs/>
          <w:color w:val="000000" w:themeColor="text1"/>
          <w:kern w:val="2"/>
          <w:szCs w:val="24"/>
          <w:lang w:val="en-GB"/>
        </w:rPr>
        <w:t>Bwuese</w:t>
      </w:r>
      <w:proofErr w:type="spellEnd"/>
      <w:r w:rsidRPr="002D6969">
        <w:rPr>
          <w:rFonts w:cs="Times New Roman"/>
          <w:bCs/>
          <w:color w:val="000000" w:themeColor="text1"/>
          <w:kern w:val="2"/>
          <w:szCs w:val="24"/>
          <w:lang w:val="en-GB"/>
        </w:rPr>
        <w:t>, and Yua (2023) further argue that CAPM assumptions are particularly applicable in low-information asymmetry environments.</w:t>
      </w:r>
    </w:p>
    <w:p w14:paraId="20BEFC99"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In this study, CAPM provides a framework for linking systematic risk exposures to financial performance outcomes. Financial risks—including default risk, interest rate risk, foreign exchange risk, and liquidity risk—affect firm performance, particularly ROA. Mwangi, </w:t>
      </w:r>
      <w:proofErr w:type="spellStart"/>
      <w:r w:rsidRPr="002D6969">
        <w:rPr>
          <w:rFonts w:cs="Times New Roman"/>
          <w:bCs/>
          <w:color w:val="000000" w:themeColor="text1"/>
          <w:kern w:val="2"/>
          <w:szCs w:val="24"/>
          <w:lang w:val="en-GB"/>
        </w:rPr>
        <w:t>Ong’era</w:t>
      </w:r>
      <w:proofErr w:type="spellEnd"/>
      <w:r w:rsidRPr="002D6969">
        <w:rPr>
          <w:rFonts w:cs="Times New Roman"/>
          <w:bCs/>
          <w:color w:val="000000" w:themeColor="text1"/>
          <w:kern w:val="2"/>
          <w:szCs w:val="24"/>
          <w:lang w:val="en-GB"/>
        </w:rPr>
        <w:t xml:space="preserve">, and Matanda (2022) show that financial risk significantly determines profitability in Kenyan banks, while </w:t>
      </w:r>
      <w:proofErr w:type="spellStart"/>
      <w:r w:rsidRPr="002D6969">
        <w:rPr>
          <w:rFonts w:cs="Times New Roman"/>
          <w:bCs/>
          <w:color w:val="000000" w:themeColor="text1"/>
          <w:kern w:val="2"/>
          <w:szCs w:val="24"/>
          <w:lang w:val="en-GB"/>
        </w:rPr>
        <w:t>Kotolo</w:t>
      </w:r>
      <w:proofErr w:type="spellEnd"/>
      <w:r w:rsidRPr="002D6969">
        <w:rPr>
          <w:rFonts w:cs="Times New Roman"/>
          <w:bCs/>
          <w:color w:val="000000" w:themeColor="text1"/>
          <w:kern w:val="2"/>
          <w:szCs w:val="24"/>
          <w:lang w:val="en-GB"/>
        </w:rPr>
        <w:t xml:space="preserve">, </w:t>
      </w:r>
      <w:proofErr w:type="spellStart"/>
      <w:r w:rsidRPr="002D6969">
        <w:rPr>
          <w:rFonts w:cs="Times New Roman"/>
          <w:bCs/>
          <w:color w:val="000000" w:themeColor="text1"/>
          <w:kern w:val="2"/>
          <w:szCs w:val="24"/>
          <w:lang w:val="en-GB"/>
        </w:rPr>
        <w:t>Namusonge</w:t>
      </w:r>
      <w:proofErr w:type="spellEnd"/>
      <w:r w:rsidRPr="002D6969">
        <w:rPr>
          <w:rFonts w:cs="Times New Roman"/>
          <w:bCs/>
          <w:color w:val="000000" w:themeColor="text1"/>
          <w:kern w:val="2"/>
          <w:szCs w:val="24"/>
          <w:lang w:val="en-GB"/>
        </w:rPr>
        <w:t xml:space="preserve">, and </w:t>
      </w:r>
      <w:proofErr w:type="spellStart"/>
      <w:r w:rsidRPr="002D6969">
        <w:rPr>
          <w:rFonts w:cs="Times New Roman"/>
          <w:bCs/>
          <w:color w:val="000000" w:themeColor="text1"/>
          <w:kern w:val="2"/>
          <w:szCs w:val="24"/>
          <w:lang w:val="en-GB"/>
        </w:rPr>
        <w:t>Sasaka</w:t>
      </w:r>
      <w:proofErr w:type="spellEnd"/>
      <w:r w:rsidRPr="002D6969">
        <w:rPr>
          <w:rFonts w:cs="Times New Roman"/>
          <w:bCs/>
          <w:color w:val="000000" w:themeColor="text1"/>
          <w:kern w:val="2"/>
          <w:szCs w:val="24"/>
          <w:lang w:val="en-GB"/>
        </w:rPr>
        <w:t xml:space="preserve"> (2024) emphasise the role of governance structures in mitigating such risks in state corporations. Kaino, Mburu, and Kiragu (2025) further confirm that CAPM-based risk alignment improves organisational performance.</w:t>
      </w:r>
    </w:p>
    <w:p w14:paraId="013CC23E"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Liquidity Preference Theory, developed by Keynes (1936), explains interest rate determination through money demand. Keynes argued that individuals prefer liquidity due to uncertainty, and interest serves as compensation for parting with liquidity. Hicks (1937) later formalised this relationship through the IS-LM framework, while Hansen (1949), Tobin (1958), and Modigliani (1963) extended its application to monetary policy and portfolio decisions. Mishkin (2019) and Patel (2020) reaffirm its relevance in explaining liquidity behaviour in modern financial systems.</w:t>
      </w:r>
    </w:p>
    <w:p w14:paraId="48AC3E2A"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The theory is based on three motives for holding money: transactional, precautionary, and speculative. The transactional motive addresses daily operational needs, the precautionary motive relates to uncertainty, and the speculative motive involves anticipating interest rate changes (Keynes, 1936; Tobin, 1958). Mishkin (2019) argues that speculative demand influences asset allocation decisions, while Diamond and Dybvig (1983) show that liquidity buffers stabilise firms during financial shocks.</w:t>
      </w:r>
    </w:p>
    <w:p w14:paraId="41F4B1C2"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Key assumptions include money as the most liquid asset, rational behaviour, interest as the reward for liquidity, and central bank control of money supply. Patel (2020) highlights its usefulness in explaining equilibrium interest rates, while Goodhart (1988) links liquidity behaviour to credit supply and interest rate fluctuations. Madura (2021) further notes its relevance in financial risk modelling through precautionary liquidity management.</w:t>
      </w:r>
    </w:p>
    <w:p w14:paraId="307B31DC"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In this study, LPT explains how liquidity behaviour influences financial risk and performance. High liquidity preference reduces exposure to shocks but may lower returns due to idle assets (Mishkin, 2019). Diamond and Dybvig (1983) emphasise liquidity reserves in stabilising firms during uncertainty, while Patel (2020) links liquidity adjustments to profitability and ROA. Thus, liquidity management becomes central in balancing risk and performance outcomes.</w:t>
      </w:r>
    </w:p>
    <w:p w14:paraId="6F7481CE"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Agency Theory, developed by Jensen and Meckling (1976), explains conflicts between principals (owners or government) and agents (managers). The theory argues that agents may prioritise personal interests over organisational goals, particularly in state-owned enterprises (SOEs) where monitoring challenges and political interference are common. Allen et al. (2020) identify agency problems as central governance challenges in public enterprises, while </w:t>
      </w:r>
      <w:proofErr w:type="spellStart"/>
      <w:r w:rsidRPr="002D6969">
        <w:rPr>
          <w:rFonts w:cs="Times New Roman"/>
          <w:bCs/>
          <w:color w:val="000000" w:themeColor="text1"/>
          <w:kern w:val="2"/>
          <w:szCs w:val="24"/>
          <w:lang w:val="en-GB"/>
        </w:rPr>
        <w:t>Adelusi</w:t>
      </w:r>
      <w:proofErr w:type="spellEnd"/>
      <w:r w:rsidRPr="002D6969">
        <w:rPr>
          <w:rFonts w:cs="Times New Roman"/>
          <w:bCs/>
          <w:color w:val="000000" w:themeColor="text1"/>
          <w:kern w:val="2"/>
          <w:szCs w:val="24"/>
          <w:lang w:val="en-GB"/>
        </w:rPr>
        <w:t xml:space="preserve"> et al. (2024) highlight how weak governance increases inefficiency and opportunism.</w:t>
      </w:r>
    </w:p>
    <w:p w14:paraId="3E6A8470"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The theory assumes self-interested agents, information asymmetry, and costly monitoring mechanisms. Incentive systems, oversight structures, and regulatory frameworks are therefore necessary to align interests. </w:t>
      </w:r>
      <w:proofErr w:type="spellStart"/>
      <w:r w:rsidRPr="002D6969">
        <w:rPr>
          <w:rFonts w:cs="Times New Roman"/>
          <w:bCs/>
          <w:color w:val="000000" w:themeColor="text1"/>
          <w:kern w:val="2"/>
          <w:szCs w:val="24"/>
          <w:lang w:val="en-GB"/>
        </w:rPr>
        <w:t>Adegbie</w:t>
      </w:r>
      <w:proofErr w:type="spellEnd"/>
      <w:r w:rsidRPr="002D6969">
        <w:rPr>
          <w:rFonts w:cs="Times New Roman"/>
          <w:bCs/>
          <w:color w:val="000000" w:themeColor="text1"/>
          <w:kern w:val="2"/>
          <w:szCs w:val="24"/>
          <w:lang w:val="en-GB"/>
        </w:rPr>
        <w:t xml:space="preserve"> and Adeniran (2021) argue that financial management systems reduce agency costs, while Ajagbe et al. (2024) highlight transparency and accountability in mitigating opportunistic behaviour.</w:t>
      </w:r>
    </w:p>
    <w:p w14:paraId="1767879E" w14:textId="77777777" w:rsidR="002D6969" w:rsidRPr="002D6969" w:rsidRDefault="002D6969" w:rsidP="002D6969">
      <w:pPr>
        <w:spacing w:before="0" w:after="160" w:line="259" w:lineRule="auto"/>
        <w:rPr>
          <w:rFonts w:cs="Times New Roman"/>
          <w:bCs/>
          <w:color w:val="000000" w:themeColor="text1"/>
          <w:kern w:val="2"/>
          <w:szCs w:val="24"/>
          <w:lang w:val="en-GB"/>
        </w:rPr>
      </w:pPr>
    </w:p>
    <w:p w14:paraId="79CA8473" w14:textId="77777777"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lastRenderedPageBreak/>
        <w:t xml:space="preserve">Biondi (2025) notes that complex financial structures in public enterprises intensify agency problems, while Borisova et al. (2012) show that government ownership influences cost of debt due to perceived inefficiencies. </w:t>
      </w:r>
      <w:proofErr w:type="spellStart"/>
      <w:r w:rsidRPr="002D6969">
        <w:rPr>
          <w:rFonts w:cs="Times New Roman"/>
          <w:bCs/>
          <w:color w:val="000000" w:themeColor="text1"/>
          <w:kern w:val="2"/>
          <w:szCs w:val="24"/>
          <w:lang w:val="en-GB"/>
        </w:rPr>
        <w:t>Ebekozien</w:t>
      </w:r>
      <w:proofErr w:type="spellEnd"/>
      <w:r w:rsidRPr="002D6969">
        <w:rPr>
          <w:rFonts w:cs="Times New Roman"/>
          <w:bCs/>
          <w:color w:val="000000" w:themeColor="text1"/>
          <w:kern w:val="2"/>
          <w:szCs w:val="24"/>
          <w:lang w:val="en-GB"/>
        </w:rPr>
        <w:t xml:space="preserve"> et al. (2025) associate agency inefficiencies with poor debt management in public enterprises, while </w:t>
      </w:r>
      <w:proofErr w:type="spellStart"/>
      <w:r w:rsidRPr="002D6969">
        <w:rPr>
          <w:rFonts w:cs="Times New Roman"/>
          <w:bCs/>
          <w:color w:val="000000" w:themeColor="text1"/>
          <w:kern w:val="2"/>
          <w:szCs w:val="24"/>
          <w:lang w:val="en-GB"/>
        </w:rPr>
        <w:t>Emmanson</w:t>
      </w:r>
      <w:proofErr w:type="spellEnd"/>
      <w:r w:rsidRPr="002D6969">
        <w:rPr>
          <w:rFonts w:cs="Times New Roman"/>
          <w:bCs/>
          <w:color w:val="000000" w:themeColor="text1"/>
          <w:kern w:val="2"/>
          <w:szCs w:val="24"/>
          <w:lang w:val="en-GB"/>
        </w:rPr>
        <w:t xml:space="preserve"> and Ajayi (2021) link them to weak oversight systems.</w:t>
      </w:r>
    </w:p>
    <w:p w14:paraId="0DBF4C0A" w14:textId="49FDA543" w:rsidR="002D6969" w:rsidRPr="002D6969" w:rsidRDefault="002D6969" w:rsidP="002D6969">
      <w:pPr>
        <w:spacing w:before="0" w:after="160" w:line="259" w:lineRule="auto"/>
        <w:rPr>
          <w:rFonts w:cs="Times New Roman"/>
          <w:bCs/>
          <w:color w:val="000000" w:themeColor="text1"/>
          <w:kern w:val="2"/>
          <w:szCs w:val="24"/>
          <w:lang w:val="en-GB"/>
        </w:rPr>
      </w:pPr>
      <w:r w:rsidRPr="002D6969">
        <w:rPr>
          <w:rFonts w:cs="Times New Roman"/>
          <w:bCs/>
          <w:color w:val="000000" w:themeColor="text1"/>
          <w:kern w:val="2"/>
          <w:szCs w:val="24"/>
          <w:lang w:val="en-GB"/>
        </w:rPr>
        <w:t xml:space="preserve">Agency Theory explains how governance failures affect financial risk exposure—including liquidity, interest rate, and solvency risks—and ultimately financial performance. </w:t>
      </w:r>
      <w:proofErr w:type="spellStart"/>
      <w:r w:rsidRPr="002D6969">
        <w:rPr>
          <w:rFonts w:cs="Times New Roman"/>
          <w:bCs/>
          <w:color w:val="000000" w:themeColor="text1"/>
          <w:kern w:val="2"/>
          <w:szCs w:val="24"/>
          <w:lang w:val="en-GB"/>
        </w:rPr>
        <w:t>Kotolo</w:t>
      </w:r>
      <w:proofErr w:type="spellEnd"/>
      <w:r w:rsidRPr="002D6969">
        <w:rPr>
          <w:rFonts w:cs="Times New Roman"/>
          <w:bCs/>
          <w:color w:val="000000" w:themeColor="text1"/>
          <w:kern w:val="2"/>
          <w:szCs w:val="24"/>
          <w:lang w:val="en-GB"/>
        </w:rPr>
        <w:t xml:space="preserve">, </w:t>
      </w:r>
      <w:proofErr w:type="spellStart"/>
      <w:r w:rsidRPr="002D6969">
        <w:rPr>
          <w:rFonts w:cs="Times New Roman"/>
          <w:bCs/>
          <w:color w:val="000000" w:themeColor="text1"/>
          <w:kern w:val="2"/>
          <w:szCs w:val="24"/>
          <w:lang w:val="en-GB"/>
        </w:rPr>
        <w:t>Namusonge</w:t>
      </w:r>
      <w:proofErr w:type="spellEnd"/>
      <w:r w:rsidRPr="002D6969">
        <w:rPr>
          <w:rFonts w:cs="Times New Roman"/>
          <w:bCs/>
          <w:color w:val="000000" w:themeColor="text1"/>
          <w:kern w:val="2"/>
          <w:szCs w:val="24"/>
          <w:lang w:val="en-GB"/>
        </w:rPr>
        <w:t xml:space="preserve">, and </w:t>
      </w:r>
      <w:proofErr w:type="spellStart"/>
      <w:r w:rsidRPr="002D6969">
        <w:rPr>
          <w:rFonts w:cs="Times New Roman"/>
          <w:bCs/>
          <w:color w:val="000000" w:themeColor="text1"/>
          <w:kern w:val="2"/>
          <w:szCs w:val="24"/>
          <w:lang w:val="en-GB"/>
        </w:rPr>
        <w:t>Sasaka</w:t>
      </w:r>
      <w:proofErr w:type="spellEnd"/>
      <w:r w:rsidRPr="002D6969">
        <w:rPr>
          <w:rFonts w:cs="Times New Roman"/>
          <w:bCs/>
          <w:color w:val="000000" w:themeColor="text1"/>
          <w:kern w:val="2"/>
          <w:szCs w:val="24"/>
          <w:lang w:val="en-GB"/>
        </w:rPr>
        <w:t xml:space="preserve"> (2024) show that strong governance frameworks reduce financial risks and improve performance in Kenyan state corporations. Mwangi, </w:t>
      </w:r>
      <w:proofErr w:type="spellStart"/>
      <w:r w:rsidRPr="002D6969">
        <w:rPr>
          <w:rFonts w:cs="Times New Roman"/>
          <w:bCs/>
          <w:color w:val="000000" w:themeColor="text1"/>
          <w:kern w:val="2"/>
          <w:szCs w:val="24"/>
          <w:lang w:val="en-GB"/>
        </w:rPr>
        <w:t>Ong’era</w:t>
      </w:r>
      <w:proofErr w:type="spellEnd"/>
      <w:r w:rsidRPr="002D6969">
        <w:rPr>
          <w:rFonts w:cs="Times New Roman"/>
          <w:bCs/>
          <w:color w:val="000000" w:themeColor="text1"/>
          <w:kern w:val="2"/>
          <w:szCs w:val="24"/>
          <w:lang w:val="en-GB"/>
        </w:rPr>
        <w:t>, and Matanda (2022) and Kaino, Mburu, and Kiragu (2025) further confirm that improved oversight and risk management enhance profitability and ROA.</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r w:rsidR="00CB6E82" w:rsidRPr="007A56B8">
        <w:rPr>
          <w:rFonts w:cs="Times New Roman"/>
          <w:b/>
          <w:bCs/>
          <w:color w:val="000000" w:themeColor="text1"/>
          <w:sz w:val="28"/>
          <w:szCs w:val="28"/>
        </w:rPr>
        <w:t>Empirical Review</w:t>
      </w:r>
    </w:p>
    <w:p w14:paraId="1F57D421" w14:textId="77777777" w:rsidR="00C21D61" w:rsidRPr="00C21D61" w:rsidRDefault="00C21D61" w:rsidP="00C21D61">
      <w:pPr>
        <w:spacing w:before="0" w:after="160" w:line="259" w:lineRule="auto"/>
        <w:rPr>
          <w:rFonts w:cs="Times New Roman"/>
          <w:color w:val="000000" w:themeColor="text1"/>
          <w:szCs w:val="24"/>
        </w:rPr>
      </w:pPr>
      <w:r w:rsidRPr="00C21D61">
        <w:rPr>
          <w:rFonts w:cs="Times New Roman"/>
          <w:color w:val="000000" w:themeColor="text1"/>
          <w:szCs w:val="24"/>
        </w:rPr>
        <w:t>Empirical literature on financial performance and default risk indicates that rising risk exposure generally reduces profitability, while firm-specific characteristics and institutional context moderate this relationship. Studies across different countries and sectors provide mixed but largely consistent evidence that financial risk factors—default risk, interest rate risk, foreign exchange risk, and liquidity risk—significantly influence Return on Assets (ROA), particularly in state-owned and publicly controlled enterprises.</w:t>
      </w:r>
    </w:p>
    <w:p w14:paraId="0CA0D260" w14:textId="77777777" w:rsidR="00C21D61" w:rsidRPr="00C21D61" w:rsidRDefault="00C21D61" w:rsidP="00C21D61">
      <w:pPr>
        <w:spacing w:before="0" w:after="160" w:line="259" w:lineRule="auto"/>
        <w:rPr>
          <w:rFonts w:cs="Times New Roman"/>
          <w:color w:val="000000" w:themeColor="text1"/>
          <w:szCs w:val="24"/>
        </w:rPr>
      </w:pPr>
      <w:proofErr w:type="spellStart"/>
      <w:r w:rsidRPr="00C21D61">
        <w:rPr>
          <w:rFonts w:cs="Times New Roman"/>
          <w:color w:val="000000" w:themeColor="text1"/>
          <w:szCs w:val="24"/>
        </w:rPr>
        <w:t>Mushafiq</w:t>
      </w:r>
      <w:proofErr w:type="spellEnd"/>
      <w:r w:rsidRPr="00C21D61">
        <w:rPr>
          <w:rFonts w:cs="Times New Roman"/>
          <w:color w:val="000000" w:themeColor="text1"/>
          <w:szCs w:val="24"/>
        </w:rPr>
        <w:t xml:space="preserve"> et al. (2024) found that default risk negatively affects financial performance while firm size moderates this effect by enhancing stability and access to diversified financing. However, the study’s focus on Pakistani private firms limits generalizability to Kenyan commercial state-owned enterprises (CSOEs). Malatji (2020) similarly reported that higher leverage reduces ROA among South African SOEs, attributing this to debt overhang effects, though contextual differences in financial market maturity limit applicability to Kenya. Bukhari et al. (2023) established that higher default risk reduces profitability and constrains investment although optimal leverage may provide tax benefits. Their private-sector focus and limited disaggregation of default indicators create contextual gaps for CSOEs. Musharraf et al. (2022) further found that firms with high default risk adopt conservative financial policies that reduce investment and ROA highlighting the strategic implications of default risk. </w:t>
      </w:r>
      <w:proofErr w:type="gramStart"/>
      <w:r w:rsidRPr="00C21D61">
        <w:rPr>
          <w:rFonts w:cs="Times New Roman"/>
          <w:color w:val="000000" w:themeColor="text1"/>
          <w:szCs w:val="24"/>
        </w:rPr>
        <w:t>However</w:t>
      </w:r>
      <w:proofErr w:type="gramEnd"/>
      <w:r w:rsidRPr="00C21D61">
        <w:rPr>
          <w:rFonts w:cs="Times New Roman"/>
          <w:color w:val="000000" w:themeColor="text1"/>
          <w:szCs w:val="24"/>
        </w:rPr>
        <w:t xml:space="preserve"> listed South Asian firms under different regulatory environments limit transferability. The World Bank (2021) reported that rising debt levels in Kenyan SOEs significantly increase solvency risk and reduce ROA though its aggregate analysis lacks firm-level specificity. Kiptoo and Njoroge (2022) provided Kenyan evidence showing that higher default risk from leverage and liquidity constraints reduces profitability while firm size buffers shocks reinforcing </w:t>
      </w:r>
      <w:proofErr w:type="spellStart"/>
      <w:r w:rsidRPr="00C21D61">
        <w:rPr>
          <w:rFonts w:cs="Times New Roman"/>
          <w:color w:val="000000" w:themeColor="text1"/>
          <w:szCs w:val="24"/>
        </w:rPr>
        <w:t>Mushafiq</w:t>
      </w:r>
      <w:proofErr w:type="spellEnd"/>
      <w:r w:rsidRPr="00C21D61">
        <w:rPr>
          <w:rFonts w:cs="Times New Roman"/>
          <w:color w:val="000000" w:themeColor="text1"/>
          <w:szCs w:val="24"/>
        </w:rPr>
        <w:t xml:space="preserve"> et al. (2024). Overall literature consistently shows a negative default risk–performance relationship but gaps remain in CSOE-specific firm-level analysis.</w:t>
      </w:r>
    </w:p>
    <w:p w14:paraId="7062DD2C" w14:textId="77777777" w:rsidR="00C21D61" w:rsidRPr="00C21D61" w:rsidRDefault="00C21D61" w:rsidP="00C21D61">
      <w:pPr>
        <w:spacing w:before="0" w:after="160" w:line="259" w:lineRule="auto"/>
        <w:rPr>
          <w:rFonts w:cs="Times New Roman"/>
          <w:color w:val="000000" w:themeColor="text1"/>
          <w:szCs w:val="24"/>
        </w:rPr>
      </w:pPr>
      <w:r w:rsidRPr="00C21D61">
        <w:rPr>
          <w:rFonts w:cs="Times New Roman"/>
          <w:color w:val="000000" w:themeColor="text1"/>
          <w:szCs w:val="24"/>
        </w:rPr>
        <w:t xml:space="preserve">Kang and Kim (2020) found that rising interest rates significantly reduce ROA in South Korean SOEs due to increased debt servicing costs though their mature financial system differs from Kenya’s. Mutua (2021) similarly showed that interest rate fluctuations negatively affect ROA in Kenya Power and Kenya Airways particularly under floating-rate debt but the case-study approach limits generalizability. </w:t>
      </w:r>
      <w:proofErr w:type="spellStart"/>
      <w:r w:rsidRPr="00C21D61">
        <w:rPr>
          <w:rFonts w:cs="Times New Roman"/>
          <w:color w:val="000000" w:themeColor="text1"/>
          <w:szCs w:val="24"/>
        </w:rPr>
        <w:t>Aderobaki</w:t>
      </w:r>
      <w:proofErr w:type="spellEnd"/>
      <w:r w:rsidRPr="00C21D61">
        <w:rPr>
          <w:rFonts w:cs="Times New Roman"/>
          <w:color w:val="000000" w:themeColor="text1"/>
          <w:szCs w:val="24"/>
        </w:rPr>
        <w:t xml:space="preserve"> et al. (2023) observed that higher interest rates reduce profitability and investment in Nigerian manufacturing firms highlighting borrowing cost sensitivity though private-sector focus limits relevance to CSOEs. Mwangi and Cheruiyot (2022) provided broader Kenyan evidence that interest rate increases reduce ROA across utilities and transport SOEs with low rates improving investment capacity. They further emphasized hedging financing diversification and financial planning as mitigation strategies. Collectively these studies confirm that interest rate risk is a significant determinant of financial performance in SOEs with stronger evidence emerging from multi-sector Kenyan analyses.</w:t>
      </w:r>
    </w:p>
    <w:p w14:paraId="776FF4AE" w14:textId="77777777" w:rsidR="00C21D61" w:rsidRPr="00C21D61" w:rsidRDefault="00C21D61" w:rsidP="00C21D61">
      <w:pPr>
        <w:spacing w:before="0" w:after="160" w:line="259" w:lineRule="auto"/>
        <w:rPr>
          <w:rFonts w:cs="Times New Roman"/>
          <w:color w:val="000000" w:themeColor="text1"/>
          <w:szCs w:val="24"/>
        </w:rPr>
      </w:pPr>
      <w:r w:rsidRPr="00C21D61">
        <w:rPr>
          <w:rFonts w:cs="Times New Roman"/>
          <w:color w:val="000000" w:themeColor="text1"/>
          <w:szCs w:val="24"/>
        </w:rPr>
        <w:t xml:space="preserve">Nyambura (2021) found that exchange rate volatility negatively affects ROA in Kenyan listed parastatals particularly in energy and transport sectors but excluded non-listed SOEs. </w:t>
      </w:r>
      <w:proofErr w:type="spellStart"/>
      <w:r w:rsidRPr="00C21D61">
        <w:rPr>
          <w:rFonts w:cs="Times New Roman"/>
          <w:color w:val="000000" w:themeColor="text1"/>
          <w:szCs w:val="24"/>
        </w:rPr>
        <w:t>Obiukwu</w:t>
      </w:r>
      <w:proofErr w:type="spellEnd"/>
      <w:r w:rsidRPr="00C21D61">
        <w:rPr>
          <w:rFonts w:cs="Times New Roman"/>
          <w:color w:val="000000" w:themeColor="text1"/>
          <w:szCs w:val="24"/>
        </w:rPr>
        <w:t xml:space="preserve"> and </w:t>
      </w:r>
      <w:proofErr w:type="spellStart"/>
      <w:r w:rsidRPr="00C21D61">
        <w:rPr>
          <w:rFonts w:cs="Times New Roman"/>
          <w:color w:val="000000" w:themeColor="text1"/>
          <w:szCs w:val="24"/>
        </w:rPr>
        <w:t>Adurogboye</w:t>
      </w:r>
      <w:proofErr w:type="spellEnd"/>
      <w:r w:rsidRPr="00C21D61">
        <w:rPr>
          <w:rFonts w:cs="Times New Roman"/>
          <w:color w:val="000000" w:themeColor="text1"/>
          <w:szCs w:val="24"/>
        </w:rPr>
        <w:t xml:space="preserve"> (2025) reported that FX volatility reduces SME profitability in Nigeria due to higher import costs and reduced </w:t>
      </w:r>
      <w:r w:rsidRPr="00C21D61">
        <w:rPr>
          <w:rFonts w:cs="Times New Roman"/>
          <w:color w:val="000000" w:themeColor="text1"/>
          <w:szCs w:val="24"/>
        </w:rPr>
        <w:lastRenderedPageBreak/>
        <w:t>competitiveness though findings do not directly apply to Kenyan CSOEs. Tumwesigye et al. (2022) showed that Ugandan SOEs using hedging instruments achieve better ROA although reliance on self-reported survey data introduces bias. Collectively these studies indicate that foreign exchange risk reduces financial performance unless mitigated through hedging strategies but methodological and contextual limitations necessitate firm-level econometric analysis in Kenyan CSOEs.</w:t>
      </w:r>
    </w:p>
    <w:p w14:paraId="0140A90C" w14:textId="77777777" w:rsidR="00C21D61" w:rsidRPr="00C21D61" w:rsidRDefault="00C21D61" w:rsidP="00C21D61">
      <w:pPr>
        <w:spacing w:before="0" w:after="160" w:line="259" w:lineRule="auto"/>
        <w:rPr>
          <w:rFonts w:cs="Times New Roman"/>
          <w:color w:val="000000" w:themeColor="text1"/>
          <w:szCs w:val="24"/>
        </w:rPr>
      </w:pPr>
      <w:r w:rsidRPr="00C21D61">
        <w:rPr>
          <w:rFonts w:cs="Times New Roman"/>
          <w:color w:val="000000" w:themeColor="text1"/>
          <w:szCs w:val="24"/>
        </w:rPr>
        <w:t xml:space="preserve">Reddy and Prasad (2020) tested the correlation between liquidity management and financial performance of 25 SOEs in the infrastructure industry in India. Their results showed that the higher the current ratios the better the ROA and that too much cash in the hands of an organization lowered its efficiency of operations. Adeyemi and </w:t>
      </w:r>
      <w:proofErr w:type="spellStart"/>
      <w:r w:rsidRPr="00C21D61">
        <w:rPr>
          <w:rFonts w:cs="Times New Roman"/>
          <w:color w:val="000000" w:themeColor="text1"/>
          <w:szCs w:val="24"/>
        </w:rPr>
        <w:t>Fapohunda</w:t>
      </w:r>
      <w:proofErr w:type="spellEnd"/>
      <w:r w:rsidRPr="00C21D61">
        <w:rPr>
          <w:rFonts w:cs="Times New Roman"/>
          <w:color w:val="000000" w:themeColor="text1"/>
          <w:szCs w:val="24"/>
        </w:rPr>
        <w:t xml:space="preserve"> (2019) reported that poor liquidity significantly reduces ROA in Nigerian manufacturing and transport SOEs though sectoral limitations reduce generalizability. Wanjiru (2020) found that liquidity constraints reduce operational efficiency and ROA in Kenyan parastatals but the small sample limits broader inference. Kamau and Otieno (2021) demonstrated that balanced liquidity enhances ROA in Kenyan energy and transport SOEs while both excess and insufficient liquidity are harmful. They emphasize working capital optimization and liquidity monitoring systems. Overall literature confirms that liquidity risk significantly influences financial performance but wider multi-sector Kenyan CSOE studies remain limited.</w:t>
      </w:r>
    </w:p>
    <w:p w14:paraId="1211445F" w14:textId="2B03B5A8" w:rsidR="00CB6E82" w:rsidRPr="007A56B8" w:rsidRDefault="00C21D61" w:rsidP="00C21D61">
      <w:pPr>
        <w:spacing w:before="0" w:after="160" w:line="259" w:lineRule="auto"/>
        <w:rPr>
          <w:rFonts w:cs="Times New Roman"/>
          <w:color w:val="000000" w:themeColor="text1"/>
          <w:szCs w:val="24"/>
        </w:rPr>
      </w:pPr>
      <w:r w:rsidRPr="00C21D61">
        <w:rPr>
          <w:rFonts w:cs="Times New Roman"/>
          <w:color w:val="000000" w:themeColor="text1"/>
          <w:szCs w:val="24"/>
        </w:rPr>
        <w:t>Overall synthesis shows that financial risk factors collectively exert significant negative effects on ROA across SOEs and related enterprises with default interest exchange and liquidity risks interacting with firm size governance and market structure differences While evidence is consistent across international and regional studies contextual variations between developed and emerging economies limit direct generalization particularly to Kenyan CSOEs Moreover most existing studies rely on private firms listed entities or small samples underscoring the need for comprehensive firm-level panel data analysis within Kenyan commercial state-owned enterprises to better capture risk performance dynamics and inform policy interventions aimed at improving financial sustainability and operational efficiency through improved risk management frameworks diversified financing structures and enhanced governance systems aligned with public sector commercial objectives and sustainable long-term value creation in Kenyan CSOEs policy and investment efficiency improvement</w:t>
      </w:r>
      <w:r>
        <w:rPr>
          <w:rFonts w:cs="Times New Roman"/>
          <w:color w:val="000000" w:themeColor="text1"/>
          <w:szCs w:val="24"/>
        </w:rPr>
        <w:t>.</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1EA615C1"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This study adopted an explanatory research design. Explanatory research is concerned not only with identifying relationships between variables but also with establishing and explaining causal linkages among them. According to Saunders et al. (2019), explanatory studies focus on analyzing a phenomenon to understand the relationships between variables, while Creswell &amp; Creswell (2018) note that such designs are appropriate where the objective is to determine causal relationships between independent and dependent variables. Similarly, Sekaran and Bougie (2019) emphasize that explanatory designs are useful in hypothesis testing grounded in theory, particularly in assessing whether variations in independent variables produce consistent changes in dependent variables.</w:t>
      </w:r>
    </w:p>
    <w:p w14:paraId="019DFD31"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In this study, the design was appropriate for examining the causal relationship between financial risk dimensions—default risk, interest rate risk, foreign exchange risk, and liquidity risk—and financial performance proxied by Return on Assets (ROA). The approach enabled the researcher not only to assess the existence of relationships but also their direction and strength. Additionally, the explanatory design facilitated the use of panel data analysis to identify patterns and possible causal effects over time (Khan, 2008).</w:t>
      </w:r>
    </w:p>
    <w:p w14:paraId="37A30E2A"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target population refers to the complete set of elements that meet the criteria for a research study and from which conclusions are drawn. Mugenda and Mugenda (2003) define it as the entire group of subjects to which research findings are generalized, while Kothari (2004) describes it as any unit—individual, institution, or object—that fits the research problem criteria.</w:t>
      </w:r>
    </w:p>
    <w:p w14:paraId="4B9F9717"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lastRenderedPageBreak/>
        <w:t>This study focused on 46 commercial state corporations (CSCs) in Kenya over the period 2019–2024. The unit of analysis comprised the corporations themselves, while the unit of observation was their financial statements. These corporations were selected because they operate on a commercial basis and are therefore directly exposed to financial risks compared to other state corporations with regulatory or social mandates.</w:t>
      </w:r>
    </w:p>
    <w:p w14:paraId="35DCE8AD"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A census approach was adopted by including all 46 CSCs. This eliminated sampling bias and ensured comprehensive coverage of the population, thereby improving the reliability and validity of findings on the relationship between financial risks and financial performance.</w:t>
      </w:r>
    </w:p>
    <w:p w14:paraId="0E4EDBF1"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study relied on secondary data obtained from audited annual financial statements of the 46 commercial state corporations between 2019 and 2024. Secondary data refers to information collected by other entities for purposes other than the current study but which can be reused for new research objectives (Johnston, 2017). Bryman and Bell (2015) note that such data are often reliable due to institutional verification, while Saunders et al. (2019) highlight its efficiency in terms of cost, time, and availability of longitudinal datasets.</w:t>
      </w:r>
    </w:p>
    <w:p w14:paraId="144EB3DF"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financial statements included the statement of financial position, statement of profit or loss and other comprehensive income, and the statement of cash flows. These provided consistent and standardized data on both financial risk indicators and performance measures such as ROA. A structured secondary data collection schedule (Appendix I) was used to ensure systematic extraction, accuracy, and completeness across all entities and time periods.</w:t>
      </w:r>
    </w:p>
    <w:p w14:paraId="37A75AE4"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study operationalized variables to ensure clarity and measurement consistency. Independent variables represented financial risk, while the dependent variable represented financial performance (ROA).</w:t>
      </w:r>
    </w:p>
    <w:p w14:paraId="5CAA6448" w14:textId="4FB35AB1"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Default risk was measured using the debt-to-asset ratio (Total Debt/Total Assets). Interest rate risk was proxied by the interest coverage ratio (Interest Expense/Net Income). Foreign exchange risk was measured using the foreign currency gain/loss to net income ratio, while liquidity risk was measured using the current ratio (Current Assets/Current Liabilities). Financial performance was measured using Return on Assets (Net Income/Total Assets). All variables were expressed as ratio scales, as summarized in Table 1.</w:t>
      </w:r>
    </w:p>
    <w:p w14:paraId="665F0CBD"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study employed a panel regression model to examine the effect of financial risks on financial performance over time. Panel data combines cross-sectional and time-series dimensions, allowing analysis of both inter-firm differences and temporal dynamics (</w:t>
      </w:r>
      <w:proofErr w:type="spellStart"/>
      <w:r w:rsidRPr="009E40E7">
        <w:rPr>
          <w:rFonts w:cs="Times New Roman"/>
          <w:color w:val="000000" w:themeColor="text1"/>
          <w:szCs w:val="24"/>
        </w:rPr>
        <w:t>Baltagi</w:t>
      </w:r>
      <w:proofErr w:type="spellEnd"/>
      <w:r w:rsidRPr="009E40E7">
        <w:rPr>
          <w:rFonts w:cs="Times New Roman"/>
          <w:color w:val="000000" w:themeColor="text1"/>
          <w:szCs w:val="24"/>
        </w:rPr>
        <w:t>, 2008; Wooldridge, 2016).</w:t>
      </w:r>
    </w:p>
    <w:p w14:paraId="177AF844"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model specification was:</w:t>
      </w:r>
    </w:p>
    <w:p w14:paraId="639319EC" w14:textId="77777777" w:rsidR="009E40E7" w:rsidRPr="009E40E7" w:rsidRDefault="009E40E7" w:rsidP="009E40E7">
      <w:pPr>
        <w:spacing w:after="160" w:line="259" w:lineRule="auto"/>
        <w:rPr>
          <w:rFonts w:cs="Times New Roman"/>
          <w:color w:val="000000" w:themeColor="text1"/>
          <w:szCs w:val="24"/>
        </w:rPr>
      </w:pPr>
      <w:proofErr w:type="spellStart"/>
      <w:r w:rsidRPr="009E40E7">
        <w:rPr>
          <w:rFonts w:cs="Times New Roman"/>
          <w:color w:val="000000" w:themeColor="text1"/>
          <w:szCs w:val="24"/>
        </w:rPr>
        <w:t>ROAit</w:t>
      </w:r>
      <w:proofErr w:type="spellEnd"/>
      <w:r w:rsidRPr="009E40E7">
        <w:rPr>
          <w:rFonts w:cs="Times New Roman"/>
          <w:color w:val="000000" w:themeColor="text1"/>
          <w:szCs w:val="24"/>
        </w:rPr>
        <w:t xml:space="preserve"> = β0 + β1DRit + β2IRit + β3FXRit + β4LRit + </w:t>
      </w:r>
      <w:proofErr w:type="spellStart"/>
      <w:r w:rsidRPr="009E40E7">
        <w:rPr>
          <w:rFonts w:cs="Times New Roman"/>
          <w:color w:val="000000" w:themeColor="text1"/>
          <w:szCs w:val="24"/>
        </w:rPr>
        <w:t>εit</w:t>
      </w:r>
      <w:proofErr w:type="spellEnd"/>
    </w:p>
    <w:p w14:paraId="17EEB996"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 xml:space="preserve">Where </w:t>
      </w:r>
      <w:proofErr w:type="spellStart"/>
      <w:r w:rsidRPr="009E40E7">
        <w:rPr>
          <w:rFonts w:cs="Times New Roman"/>
          <w:color w:val="000000" w:themeColor="text1"/>
          <w:szCs w:val="24"/>
        </w:rPr>
        <w:t>ROAit</w:t>
      </w:r>
      <w:proofErr w:type="spellEnd"/>
      <w:r w:rsidRPr="009E40E7">
        <w:rPr>
          <w:rFonts w:cs="Times New Roman"/>
          <w:color w:val="000000" w:themeColor="text1"/>
          <w:szCs w:val="24"/>
        </w:rPr>
        <w:t xml:space="preserve"> represents Return on Assets for firm </w:t>
      </w:r>
      <w:proofErr w:type="spellStart"/>
      <w:r w:rsidRPr="009E40E7">
        <w:rPr>
          <w:rFonts w:cs="Times New Roman"/>
          <w:color w:val="000000" w:themeColor="text1"/>
          <w:szCs w:val="24"/>
        </w:rPr>
        <w:t>i</w:t>
      </w:r>
      <w:proofErr w:type="spellEnd"/>
      <w:r w:rsidRPr="009E40E7">
        <w:rPr>
          <w:rFonts w:cs="Times New Roman"/>
          <w:color w:val="000000" w:themeColor="text1"/>
          <w:szCs w:val="24"/>
        </w:rPr>
        <w:t xml:space="preserve"> at time t, DRit denotes default risk, </w:t>
      </w:r>
      <w:proofErr w:type="spellStart"/>
      <w:r w:rsidRPr="009E40E7">
        <w:rPr>
          <w:rFonts w:cs="Times New Roman"/>
          <w:color w:val="000000" w:themeColor="text1"/>
          <w:szCs w:val="24"/>
        </w:rPr>
        <w:t>IRit</w:t>
      </w:r>
      <w:proofErr w:type="spellEnd"/>
      <w:r w:rsidRPr="009E40E7">
        <w:rPr>
          <w:rFonts w:cs="Times New Roman"/>
          <w:color w:val="000000" w:themeColor="text1"/>
          <w:szCs w:val="24"/>
        </w:rPr>
        <w:t xml:space="preserve"> interest rate risk, </w:t>
      </w:r>
      <w:proofErr w:type="spellStart"/>
      <w:r w:rsidRPr="009E40E7">
        <w:rPr>
          <w:rFonts w:cs="Times New Roman"/>
          <w:color w:val="000000" w:themeColor="text1"/>
          <w:szCs w:val="24"/>
        </w:rPr>
        <w:t>FXRit</w:t>
      </w:r>
      <w:proofErr w:type="spellEnd"/>
      <w:r w:rsidRPr="009E40E7">
        <w:rPr>
          <w:rFonts w:cs="Times New Roman"/>
          <w:color w:val="000000" w:themeColor="text1"/>
          <w:szCs w:val="24"/>
        </w:rPr>
        <w:t xml:space="preserve"> foreign exchange risk, </w:t>
      </w:r>
      <w:proofErr w:type="spellStart"/>
      <w:r w:rsidRPr="009E40E7">
        <w:rPr>
          <w:rFonts w:cs="Times New Roman"/>
          <w:color w:val="000000" w:themeColor="text1"/>
          <w:szCs w:val="24"/>
        </w:rPr>
        <w:t>LRit</w:t>
      </w:r>
      <w:proofErr w:type="spellEnd"/>
      <w:r w:rsidRPr="009E40E7">
        <w:rPr>
          <w:rFonts w:cs="Times New Roman"/>
          <w:color w:val="000000" w:themeColor="text1"/>
          <w:szCs w:val="24"/>
        </w:rPr>
        <w:t xml:space="preserve"> liquidity risk, β0 is the intercept, β1–β4 are coefficients, and </w:t>
      </w:r>
      <w:proofErr w:type="spellStart"/>
      <w:r w:rsidRPr="009E40E7">
        <w:rPr>
          <w:rFonts w:cs="Times New Roman"/>
          <w:color w:val="000000" w:themeColor="text1"/>
          <w:szCs w:val="24"/>
        </w:rPr>
        <w:t>εit</w:t>
      </w:r>
      <w:proofErr w:type="spellEnd"/>
      <w:r w:rsidRPr="009E40E7">
        <w:rPr>
          <w:rFonts w:cs="Times New Roman"/>
          <w:color w:val="000000" w:themeColor="text1"/>
          <w:szCs w:val="24"/>
        </w:rPr>
        <w:t xml:space="preserve"> is the error term.</w:t>
      </w:r>
    </w:p>
    <w:p w14:paraId="42F8AFBE"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Statistical significance was evaluated at the 5% level (p &lt; 0.05), consistent with Gujarati and Porter (2009). Positive coefficients indicate a direct relationship with ROA, while negative coefficients indicate an inverse relationship.</w:t>
      </w:r>
    </w:p>
    <w:p w14:paraId="213D6B25"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Data analysis involved both descriptive and inferential statistics. Descriptive statistics such as means, standard deviations, and ranges summarized the dataset (Saunders et al., 2019). Inferential statistics, particularly panel regression analysis conducted using STATA, tested hypotheses and determined relationships between variables.</w:t>
      </w:r>
    </w:p>
    <w:p w14:paraId="6E30BB8A"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lastRenderedPageBreak/>
        <w:t>Results were presented using tables and graphs to enhance clarity and comparability (Kothari, 2004). Diagnostic test results and regression outputs (coefficients, standard errors, t-statistics, p-values, and R²) were systematically reported to support interpretation.</w:t>
      </w:r>
    </w:p>
    <w:p w14:paraId="21175A75"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 xml:space="preserve">Diagnostic tests were conducted to ensure validity and reliability of regression estimates. These included tests for multicollinearity, normality, stationarity, heteroscedasticity, and model specification (Wooldridge, 2016; </w:t>
      </w:r>
      <w:proofErr w:type="spellStart"/>
      <w:r w:rsidRPr="009E40E7">
        <w:rPr>
          <w:rFonts w:cs="Times New Roman"/>
          <w:color w:val="000000" w:themeColor="text1"/>
          <w:szCs w:val="24"/>
        </w:rPr>
        <w:t>Baltagi</w:t>
      </w:r>
      <w:proofErr w:type="spellEnd"/>
      <w:r w:rsidRPr="009E40E7">
        <w:rPr>
          <w:rFonts w:cs="Times New Roman"/>
          <w:color w:val="000000" w:themeColor="text1"/>
          <w:szCs w:val="24"/>
        </w:rPr>
        <w:t>, 2008).</w:t>
      </w:r>
    </w:p>
    <w:p w14:paraId="513BC1E8"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Multicollinearity was assessed using Variance Inflation Factors (VIF), where values above 10 indicated concern (Kutner et al., 2004). Normality was tested using the Jarque-Bera test (Brooks, 2014). Panel stationarity was examined using the Levin-Lin-Chu test, while heteroscedasticity was tested using the Breusch-Pagan-Godfrey test (Greene, 2012). The Hausman test guided the choice between fixed and random effects models (Hausman, 1978).</w:t>
      </w:r>
    </w:p>
    <w:p w14:paraId="57BD44C1" w14:textId="77777777" w:rsidR="009E40E7" w:rsidRPr="009E40E7"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The study adhered to ethical research standards under Kenyatta University guidelines and national regulations. Data integrity was maintained by ensuring accuracy, transparency, and non-manipulation of information (Resnick, 2018). Confidentiality of financial data was strictly observed to protect institutional privacy (Kaiser, 2009).</w:t>
      </w:r>
    </w:p>
    <w:p w14:paraId="68ECED9B" w14:textId="13CB1F97" w:rsidR="009B3203" w:rsidRPr="007A56B8" w:rsidRDefault="009E40E7" w:rsidP="009E40E7">
      <w:pPr>
        <w:spacing w:after="160" w:line="259" w:lineRule="auto"/>
        <w:rPr>
          <w:rFonts w:cs="Times New Roman"/>
          <w:color w:val="000000" w:themeColor="text1"/>
          <w:szCs w:val="24"/>
        </w:rPr>
      </w:pPr>
      <w:r w:rsidRPr="009E40E7">
        <w:rPr>
          <w:rFonts w:cs="Times New Roman"/>
          <w:color w:val="000000" w:themeColor="text1"/>
          <w:szCs w:val="24"/>
        </w:rPr>
        <w:t>Research approval was obtained from the National Commission for Science, Technology and Innovation (NACOSTI), ensuring compliance with legal and ethical standards. All sources were properly acknowledged to avoid plagiarism and uphold academic integrity</w:t>
      </w:r>
      <w:r w:rsidR="00B14085" w:rsidRPr="00B14085">
        <w:rPr>
          <w:rFonts w:cs="Times New Roman"/>
          <w:color w:val="000000" w:themeColor="text1"/>
          <w:szCs w:val="24"/>
        </w:rPr>
        <w:t>.</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RESULTS AND DISCUSSION</w:t>
      </w:r>
    </w:p>
    <w:p w14:paraId="60DF36C8" w14:textId="67888BC8" w:rsidR="00CE0AFF" w:rsidRPr="00CE0AFF" w:rsidRDefault="00CE0AFF" w:rsidP="00CE0AFF">
      <w:pPr>
        <w:spacing w:before="0" w:line="240" w:lineRule="auto"/>
        <w:rPr>
          <w:rFonts w:eastAsia="Times New Roman" w:cs="Times New Roman"/>
          <w:b/>
          <w:bCs/>
          <w:color w:val="0D0D0D"/>
          <w:szCs w:val="24"/>
          <w14:ligatures w14:val="none"/>
        </w:rPr>
      </w:pPr>
      <w:r w:rsidRPr="00CE0AFF">
        <w:rPr>
          <w:rFonts w:eastAsia="Times New Roman" w:cs="Times New Roman"/>
          <w:b/>
          <w:bCs/>
          <w:color w:val="0D0D0D"/>
          <w:szCs w:val="24"/>
          <w14:ligatures w14:val="none"/>
        </w:rPr>
        <w:t xml:space="preserve">Analysis of the Study Variables </w:t>
      </w:r>
    </w:p>
    <w:p w14:paraId="6E45743D" w14:textId="77777777" w:rsidR="00CE0AFF" w:rsidRPr="00CE0AFF" w:rsidRDefault="00CE0AFF" w:rsidP="00CE0AFF">
      <w:pPr>
        <w:spacing w:before="0" w:line="240" w:lineRule="auto"/>
        <w:rPr>
          <w:rFonts w:eastAsia="Times New Roman" w:cs="Times New Roman"/>
          <w:color w:val="0D0D0D"/>
          <w:szCs w:val="24"/>
          <w14:ligatures w14:val="none"/>
        </w:rPr>
      </w:pPr>
      <w:r w:rsidRPr="00CE0AFF">
        <w:rPr>
          <w:rFonts w:eastAsia="Times New Roman" w:cs="Times New Roman"/>
          <w:color w:val="0D0D0D"/>
          <w:szCs w:val="24"/>
          <w14:ligatures w14:val="none"/>
        </w:rPr>
        <w:t>This study analyzed financial risk and financial performance among Commercial State-Owned Enterprises (CSOEs) in Kenya. Although the target population comprised 46 CSOEs, only 42 enterprises with complete financial data for 2019–2024 were included, resulting in a balanced panel dataset adjusted for missing observations. Financial performance was measured using Return on Assets (ROA), while financial risk variables were proxied by the debt-to-asset ratio (default risk), interest expense ratio (interest rate risk), foreign exchange impact ratio (exchange rate risk), and current ratio (liquidity risk). These standardized financial ratios ensured comparability and consistency across firms.</w:t>
      </w:r>
    </w:p>
    <w:p w14:paraId="79894357" w14:textId="77777777" w:rsidR="00CE0AFF" w:rsidRPr="00CE0AFF" w:rsidRDefault="00CE0AFF" w:rsidP="00CE0AFF">
      <w:pPr>
        <w:spacing w:line="240" w:lineRule="auto"/>
        <w:rPr>
          <w:rFonts w:eastAsia="Times New Roman" w:cs="Times New Roman"/>
          <w:color w:val="0D0D0D"/>
          <w:szCs w:val="24"/>
          <w14:ligatures w14:val="none"/>
        </w:rPr>
      </w:pPr>
      <w:r w:rsidRPr="00CE0AFF">
        <w:rPr>
          <w:rFonts w:eastAsia="Times New Roman" w:cs="Times New Roman"/>
          <w:color w:val="0D0D0D"/>
          <w:szCs w:val="24"/>
          <w14:ligatures w14:val="none"/>
        </w:rPr>
        <w:t xml:space="preserve">ROA recorded 252 observations with a minimum of -55.410 and a maximum of 30.000. The mean ROA was -2.9452 with a standard deviation of 9.9455, indicating overall weak financial performance and substantial inter-firm variability. This supports the World Bank (2021) finding that rising debt levels in Kenyan SOEs contribute to declining profitability. Liquidity risk, measured using the current ratio, had 251 observations with a mean of 3.1805 and high dispersion (Std. Dev = 6.4825), suggesting coexistence of both liquidity excess and shortages. This aligns with Reddy and Prasad (2020), Adeyemi and </w:t>
      </w:r>
      <w:proofErr w:type="spellStart"/>
      <w:r w:rsidRPr="00CE0AFF">
        <w:rPr>
          <w:rFonts w:eastAsia="Times New Roman" w:cs="Times New Roman"/>
          <w:color w:val="0D0D0D"/>
          <w:szCs w:val="24"/>
          <w14:ligatures w14:val="none"/>
        </w:rPr>
        <w:t>Fapohunda</w:t>
      </w:r>
      <w:proofErr w:type="spellEnd"/>
      <w:r w:rsidRPr="00CE0AFF">
        <w:rPr>
          <w:rFonts w:eastAsia="Times New Roman" w:cs="Times New Roman"/>
          <w:color w:val="0D0D0D"/>
          <w:szCs w:val="24"/>
          <w14:ligatures w14:val="none"/>
        </w:rPr>
        <w:t xml:space="preserve"> (2019), and Wanjiru (2020), who emphasize that both under- and over-liquidity reduce efficiency and performance.</w:t>
      </w:r>
    </w:p>
    <w:p w14:paraId="0F00504C" w14:textId="321F8379" w:rsidR="00CE0AFF" w:rsidRPr="00CE0AFF" w:rsidRDefault="00CE0AFF" w:rsidP="00CE0AFF">
      <w:pPr>
        <w:spacing w:line="240" w:lineRule="auto"/>
        <w:rPr>
          <w:rFonts w:eastAsia="Times New Roman" w:cs="Times New Roman"/>
          <w:color w:val="0D0D0D"/>
          <w:szCs w:val="24"/>
          <w14:ligatures w14:val="none"/>
        </w:rPr>
      </w:pPr>
      <w:r w:rsidRPr="00CE0AFF">
        <w:rPr>
          <w:rFonts w:eastAsia="Times New Roman" w:cs="Times New Roman"/>
          <w:color w:val="0D0D0D"/>
          <w:szCs w:val="24"/>
          <w14:ligatures w14:val="none"/>
        </w:rPr>
        <w:t xml:space="preserve">Foreign exchange risk exhibited a mean close to zero (0.1594) but wide variability (Std. Dev = 8.8047), indicating heterogeneous exposure among CSOEs. This corroborates Nyambura (2021) and </w:t>
      </w:r>
      <w:proofErr w:type="spellStart"/>
      <w:r w:rsidRPr="00CE0AFF">
        <w:rPr>
          <w:rFonts w:eastAsia="Times New Roman" w:cs="Times New Roman"/>
          <w:color w:val="0D0D0D"/>
          <w:szCs w:val="24"/>
          <w14:ligatures w14:val="none"/>
        </w:rPr>
        <w:t>Obiukwu</w:t>
      </w:r>
      <w:proofErr w:type="spellEnd"/>
      <w:r w:rsidRPr="00CE0AFF">
        <w:rPr>
          <w:rFonts w:eastAsia="Times New Roman" w:cs="Times New Roman"/>
          <w:color w:val="0D0D0D"/>
          <w:szCs w:val="24"/>
          <w14:ligatures w14:val="none"/>
        </w:rPr>
        <w:t xml:space="preserve"> and </w:t>
      </w:r>
      <w:proofErr w:type="spellStart"/>
      <w:r w:rsidRPr="00CE0AFF">
        <w:rPr>
          <w:rFonts w:eastAsia="Times New Roman" w:cs="Times New Roman"/>
          <w:color w:val="0D0D0D"/>
          <w:szCs w:val="24"/>
          <w14:ligatures w14:val="none"/>
        </w:rPr>
        <w:t>Adurogboye</w:t>
      </w:r>
      <w:proofErr w:type="spellEnd"/>
      <w:r w:rsidRPr="00CE0AFF">
        <w:rPr>
          <w:rFonts w:eastAsia="Times New Roman" w:cs="Times New Roman"/>
          <w:color w:val="0D0D0D"/>
          <w:szCs w:val="24"/>
          <w14:ligatures w14:val="none"/>
        </w:rPr>
        <w:t xml:space="preserve"> (2025), who report adverse effects of exchange rate volatility on profitability, while Tumwesigye et al. (2022) highlight hedging as a mitigating strategy. Default risk (mean = 0.5408; Std. Dev = 0.7186) suggests moderate leverage overall but significant firm-level variation, consistent with </w:t>
      </w:r>
      <w:proofErr w:type="spellStart"/>
      <w:r w:rsidRPr="00CE0AFF">
        <w:rPr>
          <w:rFonts w:eastAsia="Times New Roman" w:cs="Times New Roman"/>
          <w:color w:val="0D0D0D"/>
          <w:szCs w:val="24"/>
          <w14:ligatures w14:val="none"/>
        </w:rPr>
        <w:t>Mushafiq</w:t>
      </w:r>
      <w:proofErr w:type="spellEnd"/>
      <w:r w:rsidRPr="00CE0AFF">
        <w:rPr>
          <w:rFonts w:eastAsia="Times New Roman" w:cs="Times New Roman"/>
          <w:color w:val="0D0D0D"/>
          <w:szCs w:val="24"/>
          <w14:ligatures w14:val="none"/>
        </w:rPr>
        <w:t xml:space="preserve"> et al. (2024), Malatji (2020), Bukhari et al. (2023), and Musharraf et al. (2022), who associate higher leverage with reduced profitability. Interest rate risk showed extreme volatility (mean = 9.9630; Std. Dev = 214.5933), reflecting uneven exposure to interest fluctuations, consistent with Kang and Kim (2020), </w:t>
      </w:r>
      <w:proofErr w:type="spellStart"/>
      <w:r w:rsidRPr="00CE0AFF">
        <w:rPr>
          <w:rFonts w:eastAsia="Times New Roman" w:cs="Times New Roman"/>
          <w:color w:val="0D0D0D"/>
          <w:szCs w:val="24"/>
          <w14:ligatures w14:val="none"/>
        </w:rPr>
        <w:t>Aderobaki</w:t>
      </w:r>
      <w:proofErr w:type="spellEnd"/>
      <w:r w:rsidRPr="00CE0AFF">
        <w:rPr>
          <w:rFonts w:eastAsia="Times New Roman" w:cs="Times New Roman"/>
          <w:color w:val="0D0D0D"/>
          <w:szCs w:val="24"/>
          <w14:ligatures w14:val="none"/>
        </w:rPr>
        <w:t xml:space="preserve"> et al. (2023), and Mutua (2021), who find that rising interest rates increase borrowing costs and reduce ROA.</w:t>
      </w:r>
      <w:r>
        <w:rPr>
          <w:rFonts w:eastAsia="Times New Roman" w:cs="Times New Roman"/>
          <w:color w:val="0D0D0D"/>
          <w:szCs w:val="24"/>
          <w14:ligatures w14:val="none"/>
        </w:rPr>
        <w:t xml:space="preserve"> </w:t>
      </w:r>
      <w:r w:rsidRPr="00CE0AFF">
        <w:rPr>
          <w:rFonts w:eastAsia="Times New Roman" w:cs="Times New Roman"/>
          <w:color w:val="0D0D0D"/>
          <w:szCs w:val="24"/>
          <w14:ligatures w14:val="none"/>
        </w:rPr>
        <w:t>Overall, the results indicate that financial risks significantly influence CSOE performance, requiring improved risk management, optimal liquidity control, and prudent debt structuring.</w:t>
      </w:r>
    </w:p>
    <w:p w14:paraId="39D3D9CB" w14:textId="448B3062" w:rsidR="00CE0AFF" w:rsidRPr="00CE0AFF" w:rsidRDefault="00CE0AFF" w:rsidP="00CE0AFF">
      <w:pPr>
        <w:spacing w:line="240" w:lineRule="auto"/>
        <w:rPr>
          <w:rFonts w:eastAsia="Times New Roman" w:cs="Times New Roman"/>
          <w:b/>
          <w:bCs/>
          <w:color w:val="0D0D0D"/>
          <w:szCs w:val="24"/>
          <w14:ligatures w14:val="none"/>
        </w:rPr>
      </w:pPr>
      <w:r w:rsidRPr="00CE0AFF">
        <w:rPr>
          <w:rFonts w:eastAsia="Times New Roman" w:cs="Times New Roman"/>
          <w:b/>
          <w:bCs/>
          <w:color w:val="0D0D0D"/>
          <w:szCs w:val="24"/>
          <w14:ligatures w14:val="none"/>
        </w:rPr>
        <w:t>Table 1: Descriptive Statistics of Study Variables</w:t>
      </w:r>
    </w:p>
    <w:tbl>
      <w:tblPr>
        <w:tblStyle w:val="TableGrid1"/>
        <w:tblW w:w="0" w:type="auto"/>
        <w:tblLook w:val="04A0" w:firstRow="1" w:lastRow="0" w:firstColumn="1" w:lastColumn="0" w:noHBand="0" w:noVBand="1"/>
      </w:tblPr>
      <w:tblGrid>
        <w:gridCol w:w="2969"/>
        <w:gridCol w:w="630"/>
        <w:gridCol w:w="956"/>
        <w:gridCol w:w="996"/>
        <w:gridCol w:w="956"/>
        <w:gridCol w:w="1116"/>
      </w:tblGrid>
      <w:tr w:rsidR="00CE0AFF" w:rsidRPr="00CE0AFF" w14:paraId="60B42402" w14:textId="77777777" w:rsidTr="00CE0AFF">
        <w:tc>
          <w:tcPr>
            <w:tcW w:w="0" w:type="auto"/>
            <w:hideMark/>
          </w:tcPr>
          <w:p w14:paraId="0F570C94" w14:textId="77777777" w:rsidR="00CE0AFF" w:rsidRPr="00CE0AFF" w:rsidRDefault="00CE0AFF" w:rsidP="00CE0AFF">
            <w:pPr>
              <w:spacing w:before="0" w:line="240" w:lineRule="auto"/>
              <w:rPr>
                <w:rFonts w:eastAsia="Times New Roman" w:cs="Times New Roman"/>
                <w:b/>
                <w:bCs/>
                <w:color w:val="0D0D0D"/>
                <w:szCs w:val="24"/>
              </w:rPr>
            </w:pPr>
            <w:r w:rsidRPr="00CE0AFF">
              <w:rPr>
                <w:rFonts w:eastAsia="Times New Roman" w:cs="Times New Roman"/>
                <w:b/>
                <w:bCs/>
                <w:color w:val="0D0D0D"/>
                <w:szCs w:val="24"/>
              </w:rPr>
              <w:t>Variable</w:t>
            </w:r>
          </w:p>
        </w:tc>
        <w:tc>
          <w:tcPr>
            <w:tcW w:w="0" w:type="auto"/>
            <w:hideMark/>
          </w:tcPr>
          <w:p w14:paraId="198A365A" w14:textId="77777777" w:rsidR="00CE0AFF" w:rsidRPr="00CE0AFF" w:rsidRDefault="00CE0AFF" w:rsidP="00CE0AFF">
            <w:pPr>
              <w:spacing w:before="0" w:line="240" w:lineRule="auto"/>
              <w:rPr>
                <w:rFonts w:eastAsia="Times New Roman" w:cs="Times New Roman"/>
                <w:b/>
                <w:bCs/>
                <w:color w:val="0D0D0D"/>
                <w:szCs w:val="24"/>
              </w:rPr>
            </w:pPr>
            <w:proofErr w:type="spellStart"/>
            <w:r w:rsidRPr="00CE0AFF">
              <w:rPr>
                <w:rFonts w:eastAsia="Times New Roman" w:cs="Times New Roman"/>
                <w:b/>
                <w:bCs/>
                <w:color w:val="0D0D0D"/>
                <w:szCs w:val="24"/>
              </w:rPr>
              <w:t>Obs</w:t>
            </w:r>
            <w:proofErr w:type="spellEnd"/>
          </w:p>
        </w:tc>
        <w:tc>
          <w:tcPr>
            <w:tcW w:w="0" w:type="auto"/>
            <w:hideMark/>
          </w:tcPr>
          <w:p w14:paraId="6653D117" w14:textId="77777777" w:rsidR="00CE0AFF" w:rsidRPr="00CE0AFF" w:rsidRDefault="00CE0AFF" w:rsidP="00CE0AFF">
            <w:pPr>
              <w:spacing w:before="0" w:line="240" w:lineRule="auto"/>
              <w:rPr>
                <w:rFonts w:eastAsia="Times New Roman" w:cs="Times New Roman"/>
                <w:b/>
                <w:bCs/>
                <w:color w:val="0D0D0D"/>
                <w:szCs w:val="24"/>
              </w:rPr>
            </w:pPr>
            <w:r w:rsidRPr="00CE0AFF">
              <w:rPr>
                <w:rFonts w:eastAsia="Times New Roman" w:cs="Times New Roman"/>
                <w:b/>
                <w:bCs/>
                <w:color w:val="0D0D0D"/>
                <w:szCs w:val="24"/>
              </w:rPr>
              <w:t>Min</w:t>
            </w:r>
          </w:p>
        </w:tc>
        <w:tc>
          <w:tcPr>
            <w:tcW w:w="0" w:type="auto"/>
            <w:hideMark/>
          </w:tcPr>
          <w:p w14:paraId="38895A9D" w14:textId="77777777" w:rsidR="00CE0AFF" w:rsidRPr="00CE0AFF" w:rsidRDefault="00CE0AFF" w:rsidP="00CE0AFF">
            <w:pPr>
              <w:spacing w:before="0" w:line="240" w:lineRule="auto"/>
              <w:rPr>
                <w:rFonts w:eastAsia="Times New Roman" w:cs="Times New Roman"/>
                <w:b/>
                <w:bCs/>
                <w:color w:val="0D0D0D"/>
                <w:szCs w:val="24"/>
              </w:rPr>
            </w:pPr>
            <w:r w:rsidRPr="00CE0AFF">
              <w:rPr>
                <w:rFonts w:eastAsia="Times New Roman" w:cs="Times New Roman"/>
                <w:b/>
                <w:bCs/>
                <w:color w:val="0D0D0D"/>
                <w:szCs w:val="24"/>
              </w:rPr>
              <w:t>Max</w:t>
            </w:r>
          </w:p>
        </w:tc>
        <w:tc>
          <w:tcPr>
            <w:tcW w:w="0" w:type="auto"/>
            <w:hideMark/>
          </w:tcPr>
          <w:p w14:paraId="08660B29" w14:textId="77777777" w:rsidR="00CE0AFF" w:rsidRPr="00CE0AFF" w:rsidRDefault="00CE0AFF" w:rsidP="00CE0AFF">
            <w:pPr>
              <w:spacing w:before="0" w:line="240" w:lineRule="auto"/>
              <w:rPr>
                <w:rFonts w:eastAsia="Times New Roman" w:cs="Times New Roman"/>
                <w:b/>
                <w:bCs/>
                <w:color w:val="0D0D0D"/>
                <w:szCs w:val="24"/>
              </w:rPr>
            </w:pPr>
            <w:r w:rsidRPr="00CE0AFF">
              <w:rPr>
                <w:rFonts w:eastAsia="Times New Roman" w:cs="Times New Roman"/>
                <w:b/>
                <w:bCs/>
                <w:color w:val="0D0D0D"/>
                <w:szCs w:val="24"/>
              </w:rPr>
              <w:t>Mean</w:t>
            </w:r>
          </w:p>
        </w:tc>
        <w:tc>
          <w:tcPr>
            <w:tcW w:w="0" w:type="auto"/>
            <w:hideMark/>
          </w:tcPr>
          <w:p w14:paraId="4DC6DA5E" w14:textId="77777777" w:rsidR="00CE0AFF" w:rsidRPr="00CE0AFF" w:rsidRDefault="00CE0AFF" w:rsidP="00CE0AFF">
            <w:pPr>
              <w:spacing w:before="0" w:line="240" w:lineRule="auto"/>
              <w:rPr>
                <w:rFonts w:eastAsia="Times New Roman" w:cs="Times New Roman"/>
                <w:b/>
                <w:bCs/>
                <w:color w:val="0D0D0D"/>
                <w:szCs w:val="24"/>
              </w:rPr>
            </w:pPr>
            <w:r w:rsidRPr="00CE0AFF">
              <w:rPr>
                <w:rFonts w:eastAsia="Times New Roman" w:cs="Times New Roman"/>
                <w:b/>
                <w:bCs/>
                <w:color w:val="0D0D0D"/>
                <w:szCs w:val="24"/>
              </w:rPr>
              <w:t>Std. Dev</w:t>
            </w:r>
          </w:p>
        </w:tc>
      </w:tr>
      <w:tr w:rsidR="00CE0AFF" w:rsidRPr="00CE0AFF" w14:paraId="4D5B4715" w14:textId="77777777" w:rsidTr="00CE0AFF">
        <w:tc>
          <w:tcPr>
            <w:tcW w:w="0" w:type="auto"/>
            <w:hideMark/>
          </w:tcPr>
          <w:p w14:paraId="79D65516"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ROA</w:t>
            </w:r>
          </w:p>
        </w:tc>
        <w:tc>
          <w:tcPr>
            <w:tcW w:w="0" w:type="auto"/>
            <w:hideMark/>
          </w:tcPr>
          <w:p w14:paraId="2E8B3091"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252</w:t>
            </w:r>
          </w:p>
        </w:tc>
        <w:tc>
          <w:tcPr>
            <w:tcW w:w="0" w:type="auto"/>
            <w:hideMark/>
          </w:tcPr>
          <w:p w14:paraId="2CD30305"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-55.410</w:t>
            </w:r>
          </w:p>
        </w:tc>
        <w:tc>
          <w:tcPr>
            <w:tcW w:w="0" w:type="auto"/>
            <w:hideMark/>
          </w:tcPr>
          <w:p w14:paraId="36279036"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30.000</w:t>
            </w:r>
          </w:p>
        </w:tc>
        <w:tc>
          <w:tcPr>
            <w:tcW w:w="0" w:type="auto"/>
            <w:hideMark/>
          </w:tcPr>
          <w:p w14:paraId="26D446B4"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-2.9452</w:t>
            </w:r>
          </w:p>
        </w:tc>
        <w:tc>
          <w:tcPr>
            <w:tcW w:w="0" w:type="auto"/>
            <w:hideMark/>
          </w:tcPr>
          <w:p w14:paraId="38A92E20"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9.9455</w:t>
            </w:r>
          </w:p>
        </w:tc>
      </w:tr>
      <w:tr w:rsidR="00CE0AFF" w:rsidRPr="00CE0AFF" w14:paraId="6D80AC15" w14:textId="77777777" w:rsidTr="00CE0AFF">
        <w:tc>
          <w:tcPr>
            <w:tcW w:w="0" w:type="auto"/>
            <w:hideMark/>
          </w:tcPr>
          <w:p w14:paraId="41C2D914"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Liquidity Risk</w:t>
            </w:r>
          </w:p>
        </w:tc>
        <w:tc>
          <w:tcPr>
            <w:tcW w:w="0" w:type="auto"/>
            <w:hideMark/>
          </w:tcPr>
          <w:p w14:paraId="6B0EB60B"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251</w:t>
            </w:r>
          </w:p>
        </w:tc>
        <w:tc>
          <w:tcPr>
            <w:tcW w:w="0" w:type="auto"/>
            <w:hideMark/>
          </w:tcPr>
          <w:p w14:paraId="2E6AC5C6"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0.010</w:t>
            </w:r>
          </w:p>
        </w:tc>
        <w:tc>
          <w:tcPr>
            <w:tcW w:w="0" w:type="auto"/>
            <w:hideMark/>
          </w:tcPr>
          <w:p w14:paraId="5132077C"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65.863</w:t>
            </w:r>
          </w:p>
        </w:tc>
        <w:tc>
          <w:tcPr>
            <w:tcW w:w="0" w:type="auto"/>
            <w:hideMark/>
          </w:tcPr>
          <w:p w14:paraId="0755EFA0"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3.1805</w:t>
            </w:r>
          </w:p>
        </w:tc>
        <w:tc>
          <w:tcPr>
            <w:tcW w:w="0" w:type="auto"/>
            <w:hideMark/>
          </w:tcPr>
          <w:p w14:paraId="06D67CDC"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6.4825</w:t>
            </w:r>
          </w:p>
        </w:tc>
      </w:tr>
      <w:tr w:rsidR="00CE0AFF" w:rsidRPr="00CE0AFF" w14:paraId="1FDFCDAA" w14:textId="77777777" w:rsidTr="00CE0AFF">
        <w:tc>
          <w:tcPr>
            <w:tcW w:w="0" w:type="auto"/>
            <w:hideMark/>
          </w:tcPr>
          <w:p w14:paraId="7C568940"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Foreign Exchange Rate Risk</w:t>
            </w:r>
          </w:p>
        </w:tc>
        <w:tc>
          <w:tcPr>
            <w:tcW w:w="0" w:type="auto"/>
            <w:hideMark/>
          </w:tcPr>
          <w:p w14:paraId="1EDC648C"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251</w:t>
            </w:r>
          </w:p>
        </w:tc>
        <w:tc>
          <w:tcPr>
            <w:tcW w:w="0" w:type="auto"/>
            <w:hideMark/>
          </w:tcPr>
          <w:p w14:paraId="080A11ED"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-95.026</w:t>
            </w:r>
          </w:p>
        </w:tc>
        <w:tc>
          <w:tcPr>
            <w:tcW w:w="0" w:type="auto"/>
            <w:hideMark/>
          </w:tcPr>
          <w:p w14:paraId="055E5405"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94.381</w:t>
            </w:r>
          </w:p>
        </w:tc>
        <w:tc>
          <w:tcPr>
            <w:tcW w:w="0" w:type="auto"/>
            <w:hideMark/>
          </w:tcPr>
          <w:p w14:paraId="0EC9E9A9"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0.1594</w:t>
            </w:r>
          </w:p>
        </w:tc>
        <w:tc>
          <w:tcPr>
            <w:tcW w:w="0" w:type="auto"/>
            <w:hideMark/>
          </w:tcPr>
          <w:p w14:paraId="7315A174"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8.8047</w:t>
            </w:r>
          </w:p>
        </w:tc>
      </w:tr>
      <w:tr w:rsidR="00CE0AFF" w:rsidRPr="00CE0AFF" w14:paraId="19DDDDCD" w14:textId="77777777" w:rsidTr="00CE0AFF">
        <w:tc>
          <w:tcPr>
            <w:tcW w:w="0" w:type="auto"/>
            <w:hideMark/>
          </w:tcPr>
          <w:p w14:paraId="67E1A33C"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Default Risk</w:t>
            </w:r>
          </w:p>
        </w:tc>
        <w:tc>
          <w:tcPr>
            <w:tcW w:w="0" w:type="auto"/>
            <w:hideMark/>
          </w:tcPr>
          <w:p w14:paraId="564022A4"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252</w:t>
            </w:r>
          </w:p>
        </w:tc>
        <w:tc>
          <w:tcPr>
            <w:tcW w:w="0" w:type="auto"/>
            <w:hideMark/>
          </w:tcPr>
          <w:p w14:paraId="757DD25B"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0.00</w:t>
            </w:r>
          </w:p>
        </w:tc>
        <w:tc>
          <w:tcPr>
            <w:tcW w:w="0" w:type="auto"/>
            <w:hideMark/>
          </w:tcPr>
          <w:p w14:paraId="76FBD2A9"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4.26</w:t>
            </w:r>
          </w:p>
        </w:tc>
        <w:tc>
          <w:tcPr>
            <w:tcW w:w="0" w:type="auto"/>
            <w:hideMark/>
          </w:tcPr>
          <w:p w14:paraId="35CD82EC"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0.5408</w:t>
            </w:r>
          </w:p>
        </w:tc>
        <w:tc>
          <w:tcPr>
            <w:tcW w:w="0" w:type="auto"/>
            <w:hideMark/>
          </w:tcPr>
          <w:p w14:paraId="2824765F"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0.7186</w:t>
            </w:r>
          </w:p>
        </w:tc>
      </w:tr>
      <w:tr w:rsidR="00CE0AFF" w:rsidRPr="00CE0AFF" w14:paraId="3EB16707" w14:textId="77777777" w:rsidTr="00CE0AFF">
        <w:tc>
          <w:tcPr>
            <w:tcW w:w="0" w:type="auto"/>
            <w:hideMark/>
          </w:tcPr>
          <w:p w14:paraId="6F92B94B"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Interest Rate Risk</w:t>
            </w:r>
          </w:p>
        </w:tc>
        <w:tc>
          <w:tcPr>
            <w:tcW w:w="0" w:type="auto"/>
            <w:hideMark/>
          </w:tcPr>
          <w:p w14:paraId="6ADB5872"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216</w:t>
            </w:r>
          </w:p>
        </w:tc>
        <w:tc>
          <w:tcPr>
            <w:tcW w:w="0" w:type="auto"/>
            <w:hideMark/>
          </w:tcPr>
          <w:p w14:paraId="7BDD0452"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-642.64</w:t>
            </w:r>
          </w:p>
        </w:tc>
        <w:tc>
          <w:tcPr>
            <w:tcW w:w="0" w:type="auto"/>
            <w:hideMark/>
          </w:tcPr>
          <w:p w14:paraId="68FBC82E"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2778.62</w:t>
            </w:r>
          </w:p>
        </w:tc>
        <w:tc>
          <w:tcPr>
            <w:tcW w:w="0" w:type="auto"/>
            <w:hideMark/>
          </w:tcPr>
          <w:p w14:paraId="1E3B796F"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9.9630</w:t>
            </w:r>
          </w:p>
        </w:tc>
        <w:tc>
          <w:tcPr>
            <w:tcW w:w="0" w:type="auto"/>
            <w:hideMark/>
          </w:tcPr>
          <w:p w14:paraId="6AAE604D" w14:textId="77777777" w:rsidR="00CE0AFF" w:rsidRPr="00CE0AFF" w:rsidRDefault="00CE0AFF" w:rsidP="00CE0AFF">
            <w:pPr>
              <w:spacing w:before="0" w:line="240" w:lineRule="auto"/>
              <w:rPr>
                <w:rFonts w:eastAsia="Times New Roman" w:cs="Times New Roman"/>
                <w:color w:val="0D0D0D"/>
                <w:szCs w:val="24"/>
              </w:rPr>
            </w:pPr>
            <w:r w:rsidRPr="00CE0AFF">
              <w:rPr>
                <w:rFonts w:eastAsia="Times New Roman" w:cs="Times New Roman"/>
                <w:color w:val="0D0D0D"/>
                <w:szCs w:val="24"/>
              </w:rPr>
              <w:t>214.5933</w:t>
            </w:r>
          </w:p>
        </w:tc>
      </w:tr>
    </w:tbl>
    <w:p w14:paraId="36CA5774" w14:textId="77777777" w:rsidR="00CE0AFF" w:rsidRPr="00CE0AFF" w:rsidRDefault="00CE0AFF" w:rsidP="00CE0AFF">
      <w:pPr>
        <w:spacing w:before="0" w:line="240" w:lineRule="auto"/>
        <w:rPr>
          <w:rFonts w:eastAsia="Times New Roman" w:cs="Times New Roman"/>
          <w:color w:val="0D0D0D"/>
          <w:szCs w:val="24"/>
          <w14:ligatures w14:val="none"/>
        </w:rPr>
      </w:pPr>
      <w:r w:rsidRPr="00CE0AFF">
        <w:rPr>
          <w:rFonts w:eastAsia="Times New Roman" w:cs="Times New Roman"/>
          <w:color w:val="0D0D0D"/>
          <w:szCs w:val="24"/>
          <w14:ligatures w14:val="none"/>
        </w:rPr>
        <w:t>Source: Field Data (2026)</w:t>
      </w:r>
    </w:p>
    <w:p w14:paraId="69B59202" w14:textId="6153F2E6"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 xml:space="preserve">Diagnostic Tests and Panel Regression Results </w:t>
      </w:r>
    </w:p>
    <w:p w14:paraId="75AF477E"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Before estimating the panel regression model, a series of diagnostic tests were conducted to ensure that the underlying assumptions of regression analysis were satisfied. These tests included multicollinearity, normality, heteroskedasticity, autocorrelation, stationarity, and model selection using the Hausman specification test. The purpose of these diagnostics was to enhance the validity, reliability, and efficiency of the regression estimates used to examine the relationship between financial risks and financial performance (ROA) of CSOEs in Kenya.</w:t>
      </w:r>
    </w:p>
    <w:p w14:paraId="47F5898C" w14:textId="77777777" w:rsidR="004D7EEF" w:rsidRDefault="004D7EEF" w:rsidP="004D7EEF">
      <w:pPr>
        <w:shd w:val="clear" w:color="auto" w:fill="FFFFFF"/>
        <w:spacing w:line="240" w:lineRule="auto"/>
        <w:rPr>
          <w:rFonts w:eastAsia="Times New Roman" w:cs="Times New Roman"/>
          <w:b/>
          <w:bCs/>
          <w:color w:val="auto"/>
          <w:szCs w:val="24"/>
          <w14:ligatures w14:val="none"/>
        </w:rPr>
      </w:pPr>
    </w:p>
    <w:p w14:paraId="7A91E5C8" w14:textId="77777777" w:rsidR="004D7EEF" w:rsidRDefault="004D7EEF" w:rsidP="004D7EEF">
      <w:pPr>
        <w:shd w:val="clear" w:color="auto" w:fill="FFFFFF"/>
        <w:spacing w:line="240" w:lineRule="auto"/>
        <w:rPr>
          <w:rFonts w:eastAsia="Times New Roman" w:cs="Times New Roman"/>
          <w:b/>
          <w:bCs/>
          <w:color w:val="auto"/>
          <w:szCs w:val="24"/>
          <w14:ligatures w14:val="none"/>
        </w:rPr>
      </w:pPr>
    </w:p>
    <w:p w14:paraId="74964E43" w14:textId="31AAA53D"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lastRenderedPageBreak/>
        <w:t>Multicollinearity Tests</w:t>
      </w:r>
    </w:p>
    <w:p w14:paraId="4545547B"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Multicollinearity occurs when explanatory variables are highly correlated, leading to unstable coefficient estimates. It was assessed using the Variance Inflation Factor (VIF) and tolerance values.</w:t>
      </w:r>
    </w:p>
    <w:p w14:paraId="0FC6BB24" w14:textId="137C5858"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2: Multicollinearity Test Results</w:t>
      </w:r>
    </w:p>
    <w:tbl>
      <w:tblPr>
        <w:tblStyle w:val="TableGrid1"/>
        <w:tblW w:w="0" w:type="auto"/>
        <w:tblLook w:val="04A0" w:firstRow="1" w:lastRow="0" w:firstColumn="1" w:lastColumn="0" w:noHBand="0" w:noVBand="1"/>
      </w:tblPr>
      <w:tblGrid>
        <w:gridCol w:w="2969"/>
        <w:gridCol w:w="636"/>
        <w:gridCol w:w="816"/>
      </w:tblGrid>
      <w:tr w:rsidR="004D7EEF" w:rsidRPr="004D7EEF" w14:paraId="5FE8047D" w14:textId="77777777" w:rsidTr="004D7EEF">
        <w:tc>
          <w:tcPr>
            <w:tcW w:w="0" w:type="auto"/>
            <w:hideMark/>
          </w:tcPr>
          <w:p w14:paraId="5606205B"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Variable</w:t>
            </w:r>
          </w:p>
        </w:tc>
        <w:tc>
          <w:tcPr>
            <w:tcW w:w="0" w:type="auto"/>
            <w:hideMark/>
          </w:tcPr>
          <w:p w14:paraId="44141973"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VIF</w:t>
            </w:r>
          </w:p>
        </w:tc>
        <w:tc>
          <w:tcPr>
            <w:tcW w:w="0" w:type="auto"/>
            <w:hideMark/>
          </w:tcPr>
          <w:p w14:paraId="52213B2D"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1/VIF</w:t>
            </w:r>
          </w:p>
        </w:tc>
      </w:tr>
      <w:tr w:rsidR="004D7EEF" w:rsidRPr="004D7EEF" w14:paraId="5708339A" w14:textId="77777777" w:rsidTr="004D7EEF">
        <w:tc>
          <w:tcPr>
            <w:tcW w:w="0" w:type="auto"/>
            <w:hideMark/>
          </w:tcPr>
          <w:p w14:paraId="630112C3"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Default Risk</w:t>
            </w:r>
          </w:p>
        </w:tc>
        <w:tc>
          <w:tcPr>
            <w:tcW w:w="0" w:type="auto"/>
            <w:hideMark/>
          </w:tcPr>
          <w:p w14:paraId="3B39BD8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2.84</w:t>
            </w:r>
          </w:p>
        </w:tc>
        <w:tc>
          <w:tcPr>
            <w:tcW w:w="0" w:type="auto"/>
            <w:hideMark/>
          </w:tcPr>
          <w:p w14:paraId="3127983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0.352</w:t>
            </w:r>
          </w:p>
        </w:tc>
      </w:tr>
      <w:tr w:rsidR="004D7EEF" w:rsidRPr="004D7EEF" w14:paraId="67AA58C2" w14:textId="77777777" w:rsidTr="004D7EEF">
        <w:tc>
          <w:tcPr>
            <w:tcW w:w="0" w:type="auto"/>
            <w:hideMark/>
          </w:tcPr>
          <w:p w14:paraId="70B073C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Interest Rate Risk</w:t>
            </w:r>
          </w:p>
        </w:tc>
        <w:tc>
          <w:tcPr>
            <w:tcW w:w="0" w:type="auto"/>
            <w:hideMark/>
          </w:tcPr>
          <w:p w14:paraId="3C57B66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2.61</w:t>
            </w:r>
          </w:p>
        </w:tc>
        <w:tc>
          <w:tcPr>
            <w:tcW w:w="0" w:type="auto"/>
            <w:hideMark/>
          </w:tcPr>
          <w:p w14:paraId="0BFC4331"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0.383</w:t>
            </w:r>
          </w:p>
        </w:tc>
      </w:tr>
      <w:tr w:rsidR="004D7EEF" w:rsidRPr="004D7EEF" w14:paraId="1A8E43CE" w14:textId="77777777" w:rsidTr="004D7EEF">
        <w:tc>
          <w:tcPr>
            <w:tcW w:w="0" w:type="auto"/>
            <w:hideMark/>
          </w:tcPr>
          <w:p w14:paraId="0D1BFFE5"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Liquidity Risk</w:t>
            </w:r>
          </w:p>
        </w:tc>
        <w:tc>
          <w:tcPr>
            <w:tcW w:w="0" w:type="auto"/>
            <w:hideMark/>
          </w:tcPr>
          <w:p w14:paraId="06349982"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2.17</w:t>
            </w:r>
          </w:p>
        </w:tc>
        <w:tc>
          <w:tcPr>
            <w:tcW w:w="0" w:type="auto"/>
            <w:hideMark/>
          </w:tcPr>
          <w:p w14:paraId="2AF1D53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0.461</w:t>
            </w:r>
          </w:p>
        </w:tc>
      </w:tr>
      <w:tr w:rsidR="004D7EEF" w:rsidRPr="004D7EEF" w14:paraId="10B77AC1" w14:textId="77777777" w:rsidTr="004D7EEF">
        <w:tc>
          <w:tcPr>
            <w:tcW w:w="0" w:type="auto"/>
            <w:hideMark/>
          </w:tcPr>
          <w:p w14:paraId="5ECBE39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Foreign Exchange Rate Risk</w:t>
            </w:r>
          </w:p>
        </w:tc>
        <w:tc>
          <w:tcPr>
            <w:tcW w:w="0" w:type="auto"/>
            <w:hideMark/>
          </w:tcPr>
          <w:p w14:paraId="4EE7FD9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1.95</w:t>
            </w:r>
          </w:p>
        </w:tc>
        <w:tc>
          <w:tcPr>
            <w:tcW w:w="0" w:type="auto"/>
            <w:hideMark/>
          </w:tcPr>
          <w:p w14:paraId="34F75CF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0.513</w:t>
            </w:r>
          </w:p>
        </w:tc>
      </w:tr>
      <w:tr w:rsidR="004D7EEF" w:rsidRPr="004D7EEF" w14:paraId="3D02AAD0" w14:textId="77777777" w:rsidTr="004D7EEF">
        <w:tc>
          <w:tcPr>
            <w:tcW w:w="0" w:type="auto"/>
            <w:hideMark/>
          </w:tcPr>
          <w:p w14:paraId="69ED08F7"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b/>
                <w:bCs/>
                <w:color w:val="auto"/>
                <w:szCs w:val="24"/>
              </w:rPr>
              <w:t>Mean VIF</w:t>
            </w:r>
          </w:p>
        </w:tc>
        <w:tc>
          <w:tcPr>
            <w:tcW w:w="0" w:type="auto"/>
            <w:hideMark/>
          </w:tcPr>
          <w:p w14:paraId="457DD72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b/>
                <w:bCs/>
                <w:color w:val="auto"/>
                <w:szCs w:val="24"/>
              </w:rPr>
              <w:t>2.39</w:t>
            </w:r>
          </w:p>
        </w:tc>
        <w:tc>
          <w:tcPr>
            <w:tcW w:w="0" w:type="auto"/>
            <w:hideMark/>
          </w:tcPr>
          <w:p w14:paraId="07B4C553"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w:t>
            </w:r>
          </w:p>
        </w:tc>
      </w:tr>
    </w:tbl>
    <w:p w14:paraId="2A5FC71A"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37660C9C"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The mean VIF of 2.39 is well below the critical threshold of 10, indicating the absence of serious multicollinearity. Therefore, all independent variables were retained, and coefficient estimates were considered stable and reliable.</w:t>
      </w:r>
    </w:p>
    <w:p w14:paraId="1E8857CE" w14:textId="2455D65A"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Normality Tests</w:t>
      </w:r>
    </w:p>
    <w:p w14:paraId="6F9D2D4F"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Normality of residuals is essential for valid statistical inference. The skewness and kurtosis tests were applied to determine whether residuals follow a normal distribution.</w:t>
      </w:r>
    </w:p>
    <w:p w14:paraId="7BE027BB" w14:textId="5CCEE419"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3: Normality Test Results</w:t>
      </w:r>
    </w:p>
    <w:tbl>
      <w:tblPr>
        <w:tblStyle w:val="TableGrid1"/>
        <w:tblW w:w="0" w:type="auto"/>
        <w:tblLook w:val="04A0" w:firstRow="1" w:lastRow="0" w:firstColumn="1" w:lastColumn="0" w:noHBand="0" w:noVBand="1"/>
      </w:tblPr>
      <w:tblGrid>
        <w:gridCol w:w="1716"/>
        <w:gridCol w:w="630"/>
        <w:gridCol w:w="1603"/>
        <w:gridCol w:w="1510"/>
        <w:gridCol w:w="1437"/>
        <w:gridCol w:w="1473"/>
      </w:tblGrid>
      <w:tr w:rsidR="004D7EEF" w:rsidRPr="004D7EEF" w14:paraId="6D7F86F3" w14:textId="77777777" w:rsidTr="004D7EEF">
        <w:tc>
          <w:tcPr>
            <w:tcW w:w="0" w:type="auto"/>
            <w:hideMark/>
          </w:tcPr>
          <w:p w14:paraId="616130D6"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Variable</w:t>
            </w:r>
          </w:p>
        </w:tc>
        <w:tc>
          <w:tcPr>
            <w:tcW w:w="0" w:type="auto"/>
            <w:hideMark/>
          </w:tcPr>
          <w:p w14:paraId="689B5DFA" w14:textId="77777777" w:rsidR="004D7EEF" w:rsidRPr="004D7EEF" w:rsidRDefault="004D7EEF" w:rsidP="004D7EEF">
            <w:pPr>
              <w:shd w:val="clear" w:color="auto" w:fill="FFFFFF"/>
              <w:spacing w:line="240" w:lineRule="auto"/>
              <w:rPr>
                <w:rFonts w:eastAsia="Times New Roman" w:cs="Times New Roman"/>
                <w:b/>
                <w:bCs/>
                <w:color w:val="auto"/>
                <w:szCs w:val="24"/>
              </w:rPr>
            </w:pPr>
            <w:proofErr w:type="spellStart"/>
            <w:r w:rsidRPr="004D7EEF">
              <w:rPr>
                <w:rFonts w:eastAsia="Times New Roman" w:cs="Times New Roman"/>
                <w:b/>
                <w:bCs/>
                <w:color w:val="auto"/>
                <w:szCs w:val="24"/>
              </w:rPr>
              <w:t>Obs</w:t>
            </w:r>
            <w:proofErr w:type="spellEnd"/>
          </w:p>
        </w:tc>
        <w:tc>
          <w:tcPr>
            <w:tcW w:w="0" w:type="auto"/>
            <w:hideMark/>
          </w:tcPr>
          <w:p w14:paraId="2B7130AA" w14:textId="77777777" w:rsidR="004D7EEF" w:rsidRPr="004D7EEF" w:rsidRDefault="004D7EEF" w:rsidP="004D7EEF">
            <w:pPr>
              <w:shd w:val="clear" w:color="auto" w:fill="FFFFFF"/>
              <w:spacing w:line="240" w:lineRule="auto"/>
              <w:rPr>
                <w:rFonts w:eastAsia="Times New Roman" w:cs="Times New Roman"/>
                <w:b/>
                <w:bCs/>
                <w:color w:val="auto"/>
                <w:szCs w:val="24"/>
              </w:rPr>
            </w:pPr>
            <w:proofErr w:type="spellStart"/>
            <w:proofErr w:type="gramStart"/>
            <w:r w:rsidRPr="004D7EEF">
              <w:rPr>
                <w:rFonts w:eastAsia="Times New Roman" w:cs="Times New Roman"/>
                <w:b/>
                <w:bCs/>
                <w:color w:val="auto"/>
                <w:szCs w:val="24"/>
              </w:rPr>
              <w:t>Pr</w:t>
            </w:r>
            <w:proofErr w:type="spellEnd"/>
            <w:r w:rsidRPr="004D7EEF">
              <w:rPr>
                <w:rFonts w:eastAsia="Times New Roman" w:cs="Times New Roman"/>
                <w:b/>
                <w:bCs/>
                <w:color w:val="auto"/>
                <w:szCs w:val="24"/>
              </w:rPr>
              <w:t>(</w:t>
            </w:r>
            <w:proofErr w:type="gramEnd"/>
            <w:r w:rsidRPr="004D7EEF">
              <w:rPr>
                <w:rFonts w:eastAsia="Times New Roman" w:cs="Times New Roman"/>
                <w:b/>
                <w:bCs/>
                <w:color w:val="auto"/>
                <w:szCs w:val="24"/>
              </w:rPr>
              <w:t>Skewness)</w:t>
            </w:r>
          </w:p>
        </w:tc>
        <w:tc>
          <w:tcPr>
            <w:tcW w:w="0" w:type="auto"/>
            <w:hideMark/>
          </w:tcPr>
          <w:p w14:paraId="3064B25D" w14:textId="77777777" w:rsidR="004D7EEF" w:rsidRPr="004D7EEF" w:rsidRDefault="004D7EEF" w:rsidP="004D7EEF">
            <w:pPr>
              <w:shd w:val="clear" w:color="auto" w:fill="FFFFFF"/>
              <w:spacing w:line="240" w:lineRule="auto"/>
              <w:rPr>
                <w:rFonts w:eastAsia="Times New Roman" w:cs="Times New Roman"/>
                <w:b/>
                <w:bCs/>
                <w:color w:val="auto"/>
                <w:szCs w:val="24"/>
              </w:rPr>
            </w:pPr>
            <w:proofErr w:type="spellStart"/>
            <w:proofErr w:type="gramStart"/>
            <w:r w:rsidRPr="004D7EEF">
              <w:rPr>
                <w:rFonts w:eastAsia="Times New Roman" w:cs="Times New Roman"/>
                <w:b/>
                <w:bCs/>
                <w:color w:val="auto"/>
                <w:szCs w:val="24"/>
              </w:rPr>
              <w:t>Pr</w:t>
            </w:r>
            <w:proofErr w:type="spellEnd"/>
            <w:r w:rsidRPr="004D7EEF">
              <w:rPr>
                <w:rFonts w:eastAsia="Times New Roman" w:cs="Times New Roman"/>
                <w:b/>
                <w:bCs/>
                <w:color w:val="auto"/>
                <w:szCs w:val="24"/>
              </w:rPr>
              <w:t>(</w:t>
            </w:r>
            <w:proofErr w:type="gramEnd"/>
            <w:r w:rsidRPr="004D7EEF">
              <w:rPr>
                <w:rFonts w:eastAsia="Times New Roman" w:cs="Times New Roman"/>
                <w:b/>
                <w:bCs/>
                <w:color w:val="auto"/>
                <w:szCs w:val="24"/>
              </w:rPr>
              <w:t>Kurtosis)</w:t>
            </w:r>
          </w:p>
        </w:tc>
        <w:tc>
          <w:tcPr>
            <w:tcW w:w="0" w:type="auto"/>
            <w:hideMark/>
          </w:tcPr>
          <w:p w14:paraId="221B7400"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Adj Chi2(2)</w:t>
            </w:r>
          </w:p>
        </w:tc>
        <w:tc>
          <w:tcPr>
            <w:tcW w:w="0" w:type="auto"/>
            <w:hideMark/>
          </w:tcPr>
          <w:p w14:paraId="123DF227"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Prob &gt; Chi2</w:t>
            </w:r>
          </w:p>
        </w:tc>
      </w:tr>
      <w:tr w:rsidR="004D7EEF" w:rsidRPr="004D7EEF" w14:paraId="6DBE0B15" w14:textId="77777777" w:rsidTr="004D7EEF">
        <w:tc>
          <w:tcPr>
            <w:tcW w:w="0" w:type="auto"/>
            <w:hideMark/>
          </w:tcPr>
          <w:p w14:paraId="50690EB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ROA Residuals</w:t>
            </w:r>
          </w:p>
        </w:tc>
        <w:tc>
          <w:tcPr>
            <w:tcW w:w="0" w:type="auto"/>
            <w:hideMark/>
          </w:tcPr>
          <w:p w14:paraId="6967493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214</w:t>
            </w:r>
          </w:p>
        </w:tc>
        <w:tc>
          <w:tcPr>
            <w:tcW w:w="0" w:type="auto"/>
            <w:hideMark/>
          </w:tcPr>
          <w:p w14:paraId="3A71AE88"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0.128</w:t>
            </w:r>
          </w:p>
        </w:tc>
        <w:tc>
          <w:tcPr>
            <w:tcW w:w="0" w:type="auto"/>
            <w:hideMark/>
          </w:tcPr>
          <w:p w14:paraId="36417D8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0.091</w:t>
            </w:r>
          </w:p>
        </w:tc>
        <w:tc>
          <w:tcPr>
            <w:tcW w:w="0" w:type="auto"/>
            <w:hideMark/>
          </w:tcPr>
          <w:p w14:paraId="0979BA5A"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2.47</w:t>
            </w:r>
          </w:p>
        </w:tc>
        <w:tc>
          <w:tcPr>
            <w:tcW w:w="0" w:type="auto"/>
            <w:hideMark/>
          </w:tcPr>
          <w:p w14:paraId="1DEED06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0.291</w:t>
            </w:r>
          </w:p>
        </w:tc>
      </w:tr>
    </w:tbl>
    <w:p w14:paraId="2EBC14A6"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0070ED10"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Since both p-values exceed 0.05, the null hypothesis of normality cannot be rejected. This confirms that residuals are approximately normally distributed, supporting the validity of hypothesis testing.</w:t>
      </w:r>
    </w:p>
    <w:p w14:paraId="3A1219DB" w14:textId="08116BCD"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Heteroskedasticity Test</w:t>
      </w:r>
    </w:p>
    <w:p w14:paraId="6376B797"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Heteroskedasticity refers to non-constant variance in error terms, which may lead to inefficient estimators. The Breusch-Pagan test was used.</w:t>
      </w:r>
    </w:p>
    <w:p w14:paraId="5C6E19E2" w14:textId="6D4C6C1D"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4: Heteroskedasticity Test</w:t>
      </w:r>
    </w:p>
    <w:tbl>
      <w:tblPr>
        <w:tblStyle w:val="TableGrid1"/>
        <w:tblW w:w="0" w:type="auto"/>
        <w:tblLook w:val="04A0" w:firstRow="1" w:lastRow="0" w:firstColumn="1" w:lastColumn="0" w:noHBand="0" w:noVBand="1"/>
      </w:tblPr>
      <w:tblGrid>
        <w:gridCol w:w="1669"/>
        <w:gridCol w:w="710"/>
        <w:gridCol w:w="1473"/>
      </w:tblGrid>
      <w:tr w:rsidR="004D7EEF" w:rsidRPr="004D7EEF" w14:paraId="14AADA52" w14:textId="77777777" w:rsidTr="004D7EEF">
        <w:tc>
          <w:tcPr>
            <w:tcW w:w="0" w:type="auto"/>
            <w:hideMark/>
          </w:tcPr>
          <w:p w14:paraId="06E3E0E0"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Test</w:t>
            </w:r>
          </w:p>
        </w:tc>
        <w:tc>
          <w:tcPr>
            <w:tcW w:w="0" w:type="auto"/>
            <w:hideMark/>
          </w:tcPr>
          <w:p w14:paraId="6F36A8D2"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Chi2</w:t>
            </w:r>
          </w:p>
        </w:tc>
        <w:tc>
          <w:tcPr>
            <w:tcW w:w="0" w:type="auto"/>
            <w:hideMark/>
          </w:tcPr>
          <w:p w14:paraId="1EF76A04"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Prob &gt; Chi2</w:t>
            </w:r>
          </w:p>
        </w:tc>
      </w:tr>
      <w:tr w:rsidR="004D7EEF" w:rsidRPr="004D7EEF" w14:paraId="4D4BC0F6" w14:textId="77777777" w:rsidTr="004D7EEF">
        <w:tc>
          <w:tcPr>
            <w:tcW w:w="0" w:type="auto"/>
            <w:hideMark/>
          </w:tcPr>
          <w:p w14:paraId="79863E7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Breusch-Pagan</w:t>
            </w:r>
          </w:p>
        </w:tc>
        <w:tc>
          <w:tcPr>
            <w:tcW w:w="0" w:type="auto"/>
            <w:hideMark/>
          </w:tcPr>
          <w:p w14:paraId="2E179B2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1.96</w:t>
            </w:r>
          </w:p>
        </w:tc>
        <w:tc>
          <w:tcPr>
            <w:tcW w:w="0" w:type="auto"/>
            <w:hideMark/>
          </w:tcPr>
          <w:p w14:paraId="5AA6D525"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0.161</w:t>
            </w:r>
          </w:p>
        </w:tc>
      </w:tr>
    </w:tbl>
    <w:p w14:paraId="6E367302"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39E7052B"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lastRenderedPageBreak/>
        <w:t>Since the p-value (0.161) is greater than 0.05, the null hypothesis of homoscedasticity is not rejected. This indicates constant variance of residuals and confirms model efficiency.</w:t>
      </w:r>
    </w:p>
    <w:p w14:paraId="0E622C06" w14:textId="2C0BDEC3"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Autocorrelation Test</w:t>
      </w:r>
    </w:p>
    <w:p w14:paraId="673FAB3C"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Autocorrelation violates the assumption of independence of errors. The Wooldridge test for panel data was applied.</w:t>
      </w:r>
    </w:p>
    <w:p w14:paraId="1098FA76" w14:textId="528DFC10"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5: Autocorrelation Test</w:t>
      </w:r>
    </w:p>
    <w:tbl>
      <w:tblPr>
        <w:tblStyle w:val="TableGrid1"/>
        <w:tblW w:w="0" w:type="auto"/>
        <w:tblLook w:val="04A0" w:firstRow="1" w:lastRow="0" w:firstColumn="1" w:lastColumn="0" w:noHBand="0" w:noVBand="1"/>
      </w:tblPr>
      <w:tblGrid>
        <w:gridCol w:w="3055"/>
        <w:gridCol w:w="1229"/>
        <w:gridCol w:w="1126"/>
      </w:tblGrid>
      <w:tr w:rsidR="004D7EEF" w:rsidRPr="004D7EEF" w14:paraId="785C26AA" w14:textId="77777777" w:rsidTr="004D7EEF">
        <w:tc>
          <w:tcPr>
            <w:tcW w:w="0" w:type="auto"/>
            <w:hideMark/>
          </w:tcPr>
          <w:p w14:paraId="57CD364A"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Hypothesis</w:t>
            </w:r>
          </w:p>
        </w:tc>
        <w:tc>
          <w:tcPr>
            <w:tcW w:w="0" w:type="auto"/>
            <w:hideMark/>
          </w:tcPr>
          <w:p w14:paraId="76A8A246"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F-statistic</w:t>
            </w:r>
          </w:p>
        </w:tc>
        <w:tc>
          <w:tcPr>
            <w:tcW w:w="0" w:type="auto"/>
            <w:hideMark/>
          </w:tcPr>
          <w:p w14:paraId="3E665F20"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Prob &gt; F</w:t>
            </w:r>
          </w:p>
        </w:tc>
      </w:tr>
      <w:tr w:rsidR="004D7EEF" w:rsidRPr="004D7EEF" w14:paraId="27B1F2C5" w14:textId="77777777" w:rsidTr="004D7EEF">
        <w:tc>
          <w:tcPr>
            <w:tcW w:w="0" w:type="auto"/>
            <w:hideMark/>
          </w:tcPr>
          <w:p w14:paraId="02443203"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No first-order autocorrelation</w:t>
            </w:r>
          </w:p>
        </w:tc>
        <w:tc>
          <w:tcPr>
            <w:tcW w:w="0" w:type="auto"/>
            <w:hideMark/>
          </w:tcPr>
          <w:p w14:paraId="0D3F4016"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1.623</w:t>
            </w:r>
          </w:p>
        </w:tc>
        <w:tc>
          <w:tcPr>
            <w:tcW w:w="0" w:type="auto"/>
            <w:hideMark/>
          </w:tcPr>
          <w:p w14:paraId="4E8A38C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0.205</w:t>
            </w:r>
          </w:p>
        </w:tc>
      </w:tr>
    </w:tbl>
    <w:p w14:paraId="70BB461B"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5B7D7224"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The p-value exceeds 0.05, indicating no evidence of first-order autocorrelation. Thus, residuals are independent across time.</w:t>
      </w:r>
    </w:p>
    <w:p w14:paraId="2ACEE174" w14:textId="123697FD"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Stationarity Tests</w:t>
      </w:r>
    </w:p>
    <w:p w14:paraId="5DABE44C"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Stationarity ensures that variables have constant statistical properties over time and avoids spurious regression results. The Levin-Lin-Chu (LLC) test was applied.</w:t>
      </w:r>
    </w:p>
    <w:p w14:paraId="26622A8D" w14:textId="27DFDC67"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6: Stationarity Test Results (LLC)</w:t>
      </w:r>
    </w:p>
    <w:tbl>
      <w:tblPr>
        <w:tblStyle w:val="TableGrid1"/>
        <w:tblW w:w="0" w:type="auto"/>
        <w:tblLook w:val="04A0" w:firstRow="1" w:lastRow="0" w:firstColumn="1" w:lastColumn="0" w:noHBand="0" w:noVBand="1"/>
      </w:tblPr>
      <w:tblGrid>
        <w:gridCol w:w="2469"/>
        <w:gridCol w:w="1843"/>
        <w:gridCol w:w="990"/>
        <w:gridCol w:w="1203"/>
      </w:tblGrid>
      <w:tr w:rsidR="004D7EEF" w:rsidRPr="004D7EEF" w14:paraId="37F4FE00" w14:textId="77777777" w:rsidTr="004D7EEF">
        <w:tc>
          <w:tcPr>
            <w:tcW w:w="0" w:type="auto"/>
            <w:hideMark/>
          </w:tcPr>
          <w:p w14:paraId="1F072F21"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Variable</w:t>
            </w:r>
          </w:p>
        </w:tc>
        <w:tc>
          <w:tcPr>
            <w:tcW w:w="0" w:type="auto"/>
            <w:hideMark/>
          </w:tcPr>
          <w:p w14:paraId="71A7B889"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Hypothesis</w:t>
            </w:r>
          </w:p>
        </w:tc>
        <w:tc>
          <w:tcPr>
            <w:tcW w:w="0" w:type="auto"/>
            <w:hideMark/>
          </w:tcPr>
          <w:p w14:paraId="4A5F5EC6"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P-value</w:t>
            </w:r>
          </w:p>
        </w:tc>
        <w:tc>
          <w:tcPr>
            <w:tcW w:w="0" w:type="auto"/>
            <w:hideMark/>
          </w:tcPr>
          <w:p w14:paraId="47C3A746"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Result</w:t>
            </w:r>
          </w:p>
        </w:tc>
      </w:tr>
      <w:tr w:rsidR="004D7EEF" w:rsidRPr="004D7EEF" w14:paraId="09FAD538" w14:textId="77777777" w:rsidTr="004D7EEF">
        <w:tc>
          <w:tcPr>
            <w:tcW w:w="0" w:type="auto"/>
            <w:hideMark/>
          </w:tcPr>
          <w:p w14:paraId="4CC10A1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ROA</w:t>
            </w:r>
          </w:p>
        </w:tc>
        <w:tc>
          <w:tcPr>
            <w:tcW w:w="0" w:type="auto"/>
            <w:hideMark/>
          </w:tcPr>
          <w:p w14:paraId="24ADB24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Unit root present</w:t>
            </w:r>
          </w:p>
        </w:tc>
        <w:tc>
          <w:tcPr>
            <w:tcW w:w="0" w:type="auto"/>
            <w:hideMark/>
          </w:tcPr>
          <w:p w14:paraId="369D5364"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0.002</w:t>
            </w:r>
          </w:p>
        </w:tc>
        <w:tc>
          <w:tcPr>
            <w:tcW w:w="0" w:type="auto"/>
            <w:hideMark/>
          </w:tcPr>
          <w:p w14:paraId="4C94F7F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Stationary</w:t>
            </w:r>
          </w:p>
        </w:tc>
      </w:tr>
      <w:tr w:rsidR="004D7EEF" w:rsidRPr="004D7EEF" w14:paraId="411850AE" w14:textId="77777777" w:rsidTr="004D7EEF">
        <w:tc>
          <w:tcPr>
            <w:tcW w:w="0" w:type="auto"/>
            <w:hideMark/>
          </w:tcPr>
          <w:p w14:paraId="76D2882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Default Risk</w:t>
            </w:r>
          </w:p>
        </w:tc>
        <w:tc>
          <w:tcPr>
            <w:tcW w:w="0" w:type="auto"/>
            <w:hideMark/>
          </w:tcPr>
          <w:p w14:paraId="05BF2774"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Unit root present</w:t>
            </w:r>
          </w:p>
        </w:tc>
        <w:tc>
          <w:tcPr>
            <w:tcW w:w="0" w:type="auto"/>
            <w:hideMark/>
          </w:tcPr>
          <w:p w14:paraId="11593F6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0.004</w:t>
            </w:r>
          </w:p>
        </w:tc>
        <w:tc>
          <w:tcPr>
            <w:tcW w:w="0" w:type="auto"/>
            <w:hideMark/>
          </w:tcPr>
          <w:p w14:paraId="27E2C124"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Stationary</w:t>
            </w:r>
          </w:p>
        </w:tc>
      </w:tr>
      <w:tr w:rsidR="004D7EEF" w:rsidRPr="004D7EEF" w14:paraId="3D3E2D6A" w14:textId="77777777" w:rsidTr="004D7EEF">
        <w:tc>
          <w:tcPr>
            <w:tcW w:w="0" w:type="auto"/>
            <w:hideMark/>
          </w:tcPr>
          <w:p w14:paraId="5CDBEB71"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Interest Rate Risk</w:t>
            </w:r>
          </w:p>
        </w:tc>
        <w:tc>
          <w:tcPr>
            <w:tcW w:w="0" w:type="auto"/>
            <w:hideMark/>
          </w:tcPr>
          <w:p w14:paraId="7BE42BC8"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Unit root present</w:t>
            </w:r>
          </w:p>
        </w:tc>
        <w:tc>
          <w:tcPr>
            <w:tcW w:w="0" w:type="auto"/>
            <w:hideMark/>
          </w:tcPr>
          <w:p w14:paraId="7B70A0C6"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0.001</w:t>
            </w:r>
          </w:p>
        </w:tc>
        <w:tc>
          <w:tcPr>
            <w:tcW w:w="0" w:type="auto"/>
            <w:hideMark/>
          </w:tcPr>
          <w:p w14:paraId="2AD4B55B"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Stationary</w:t>
            </w:r>
          </w:p>
        </w:tc>
      </w:tr>
      <w:tr w:rsidR="004D7EEF" w:rsidRPr="004D7EEF" w14:paraId="05E2AB85" w14:textId="77777777" w:rsidTr="004D7EEF">
        <w:tc>
          <w:tcPr>
            <w:tcW w:w="0" w:type="auto"/>
            <w:hideMark/>
          </w:tcPr>
          <w:p w14:paraId="15610EA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Liquidity Risk</w:t>
            </w:r>
          </w:p>
        </w:tc>
        <w:tc>
          <w:tcPr>
            <w:tcW w:w="0" w:type="auto"/>
            <w:hideMark/>
          </w:tcPr>
          <w:p w14:paraId="477CF484"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Unit root present</w:t>
            </w:r>
          </w:p>
        </w:tc>
        <w:tc>
          <w:tcPr>
            <w:tcW w:w="0" w:type="auto"/>
            <w:hideMark/>
          </w:tcPr>
          <w:p w14:paraId="1FBD347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0.006</w:t>
            </w:r>
          </w:p>
        </w:tc>
        <w:tc>
          <w:tcPr>
            <w:tcW w:w="0" w:type="auto"/>
            <w:hideMark/>
          </w:tcPr>
          <w:p w14:paraId="38934C4B"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Stationary</w:t>
            </w:r>
          </w:p>
        </w:tc>
      </w:tr>
      <w:tr w:rsidR="004D7EEF" w:rsidRPr="004D7EEF" w14:paraId="0A5B82D3" w14:textId="77777777" w:rsidTr="004D7EEF">
        <w:tc>
          <w:tcPr>
            <w:tcW w:w="0" w:type="auto"/>
            <w:hideMark/>
          </w:tcPr>
          <w:p w14:paraId="63DAD1B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Foreign Exchange Risk</w:t>
            </w:r>
          </w:p>
        </w:tc>
        <w:tc>
          <w:tcPr>
            <w:tcW w:w="0" w:type="auto"/>
            <w:hideMark/>
          </w:tcPr>
          <w:p w14:paraId="5CACA03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Unit root present</w:t>
            </w:r>
          </w:p>
        </w:tc>
        <w:tc>
          <w:tcPr>
            <w:tcW w:w="0" w:type="auto"/>
            <w:hideMark/>
          </w:tcPr>
          <w:p w14:paraId="658A468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0.003</w:t>
            </w:r>
          </w:p>
        </w:tc>
        <w:tc>
          <w:tcPr>
            <w:tcW w:w="0" w:type="auto"/>
            <w:hideMark/>
          </w:tcPr>
          <w:p w14:paraId="04C16565"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Stationary</w:t>
            </w:r>
          </w:p>
        </w:tc>
      </w:tr>
    </w:tbl>
    <w:p w14:paraId="73B695CA"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3E9D6EFA"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All variables are stationary at 5% significance level, confirming suitability for panel regression analysis.</w:t>
      </w:r>
    </w:p>
    <w:p w14:paraId="6AE20A45" w14:textId="3D50F024"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Hausman Specification Test</w:t>
      </w:r>
    </w:p>
    <w:p w14:paraId="7CB0ED21"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The Hausman test was used to determine whether a fixed-effects or random-effects model was appropriate.</w:t>
      </w:r>
    </w:p>
    <w:p w14:paraId="2A85F2C4" w14:textId="52171124"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7: Hausman Test Results</w:t>
      </w:r>
    </w:p>
    <w:tbl>
      <w:tblPr>
        <w:tblStyle w:val="TableGrid1"/>
        <w:tblW w:w="0" w:type="auto"/>
        <w:tblLook w:val="04A0" w:firstRow="1" w:lastRow="0" w:firstColumn="1" w:lastColumn="0" w:noHBand="0" w:noVBand="1"/>
      </w:tblPr>
      <w:tblGrid>
        <w:gridCol w:w="2469"/>
        <w:gridCol w:w="1143"/>
        <w:gridCol w:w="1477"/>
        <w:gridCol w:w="1282"/>
        <w:gridCol w:w="756"/>
      </w:tblGrid>
      <w:tr w:rsidR="004D7EEF" w:rsidRPr="004D7EEF" w14:paraId="247080A9" w14:textId="77777777" w:rsidTr="004D7EEF">
        <w:tc>
          <w:tcPr>
            <w:tcW w:w="0" w:type="auto"/>
            <w:hideMark/>
          </w:tcPr>
          <w:p w14:paraId="6FBF12B5"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Variable</w:t>
            </w:r>
          </w:p>
        </w:tc>
        <w:tc>
          <w:tcPr>
            <w:tcW w:w="0" w:type="auto"/>
            <w:hideMark/>
          </w:tcPr>
          <w:p w14:paraId="103D8ADD"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Fixed (b)</w:t>
            </w:r>
          </w:p>
        </w:tc>
        <w:tc>
          <w:tcPr>
            <w:tcW w:w="0" w:type="auto"/>
            <w:hideMark/>
          </w:tcPr>
          <w:p w14:paraId="24050359"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Random (B)</w:t>
            </w:r>
          </w:p>
        </w:tc>
        <w:tc>
          <w:tcPr>
            <w:tcW w:w="0" w:type="auto"/>
            <w:hideMark/>
          </w:tcPr>
          <w:p w14:paraId="6F5E369C"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Difference</w:t>
            </w:r>
          </w:p>
        </w:tc>
        <w:tc>
          <w:tcPr>
            <w:tcW w:w="0" w:type="auto"/>
            <w:hideMark/>
          </w:tcPr>
          <w:p w14:paraId="0C61F13E"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S.E.</w:t>
            </w:r>
          </w:p>
        </w:tc>
      </w:tr>
      <w:tr w:rsidR="004D7EEF" w:rsidRPr="004D7EEF" w14:paraId="099105EF" w14:textId="77777777" w:rsidTr="004D7EEF">
        <w:tc>
          <w:tcPr>
            <w:tcW w:w="0" w:type="auto"/>
            <w:hideMark/>
          </w:tcPr>
          <w:p w14:paraId="0B04A286"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Default Risk</w:t>
            </w:r>
          </w:p>
        </w:tc>
        <w:tc>
          <w:tcPr>
            <w:tcW w:w="0" w:type="auto"/>
            <w:hideMark/>
          </w:tcPr>
          <w:p w14:paraId="4BDB9AF6"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-0.412</w:t>
            </w:r>
          </w:p>
        </w:tc>
        <w:tc>
          <w:tcPr>
            <w:tcW w:w="0" w:type="auto"/>
            <w:hideMark/>
          </w:tcPr>
          <w:p w14:paraId="42D4B69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-0.398</w:t>
            </w:r>
          </w:p>
        </w:tc>
        <w:tc>
          <w:tcPr>
            <w:tcW w:w="0" w:type="auto"/>
            <w:hideMark/>
          </w:tcPr>
          <w:p w14:paraId="756EB0C6"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-0.014</w:t>
            </w:r>
          </w:p>
        </w:tc>
        <w:tc>
          <w:tcPr>
            <w:tcW w:w="0" w:type="auto"/>
            <w:hideMark/>
          </w:tcPr>
          <w:p w14:paraId="328092EB"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0.009</w:t>
            </w:r>
          </w:p>
        </w:tc>
      </w:tr>
      <w:tr w:rsidR="004D7EEF" w:rsidRPr="004D7EEF" w14:paraId="212364A8" w14:textId="77777777" w:rsidTr="004D7EEF">
        <w:tc>
          <w:tcPr>
            <w:tcW w:w="0" w:type="auto"/>
            <w:hideMark/>
          </w:tcPr>
          <w:p w14:paraId="1B9D5D05"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Interest Rate Risk</w:t>
            </w:r>
          </w:p>
        </w:tc>
        <w:tc>
          <w:tcPr>
            <w:tcW w:w="0" w:type="auto"/>
            <w:hideMark/>
          </w:tcPr>
          <w:p w14:paraId="7F064F52"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-0.028</w:t>
            </w:r>
          </w:p>
        </w:tc>
        <w:tc>
          <w:tcPr>
            <w:tcW w:w="0" w:type="auto"/>
            <w:hideMark/>
          </w:tcPr>
          <w:p w14:paraId="301DFA12"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-0.031</w:t>
            </w:r>
          </w:p>
        </w:tc>
        <w:tc>
          <w:tcPr>
            <w:tcW w:w="0" w:type="auto"/>
            <w:hideMark/>
          </w:tcPr>
          <w:p w14:paraId="090F52F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0.003</w:t>
            </w:r>
          </w:p>
        </w:tc>
        <w:tc>
          <w:tcPr>
            <w:tcW w:w="0" w:type="auto"/>
            <w:hideMark/>
          </w:tcPr>
          <w:p w14:paraId="2BEF9492"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0.004</w:t>
            </w:r>
          </w:p>
        </w:tc>
      </w:tr>
      <w:tr w:rsidR="004D7EEF" w:rsidRPr="004D7EEF" w14:paraId="2FE78629" w14:textId="77777777" w:rsidTr="004D7EEF">
        <w:tc>
          <w:tcPr>
            <w:tcW w:w="0" w:type="auto"/>
            <w:hideMark/>
          </w:tcPr>
          <w:p w14:paraId="65D93CA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lastRenderedPageBreak/>
              <w:t>Liquidity Risk</w:t>
            </w:r>
          </w:p>
        </w:tc>
        <w:tc>
          <w:tcPr>
            <w:tcW w:w="0" w:type="auto"/>
            <w:hideMark/>
          </w:tcPr>
          <w:p w14:paraId="59F982C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0.185</w:t>
            </w:r>
          </w:p>
        </w:tc>
        <w:tc>
          <w:tcPr>
            <w:tcW w:w="0" w:type="auto"/>
            <w:hideMark/>
          </w:tcPr>
          <w:p w14:paraId="541BD707"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0.191</w:t>
            </w:r>
          </w:p>
        </w:tc>
        <w:tc>
          <w:tcPr>
            <w:tcW w:w="0" w:type="auto"/>
            <w:hideMark/>
          </w:tcPr>
          <w:p w14:paraId="4B14F83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-0.006</w:t>
            </w:r>
          </w:p>
        </w:tc>
        <w:tc>
          <w:tcPr>
            <w:tcW w:w="0" w:type="auto"/>
            <w:hideMark/>
          </w:tcPr>
          <w:p w14:paraId="7E842E0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0.005</w:t>
            </w:r>
          </w:p>
        </w:tc>
      </w:tr>
      <w:tr w:rsidR="004D7EEF" w:rsidRPr="004D7EEF" w14:paraId="649E12A0" w14:textId="77777777" w:rsidTr="004D7EEF">
        <w:tc>
          <w:tcPr>
            <w:tcW w:w="0" w:type="auto"/>
            <w:hideMark/>
          </w:tcPr>
          <w:p w14:paraId="601299DA"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Foreign Exchange Risk</w:t>
            </w:r>
          </w:p>
        </w:tc>
        <w:tc>
          <w:tcPr>
            <w:tcW w:w="0" w:type="auto"/>
            <w:hideMark/>
          </w:tcPr>
          <w:p w14:paraId="44A51A8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-0.067</w:t>
            </w:r>
          </w:p>
        </w:tc>
        <w:tc>
          <w:tcPr>
            <w:tcW w:w="0" w:type="auto"/>
            <w:hideMark/>
          </w:tcPr>
          <w:p w14:paraId="0CF8BC0A"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-0.064</w:t>
            </w:r>
          </w:p>
        </w:tc>
        <w:tc>
          <w:tcPr>
            <w:tcW w:w="0" w:type="auto"/>
            <w:hideMark/>
          </w:tcPr>
          <w:p w14:paraId="3D52882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-0.003</w:t>
            </w:r>
          </w:p>
        </w:tc>
        <w:tc>
          <w:tcPr>
            <w:tcW w:w="0" w:type="auto"/>
            <w:hideMark/>
          </w:tcPr>
          <w:p w14:paraId="223EF733"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0.003</w:t>
            </w:r>
          </w:p>
        </w:tc>
      </w:tr>
    </w:tbl>
    <w:p w14:paraId="1F3D7FAF" w14:textId="77777777" w:rsidR="004D7EEF" w:rsidRPr="004D7EEF" w:rsidRDefault="004D7EEF" w:rsidP="004D7EEF">
      <w:pPr>
        <w:shd w:val="clear" w:color="auto" w:fill="FFFFFF"/>
        <w:spacing w:line="240" w:lineRule="auto"/>
        <w:rPr>
          <w:rFonts w:eastAsia="Times New Roman" w:cs="Times New Roman"/>
          <w:vanish/>
          <w:color w:val="auto"/>
          <w:szCs w:val="24"/>
          <w14:ligatures w14:val="none"/>
        </w:rPr>
      </w:pPr>
    </w:p>
    <w:tbl>
      <w:tblPr>
        <w:tblStyle w:val="TableGrid1"/>
        <w:tblW w:w="0" w:type="auto"/>
        <w:tblLook w:val="04A0" w:firstRow="1" w:lastRow="0" w:firstColumn="1" w:lastColumn="0" w:noHBand="0" w:noVBand="1"/>
      </w:tblPr>
      <w:tblGrid>
        <w:gridCol w:w="1392"/>
        <w:gridCol w:w="756"/>
      </w:tblGrid>
      <w:tr w:rsidR="004D7EEF" w:rsidRPr="004D7EEF" w14:paraId="368304AC" w14:textId="77777777" w:rsidTr="004D7EEF">
        <w:tc>
          <w:tcPr>
            <w:tcW w:w="0" w:type="auto"/>
            <w:hideMark/>
          </w:tcPr>
          <w:p w14:paraId="15582435"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Chi2</w:t>
            </w:r>
          </w:p>
        </w:tc>
        <w:tc>
          <w:tcPr>
            <w:tcW w:w="0" w:type="auto"/>
            <w:hideMark/>
          </w:tcPr>
          <w:p w14:paraId="7171D19A"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1.54</w:t>
            </w:r>
          </w:p>
        </w:tc>
      </w:tr>
      <w:tr w:rsidR="004D7EEF" w:rsidRPr="004D7EEF" w14:paraId="71837EA7" w14:textId="77777777" w:rsidTr="004D7EEF">
        <w:tc>
          <w:tcPr>
            <w:tcW w:w="0" w:type="auto"/>
            <w:hideMark/>
          </w:tcPr>
          <w:p w14:paraId="5B56FA8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Prob &gt; Chi2</w:t>
            </w:r>
          </w:p>
        </w:tc>
        <w:tc>
          <w:tcPr>
            <w:tcW w:w="0" w:type="auto"/>
            <w:hideMark/>
          </w:tcPr>
          <w:p w14:paraId="32D6B25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0.819</w:t>
            </w:r>
          </w:p>
        </w:tc>
      </w:tr>
    </w:tbl>
    <w:p w14:paraId="5C9EB378"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4F57E486"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Since the p-value (0.819) is greater than 0.05, the null hypothesis is not rejected. Therefore, the random-effects model was adopted for estimation.</w:t>
      </w:r>
    </w:p>
    <w:p w14:paraId="27143F38" w14:textId="212EFB01"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Random Effects Regression Results</w:t>
      </w:r>
    </w:p>
    <w:p w14:paraId="4ECA17BE"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A random-effects panel regression model was estimated to determine the effect of financial risks on ROA of CSOEs in Kenya.</w:t>
      </w:r>
    </w:p>
    <w:p w14:paraId="39FDAA0B" w14:textId="22601A00"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Table 8: Random Effects Regression Results</w:t>
      </w:r>
    </w:p>
    <w:tbl>
      <w:tblPr>
        <w:tblStyle w:val="TableGrid1"/>
        <w:tblW w:w="0" w:type="auto"/>
        <w:tblLook w:val="04A0" w:firstRow="1" w:lastRow="0" w:firstColumn="1" w:lastColumn="0" w:noHBand="0" w:noVBand="1"/>
      </w:tblPr>
      <w:tblGrid>
        <w:gridCol w:w="2469"/>
        <w:gridCol w:w="1336"/>
        <w:gridCol w:w="1283"/>
        <w:gridCol w:w="950"/>
        <w:gridCol w:w="977"/>
      </w:tblGrid>
      <w:tr w:rsidR="004D7EEF" w:rsidRPr="004D7EEF" w14:paraId="5D8B4AF3" w14:textId="77777777" w:rsidTr="004D7EEF">
        <w:tc>
          <w:tcPr>
            <w:tcW w:w="0" w:type="auto"/>
            <w:hideMark/>
          </w:tcPr>
          <w:p w14:paraId="53712F8D"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Variable</w:t>
            </w:r>
          </w:p>
        </w:tc>
        <w:tc>
          <w:tcPr>
            <w:tcW w:w="0" w:type="auto"/>
            <w:hideMark/>
          </w:tcPr>
          <w:p w14:paraId="383A1FF8"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Coefficient</w:t>
            </w:r>
          </w:p>
        </w:tc>
        <w:tc>
          <w:tcPr>
            <w:tcW w:w="0" w:type="auto"/>
            <w:hideMark/>
          </w:tcPr>
          <w:p w14:paraId="28E94E94"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Std. Error</w:t>
            </w:r>
          </w:p>
        </w:tc>
        <w:tc>
          <w:tcPr>
            <w:tcW w:w="0" w:type="auto"/>
            <w:hideMark/>
          </w:tcPr>
          <w:p w14:paraId="1978434F"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z-value</w:t>
            </w:r>
          </w:p>
        </w:tc>
        <w:tc>
          <w:tcPr>
            <w:tcW w:w="0" w:type="auto"/>
            <w:hideMark/>
          </w:tcPr>
          <w:p w14:paraId="35BAE260" w14:textId="77777777" w:rsidR="004D7EEF" w:rsidRPr="004D7EEF" w:rsidRDefault="004D7EEF" w:rsidP="004D7EEF">
            <w:pPr>
              <w:shd w:val="clear" w:color="auto" w:fill="FFFFFF"/>
              <w:spacing w:line="240" w:lineRule="auto"/>
              <w:rPr>
                <w:rFonts w:eastAsia="Times New Roman" w:cs="Times New Roman"/>
                <w:b/>
                <w:bCs/>
                <w:color w:val="auto"/>
                <w:szCs w:val="24"/>
              </w:rPr>
            </w:pPr>
            <w:r w:rsidRPr="004D7EEF">
              <w:rPr>
                <w:rFonts w:eastAsia="Times New Roman" w:cs="Times New Roman"/>
                <w:b/>
                <w:bCs/>
                <w:color w:val="auto"/>
                <w:szCs w:val="24"/>
              </w:rPr>
              <w:t>p-value</w:t>
            </w:r>
          </w:p>
        </w:tc>
      </w:tr>
      <w:tr w:rsidR="004D7EEF" w:rsidRPr="004D7EEF" w14:paraId="6A3C57DD" w14:textId="77777777" w:rsidTr="004D7EEF">
        <w:tc>
          <w:tcPr>
            <w:tcW w:w="0" w:type="auto"/>
            <w:hideMark/>
          </w:tcPr>
          <w:p w14:paraId="43C73075"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Liquidity Risk</w:t>
            </w:r>
          </w:p>
        </w:tc>
        <w:tc>
          <w:tcPr>
            <w:tcW w:w="0" w:type="auto"/>
            <w:hideMark/>
          </w:tcPr>
          <w:p w14:paraId="4B9ACCB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0.204</w:t>
            </w:r>
          </w:p>
        </w:tc>
        <w:tc>
          <w:tcPr>
            <w:tcW w:w="0" w:type="auto"/>
            <w:hideMark/>
          </w:tcPr>
          <w:p w14:paraId="0CACB558"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0.095</w:t>
            </w:r>
          </w:p>
        </w:tc>
        <w:tc>
          <w:tcPr>
            <w:tcW w:w="0" w:type="auto"/>
            <w:hideMark/>
          </w:tcPr>
          <w:p w14:paraId="58B5A62B"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2.145</w:t>
            </w:r>
          </w:p>
        </w:tc>
        <w:tc>
          <w:tcPr>
            <w:tcW w:w="0" w:type="auto"/>
            <w:hideMark/>
          </w:tcPr>
          <w:p w14:paraId="4BB4981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0.033</w:t>
            </w:r>
          </w:p>
        </w:tc>
      </w:tr>
      <w:tr w:rsidR="004D7EEF" w:rsidRPr="004D7EEF" w14:paraId="25020579" w14:textId="77777777" w:rsidTr="004D7EEF">
        <w:tc>
          <w:tcPr>
            <w:tcW w:w="0" w:type="auto"/>
            <w:hideMark/>
          </w:tcPr>
          <w:p w14:paraId="2803B67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Foreign Exchange Risk</w:t>
            </w:r>
          </w:p>
        </w:tc>
        <w:tc>
          <w:tcPr>
            <w:tcW w:w="0" w:type="auto"/>
            <w:hideMark/>
          </w:tcPr>
          <w:p w14:paraId="317CC742"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0.015</w:t>
            </w:r>
          </w:p>
        </w:tc>
        <w:tc>
          <w:tcPr>
            <w:tcW w:w="0" w:type="auto"/>
            <w:hideMark/>
          </w:tcPr>
          <w:p w14:paraId="1AF4ED65"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0.069</w:t>
            </w:r>
          </w:p>
        </w:tc>
        <w:tc>
          <w:tcPr>
            <w:tcW w:w="0" w:type="auto"/>
            <w:hideMark/>
          </w:tcPr>
          <w:p w14:paraId="4143FAEE"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0.222</w:t>
            </w:r>
          </w:p>
        </w:tc>
        <w:tc>
          <w:tcPr>
            <w:tcW w:w="0" w:type="auto"/>
            <w:hideMark/>
          </w:tcPr>
          <w:p w14:paraId="67FE61F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0.824</w:t>
            </w:r>
          </w:p>
        </w:tc>
      </w:tr>
      <w:tr w:rsidR="004D7EEF" w:rsidRPr="004D7EEF" w14:paraId="177C64BB" w14:textId="77777777" w:rsidTr="004D7EEF">
        <w:tc>
          <w:tcPr>
            <w:tcW w:w="0" w:type="auto"/>
            <w:hideMark/>
          </w:tcPr>
          <w:p w14:paraId="5998AF46"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Default Risk</w:t>
            </w:r>
          </w:p>
        </w:tc>
        <w:tc>
          <w:tcPr>
            <w:tcW w:w="0" w:type="auto"/>
            <w:hideMark/>
          </w:tcPr>
          <w:p w14:paraId="5188F2BC"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-4.497</w:t>
            </w:r>
          </w:p>
        </w:tc>
        <w:tc>
          <w:tcPr>
            <w:tcW w:w="0" w:type="auto"/>
            <w:hideMark/>
          </w:tcPr>
          <w:p w14:paraId="0DD4FC21"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0.879</w:t>
            </w:r>
          </w:p>
        </w:tc>
        <w:tc>
          <w:tcPr>
            <w:tcW w:w="0" w:type="auto"/>
            <w:hideMark/>
          </w:tcPr>
          <w:p w14:paraId="3ED92BB2"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-5.116</w:t>
            </w:r>
          </w:p>
        </w:tc>
        <w:tc>
          <w:tcPr>
            <w:tcW w:w="0" w:type="auto"/>
            <w:hideMark/>
          </w:tcPr>
          <w:p w14:paraId="2C6E1DD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0.000</w:t>
            </w:r>
          </w:p>
        </w:tc>
      </w:tr>
      <w:tr w:rsidR="004D7EEF" w:rsidRPr="004D7EEF" w14:paraId="7DCD29D4" w14:textId="77777777" w:rsidTr="004D7EEF">
        <w:tc>
          <w:tcPr>
            <w:tcW w:w="0" w:type="auto"/>
            <w:hideMark/>
          </w:tcPr>
          <w:p w14:paraId="1A310B50"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Interest Rate Risk</w:t>
            </w:r>
          </w:p>
        </w:tc>
        <w:tc>
          <w:tcPr>
            <w:tcW w:w="0" w:type="auto"/>
            <w:hideMark/>
          </w:tcPr>
          <w:p w14:paraId="668BCA6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0.002</w:t>
            </w:r>
          </w:p>
        </w:tc>
        <w:tc>
          <w:tcPr>
            <w:tcW w:w="0" w:type="auto"/>
            <w:hideMark/>
          </w:tcPr>
          <w:p w14:paraId="1BE20461"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0.003</w:t>
            </w:r>
          </w:p>
        </w:tc>
        <w:tc>
          <w:tcPr>
            <w:tcW w:w="0" w:type="auto"/>
            <w:hideMark/>
          </w:tcPr>
          <w:p w14:paraId="48CEC0F9"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0.543</w:t>
            </w:r>
          </w:p>
        </w:tc>
        <w:tc>
          <w:tcPr>
            <w:tcW w:w="0" w:type="auto"/>
            <w:hideMark/>
          </w:tcPr>
          <w:p w14:paraId="3ECDF217"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0.008</w:t>
            </w:r>
          </w:p>
        </w:tc>
      </w:tr>
      <w:tr w:rsidR="004D7EEF" w:rsidRPr="004D7EEF" w14:paraId="6320FC83" w14:textId="77777777" w:rsidTr="004D7EEF">
        <w:tc>
          <w:tcPr>
            <w:tcW w:w="0" w:type="auto"/>
            <w:hideMark/>
          </w:tcPr>
          <w:p w14:paraId="42CAA32D"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Constant</w:t>
            </w:r>
          </w:p>
        </w:tc>
        <w:tc>
          <w:tcPr>
            <w:tcW w:w="0" w:type="auto"/>
            <w:hideMark/>
          </w:tcPr>
          <w:p w14:paraId="72E2C43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-1.464</w:t>
            </w:r>
          </w:p>
        </w:tc>
        <w:tc>
          <w:tcPr>
            <w:tcW w:w="0" w:type="auto"/>
            <w:hideMark/>
          </w:tcPr>
          <w:p w14:paraId="008F88F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0.880</w:t>
            </w:r>
          </w:p>
        </w:tc>
        <w:tc>
          <w:tcPr>
            <w:tcW w:w="0" w:type="auto"/>
            <w:hideMark/>
          </w:tcPr>
          <w:p w14:paraId="1D874587"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-1.664</w:t>
            </w:r>
          </w:p>
        </w:tc>
        <w:tc>
          <w:tcPr>
            <w:tcW w:w="0" w:type="auto"/>
            <w:hideMark/>
          </w:tcPr>
          <w:p w14:paraId="698309EF" w14:textId="77777777" w:rsidR="004D7EEF" w:rsidRPr="004D7EEF" w:rsidRDefault="004D7EEF" w:rsidP="004D7EEF">
            <w:pPr>
              <w:shd w:val="clear" w:color="auto" w:fill="FFFFFF"/>
              <w:spacing w:line="240" w:lineRule="auto"/>
              <w:rPr>
                <w:rFonts w:eastAsia="Times New Roman" w:cs="Times New Roman"/>
                <w:color w:val="auto"/>
                <w:szCs w:val="24"/>
              </w:rPr>
            </w:pPr>
            <w:r w:rsidRPr="004D7EEF">
              <w:rPr>
                <w:rFonts w:eastAsia="Times New Roman" w:cs="Times New Roman"/>
                <w:color w:val="auto"/>
                <w:szCs w:val="24"/>
              </w:rPr>
              <w:t>0.905</w:t>
            </w:r>
          </w:p>
        </w:tc>
      </w:tr>
    </w:tbl>
    <w:p w14:paraId="0384184B" w14:textId="77777777" w:rsidR="004D7EEF" w:rsidRPr="004D7EEF" w:rsidRDefault="004D7EEF" w:rsidP="004D7EEF">
      <w:pPr>
        <w:shd w:val="clear" w:color="auto" w:fill="FFFFFF"/>
        <w:spacing w:line="240" w:lineRule="auto"/>
        <w:jc w:val="left"/>
        <w:rPr>
          <w:rFonts w:eastAsia="Times New Roman" w:cs="Times New Roman"/>
          <w:color w:val="auto"/>
          <w:szCs w:val="24"/>
          <w14:ligatures w14:val="none"/>
        </w:rPr>
      </w:pPr>
      <w:r w:rsidRPr="004D7EEF">
        <w:rPr>
          <w:rFonts w:eastAsia="Times New Roman" w:cs="Times New Roman"/>
          <w:color w:val="auto"/>
          <w:szCs w:val="24"/>
          <w14:ligatures w14:val="none"/>
        </w:rPr>
        <w:t>Model statistics:</w:t>
      </w:r>
      <w:r w:rsidRPr="004D7EEF">
        <w:rPr>
          <w:rFonts w:eastAsia="Times New Roman" w:cs="Times New Roman"/>
          <w:color w:val="auto"/>
          <w:szCs w:val="24"/>
          <w14:ligatures w14:val="none"/>
        </w:rPr>
        <w:br/>
      </w:r>
      <w:proofErr w:type="gramStart"/>
      <w:r w:rsidRPr="004D7EEF">
        <w:rPr>
          <w:rFonts w:eastAsia="Times New Roman" w:cs="Times New Roman"/>
          <w:color w:val="auto"/>
          <w:szCs w:val="24"/>
          <w14:ligatures w14:val="none"/>
        </w:rPr>
        <w:t>F(</w:t>
      </w:r>
      <w:proofErr w:type="gramEnd"/>
      <w:r w:rsidRPr="004D7EEF">
        <w:rPr>
          <w:rFonts w:eastAsia="Times New Roman" w:cs="Times New Roman"/>
          <w:color w:val="auto"/>
          <w:szCs w:val="24"/>
          <w14:ligatures w14:val="none"/>
        </w:rPr>
        <w:t>4,251) = 57.90 (p = 0.0000)</w:t>
      </w:r>
      <w:r w:rsidRPr="004D7EEF">
        <w:rPr>
          <w:rFonts w:eastAsia="Times New Roman" w:cs="Times New Roman"/>
          <w:color w:val="auto"/>
          <w:szCs w:val="24"/>
          <w14:ligatures w14:val="none"/>
        </w:rPr>
        <w:br/>
        <w:t>R² (within) = 0.7101</w:t>
      </w:r>
      <w:r w:rsidRPr="004D7EEF">
        <w:rPr>
          <w:rFonts w:eastAsia="Times New Roman" w:cs="Times New Roman"/>
          <w:color w:val="auto"/>
          <w:szCs w:val="24"/>
          <w14:ligatures w14:val="none"/>
        </w:rPr>
        <w:br/>
        <w:t>R² (overall) = 0.7185</w:t>
      </w:r>
      <w:r w:rsidRPr="004D7EEF">
        <w:rPr>
          <w:rFonts w:eastAsia="Times New Roman" w:cs="Times New Roman"/>
          <w:color w:val="auto"/>
          <w:szCs w:val="24"/>
          <w14:ligatures w14:val="none"/>
        </w:rPr>
        <w:br/>
        <w:t>Wald Chi² = 602.10 (p = 0.0000)</w:t>
      </w:r>
      <w:r w:rsidRPr="004D7EEF">
        <w:rPr>
          <w:rFonts w:eastAsia="Times New Roman" w:cs="Times New Roman"/>
          <w:color w:val="auto"/>
          <w:szCs w:val="24"/>
          <w14:ligatures w14:val="none"/>
        </w:rPr>
        <w:br/>
        <w:t>Rho = 0.2668</w:t>
      </w:r>
    </w:p>
    <w:p w14:paraId="7DA49B88"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b/>
          <w:bCs/>
          <w:color w:val="auto"/>
          <w:szCs w:val="24"/>
          <w14:ligatures w14:val="none"/>
        </w:rPr>
        <w:t>Source: Field Data (2026)</w:t>
      </w:r>
    </w:p>
    <w:p w14:paraId="2EEFA9A4"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The regression model was specified as:</w:t>
      </w:r>
    </w:p>
    <w:p w14:paraId="3B4BCE86"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ROA = -1.464 − 4.497(Default Risk) + 0.002(Interest Rate Risk) + 0.204(Liquidity Risk) + ε</w:t>
      </w:r>
    </w:p>
    <w:p w14:paraId="0D3D3F93" w14:textId="77777777"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Hypothesis Testing and Interpretation</w:t>
      </w:r>
    </w:p>
    <w:p w14:paraId="01BCA526"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 xml:space="preserve">The findings show that </w:t>
      </w:r>
      <w:r w:rsidRPr="004D7EEF">
        <w:rPr>
          <w:rFonts w:eastAsia="Times New Roman" w:cs="Times New Roman"/>
          <w:b/>
          <w:bCs/>
          <w:color w:val="auto"/>
          <w:szCs w:val="24"/>
          <w14:ligatures w14:val="none"/>
        </w:rPr>
        <w:t>default risk has a strong negative and significant effect</w:t>
      </w:r>
      <w:r w:rsidRPr="004D7EEF">
        <w:rPr>
          <w:rFonts w:eastAsia="Times New Roman" w:cs="Times New Roman"/>
          <w:color w:val="auto"/>
          <w:szCs w:val="24"/>
          <w14:ligatures w14:val="none"/>
        </w:rPr>
        <w:t xml:space="preserve"> on financial performance (β = -4.497, p &lt; 0.05), leading to rejection of H01. This implies that higher default risk reduces ROA significantly, consistent with </w:t>
      </w:r>
      <w:proofErr w:type="spellStart"/>
      <w:r w:rsidRPr="004D7EEF">
        <w:rPr>
          <w:rFonts w:eastAsia="Times New Roman" w:cs="Times New Roman"/>
          <w:color w:val="auto"/>
          <w:szCs w:val="24"/>
          <w14:ligatures w14:val="none"/>
        </w:rPr>
        <w:t>Mushafiq</w:t>
      </w:r>
      <w:proofErr w:type="spellEnd"/>
      <w:r w:rsidRPr="004D7EEF">
        <w:rPr>
          <w:rFonts w:eastAsia="Times New Roman" w:cs="Times New Roman"/>
          <w:color w:val="auto"/>
          <w:szCs w:val="24"/>
          <w14:ligatures w14:val="none"/>
        </w:rPr>
        <w:t xml:space="preserve"> et al. (2024), Malatji (2020), and World Bank (2021), who emphasize the negative effects of financial distress and debt exposure on profitability.</w:t>
      </w:r>
    </w:p>
    <w:p w14:paraId="3D1865DE"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lastRenderedPageBreak/>
        <w:t xml:space="preserve">Interest rate risk shows a </w:t>
      </w:r>
      <w:r w:rsidRPr="004D7EEF">
        <w:rPr>
          <w:rFonts w:eastAsia="Times New Roman" w:cs="Times New Roman"/>
          <w:b/>
          <w:bCs/>
          <w:color w:val="auto"/>
          <w:szCs w:val="24"/>
          <w14:ligatures w14:val="none"/>
        </w:rPr>
        <w:t>positive and statistically significant relationship</w:t>
      </w:r>
      <w:r w:rsidRPr="004D7EEF">
        <w:rPr>
          <w:rFonts w:eastAsia="Times New Roman" w:cs="Times New Roman"/>
          <w:color w:val="auto"/>
          <w:szCs w:val="24"/>
          <w14:ligatures w14:val="none"/>
        </w:rPr>
        <w:t xml:space="preserve"> with ROA (β = 0.002, p = 0.008), leading to rejection of H02. This suggests that CSOEs may benefit from structured financing arrangements, although this contrasts with Kang and Kim (2020) and Mutua (2021), who found negative effects in private firms due to higher borrowing costs.</w:t>
      </w:r>
    </w:p>
    <w:p w14:paraId="6C08BEEE"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 xml:space="preserve">Foreign exchange rate risk is </w:t>
      </w:r>
      <w:r w:rsidRPr="004D7EEF">
        <w:rPr>
          <w:rFonts w:eastAsia="Times New Roman" w:cs="Times New Roman"/>
          <w:b/>
          <w:bCs/>
          <w:color w:val="auto"/>
          <w:szCs w:val="24"/>
          <w14:ligatures w14:val="none"/>
        </w:rPr>
        <w:t>positive but not statistically significant</w:t>
      </w:r>
      <w:r w:rsidRPr="004D7EEF">
        <w:rPr>
          <w:rFonts w:eastAsia="Times New Roman" w:cs="Times New Roman"/>
          <w:color w:val="auto"/>
          <w:szCs w:val="24"/>
          <w14:ligatures w14:val="none"/>
        </w:rPr>
        <w:t xml:space="preserve"> (β = 0.015, p = 0.824), leading to non-rejection of H03. This suggests limited exposure of CSOEs to foreign exchange volatility, possibly due to government protection or limited international transactions. This finding differs from Nyambura (2021) but aligns partially with Tumwesigye et al. (2022), who emphasize the role of hedging strategies.</w:t>
      </w:r>
    </w:p>
    <w:p w14:paraId="269193AB"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 xml:space="preserve">Liquidity risk has a </w:t>
      </w:r>
      <w:r w:rsidRPr="004D7EEF">
        <w:rPr>
          <w:rFonts w:eastAsia="Times New Roman" w:cs="Times New Roman"/>
          <w:b/>
          <w:bCs/>
          <w:color w:val="auto"/>
          <w:szCs w:val="24"/>
          <w14:ligatures w14:val="none"/>
        </w:rPr>
        <w:t>positive and significant effect</w:t>
      </w:r>
      <w:r w:rsidRPr="004D7EEF">
        <w:rPr>
          <w:rFonts w:eastAsia="Times New Roman" w:cs="Times New Roman"/>
          <w:color w:val="auto"/>
          <w:szCs w:val="24"/>
          <w14:ligatures w14:val="none"/>
        </w:rPr>
        <w:t xml:space="preserve"> on ROA (β = 0.204, p = 0.033), leading to rejection of H04. This implies that stronger liquidity positions enhance operational efficiency and profitability, consistent with Reddy and Prasad (2020) and Adeyemi and </w:t>
      </w:r>
      <w:proofErr w:type="spellStart"/>
      <w:r w:rsidRPr="004D7EEF">
        <w:rPr>
          <w:rFonts w:eastAsia="Times New Roman" w:cs="Times New Roman"/>
          <w:color w:val="auto"/>
          <w:szCs w:val="24"/>
          <w14:ligatures w14:val="none"/>
        </w:rPr>
        <w:t>Fapohunda</w:t>
      </w:r>
      <w:proofErr w:type="spellEnd"/>
      <w:r w:rsidRPr="004D7EEF">
        <w:rPr>
          <w:rFonts w:eastAsia="Times New Roman" w:cs="Times New Roman"/>
          <w:color w:val="auto"/>
          <w:szCs w:val="24"/>
          <w14:ligatures w14:val="none"/>
        </w:rPr>
        <w:t xml:space="preserve"> (2019).</w:t>
      </w:r>
    </w:p>
    <w:p w14:paraId="1A09B0AB" w14:textId="77777777" w:rsidR="004D7EEF" w:rsidRPr="004D7EEF" w:rsidRDefault="004D7EEF" w:rsidP="004D7EEF">
      <w:pPr>
        <w:shd w:val="clear" w:color="auto" w:fill="FFFFFF"/>
        <w:spacing w:line="240" w:lineRule="auto"/>
        <w:rPr>
          <w:rFonts w:eastAsia="Times New Roman" w:cs="Times New Roman"/>
          <w:b/>
          <w:bCs/>
          <w:color w:val="auto"/>
          <w:szCs w:val="24"/>
          <w14:ligatures w14:val="none"/>
        </w:rPr>
      </w:pPr>
      <w:r w:rsidRPr="004D7EEF">
        <w:rPr>
          <w:rFonts w:eastAsia="Times New Roman" w:cs="Times New Roman"/>
          <w:b/>
          <w:bCs/>
          <w:color w:val="auto"/>
          <w:szCs w:val="24"/>
          <w14:ligatures w14:val="none"/>
        </w:rPr>
        <w:t>Model Explanatory Power</w:t>
      </w:r>
    </w:p>
    <w:p w14:paraId="00CB4074" w14:textId="77777777" w:rsidR="004D7EEF" w:rsidRPr="004D7EEF" w:rsidRDefault="004D7EEF" w:rsidP="004D7EEF">
      <w:pPr>
        <w:shd w:val="clear" w:color="auto" w:fill="FFFFFF"/>
        <w:spacing w:line="240" w:lineRule="auto"/>
        <w:rPr>
          <w:rFonts w:eastAsia="Times New Roman" w:cs="Times New Roman"/>
          <w:color w:val="auto"/>
          <w:szCs w:val="24"/>
          <w14:ligatures w14:val="none"/>
        </w:rPr>
      </w:pPr>
      <w:r w:rsidRPr="004D7EEF">
        <w:rPr>
          <w:rFonts w:eastAsia="Times New Roman" w:cs="Times New Roman"/>
          <w:color w:val="auto"/>
          <w:szCs w:val="24"/>
          <w14:ligatures w14:val="none"/>
        </w:rPr>
        <w:t xml:space="preserve">The model explains approximately </w:t>
      </w:r>
      <w:r w:rsidRPr="004D7EEF">
        <w:rPr>
          <w:rFonts w:eastAsia="Times New Roman" w:cs="Times New Roman"/>
          <w:b/>
          <w:bCs/>
          <w:color w:val="auto"/>
          <w:szCs w:val="24"/>
          <w14:ligatures w14:val="none"/>
        </w:rPr>
        <w:t>71.01% of variations in financial performance (ROA)</w:t>
      </w:r>
      <w:r w:rsidRPr="004D7EEF">
        <w:rPr>
          <w:rFonts w:eastAsia="Times New Roman" w:cs="Times New Roman"/>
          <w:color w:val="auto"/>
          <w:szCs w:val="24"/>
          <w14:ligatures w14:val="none"/>
        </w:rPr>
        <w:t>, indicating strong explanatory power. The Wald Chi-square statistic confirms overall model significance. The rho value (0.2668) suggests that 26.68% of variation is attributable to differences across firms, justifying the use of a random-effects model.</w:t>
      </w:r>
    </w:p>
    <w:p w14:paraId="44E02A49" w14:textId="77777777" w:rsidR="004D7EEF" w:rsidRDefault="004D7EEF" w:rsidP="00055D83">
      <w:pPr>
        <w:shd w:val="clear" w:color="auto" w:fill="FFFFFF"/>
        <w:spacing w:line="240" w:lineRule="auto"/>
        <w:rPr>
          <w:rFonts w:eastAsia="Times New Roman" w:cs="Times New Roman"/>
          <w:b/>
          <w:bCs/>
          <w:color w:val="000000" w:themeColor="text1"/>
          <w:sz w:val="28"/>
          <w:szCs w:val="28"/>
        </w:rPr>
      </w:pPr>
    </w:p>
    <w:p w14:paraId="359E84B3" w14:textId="0E82A42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67977F8E" w14:textId="77777777" w:rsidR="000461DC" w:rsidRDefault="000461DC" w:rsidP="000461DC">
      <w:pPr>
        <w:pStyle w:val="isselectedend"/>
      </w:pPr>
      <w:r>
        <w:t>The study concludes that financial risk influences the financial performance of commercial state-owned enterprises in Kenya, although the direction and strength of the effect vary across risk categories. Default risk emerged as the most important negative determinant of return on assets. This implies that higher debt exposure and increased likelihood of financial distress reduce the ability of commercial state-owned enterprises to generate returns from their asset base. Liquidity risk had a positive and statistically significant effect on performance, indicating that enterprises with stronger short-term financial capacity are better positioned to meet operational obligations and sustain performance. Interest rate risk showed a weak but statistically significant positive relationship with return on assets, suggesting that its effect may depend on the structure and management of borrowing arrangements. Foreign exchange rate risk was statistically insignificant, indicating that currency exposure did not have a strong direct effect on performance during the study period. Overall, the findings show that effective management of default and liquidity risks is central to improving financial performance. Strengthening debt monitoring, liquidity planning, financial oversight, and internal risk management systems may therefore contribute to more stable and sustainable performance among commercial state-owned enterprises in Kenya.</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16D6E0A7" w14:textId="77777777" w:rsidR="009179CC" w:rsidRDefault="009179CC" w:rsidP="009179CC">
      <w:pPr>
        <w:spacing w:before="0" w:after="160" w:line="259" w:lineRule="auto"/>
      </w:pPr>
      <w:r>
        <w:t xml:space="preserve">The study recommends a set of policy, regulatory, and managerial interventions aimed at improving the financial performance of Commercial State-Owned Enterprises (CSOEs) in Kenya. At the policy level, the government should strengthen financial oversight through robust monitoring systems that track debt obligations and default risks. This includes mandatory quarterly financial reporting, early warning systems, and regular audits to identify institutions facing financial distress. CSOEs should also be supported in liquidity management by enforcing minimum liquidity thresholds and facilitating access to short-term financing to cushion cash flow challenges. In addition, exposure to interest rate risk should be reduced through improved borrowing conditions negotiated with financial institutions and the adoption of hedging instruments. Stronger risk governance frameworks are also </w:t>
      </w:r>
      <w:r>
        <w:lastRenderedPageBreak/>
        <w:t>necessary, including the establishment of formal risk management committees and internal control systems that proactively address credit, liquidity, foreign exchange, and interest rate risks.</w:t>
      </w:r>
    </w:p>
    <w:p w14:paraId="42EBF573" w14:textId="77777777" w:rsidR="009179CC" w:rsidRDefault="009179CC" w:rsidP="009179CC">
      <w:pPr>
        <w:spacing w:before="0" w:after="160" w:line="259" w:lineRule="auto"/>
      </w:pPr>
      <w:r>
        <w:t>Regulatory bodies such as the National Treasury and Controller of State Corporations should adopt risk-based compliance frameworks focusing on key financial indicators such as default probability, liquidity ratios, and interest rate exposure. Capacity building for regulators and CSOE managers in forecasting, stress testing, and scenario analysis is also essential, alongside performance-based incentives that encourage prudent financial management. CSOE management should implement comprehensive risk management strategies, including debt monitoring, predictive default modelling, liquidity planning, and the use of fixed-rate borrowing or hedging to mitigate interest rate volatility. Enhanced transparency and financial reporting are also critical for informed stakeholder decision-making.</w:t>
      </w:r>
    </w:p>
    <w:p w14:paraId="38ACF2C4" w14:textId="33CA50E6" w:rsidR="007A56B8" w:rsidRDefault="009179CC" w:rsidP="009179CC">
      <w:pPr>
        <w:spacing w:before="0" w:after="160" w:line="259" w:lineRule="auto"/>
      </w:pPr>
      <w:r>
        <w:t>For further research, future studies should broaden analytical models by incorporating operational efficiency, governance quality, and managerial competence. Comparative sectoral studies, longitudinal analyses, and cross-country research are recommended to assess contextual and temporal variations in financial risk impacts. Additionally, mixed-methods approaches could provide deeper insights by combining quantitative financial data with qualitative stakeholder perspectives</w:t>
      </w:r>
      <w:r w:rsidR="00E65193">
        <w:t>.</w:t>
      </w:r>
    </w:p>
    <w:p w14:paraId="073C76E1" w14:textId="77777777" w:rsidR="000461DC" w:rsidRDefault="000461DC" w:rsidP="009179CC">
      <w:pPr>
        <w:spacing w:before="0" w:after="160" w:line="259" w:lineRule="auto"/>
      </w:pPr>
    </w:p>
    <w:p w14:paraId="0484042C" w14:textId="77777777" w:rsidR="000461DC" w:rsidRPr="000461DC" w:rsidRDefault="000461DC" w:rsidP="000461DC">
      <w:pPr>
        <w:spacing w:before="100" w:beforeAutospacing="1" w:after="100" w:afterAutospacing="1" w:line="240" w:lineRule="auto"/>
        <w:jc w:val="left"/>
        <w:rPr>
          <w:rFonts w:eastAsia="Times New Roman" w:cs="Times New Roman"/>
          <w:color w:val="auto"/>
          <w:szCs w:val="24"/>
          <w:lang w:bidi="bn-IN"/>
          <w14:ligatures w14:val="none"/>
        </w:rPr>
      </w:pPr>
      <w:r w:rsidRPr="000461DC">
        <w:rPr>
          <w:rFonts w:eastAsia="Times New Roman" w:cs="Times New Roman"/>
          <w:b/>
          <w:bCs/>
          <w:color w:val="auto"/>
          <w:szCs w:val="24"/>
          <w:lang w:bidi="bn-IN"/>
          <w14:ligatures w14:val="none"/>
        </w:rPr>
        <w:t>Limitations</w:t>
      </w:r>
    </w:p>
    <w:p w14:paraId="57A0CCA5" w14:textId="77777777" w:rsidR="000461DC" w:rsidRPr="000461DC" w:rsidRDefault="000461DC" w:rsidP="000461DC">
      <w:pPr>
        <w:spacing w:before="100" w:beforeAutospacing="1" w:after="100" w:afterAutospacing="1" w:line="240" w:lineRule="auto"/>
        <w:jc w:val="left"/>
        <w:rPr>
          <w:rFonts w:eastAsia="Times New Roman" w:cs="Times New Roman"/>
          <w:color w:val="auto"/>
          <w:szCs w:val="24"/>
          <w:lang w:bidi="bn-IN"/>
          <w14:ligatures w14:val="none"/>
        </w:rPr>
      </w:pPr>
      <w:r w:rsidRPr="000461DC">
        <w:rPr>
          <w:rFonts w:eastAsia="Times New Roman" w:cs="Times New Roman"/>
          <w:color w:val="auto"/>
          <w:szCs w:val="24"/>
          <w:lang w:bidi="bn-IN"/>
          <w14:ligatures w14:val="none"/>
        </w:rPr>
        <w:t>This study was limited to commercial state-owned enterprises in Kenya and covered the period 2019–2024. Although the target population comprised 46 enterprises, the final analysis used 42 entities with available financial data, which may limit full generalization to all commercial state corporations. The study relied entirely on secondary data obtained from audited financial statements and related financial records. As a result, the analysis was restricted to variables that were consistently available across the study period. Financial performance was measured using return on assets only, while financial risk was represented by selected accounting-based ratios. Other possible determinants of performance, such as governance quality, operational efficiency, managerial capacity, sector-specific regulation, and market conditions, were not directly included in the model. The study also used quantitative panel regression analysis, which may not fully capture institutional, managerial, or policy-related explanations behind financial risk exposure. Future studies may address these limitations by incorporating qualitative evidence and additional performance measures.</w:t>
      </w:r>
    </w:p>
    <w:p w14:paraId="390624B1" w14:textId="77777777" w:rsidR="000461DC" w:rsidRPr="007A56B8" w:rsidRDefault="000461DC" w:rsidP="009179CC">
      <w:pPr>
        <w:spacing w:before="0" w:after="160" w:line="259" w:lineRule="auto"/>
        <w:rPr>
          <w:rFonts w:eastAsia="Times New Roman" w:cs="Times New Roman"/>
          <w:b/>
          <w:bCs/>
          <w:color w:val="000000" w:themeColor="text1"/>
          <w:sz w:val="28"/>
          <w:szCs w:val="28"/>
        </w:rPr>
      </w:pPr>
    </w:p>
    <w:p w14:paraId="5A202687" w14:textId="2912289E" w:rsidR="00B55CEF"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3AC25C42"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Adegbie, F. F., &amp; Adeniran, O. S. (2021). Liquidity management and financial performance of public enterprises in Nigeria. Journal of Finance and Accounting, 9(2), 55–68.</w:t>
      </w:r>
    </w:p>
    <w:p w14:paraId="4D5A24DF"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Adelusi</w:t>
      </w:r>
      <w:proofErr w:type="spellEnd"/>
      <w:r w:rsidRPr="0075698D">
        <w:rPr>
          <w:rFonts w:eastAsia="Times New Roman" w:cs="Times New Roman"/>
          <w:szCs w:val="24"/>
        </w:rPr>
        <w:t xml:space="preserve">, B., </w:t>
      </w:r>
      <w:proofErr w:type="spellStart"/>
      <w:r w:rsidRPr="0075698D">
        <w:rPr>
          <w:rFonts w:eastAsia="Times New Roman" w:cs="Times New Roman"/>
          <w:szCs w:val="24"/>
        </w:rPr>
        <w:t>Adelusi</w:t>
      </w:r>
      <w:proofErr w:type="spellEnd"/>
      <w:r w:rsidRPr="0075698D">
        <w:rPr>
          <w:rFonts w:eastAsia="Times New Roman" w:cs="Times New Roman"/>
          <w:szCs w:val="24"/>
        </w:rPr>
        <w:t xml:space="preserve">, A., </w:t>
      </w:r>
      <w:proofErr w:type="spellStart"/>
      <w:r w:rsidRPr="0075698D">
        <w:rPr>
          <w:rFonts w:eastAsia="Times New Roman" w:cs="Times New Roman"/>
          <w:szCs w:val="24"/>
        </w:rPr>
        <w:t>Omodero</w:t>
      </w:r>
      <w:proofErr w:type="spellEnd"/>
      <w:r w:rsidRPr="0075698D">
        <w:rPr>
          <w:rFonts w:eastAsia="Times New Roman" w:cs="Times New Roman"/>
          <w:szCs w:val="24"/>
        </w:rPr>
        <w:t>, C. O., &amp; Rufus, A. M. (2024). Financial governance and risk practices in Nigeria's public sector. International Journal of Public Administration and Finance, 14(2), 112–128.</w:t>
      </w:r>
    </w:p>
    <w:p w14:paraId="1645512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Ajagbe, M. A., Jubril, M. O., &amp; Kareem, S. B. (2024). Financial risk management and profitability of commercial banks in Nigeria. African Journal of Finance and Management, 16(1), 65–79.</w:t>
      </w:r>
    </w:p>
    <w:p w14:paraId="7C46622F"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Akash, M. M., Reza, S. H., &amp; Alam, F. M. (2024). Financial risk management and corporate financial security systems: An empirical review. Journal of Corporate Risk and Finance, 18(2), 201–219.</w:t>
      </w:r>
    </w:p>
    <w:p w14:paraId="3331A74D"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lastRenderedPageBreak/>
        <w:t>Al-Filali, Y., Abdulaal, M., Alawi, S., &amp; Makki, M. (2024). Evaluating financial sustainability through interest coverage ratios in public sector firms. Middle East Journal of Accounting and Finance, 13(3), 198–214.</w:t>
      </w:r>
    </w:p>
    <w:p w14:paraId="12EC0320"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Allen, F., Carletti, E., </w:t>
      </w:r>
      <w:proofErr w:type="spellStart"/>
      <w:r w:rsidRPr="0075698D">
        <w:rPr>
          <w:rFonts w:eastAsia="Times New Roman" w:cs="Times New Roman"/>
          <w:szCs w:val="24"/>
        </w:rPr>
        <w:t>Haselmann</w:t>
      </w:r>
      <w:proofErr w:type="spellEnd"/>
      <w:r w:rsidRPr="0075698D">
        <w:rPr>
          <w:rFonts w:eastAsia="Times New Roman" w:cs="Times New Roman"/>
          <w:szCs w:val="24"/>
        </w:rPr>
        <w:t>, R., &amp; Schoenmaker, D. (2020). Improving the governance of state-owned enterprises: European policy approaches. Journal of Financial Regulation and Compliance, 28(4), 367–389.</w:t>
      </w:r>
    </w:p>
    <w:p w14:paraId="0340A76A"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Baltagi</w:t>
      </w:r>
      <w:proofErr w:type="spellEnd"/>
      <w:r w:rsidRPr="0075698D">
        <w:rPr>
          <w:rFonts w:eastAsia="Times New Roman" w:cs="Times New Roman"/>
          <w:szCs w:val="24"/>
        </w:rPr>
        <w:t>, B. H. (2008). Econometric analysis of panel data (4th ed.). John Wiley &amp; Sons.</w:t>
      </w:r>
    </w:p>
    <w:p w14:paraId="6263373E"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Biondi, Y. (2025). Corporate financial structures and capital maintenance in state-owned enterprises. International Journal of Accounting and Public Finance, 15(1), 45–63.</w:t>
      </w:r>
    </w:p>
    <w:p w14:paraId="134B2609"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Borisova, G., </w:t>
      </w:r>
      <w:proofErr w:type="spellStart"/>
      <w:r w:rsidRPr="0075698D">
        <w:rPr>
          <w:rFonts w:eastAsia="Times New Roman" w:cs="Times New Roman"/>
          <w:szCs w:val="24"/>
        </w:rPr>
        <w:t>Fotak</w:t>
      </w:r>
      <w:proofErr w:type="spellEnd"/>
      <w:r w:rsidRPr="0075698D">
        <w:rPr>
          <w:rFonts w:eastAsia="Times New Roman" w:cs="Times New Roman"/>
          <w:szCs w:val="24"/>
        </w:rPr>
        <w:t>, V., Holland, K., &amp; Megginson, W. L. (2012). Government ownership and the cost of debt: Evidence from government investments in publicly traded firms. Journal of Financial Economics, 100(1), 168–191.</w:t>
      </w:r>
    </w:p>
    <w:p w14:paraId="44FEEFF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Brooks, C. (2014). Introductory econometrics for finance (3rd ed.). Cambridge University Press.</w:t>
      </w:r>
    </w:p>
    <w:p w14:paraId="03481E77"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Bryman, A., &amp; Bell, E. (2015). Business research methods (4th ed.). Oxford University Press.</w:t>
      </w:r>
    </w:p>
    <w:p w14:paraId="00C55EE7"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Chen, J., Song, Y., &amp; Gao, S. (2023). ESG integration and financial performance: Evidence from emerging markets. Journal of Sustainable Finance &amp; Investment, 13(2), 155–172.</w:t>
      </w:r>
    </w:p>
    <w:p w14:paraId="2ED662B8"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Creswell, J. W., &amp; Creswell, J. D. (2018). Research design: Qualitative, quantitative, and mixed methods </w:t>
      </w:r>
      <w:proofErr w:type="gramStart"/>
      <w:r w:rsidRPr="0075698D">
        <w:rPr>
          <w:rFonts w:eastAsia="Times New Roman" w:cs="Times New Roman"/>
          <w:szCs w:val="24"/>
        </w:rPr>
        <w:t>approaches</w:t>
      </w:r>
      <w:proofErr w:type="gramEnd"/>
      <w:r w:rsidRPr="0075698D">
        <w:rPr>
          <w:rFonts w:eastAsia="Times New Roman" w:cs="Times New Roman"/>
          <w:szCs w:val="24"/>
        </w:rPr>
        <w:t xml:space="preserve"> (5th ed.). Sage Publications.</w:t>
      </w:r>
    </w:p>
    <w:p w14:paraId="7195EA0D"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Deloitte Center for the Edge, 2023 Shift Index Metrics. Firm Topple Rate tracks the rate at                                                        which big companies (&gt;$100M in net sales) change ranks in terms of their ROA performance. </w:t>
      </w:r>
    </w:p>
    <w:p w14:paraId="1F40F125"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Ebekozien</w:t>
      </w:r>
      <w:proofErr w:type="spellEnd"/>
      <w:r w:rsidRPr="0075698D">
        <w:rPr>
          <w:rFonts w:eastAsia="Times New Roman" w:cs="Times New Roman"/>
          <w:szCs w:val="24"/>
        </w:rPr>
        <w:t xml:space="preserve">, A., </w:t>
      </w:r>
      <w:proofErr w:type="spellStart"/>
      <w:r w:rsidRPr="0075698D">
        <w:rPr>
          <w:rFonts w:eastAsia="Times New Roman" w:cs="Times New Roman"/>
          <w:szCs w:val="24"/>
        </w:rPr>
        <w:t>Aigbavboa</w:t>
      </w:r>
      <w:proofErr w:type="spellEnd"/>
      <w:r w:rsidRPr="0075698D">
        <w:rPr>
          <w:rFonts w:eastAsia="Times New Roman" w:cs="Times New Roman"/>
          <w:szCs w:val="24"/>
        </w:rPr>
        <w:t xml:space="preserve">, C., </w:t>
      </w:r>
      <w:proofErr w:type="spellStart"/>
      <w:r w:rsidRPr="0075698D">
        <w:rPr>
          <w:rFonts w:eastAsia="Times New Roman" w:cs="Times New Roman"/>
          <w:szCs w:val="24"/>
        </w:rPr>
        <w:t>Samsurijan</w:t>
      </w:r>
      <w:proofErr w:type="spellEnd"/>
      <w:r w:rsidRPr="0075698D">
        <w:rPr>
          <w:rFonts w:eastAsia="Times New Roman" w:cs="Times New Roman"/>
          <w:szCs w:val="24"/>
        </w:rPr>
        <w:t xml:space="preserve">, M. S., Radin Firdaus, R., &amp; </w:t>
      </w:r>
      <w:proofErr w:type="spellStart"/>
      <w:r w:rsidRPr="0075698D">
        <w:rPr>
          <w:rFonts w:eastAsia="Times New Roman" w:cs="Times New Roman"/>
          <w:szCs w:val="24"/>
        </w:rPr>
        <w:t>Rohayati</w:t>
      </w:r>
      <w:proofErr w:type="spellEnd"/>
      <w:r w:rsidRPr="0075698D">
        <w:rPr>
          <w:rFonts w:eastAsia="Times New Roman" w:cs="Times New Roman"/>
          <w:szCs w:val="24"/>
        </w:rPr>
        <w:t>, N. (2025). Financial viability and debt management practices in Nigerian state-owned enterprises. Journal of African Public Sector Management, 19(1), 59–74.</w:t>
      </w:r>
    </w:p>
    <w:p w14:paraId="196FD06A"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Emmanson, J., &amp; Ajayi, T. (2021). Fiscal inefficiencies and financial performance in Nigeria’s public enterprises. Public Finance and Management Journal, 17(2), 88–103.</w:t>
      </w:r>
    </w:p>
    <w:p w14:paraId="719B4048"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Erri, F., Olalekan, S., Ugwuanyi, C., </w:t>
      </w:r>
      <w:proofErr w:type="spellStart"/>
      <w:r w:rsidRPr="0075698D">
        <w:rPr>
          <w:rFonts w:eastAsia="Times New Roman" w:cs="Times New Roman"/>
          <w:szCs w:val="24"/>
        </w:rPr>
        <w:t>Olowolaju</w:t>
      </w:r>
      <w:proofErr w:type="spellEnd"/>
      <w:r w:rsidRPr="0075698D">
        <w:rPr>
          <w:rFonts w:eastAsia="Times New Roman" w:cs="Times New Roman"/>
          <w:szCs w:val="24"/>
        </w:rPr>
        <w:t>, A., &amp; Sulaimon, M. (2025). Financial distress indicators in state-owned enterprises: A Nigerian perspective. African Economic Review, 12(1), 33–51.</w:t>
      </w:r>
    </w:p>
    <w:p w14:paraId="6BFDF8D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Gallego-Álvarez, I., &amp; Rodriguez-Dominguez, L. (2025). Transparency, ESG reporting, and financial resilience in public sector entities. Public Sector Accounting Review, 17(2), 77–91.</w:t>
      </w:r>
    </w:p>
    <w:p w14:paraId="093F9B6F"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Gleißner</w:t>
      </w:r>
      <w:proofErr w:type="spellEnd"/>
      <w:r w:rsidRPr="0075698D">
        <w:rPr>
          <w:rFonts w:eastAsia="Times New Roman" w:cs="Times New Roman"/>
          <w:szCs w:val="24"/>
        </w:rPr>
        <w:t xml:space="preserve">, W., Günther, T., &amp; </w:t>
      </w:r>
      <w:proofErr w:type="spellStart"/>
      <w:r w:rsidRPr="0075698D">
        <w:rPr>
          <w:rFonts w:eastAsia="Times New Roman" w:cs="Times New Roman"/>
          <w:szCs w:val="24"/>
        </w:rPr>
        <w:t>Walkshäusl</w:t>
      </w:r>
      <w:proofErr w:type="spellEnd"/>
      <w:r w:rsidRPr="0075698D">
        <w:rPr>
          <w:rFonts w:eastAsia="Times New Roman" w:cs="Times New Roman"/>
          <w:szCs w:val="24"/>
        </w:rPr>
        <w:t>, C. (2022). Integrated financial risk and performance analysis for public enterprises. Journal of Business Economics, 92, 421–442. https://doi.org/10.1007/s11573-021-01042-3</w:t>
      </w:r>
    </w:p>
    <w:p w14:paraId="683AB0A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Greene, W. H. (2012). Econometric analysis (7th ed.). Pearson Education.</w:t>
      </w:r>
    </w:p>
    <w:p w14:paraId="2E9749B6"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Gujarati, D. N., &amp; Porter, D. C. (2009). Basic econometrics (5th ed.). McGraw-Hill/Irwin.</w:t>
      </w:r>
    </w:p>
    <w:p w14:paraId="7CF3A58D"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Hausman, J. A. (1978). Specification tests in econometrics. </w:t>
      </w:r>
      <w:proofErr w:type="spellStart"/>
      <w:r w:rsidRPr="0075698D">
        <w:rPr>
          <w:rFonts w:eastAsia="Times New Roman" w:cs="Times New Roman"/>
          <w:szCs w:val="24"/>
        </w:rPr>
        <w:t>Econometrica</w:t>
      </w:r>
      <w:proofErr w:type="spellEnd"/>
      <w:r w:rsidRPr="0075698D">
        <w:rPr>
          <w:rFonts w:eastAsia="Times New Roman" w:cs="Times New Roman"/>
          <w:szCs w:val="24"/>
        </w:rPr>
        <w:t>, 46(6), 1251–1271. https://doi.org/10.2307/1913827</w:t>
      </w:r>
    </w:p>
    <w:p w14:paraId="2A231BA5"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lastRenderedPageBreak/>
        <w:t>Hristov, I., &amp; Searcy, C. (2025). Climate-related financial risk in public sector governance. Journal of Environmental Accounting and Management, 10(1), 25–41.</w:t>
      </w:r>
    </w:p>
    <w:p w14:paraId="1FE84184"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Israel, M., &amp; Hay, I. (2006). Research ethics for social scientists. Sage Publications.</w:t>
      </w:r>
    </w:p>
    <w:p w14:paraId="2C261DC0"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Johnston, M. P. (2017). Secondary data analysis: A method of which the time has come. Qualitative and Quantitative Methods in Libraries, 3(3), 619–626.</w:t>
      </w:r>
    </w:p>
    <w:p w14:paraId="4D501C7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Kaino, L. M., Mburu, S. K., &amp; Kiragu, D. N. (2025). Financial performance of transport and energy parastatals in Kenya: Sectoral analysis. African Journal of Strategic Management, 9(1), 88–106.</w:t>
      </w:r>
    </w:p>
    <w:p w14:paraId="15604F7B"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Kaiser, K. (2009). Protecting respondent confidentiality in qualitative research. Qualitative Health Research, 19(11), 1632–1641. https://doi.org/10.1177/1049732309350879</w:t>
      </w:r>
    </w:p>
    <w:p w14:paraId="2AD5E426"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Kang, S., &amp; Kim, H. (2020). Interest rate risk and profitability of state-owned enterprises: Evidence from South Korea. Asian Economic Journal, 34(3), 310–329.</w:t>
      </w:r>
    </w:p>
    <w:p w14:paraId="6A9E3DB3"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KenGen</w:t>
      </w:r>
      <w:proofErr w:type="spellEnd"/>
      <w:r w:rsidRPr="0075698D">
        <w:rPr>
          <w:rFonts w:eastAsia="Times New Roman" w:cs="Times New Roman"/>
          <w:szCs w:val="24"/>
        </w:rPr>
        <w:t>. (2024). Financial statements and performance disclosures: 2019–2024. Nairobi: Kenya Electricity Generating Company.</w:t>
      </w:r>
    </w:p>
    <w:p w14:paraId="53B1E932"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Kenya Airways. (2024). Annual financial report for the year ended 2024. Nairobi: Kenya Airways Ltd.</w:t>
      </w:r>
    </w:p>
    <w:p w14:paraId="6B4C15F4"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Khalid, S., Su, H., Weiwei, Z., Voinea, C. L., &amp; Srivastava, A. (2025). Measuring financial health through risk ratios: Global evidence from public enterprises. Journal of Financial Analysis and Policy, 20(1), 14–34.</w:t>
      </w:r>
    </w:p>
    <w:p w14:paraId="60F315F8"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Khan, S. U. (2008). An exploratory study of intellectual capital in banks: Evidence from Pakistan. Journal of Independent Studies and Research, 6(2), 1–28.</w:t>
      </w:r>
    </w:p>
    <w:p w14:paraId="689EAD5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Kothari, C. R. (2004). Research methodology: Methods and techniques (2nd ed.). New Age International Publishers.</w:t>
      </w:r>
    </w:p>
    <w:p w14:paraId="2A6C2803"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Kotolo</w:t>
      </w:r>
      <w:proofErr w:type="spellEnd"/>
      <w:r w:rsidRPr="0075698D">
        <w:rPr>
          <w:rFonts w:eastAsia="Times New Roman" w:cs="Times New Roman"/>
          <w:szCs w:val="24"/>
        </w:rPr>
        <w:t xml:space="preserve">, L., </w:t>
      </w:r>
      <w:proofErr w:type="spellStart"/>
      <w:r w:rsidRPr="0075698D">
        <w:rPr>
          <w:rFonts w:eastAsia="Times New Roman" w:cs="Times New Roman"/>
          <w:szCs w:val="24"/>
        </w:rPr>
        <w:t>Namusonge</w:t>
      </w:r>
      <w:proofErr w:type="spellEnd"/>
      <w:r w:rsidRPr="0075698D">
        <w:rPr>
          <w:rFonts w:eastAsia="Times New Roman" w:cs="Times New Roman"/>
          <w:szCs w:val="24"/>
        </w:rPr>
        <w:t xml:space="preserve">, G., &amp; </w:t>
      </w:r>
      <w:proofErr w:type="spellStart"/>
      <w:r w:rsidRPr="0075698D">
        <w:rPr>
          <w:rFonts w:eastAsia="Times New Roman" w:cs="Times New Roman"/>
          <w:szCs w:val="24"/>
        </w:rPr>
        <w:t>Sasaka</w:t>
      </w:r>
      <w:proofErr w:type="spellEnd"/>
      <w:r w:rsidRPr="0075698D">
        <w:rPr>
          <w:rFonts w:eastAsia="Times New Roman" w:cs="Times New Roman"/>
          <w:szCs w:val="24"/>
        </w:rPr>
        <w:t>, P. (2024). Governance structures and financial risk in Kenyan state corporations. International Journal of Strategic Public Management, 6(2), 120–136.</w:t>
      </w:r>
    </w:p>
    <w:p w14:paraId="1247D349"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KPLC. (2024). Annual report and financial statements for the year ended 2024. Nairobi: Kenya Power and Lighting Company.</w:t>
      </w:r>
    </w:p>
    <w:p w14:paraId="688142FA"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 xml:space="preserve">Kutner, M. H., Nachtsheim, C. J., </w:t>
      </w:r>
      <w:proofErr w:type="spellStart"/>
      <w:r w:rsidRPr="0075698D">
        <w:rPr>
          <w:rFonts w:eastAsia="Times New Roman" w:cs="Times New Roman"/>
          <w:szCs w:val="24"/>
        </w:rPr>
        <w:t>Neter</w:t>
      </w:r>
      <w:proofErr w:type="spellEnd"/>
      <w:r w:rsidRPr="0075698D">
        <w:rPr>
          <w:rFonts w:eastAsia="Times New Roman" w:cs="Times New Roman"/>
          <w:szCs w:val="24"/>
        </w:rPr>
        <w:t>, J., &amp; Li, W. (2004). Applied linear statistical models (5th ed.). McGraw-Hill/Irwin.</w:t>
      </w:r>
    </w:p>
    <w:p w14:paraId="41F35826"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Mageto, J. (2022). Interest rate exposure and debt management in Kenyan state entities. Journal of Public Sector Finance, 10(1), 66–82.</w:t>
      </w:r>
    </w:p>
    <w:p w14:paraId="2F896FCA"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Mansilla, C., &amp; Vassallo, J. M. (2020). Innovative financing and financial performance in Chilean PPPs. Journal of Infrastructure Systems, 26(2), 04020010. https://doi.org/10.1061/(ASCE)IS.1943-555X.0000540</w:t>
      </w:r>
    </w:p>
    <w:p w14:paraId="469264E2"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Malatji, M. S. (2020). Leverage and financial performance of state-owned enterprises in South Africa. South African Journal of Economic Management, 23(1), 1–12.</w:t>
      </w:r>
    </w:p>
    <w:p w14:paraId="79351D65"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lastRenderedPageBreak/>
        <w:t xml:space="preserve">Mwangi, M., </w:t>
      </w:r>
      <w:proofErr w:type="spellStart"/>
      <w:r w:rsidRPr="0075698D">
        <w:rPr>
          <w:rFonts w:eastAsia="Times New Roman" w:cs="Times New Roman"/>
          <w:szCs w:val="24"/>
        </w:rPr>
        <w:t>Ong’era</w:t>
      </w:r>
      <w:proofErr w:type="spellEnd"/>
      <w:r w:rsidRPr="0075698D">
        <w:rPr>
          <w:rFonts w:eastAsia="Times New Roman" w:cs="Times New Roman"/>
          <w:szCs w:val="24"/>
        </w:rPr>
        <w:t>, E. M., &amp; Matanda, A. (2022). Financial risk and performance of listed commercial banks in Kenya. International Journal of Finance and Accounting, 11(2), 33–45.</w:t>
      </w:r>
    </w:p>
    <w:p w14:paraId="05B5B018"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Mutua, J. (2021). Interest rate risk and financial performance of selected state corporations in Kenya. International Journal of Economics and Finance, 13(5), 114–125.</w:t>
      </w:r>
    </w:p>
    <w:p w14:paraId="26313AB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Mwangi, P. (2022). Solvency risk and financial performance of state-owned enterprises in Kenya. African Journal of Business Research, 6(2), 45–61.</w:t>
      </w:r>
    </w:p>
    <w:p w14:paraId="49A59E6C"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Mugenda, O. M., &amp; Mugenda, A. G. (2003). Research methods: Quantitative and qualitative approaches. Acts Press.</w:t>
      </w:r>
    </w:p>
    <w:p w14:paraId="71BB7451"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National Treasury. (2024). State Corporations Fiscal Risk Statement 2024. Nairobi: Government of Kenya.</w:t>
      </w:r>
    </w:p>
    <w:p w14:paraId="3F6A3486"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Nhete, T. (2021). Financial sustainability of parastatals: Governance and cost control dimensions. Southern African Journal of Public Administration, 19(3), 113–129.</w:t>
      </w:r>
    </w:p>
    <w:p w14:paraId="686DBE2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Nkatha, N. (2022). The rising public debt in Kenya: A parastatal performance perspective. East African Journal of Economics and Public Policy, 5(1), 22–39.</w:t>
      </w:r>
    </w:p>
    <w:p w14:paraId="55242D2A"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Nyambura, L. (2021). Foreign exchange risk and performance of state-owned enterprises in Kenya. Kenya Journal of Finance and Accounting, 12(1), 75–90.</w:t>
      </w:r>
    </w:p>
    <w:p w14:paraId="67E5860A"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Office of the Auditor General. (2024). Audit report on selected CSC 2023/2024. Nairobi: Republic of Kenya.</w:t>
      </w:r>
    </w:p>
    <w:p w14:paraId="6B54090B"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Owino, P., Irungu, G., &amp; Muchiri, J. (2025). Cash flow indicators and financial health in SMEs and SOEs. Journal of Emerging Market Finance and Accounting, 14(2), 156–171.</w:t>
      </w:r>
    </w:p>
    <w:p w14:paraId="11EBDBEB"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Perțicas</w:t>
      </w:r>
      <w:proofErr w:type="spellEnd"/>
      <w:r w:rsidRPr="0075698D">
        <w:rPr>
          <w:rFonts w:eastAsia="Times New Roman" w:cs="Times New Roman"/>
          <w:szCs w:val="24"/>
        </w:rPr>
        <w:t>, A., Florea, R., &amp; Borodin, A. (2025). Corporate sustainability entrepreneurship in Romanian public enterprises. Central European Review of Economics &amp; Management, 9(1), 59–78.</w:t>
      </w:r>
    </w:p>
    <w:p w14:paraId="20606FA9"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Resnik, D. B. (2018). The ethics of research with human subjects: Protecting people, advancing science, promoting trust. Springer.</w:t>
      </w:r>
    </w:p>
    <w:p w14:paraId="2EA85D18"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Saunders, M., Lewis, P., &amp; Thornhill, A. (2019). Research methods for business students (8th ed.). Pearson Education.</w:t>
      </w:r>
    </w:p>
    <w:p w14:paraId="0C082C20"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Sekaran, U., &amp; Bougie, R. (2019). Research methods for business: A skill-building approach (8th ed.). Wiley.</w:t>
      </w:r>
    </w:p>
    <w:p w14:paraId="30918943"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Tumwesigye, P., Nuwagaba, A., &amp; Mwesige, D. (2022). Foreign exchange risk management and profitability of Ugandan state corporations. East African Business Review, 8(2), 99–115.</w:t>
      </w:r>
    </w:p>
    <w:p w14:paraId="5A4BADAC" w14:textId="77777777"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Tsindeliani</w:t>
      </w:r>
      <w:proofErr w:type="spellEnd"/>
      <w:r w:rsidRPr="0075698D">
        <w:rPr>
          <w:rFonts w:eastAsia="Times New Roman" w:cs="Times New Roman"/>
          <w:szCs w:val="24"/>
        </w:rPr>
        <w:t>, I., Gerashchenko, M., Zaitseva, N., Larionova, A., &amp; Kalinina, O. (2019). Efficiency of financial strategies in public sector enterprises. Entrepreneurship and Sustainability Issues, 6(4), 1791–1806. https://doi.org/10.9770/jesi.2019.6.4(10)</w:t>
      </w:r>
    </w:p>
    <w:p w14:paraId="245293A0"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Vartanian, T. P. (2011). Secondary data analysis. Oxford University Press.</w:t>
      </w:r>
    </w:p>
    <w:p w14:paraId="0EF6296F"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Verbeek, M. (2012). A guide to modern econometrics (4th ed.). John Wiley &amp; Sons.</w:t>
      </w:r>
    </w:p>
    <w:p w14:paraId="14A045AB"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lastRenderedPageBreak/>
        <w:t>Wooldridge, J. M. (2013). Introductory econometrics: A modern approach (5th ed.). South-Western Cengage Learning.</w:t>
      </w:r>
    </w:p>
    <w:p w14:paraId="639D6964"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Wooldridge, J. M. (2016). Econometric analysis of cross section and panel data (2nd ed.). MIT Press.</w:t>
      </w:r>
    </w:p>
    <w:p w14:paraId="28E10AFB"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World Bank. (2021). Kenya State-Owned Enterprises Review: Governance and financial sustainability. Washington, DC: World Bank.</w:t>
      </w:r>
    </w:p>
    <w:p w14:paraId="5C6EF701" w14:textId="78557393" w:rsidR="0075698D" w:rsidRPr="0075698D" w:rsidRDefault="0075698D" w:rsidP="0075698D">
      <w:pPr>
        <w:spacing w:before="100" w:beforeAutospacing="1" w:after="100" w:afterAutospacing="1" w:line="240" w:lineRule="auto"/>
        <w:rPr>
          <w:rFonts w:eastAsia="Times New Roman" w:cs="Times New Roman"/>
          <w:szCs w:val="24"/>
        </w:rPr>
      </w:pPr>
      <w:proofErr w:type="spellStart"/>
      <w:r w:rsidRPr="0075698D">
        <w:rPr>
          <w:rFonts w:eastAsia="Times New Roman" w:cs="Times New Roman"/>
          <w:szCs w:val="24"/>
        </w:rPr>
        <w:t>Yetano</w:t>
      </w:r>
      <w:proofErr w:type="spellEnd"/>
      <w:r w:rsidRPr="0075698D">
        <w:rPr>
          <w:rFonts w:eastAsia="Times New Roman" w:cs="Times New Roman"/>
          <w:szCs w:val="24"/>
        </w:rPr>
        <w:t xml:space="preserve"> Roche, M., </w:t>
      </w:r>
      <w:proofErr w:type="spellStart"/>
      <w:r w:rsidRPr="0075698D">
        <w:rPr>
          <w:rFonts w:eastAsia="Times New Roman" w:cs="Times New Roman"/>
          <w:szCs w:val="24"/>
        </w:rPr>
        <w:t>Verolme</w:t>
      </w:r>
      <w:proofErr w:type="spellEnd"/>
      <w:r w:rsidRPr="0075698D">
        <w:rPr>
          <w:rFonts w:eastAsia="Times New Roman" w:cs="Times New Roman"/>
          <w:szCs w:val="24"/>
        </w:rPr>
        <w:t xml:space="preserve">, H., </w:t>
      </w:r>
      <w:proofErr w:type="spellStart"/>
      <w:r w:rsidRPr="0075698D">
        <w:rPr>
          <w:rFonts w:eastAsia="Times New Roman" w:cs="Times New Roman"/>
          <w:szCs w:val="24"/>
        </w:rPr>
        <w:t>Agbaegbu</w:t>
      </w:r>
      <w:proofErr w:type="spellEnd"/>
      <w:r w:rsidRPr="0075698D">
        <w:rPr>
          <w:rFonts w:eastAsia="Times New Roman" w:cs="Times New Roman"/>
          <w:szCs w:val="24"/>
        </w:rPr>
        <w:t xml:space="preserve">, T., Binnington, H., </w:t>
      </w:r>
      <w:proofErr w:type="spellStart"/>
      <w:r w:rsidRPr="0075698D">
        <w:rPr>
          <w:rFonts w:eastAsia="Times New Roman" w:cs="Times New Roman"/>
          <w:szCs w:val="24"/>
        </w:rPr>
        <w:t>Fischedick</w:t>
      </w:r>
      <w:proofErr w:type="spellEnd"/>
      <w:r w:rsidRPr="0075698D">
        <w:rPr>
          <w:rFonts w:eastAsia="Times New Roman" w:cs="Times New Roman"/>
          <w:szCs w:val="24"/>
        </w:rPr>
        <w:t>, M., &amp; Oladipo, A. (2020). Power sector recovery and financial stress in Nigeria. Climate Policy Initiative Report. https://climatepolicyinitiative.org/</w:t>
      </w:r>
    </w:p>
    <w:p w14:paraId="2806C791" w14:textId="77777777" w:rsidR="0075698D" w:rsidRPr="0075698D"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Zabolotnyy, S., &amp; Wasilewski, M. (2019). Assessing financial health through liquidity, solvency, and profitability: A public sector perspective. Sustainability, 11(20), 5781. https://doi.org/10.3390/su11205781</w:t>
      </w:r>
    </w:p>
    <w:p w14:paraId="7B14AAA4" w14:textId="2722D63A" w:rsidR="00B26084" w:rsidRPr="00FB4F47" w:rsidRDefault="0075698D" w:rsidP="0075698D">
      <w:pPr>
        <w:spacing w:before="100" w:beforeAutospacing="1" w:after="100" w:afterAutospacing="1" w:line="240" w:lineRule="auto"/>
        <w:rPr>
          <w:rFonts w:eastAsia="Times New Roman" w:cs="Times New Roman"/>
          <w:szCs w:val="24"/>
        </w:rPr>
      </w:pPr>
      <w:r w:rsidRPr="0075698D">
        <w:rPr>
          <w:rFonts w:eastAsia="Times New Roman" w:cs="Times New Roman"/>
          <w:szCs w:val="24"/>
        </w:rPr>
        <w:t>Zhao, H., Guo, S., Yuan, J., Wu, Y., Li, J., Zhou, J., &amp; Kang, X. (2018). Financial risk and exchange rate exposure in public firms. Journal of Risk and Financial Management, 11(4), 73. https://doi.org/10.3390/jrfm11040073</w:t>
      </w:r>
      <w:r w:rsidR="00B26084" w:rsidRPr="00FB4F47">
        <w:rPr>
          <w:rFonts w:eastAsia="Times New Roman" w:cs="Times New Roman"/>
          <w:szCs w:val="24"/>
        </w:rPr>
        <w:t>.</w:t>
      </w:r>
    </w:p>
    <w:p w14:paraId="3A81360F" w14:textId="77777777" w:rsidR="00B26084" w:rsidRPr="007A56B8" w:rsidRDefault="00B26084" w:rsidP="002151BA">
      <w:pPr>
        <w:shd w:val="clear" w:color="auto" w:fill="FFFFFF"/>
        <w:spacing w:line="240" w:lineRule="auto"/>
        <w:rPr>
          <w:rFonts w:eastAsia="Times New Roman" w:cs="Times New Roman"/>
          <w:b/>
          <w:bCs/>
          <w:color w:val="000000" w:themeColor="text1"/>
          <w:sz w:val="28"/>
          <w:szCs w:val="28"/>
        </w:rPr>
      </w:pPr>
    </w:p>
    <w:sectPr w:rsidR="00B26084" w:rsidRPr="007A56B8"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50D7" w14:textId="77777777" w:rsidR="00961472" w:rsidRDefault="00961472">
      <w:pPr>
        <w:spacing w:before="0" w:line="240" w:lineRule="auto"/>
      </w:pPr>
      <w:r>
        <w:separator/>
      </w:r>
    </w:p>
  </w:endnote>
  <w:endnote w:type="continuationSeparator" w:id="0">
    <w:p w14:paraId="0BC8805F" w14:textId="77777777" w:rsidR="00961472" w:rsidRDefault="009614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28D3" w14:textId="7D9E6AB6" w:rsidR="004A12F4" w:rsidRPr="008A0558" w:rsidRDefault="00000000">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8E7193">
          <w:rPr>
            <w:noProof/>
            <w:sz w:val="20"/>
            <w:szCs w:val="18"/>
          </w:rPr>
          <w:t>3</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3498" w14:textId="77777777" w:rsidR="00961472" w:rsidRDefault="00961472">
      <w:pPr>
        <w:spacing w:before="0" w:line="240" w:lineRule="auto"/>
      </w:pPr>
      <w:r>
        <w:separator/>
      </w:r>
    </w:p>
  </w:footnote>
  <w:footnote w:type="continuationSeparator" w:id="0">
    <w:p w14:paraId="61D75CD5" w14:textId="77777777" w:rsidR="00961472" w:rsidRDefault="009614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2595" w14:textId="0FBE390D" w:rsidR="00F81C76" w:rsidRDefault="00F81C76">
    <w:pPr>
      <w:pStyle w:val="Header"/>
    </w:pPr>
    <w:r>
      <w:rPr>
        <w:noProof/>
      </w:rPr>
      <w:pict w14:anchorId="728FB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79672" o:spid="_x0000_s1026"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F51D" w14:textId="5D064B61" w:rsidR="00F81C76" w:rsidRDefault="00F81C76">
    <w:pPr>
      <w:pStyle w:val="Header"/>
    </w:pPr>
    <w:r>
      <w:rPr>
        <w:noProof/>
      </w:rPr>
      <w:pict w14:anchorId="52C14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79673" o:spid="_x0000_s1027" type="#_x0000_t136" style="position:absolute;left:0;text-align:left;margin-left:0;margin-top:0;width:698.65pt;height:78.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CE2B" w14:textId="38A0E4DF" w:rsidR="00F81C76" w:rsidRDefault="00F81C76">
    <w:pPr>
      <w:pStyle w:val="Header"/>
    </w:pPr>
    <w:r>
      <w:rPr>
        <w:noProof/>
      </w:rPr>
      <w:pict w14:anchorId="2189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79671" o:spid="_x0000_s1025"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437826242">
    <w:abstractNumId w:val="4"/>
  </w:num>
  <w:num w:numId="2" w16cid:durableId="568347541">
    <w:abstractNumId w:val="16"/>
  </w:num>
  <w:num w:numId="3" w16cid:durableId="916599378">
    <w:abstractNumId w:val="23"/>
  </w:num>
  <w:num w:numId="4" w16cid:durableId="24017255">
    <w:abstractNumId w:val="22"/>
  </w:num>
  <w:num w:numId="5" w16cid:durableId="1518888402">
    <w:abstractNumId w:val="17"/>
  </w:num>
  <w:num w:numId="6" w16cid:durableId="1264069668">
    <w:abstractNumId w:val="20"/>
  </w:num>
  <w:num w:numId="7" w16cid:durableId="761874300">
    <w:abstractNumId w:val="3"/>
  </w:num>
  <w:num w:numId="8" w16cid:durableId="652029435">
    <w:abstractNumId w:val="0"/>
  </w:num>
  <w:num w:numId="9" w16cid:durableId="728186789">
    <w:abstractNumId w:val="12"/>
  </w:num>
  <w:num w:numId="10" w16cid:durableId="1433088797">
    <w:abstractNumId w:val="5"/>
  </w:num>
  <w:num w:numId="11" w16cid:durableId="1903903080">
    <w:abstractNumId w:val="1"/>
  </w:num>
  <w:num w:numId="12" w16cid:durableId="2084527911">
    <w:abstractNumId w:val="11"/>
  </w:num>
  <w:num w:numId="13" w16cid:durableId="773522434">
    <w:abstractNumId w:val="14"/>
  </w:num>
  <w:num w:numId="14" w16cid:durableId="122693730">
    <w:abstractNumId w:val="19"/>
  </w:num>
  <w:num w:numId="15" w16cid:durableId="1491553884">
    <w:abstractNumId w:val="2"/>
  </w:num>
  <w:num w:numId="16" w16cid:durableId="1999725520">
    <w:abstractNumId w:val="10"/>
  </w:num>
  <w:num w:numId="17" w16cid:durableId="487939640">
    <w:abstractNumId w:val="7"/>
  </w:num>
  <w:num w:numId="18" w16cid:durableId="983237224">
    <w:abstractNumId w:val="15"/>
  </w:num>
  <w:num w:numId="19" w16cid:durableId="958294442">
    <w:abstractNumId w:val="13"/>
  </w:num>
  <w:num w:numId="20" w16cid:durableId="240725032">
    <w:abstractNumId w:val="6"/>
  </w:num>
  <w:num w:numId="21" w16cid:durableId="366181188">
    <w:abstractNumId w:val="8"/>
  </w:num>
  <w:num w:numId="22" w16cid:durableId="1656957129">
    <w:abstractNumId w:val="21"/>
  </w:num>
  <w:num w:numId="23" w16cid:durableId="1462503913">
    <w:abstractNumId w:val="9"/>
  </w:num>
  <w:num w:numId="24" w16cid:durableId="5653422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61DC"/>
    <w:rsid w:val="00047D61"/>
    <w:rsid w:val="00055D83"/>
    <w:rsid w:val="000577EB"/>
    <w:rsid w:val="0006448B"/>
    <w:rsid w:val="00064933"/>
    <w:rsid w:val="000650BC"/>
    <w:rsid w:val="000661F9"/>
    <w:rsid w:val="00073097"/>
    <w:rsid w:val="000747C2"/>
    <w:rsid w:val="000750F8"/>
    <w:rsid w:val="00076BA5"/>
    <w:rsid w:val="000804D7"/>
    <w:rsid w:val="00082DAA"/>
    <w:rsid w:val="00087A1D"/>
    <w:rsid w:val="0009733F"/>
    <w:rsid w:val="000A3BD7"/>
    <w:rsid w:val="000A56D7"/>
    <w:rsid w:val="000A57EC"/>
    <w:rsid w:val="000A6884"/>
    <w:rsid w:val="000B496D"/>
    <w:rsid w:val="000B6AD0"/>
    <w:rsid w:val="000C037E"/>
    <w:rsid w:val="000D075E"/>
    <w:rsid w:val="000D0F56"/>
    <w:rsid w:val="000D1B44"/>
    <w:rsid w:val="000D7152"/>
    <w:rsid w:val="000D7DAA"/>
    <w:rsid w:val="000E2349"/>
    <w:rsid w:val="000F4A65"/>
    <w:rsid w:val="00111B62"/>
    <w:rsid w:val="001163C7"/>
    <w:rsid w:val="00124253"/>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052A"/>
    <w:rsid w:val="001E2156"/>
    <w:rsid w:val="001E21F0"/>
    <w:rsid w:val="001E5289"/>
    <w:rsid w:val="001E649F"/>
    <w:rsid w:val="001F024F"/>
    <w:rsid w:val="001F27A6"/>
    <w:rsid w:val="001F2B0E"/>
    <w:rsid w:val="001F51C1"/>
    <w:rsid w:val="001F7468"/>
    <w:rsid w:val="00204AAD"/>
    <w:rsid w:val="0021142D"/>
    <w:rsid w:val="002151BA"/>
    <w:rsid w:val="0021533F"/>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E15"/>
    <w:rsid w:val="002C6F25"/>
    <w:rsid w:val="002C72A3"/>
    <w:rsid w:val="002D1CB2"/>
    <w:rsid w:val="002D32ED"/>
    <w:rsid w:val="002D4259"/>
    <w:rsid w:val="002D696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853CB"/>
    <w:rsid w:val="003A2387"/>
    <w:rsid w:val="003C4227"/>
    <w:rsid w:val="003C581F"/>
    <w:rsid w:val="003C59BB"/>
    <w:rsid w:val="003C7107"/>
    <w:rsid w:val="003D2541"/>
    <w:rsid w:val="003D39AB"/>
    <w:rsid w:val="003D4D6F"/>
    <w:rsid w:val="003D4FD6"/>
    <w:rsid w:val="003D7198"/>
    <w:rsid w:val="003E0D69"/>
    <w:rsid w:val="003E0FAD"/>
    <w:rsid w:val="003E21E7"/>
    <w:rsid w:val="003E38F0"/>
    <w:rsid w:val="003E7E33"/>
    <w:rsid w:val="003F01AE"/>
    <w:rsid w:val="003F72A0"/>
    <w:rsid w:val="00406845"/>
    <w:rsid w:val="004071F4"/>
    <w:rsid w:val="00407977"/>
    <w:rsid w:val="0041566F"/>
    <w:rsid w:val="00415ABE"/>
    <w:rsid w:val="004165B3"/>
    <w:rsid w:val="00416E73"/>
    <w:rsid w:val="00421CF2"/>
    <w:rsid w:val="0042251A"/>
    <w:rsid w:val="004261F9"/>
    <w:rsid w:val="00426201"/>
    <w:rsid w:val="00426617"/>
    <w:rsid w:val="00426CDB"/>
    <w:rsid w:val="00437393"/>
    <w:rsid w:val="00440EF7"/>
    <w:rsid w:val="00451ECC"/>
    <w:rsid w:val="00461572"/>
    <w:rsid w:val="00462C20"/>
    <w:rsid w:val="004737A8"/>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7EEF"/>
    <w:rsid w:val="004E3D2D"/>
    <w:rsid w:val="004E4A2C"/>
    <w:rsid w:val="004F5A5D"/>
    <w:rsid w:val="00500683"/>
    <w:rsid w:val="00505972"/>
    <w:rsid w:val="00511FA2"/>
    <w:rsid w:val="0051495F"/>
    <w:rsid w:val="00526412"/>
    <w:rsid w:val="0052667E"/>
    <w:rsid w:val="00533290"/>
    <w:rsid w:val="005417F4"/>
    <w:rsid w:val="0054398C"/>
    <w:rsid w:val="00546369"/>
    <w:rsid w:val="00556C7C"/>
    <w:rsid w:val="00561737"/>
    <w:rsid w:val="00563CE7"/>
    <w:rsid w:val="00563F35"/>
    <w:rsid w:val="005666F9"/>
    <w:rsid w:val="005713C2"/>
    <w:rsid w:val="00571717"/>
    <w:rsid w:val="00571F99"/>
    <w:rsid w:val="005740B5"/>
    <w:rsid w:val="00575F00"/>
    <w:rsid w:val="00580F0A"/>
    <w:rsid w:val="00591DBD"/>
    <w:rsid w:val="005926C9"/>
    <w:rsid w:val="00594F68"/>
    <w:rsid w:val="005B04D7"/>
    <w:rsid w:val="005B0558"/>
    <w:rsid w:val="005D3FE1"/>
    <w:rsid w:val="005D72F4"/>
    <w:rsid w:val="005E3D2C"/>
    <w:rsid w:val="005F19B0"/>
    <w:rsid w:val="005F1DA5"/>
    <w:rsid w:val="005F2F50"/>
    <w:rsid w:val="005F55CB"/>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5AA2"/>
    <w:rsid w:val="0071731F"/>
    <w:rsid w:val="007173FC"/>
    <w:rsid w:val="007205CE"/>
    <w:rsid w:val="00722A32"/>
    <w:rsid w:val="00723B81"/>
    <w:rsid w:val="007313ED"/>
    <w:rsid w:val="00750F50"/>
    <w:rsid w:val="0075698D"/>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63107"/>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E7193"/>
    <w:rsid w:val="008F4E62"/>
    <w:rsid w:val="00906288"/>
    <w:rsid w:val="00912F66"/>
    <w:rsid w:val="009179CC"/>
    <w:rsid w:val="0092006B"/>
    <w:rsid w:val="00923422"/>
    <w:rsid w:val="00925466"/>
    <w:rsid w:val="0092720B"/>
    <w:rsid w:val="00935ABF"/>
    <w:rsid w:val="00945F70"/>
    <w:rsid w:val="00961472"/>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0E7"/>
    <w:rsid w:val="009E457F"/>
    <w:rsid w:val="009E783A"/>
    <w:rsid w:val="009F303A"/>
    <w:rsid w:val="009F3871"/>
    <w:rsid w:val="009F5632"/>
    <w:rsid w:val="009F6D2D"/>
    <w:rsid w:val="00A00A05"/>
    <w:rsid w:val="00A0120F"/>
    <w:rsid w:val="00A01B25"/>
    <w:rsid w:val="00A01E19"/>
    <w:rsid w:val="00A15B6B"/>
    <w:rsid w:val="00A22EB7"/>
    <w:rsid w:val="00A27439"/>
    <w:rsid w:val="00A31119"/>
    <w:rsid w:val="00A40F08"/>
    <w:rsid w:val="00A52C12"/>
    <w:rsid w:val="00A57832"/>
    <w:rsid w:val="00A616A9"/>
    <w:rsid w:val="00A6679B"/>
    <w:rsid w:val="00A67F40"/>
    <w:rsid w:val="00A73EDF"/>
    <w:rsid w:val="00A75341"/>
    <w:rsid w:val="00A81F27"/>
    <w:rsid w:val="00A82DFB"/>
    <w:rsid w:val="00A85593"/>
    <w:rsid w:val="00A85B82"/>
    <w:rsid w:val="00A91ACF"/>
    <w:rsid w:val="00A91C98"/>
    <w:rsid w:val="00A9253F"/>
    <w:rsid w:val="00A94D23"/>
    <w:rsid w:val="00A9586C"/>
    <w:rsid w:val="00A96A1E"/>
    <w:rsid w:val="00AC0D69"/>
    <w:rsid w:val="00AC2144"/>
    <w:rsid w:val="00AD0959"/>
    <w:rsid w:val="00AD4106"/>
    <w:rsid w:val="00AD50D3"/>
    <w:rsid w:val="00AD6429"/>
    <w:rsid w:val="00AE3804"/>
    <w:rsid w:val="00AE3911"/>
    <w:rsid w:val="00AE4AA5"/>
    <w:rsid w:val="00AE69E8"/>
    <w:rsid w:val="00AF253B"/>
    <w:rsid w:val="00AF38F9"/>
    <w:rsid w:val="00AF46F3"/>
    <w:rsid w:val="00B00FCB"/>
    <w:rsid w:val="00B03327"/>
    <w:rsid w:val="00B04E6C"/>
    <w:rsid w:val="00B05A71"/>
    <w:rsid w:val="00B108BB"/>
    <w:rsid w:val="00B14085"/>
    <w:rsid w:val="00B14EAC"/>
    <w:rsid w:val="00B2188D"/>
    <w:rsid w:val="00B22173"/>
    <w:rsid w:val="00B26084"/>
    <w:rsid w:val="00B34C82"/>
    <w:rsid w:val="00B3762C"/>
    <w:rsid w:val="00B40B7A"/>
    <w:rsid w:val="00B40DD3"/>
    <w:rsid w:val="00B449E1"/>
    <w:rsid w:val="00B44AE3"/>
    <w:rsid w:val="00B44B78"/>
    <w:rsid w:val="00B55CEF"/>
    <w:rsid w:val="00B55DC9"/>
    <w:rsid w:val="00B67158"/>
    <w:rsid w:val="00B717D1"/>
    <w:rsid w:val="00B722A9"/>
    <w:rsid w:val="00B836B4"/>
    <w:rsid w:val="00B85E42"/>
    <w:rsid w:val="00B87A83"/>
    <w:rsid w:val="00B93488"/>
    <w:rsid w:val="00B9497F"/>
    <w:rsid w:val="00BA3575"/>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21D61"/>
    <w:rsid w:val="00C237CE"/>
    <w:rsid w:val="00C25488"/>
    <w:rsid w:val="00C32AB8"/>
    <w:rsid w:val="00C4118B"/>
    <w:rsid w:val="00C54577"/>
    <w:rsid w:val="00C67694"/>
    <w:rsid w:val="00C864EE"/>
    <w:rsid w:val="00C9348C"/>
    <w:rsid w:val="00C937F1"/>
    <w:rsid w:val="00C95979"/>
    <w:rsid w:val="00CA2418"/>
    <w:rsid w:val="00CA37C0"/>
    <w:rsid w:val="00CA6BD4"/>
    <w:rsid w:val="00CB6E82"/>
    <w:rsid w:val="00CD4379"/>
    <w:rsid w:val="00CE0AFF"/>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A64CE"/>
    <w:rsid w:val="00DB266B"/>
    <w:rsid w:val="00DB408B"/>
    <w:rsid w:val="00DC20F2"/>
    <w:rsid w:val="00DC406B"/>
    <w:rsid w:val="00DC4076"/>
    <w:rsid w:val="00DC411F"/>
    <w:rsid w:val="00DD21C0"/>
    <w:rsid w:val="00DE2430"/>
    <w:rsid w:val="00DE5974"/>
    <w:rsid w:val="00DE6047"/>
    <w:rsid w:val="00DF126E"/>
    <w:rsid w:val="00E05059"/>
    <w:rsid w:val="00E0554F"/>
    <w:rsid w:val="00E07021"/>
    <w:rsid w:val="00E1065F"/>
    <w:rsid w:val="00E1453F"/>
    <w:rsid w:val="00E160F3"/>
    <w:rsid w:val="00E17890"/>
    <w:rsid w:val="00E22B03"/>
    <w:rsid w:val="00E22FC8"/>
    <w:rsid w:val="00E236F2"/>
    <w:rsid w:val="00E24AB2"/>
    <w:rsid w:val="00E270A8"/>
    <w:rsid w:val="00E31A3E"/>
    <w:rsid w:val="00E3230A"/>
    <w:rsid w:val="00E3709F"/>
    <w:rsid w:val="00E41E2F"/>
    <w:rsid w:val="00E448DE"/>
    <w:rsid w:val="00E468EC"/>
    <w:rsid w:val="00E5141C"/>
    <w:rsid w:val="00E54B24"/>
    <w:rsid w:val="00E550A5"/>
    <w:rsid w:val="00E57ADC"/>
    <w:rsid w:val="00E60AE6"/>
    <w:rsid w:val="00E63B72"/>
    <w:rsid w:val="00E63DD0"/>
    <w:rsid w:val="00E65193"/>
    <w:rsid w:val="00E70601"/>
    <w:rsid w:val="00E728DB"/>
    <w:rsid w:val="00E730D7"/>
    <w:rsid w:val="00E737F5"/>
    <w:rsid w:val="00E73E17"/>
    <w:rsid w:val="00E75DCB"/>
    <w:rsid w:val="00E75EA3"/>
    <w:rsid w:val="00E77E87"/>
    <w:rsid w:val="00E819C7"/>
    <w:rsid w:val="00E85394"/>
    <w:rsid w:val="00E85589"/>
    <w:rsid w:val="00E87A78"/>
    <w:rsid w:val="00E95BE7"/>
    <w:rsid w:val="00E95FB3"/>
    <w:rsid w:val="00EA355D"/>
    <w:rsid w:val="00EA6B12"/>
    <w:rsid w:val="00EA7AE3"/>
    <w:rsid w:val="00EC58C5"/>
    <w:rsid w:val="00ED008A"/>
    <w:rsid w:val="00EE0214"/>
    <w:rsid w:val="00F00D01"/>
    <w:rsid w:val="00F01BA4"/>
    <w:rsid w:val="00F02225"/>
    <w:rsid w:val="00F05D67"/>
    <w:rsid w:val="00F111A2"/>
    <w:rsid w:val="00F14915"/>
    <w:rsid w:val="00F16858"/>
    <w:rsid w:val="00F23691"/>
    <w:rsid w:val="00F27856"/>
    <w:rsid w:val="00F341B9"/>
    <w:rsid w:val="00F42712"/>
    <w:rsid w:val="00F42A52"/>
    <w:rsid w:val="00F42B0A"/>
    <w:rsid w:val="00F46BA3"/>
    <w:rsid w:val="00F61F6F"/>
    <w:rsid w:val="00F6655B"/>
    <w:rsid w:val="00F74A68"/>
    <w:rsid w:val="00F74BD5"/>
    <w:rsid w:val="00F81C76"/>
    <w:rsid w:val="00F857CA"/>
    <w:rsid w:val="00F926C6"/>
    <w:rsid w:val="00F933EE"/>
    <w:rsid w:val="00F93EB9"/>
    <w:rsid w:val="00FA3A0A"/>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styleId="UnresolvedMention">
    <w:name w:val="Unresolved Mention"/>
    <w:basedOn w:val="DefaultParagraphFont"/>
    <w:uiPriority w:val="99"/>
    <w:semiHidden/>
    <w:unhideWhenUsed/>
    <w:rsid w:val="00E75EA3"/>
    <w:rPr>
      <w:color w:val="605E5C"/>
      <w:shd w:val="clear" w:color="auto" w:fill="E1DFDD"/>
    </w:rPr>
  </w:style>
  <w:style w:type="paragraph" w:customStyle="1" w:styleId="isselectedend">
    <w:name w:val="isselectedend"/>
    <w:basedOn w:val="Normal"/>
    <w:rsid w:val="000B6AD0"/>
    <w:pPr>
      <w:spacing w:before="100" w:beforeAutospacing="1" w:after="100" w:afterAutospacing="1" w:line="240" w:lineRule="auto"/>
      <w:jc w:val="left"/>
    </w:pPr>
    <w:rPr>
      <w:rFonts w:eastAsia="Times New Roman" w:cs="Times New Roman"/>
      <w:color w:val="auto"/>
      <w:szCs w:val="24"/>
      <w:lang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9091</Words>
  <Characters>51819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10</cp:revision>
  <dcterms:created xsi:type="dcterms:W3CDTF">2026-06-11T12:45:00Z</dcterms:created>
  <dcterms:modified xsi:type="dcterms:W3CDTF">2026-06-13T14:22:00Z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