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D64A3" w14:textId="7E9FF0F5" w:rsidR="00491374" w:rsidRDefault="002322A6" w:rsidP="00491374">
      <w:pPr>
        <w:jc w:val="center"/>
        <w:rPr>
          <w:rFonts w:ascii="Times New Roman" w:hAnsi="Times New Roman" w:cs="Times New Roman"/>
          <w:b/>
          <w:bCs/>
          <w:sz w:val="28"/>
          <w:szCs w:val="28"/>
        </w:rPr>
      </w:pPr>
      <w:r w:rsidRPr="00660F58">
        <w:rPr>
          <w:rFonts w:ascii="Times New Roman" w:hAnsi="Times New Roman" w:cs="Times New Roman"/>
          <w:b/>
          <w:bCs/>
          <w:sz w:val="28"/>
          <w:szCs w:val="28"/>
        </w:rPr>
        <w:t xml:space="preserve">THE EFFECT OF </w:t>
      </w:r>
      <w:r>
        <w:rPr>
          <w:rFonts w:ascii="Times New Roman" w:hAnsi="Times New Roman" w:cs="Times New Roman"/>
          <w:b/>
          <w:bCs/>
          <w:sz w:val="28"/>
          <w:szCs w:val="28"/>
        </w:rPr>
        <w:t>T</w:t>
      </w:r>
      <w:r w:rsidRPr="00660F58">
        <w:rPr>
          <w:rFonts w:ascii="Times New Roman" w:hAnsi="Times New Roman" w:cs="Times New Roman"/>
          <w:b/>
          <w:bCs/>
          <w:sz w:val="28"/>
          <w:szCs w:val="28"/>
        </w:rPr>
        <w:t xml:space="preserve">RAINING </w:t>
      </w:r>
      <w:r>
        <w:rPr>
          <w:rFonts w:ascii="Times New Roman" w:hAnsi="Times New Roman" w:cs="Times New Roman"/>
          <w:b/>
          <w:bCs/>
          <w:sz w:val="28"/>
          <w:szCs w:val="28"/>
        </w:rPr>
        <w:t>I</w:t>
      </w:r>
      <w:r w:rsidRPr="00660F58">
        <w:rPr>
          <w:rFonts w:ascii="Times New Roman" w:hAnsi="Times New Roman" w:cs="Times New Roman"/>
          <w:b/>
          <w:bCs/>
          <w:sz w:val="28"/>
          <w:szCs w:val="28"/>
        </w:rPr>
        <w:t xml:space="preserve">NVESTMENT ON </w:t>
      </w:r>
      <w:r w:rsidR="00471B52">
        <w:rPr>
          <w:rFonts w:ascii="Times New Roman" w:hAnsi="Times New Roman" w:cs="Times New Roman"/>
          <w:b/>
          <w:bCs/>
          <w:sz w:val="28"/>
          <w:szCs w:val="28"/>
        </w:rPr>
        <w:t>FIRM VALUE</w:t>
      </w:r>
      <w:r w:rsidRPr="00660F58">
        <w:rPr>
          <w:rFonts w:ascii="Times New Roman" w:hAnsi="Times New Roman" w:cs="Times New Roman"/>
          <w:b/>
          <w:bCs/>
          <w:sz w:val="28"/>
          <w:szCs w:val="28"/>
        </w:rPr>
        <w:t xml:space="preserve"> OF LISTED OIL AND GAS FIRMS IN NIGERIA: THE MODERATING ROLE OF </w:t>
      </w:r>
      <w:r w:rsidR="00471B52">
        <w:rPr>
          <w:rFonts w:ascii="Times New Roman" w:hAnsi="Times New Roman" w:cs="Times New Roman"/>
          <w:b/>
          <w:bCs/>
          <w:sz w:val="28"/>
          <w:szCs w:val="28"/>
        </w:rPr>
        <w:t>BOARD INDEPENDENCE</w:t>
      </w:r>
    </w:p>
    <w:p w14:paraId="58EBF1EB" w14:textId="77777777" w:rsidR="006E10D7" w:rsidRDefault="006E10D7" w:rsidP="00491374">
      <w:pPr>
        <w:jc w:val="center"/>
        <w:rPr>
          <w:rFonts w:ascii="Times New Roman" w:hAnsi="Times New Roman" w:cs="Times New Roman"/>
          <w:b/>
          <w:bCs/>
          <w:sz w:val="28"/>
          <w:szCs w:val="28"/>
        </w:rPr>
      </w:pPr>
    </w:p>
    <w:p w14:paraId="28759783" w14:textId="20E7D8FC" w:rsidR="00CF272B" w:rsidRDefault="00CF272B" w:rsidP="007D08FC">
      <w:pPr>
        <w:rPr>
          <w:rFonts w:ascii="Times New Roman" w:hAnsi="Times New Roman" w:cs="Times New Roman"/>
          <w:lang w:val="en-GB"/>
        </w:rPr>
      </w:pPr>
    </w:p>
    <w:p w14:paraId="797BF3AA" w14:textId="233FC2D6" w:rsidR="00D2041B" w:rsidRDefault="00D2041B" w:rsidP="007D08FC">
      <w:pPr>
        <w:rPr>
          <w:rFonts w:ascii="Times New Roman" w:hAnsi="Times New Roman" w:cs="Times New Roman"/>
          <w:b/>
          <w:bCs/>
        </w:rPr>
      </w:pPr>
    </w:p>
    <w:p w14:paraId="60224BCE" w14:textId="77777777" w:rsidR="00D2041B" w:rsidRDefault="00D2041B" w:rsidP="007D08FC">
      <w:pPr>
        <w:rPr>
          <w:rFonts w:ascii="Times New Roman" w:hAnsi="Times New Roman" w:cs="Times New Roman"/>
          <w:b/>
          <w:bCs/>
        </w:rPr>
      </w:pPr>
    </w:p>
    <w:p w14:paraId="04F23827" w14:textId="528DE421" w:rsidR="007D08FC" w:rsidRDefault="007D08FC" w:rsidP="00CF272B">
      <w:pPr>
        <w:ind w:left="3600" w:firstLine="720"/>
        <w:rPr>
          <w:rFonts w:ascii="Times New Roman" w:hAnsi="Times New Roman" w:cs="Times New Roman"/>
          <w:b/>
          <w:bCs/>
        </w:rPr>
      </w:pPr>
      <w:r w:rsidRPr="0024694C">
        <w:rPr>
          <w:rFonts w:ascii="Times New Roman" w:hAnsi="Times New Roman" w:cs="Times New Roman"/>
          <w:b/>
          <w:bCs/>
        </w:rPr>
        <w:t>Abstract</w:t>
      </w:r>
    </w:p>
    <w:p w14:paraId="0AC4BB33" w14:textId="43BF32F9" w:rsidR="00E81409" w:rsidRPr="00E81409" w:rsidRDefault="00E81409" w:rsidP="00E81409">
      <w:pPr>
        <w:jc w:val="both"/>
        <w:rPr>
          <w:rFonts w:ascii="Times New Roman" w:hAnsi="Times New Roman" w:cs="Times New Roman"/>
        </w:rPr>
      </w:pPr>
      <w:r w:rsidRPr="00E81409">
        <w:rPr>
          <w:rFonts w:ascii="Times New Roman" w:hAnsi="Times New Roman" w:cs="Times New Roman"/>
        </w:rPr>
        <w:t>This study examined the effect of training investment on firm value of listed oil and gas firms in Nigeria, with board independence as a moderating variable, in response to persistent valuation challenges linked to weak governance and inefficient human capital investment. An ex post facto research design was adopted, using panel data from twelve firms over the period 2015 to 2024, obtained from audited annual reports and corporate disclosures. Firm value was proxied by Tobin’s Q, while training investment was measured using training expenditure, training intensity, participation rate, and human capital investment ratio, with firm size and firm age as control variables. Data were analyzed using random effects generalized least squares regression with robust standard errors. The findings revealed that training investment exerted mixed effects on firm value, as training intensity had a positive and significant effect, whereas training expenditure and participation rate had negative and significant effects, and human capital investment ratio was insignificant. Furthermore, board independence significantly moderated these relationships by mitigating the negative effects of training expenditure and enhancing the value relevance of participation rate, although it weakened the positive effect of training intensity. The study concluded that the effectiveness of training investment depended on its structure and governance oversight rather than its magnitude. It recommended that firms should adopt structured and outcome driven training strategies, strengthen board independence, and improve disclosure practices to enhance transparency and investor confidence.</w:t>
      </w:r>
    </w:p>
    <w:p w14:paraId="3148E8C0" w14:textId="661F2B91" w:rsidR="007D08FC" w:rsidRDefault="007D08FC" w:rsidP="007D08FC">
      <w:pPr>
        <w:rPr>
          <w:rFonts w:ascii="Times New Roman" w:hAnsi="Times New Roman" w:cs="Times New Roman"/>
        </w:rPr>
      </w:pPr>
      <w:r w:rsidRPr="0024694C">
        <w:rPr>
          <w:rFonts w:ascii="Times New Roman" w:hAnsi="Times New Roman" w:cs="Times New Roman"/>
          <w:b/>
          <w:bCs/>
        </w:rPr>
        <w:t>Keywords:</w:t>
      </w:r>
      <w:r w:rsidRPr="0024694C">
        <w:rPr>
          <w:rFonts w:ascii="Times New Roman" w:hAnsi="Times New Roman" w:cs="Times New Roman"/>
        </w:rPr>
        <w:br/>
        <w:t>Board independence</w:t>
      </w:r>
      <w:r>
        <w:rPr>
          <w:rFonts w:ascii="Times New Roman" w:hAnsi="Times New Roman" w:cs="Times New Roman"/>
        </w:rPr>
        <w:t xml:space="preserve">, </w:t>
      </w:r>
      <w:r w:rsidR="00317B71">
        <w:rPr>
          <w:rFonts w:ascii="Times New Roman" w:hAnsi="Times New Roman" w:cs="Times New Roman"/>
        </w:rPr>
        <w:t>h</w:t>
      </w:r>
      <w:r>
        <w:rPr>
          <w:rFonts w:ascii="Times New Roman" w:hAnsi="Times New Roman" w:cs="Times New Roman"/>
        </w:rPr>
        <w:t>uman capital investment ratio,</w:t>
      </w:r>
      <w:r w:rsidRPr="0024694C">
        <w:rPr>
          <w:rFonts w:ascii="Times New Roman" w:hAnsi="Times New Roman" w:cs="Times New Roman"/>
        </w:rPr>
        <w:t xml:space="preserve"> </w:t>
      </w:r>
      <w:r w:rsidR="00317B71">
        <w:rPr>
          <w:rFonts w:ascii="Times New Roman" w:hAnsi="Times New Roman" w:cs="Times New Roman"/>
        </w:rPr>
        <w:t>i</w:t>
      </w:r>
      <w:r w:rsidRPr="0024694C">
        <w:rPr>
          <w:rFonts w:ascii="Times New Roman" w:hAnsi="Times New Roman" w:cs="Times New Roman"/>
        </w:rPr>
        <w:t>nnovation</w:t>
      </w:r>
      <w:r>
        <w:rPr>
          <w:rFonts w:ascii="Times New Roman" w:hAnsi="Times New Roman" w:cs="Times New Roman"/>
        </w:rPr>
        <w:t xml:space="preserve">, </w:t>
      </w:r>
      <w:r w:rsidR="00317B71">
        <w:rPr>
          <w:rFonts w:ascii="Times New Roman" w:hAnsi="Times New Roman" w:cs="Times New Roman"/>
        </w:rPr>
        <w:t>t</w:t>
      </w:r>
      <w:r>
        <w:rPr>
          <w:rFonts w:ascii="Times New Roman" w:hAnsi="Times New Roman" w:cs="Times New Roman"/>
        </w:rPr>
        <w:t xml:space="preserve">raining expenditure, </w:t>
      </w:r>
      <w:r w:rsidR="00317B71">
        <w:rPr>
          <w:rFonts w:ascii="Times New Roman" w:hAnsi="Times New Roman" w:cs="Times New Roman"/>
        </w:rPr>
        <w:t>t</w:t>
      </w:r>
      <w:r w:rsidRPr="0024694C">
        <w:rPr>
          <w:rFonts w:ascii="Times New Roman" w:hAnsi="Times New Roman" w:cs="Times New Roman"/>
        </w:rPr>
        <w:t>raining in</w:t>
      </w:r>
      <w:r>
        <w:rPr>
          <w:rFonts w:ascii="Times New Roman" w:hAnsi="Times New Roman" w:cs="Times New Roman"/>
        </w:rPr>
        <w:t>tensity</w:t>
      </w:r>
    </w:p>
    <w:p w14:paraId="36E2A23F" w14:textId="77777777" w:rsidR="0029610A" w:rsidRDefault="0029610A" w:rsidP="007D08FC">
      <w:pPr>
        <w:rPr>
          <w:rFonts w:ascii="Times New Roman" w:hAnsi="Times New Roman" w:cs="Times New Roman"/>
        </w:rPr>
      </w:pPr>
    </w:p>
    <w:p w14:paraId="0897E772" w14:textId="77777777" w:rsidR="0029610A" w:rsidRPr="0024694C" w:rsidRDefault="0029610A" w:rsidP="007D08FC">
      <w:pPr>
        <w:rPr>
          <w:rFonts w:ascii="Times New Roman" w:hAnsi="Times New Roman" w:cs="Times New Roman"/>
        </w:rPr>
      </w:pPr>
    </w:p>
    <w:p w14:paraId="4FDFC705" w14:textId="2EB6E386" w:rsidR="00D86E88" w:rsidRPr="00A52D66" w:rsidRDefault="00D86E88" w:rsidP="00A52D66">
      <w:pPr>
        <w:pStyle w:val="ListParagraph"/>
        <w:numPr>
          <w:ilvl w:val="0"/>
          <w:numId w:val="11"/>
        </w:numPr>
        <w:spacing w:line="360" w:lineRule="auto"/>
        <w:jc w:val="both"/>
        <w:rPr>
          <w:rFonts w:ascii="Times New Roman" w:hAnsi="Times New Roman" w:cs="Times New Roman"/>
          <w:b/>
          <w:bCs/>
        </w:rPr>
      </w:pPr>
      <w:r w:rsidRPr="00A52D66">
        <w:rPr>
          <w:rFonts w:ascii="Times New Roman" w:hAnsi="Times New Roman" w:cs="Times New Roman"/>
          <w:b/>
          <w:bCs/>
        </w:rPr>
        <w:t>Introduction</w:t>
      </w:r>
    </w:p>
    <w:p w14:paraId="09AE9905" w14:textId="0B6E0271"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lastRenderedPageBreak/>
        <w:t>Firm value remained a key indicator of corporate performance and market perception because it reflected investors’ assessment of profitability, growth prospects, and governance quality, thereby shaping investment decisions and capital allocation efficiency in emerging markets like Nigeria (Ibrahim, 2025). Empirical evidence further showed that ownership structure, liquidity, and firm growth enhanced firm value and strengthened its role in evaluating managerial effectiveness and long-term wealth maximization (David et al., 2025). However, in developed economies, firm value faced increasing constraints from intangible asset mispricing, short termism, and rising ESG expectations, which complicated valuation models and weakened long term performance assessment (Lev &amp; Gu, 2022), while Flammer (2023) demonstrated that a focus on short term outcomes eroded sustainable value creation, and macroeconomic instability further intensified valuation pressures (Baker et al., 2022</w:t>
      </w:r>
      <w:proofErr w:type="gramStart"/>
      <w:r w:rsidRPr="00A52D66">
        <w:rPr>
          <w:rFonts w:ascii="Times New Roman" w:hAnsi="Times New Roman" w:cs="Times New Roman"/>
        </w:rPr>
        <w:t>) .</w:t>
      </w:r>
      <w:proofErr w:type="gramEnd"/>
    </w:p>
    <w:p w14:paraId="0A311D47" w14:textId="2757CBB3"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Similarly, firm value in developing economies, particularly in Africa, was shaped by weak institutional frameworks, information asymmetry, and inconsistent sustainability disclosures, which reduced investor confidence and limited efficient market valuation (Yusuf, 2025). In addition, poor ESG reporting weakened the ability of firms to translate non-financial performance into market value (Yahaya &amp; Yusuf, 2026). More specifically, in Nigeria, suboptimal capital structure decisions and governance inefficiencies further constrained firm value, as excessive long-term debt and weak monitoring mechanisms eroded market valuation and sustained instability across firms (Moses, 2023).</w:t>
      </w:r>
    </w:p>
    <w:p w14:paraId="193CD2B6" w14:textId="2699C5B5"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Furthermore, measuring firm value remained problematic, as commonly used proxies such as Tobin’s Q and market to book ratio were often distorted by illiquidity, thin capital markets, and weak disclosure systems in African contexts (Adebayo et al., 2023). Yahaya (2024) also observed that inconsistencies in accounting standards and data quality produced unreliable valuation outcomes, while differences in methodological approaches generated conflicting results. In addition, persistent information asymmetry and governance deficiencies continued to bias </w:t>
      </w:r>
      <w:r w:rsidR="00862B85" w:rsidRPr="00A52D66">
        <w:rPr>
          <w:rFonts w:ascii="Times New Roman" w:hAnsi="Times New Roman" w:cs="Times New Roman"/>
        </w:rPr>
        <w:t>market-based</w:t>
      </w:r>
      <w:r w:rsidRPr="00A52D66">
        <w:rPr>
          <w:rFonts w:ascii="Times New Roman" w:hAnsi="Times New Roman" w:cs="Times New Roman"/>
        </w:rPr>
        <w:t xml:space="preserve"> measures, thereby limiting the precision and comparability of firm value metrics (Okafor &amp; Ezeani, 2022</w:t>
      </w:r>
      <w:proofErr w:type="gramStart"/>
      <w:r w:rsidRPr="00A52D66">
        <w:rPr>
          <w:rFonts w:ascii="Times New Roman" w:hAnsi="Times New Roman" w:cs="Times New Roman"/>
        </w:rPr>
        <w:t>) .</w:t>
      </w:r>
      <w:proofErr w:type="gramEnd"/>
    </w:p>
    <w:p w14:paraId="4D6C4025" w14:textId="74427E74"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Consequently, efforts to enhance firm value increasingly involved coordinated actions from international institutions, governments, and researchers through strengthened corporate governance frameworks, ESG disclosure mandates, and regulatory reforms aimed at improving transparency </w:t>
      </w:r>
      <w:r w:rsidRPr="00A52D66">
        <w:rPr>
          <w:rFonts w:ascii="Times New Roman" w:hAnsi="Times New Roman" w:cs="Times New Roman"/>
        </w:rPr>
        <w:lastRenderedPageBreak/>
        <w:t>and reducing information asymmetry (</w:t>
      </w:r>
      <w:proofErr w:type="spellStart"/>
      <w:r w:rsidRPr="00A52D66">
        <w:rPr>
          <w:rFonts w:ascii="Times New Roman" w:hAnsi="Times New Roman" w:cs="Times New Roman"/>
        </w:rPr>
        <w:t>Bukari</w:t>
      </w:r>
      <w:proofErr w:type="spellEnd"/>
      <w:r w:rsidRPr="00A52D66">
        <w:rPr>
          <w:rFonts w:ascii="Times New Roman" w:hAnsi="Times New Roman" w:cs="Times New Roman"/>
        </w:rPr>
        <w:t xml:space="preserve"> et al., 2024). For example, policymakers emphasized stricter enforcement of disclosure rules and independent assurance of sustainability reports to boost investor confidence (SCIRP, 2025), while governance reforms promoting board independence improved oversight and valuation outcomes (Al Naim et al., 2026). In this context, integrating ESG considerations into corporate strategy emerged as a critical pathway for sustaining long term value creation (</w:t>
      </w:r>
      <w:proofErr w:type="spellStart"/>
      <w:r w:rsidRPr="00A52D66">
        <w:rPr>
          <w:rFonts w:ascii="Times New Roman" w:hAnsi="Times New Roman" w:cs="Times New Roman"/>
        </w:rPr>
        <w:t>Bukari</w:t>
      </w:r>
      <w:proofErr w:type="spellEnd"/>
      <w:r w:rsidRPr="00A52D66">
        <w:rPr>
          <w:rFonts w:ascii="Times New Roman" w:hAnsi="Times New Roman" w:cs="Times New Roman"/>
        </w:rPr>
        <w:t xml:space="preserve"> et al., 2024).</w:t>
      </w:r>
    </w:p>
    <w:p w14:paraId="4CE5B5D7" w14:textId="0FC25184"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Within this broader framework, training investment played a strategic role in human capital development by enhancing employees’ competencies, innovation capacity, and productivity, which strengthened firms’ competitive advantage and long-term value creation (Agyemang &amp; Ofori, 2023; Salisu &amp; Mohammed, 2024). Empirical evidence indicated that sustained investment in training improved operational efficiency and market valuation, as Yusuf (2025) demonstrated its positive effect on firm performance. Moreover, training supported knowledge transfer and adaptability, which were essential for resilience in dynamic environments (Mensah et al., 2022; Okoye &amp; Eze, 2023), thereby positioning training investment as a key driver of firm value (Yahaya &amp; Bello, 2026</w:t>
      </w:r>
      <w:proofErr w:type="gramStart"/>
      <w:r w:rsidRPr="00A52D66">
        <w:rPr>
          <w:rFonts w:ascii="Times New Roman" w:hAnsi="Times New Roman" w:cs="Times New Roman"/>
        </w:rPr>
        <w:t>) .</w:t>
      </w:r>
      <w:proofErr w:type="gramEnd"/>
    </w:p>
    <w:p w14:paraId="237DD040" w14:textId="07A26E72"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However, inadequate training investment continued to undermine firm value, as firms with limited human capital development experienced reduced productivity, weak innovation capacity, and lower market valuation (Ezeani et al., 2023; Lawal &amp; </w:t>
      </w:r>
      <w:proofErr w:type="spellStart"/>
      <w:r w:rsidRPr="00A52D66">
        <w:rPr>
          <w:rFonts w:ascii="Times New Roman" w:hAnsi="Times New Roman" w:cs="Times New Roman"/>
        </w:rPr>
        <w:t>Nwanji</w:t>
      </w:r>
      <w:proofErr w:type="spellEnd"/>
      <w:r w:rsidRPr="00A52D66">
        <w:rPr>
          <w:rFonts w:ascii="Times New Roman" w:hAnsi="Times New Roman" w:cs="Times New Roman"/>
        </w:rPr>
        <w:t>, 2024). In support of this, Okafor (2025) demonstrated that insufficient training budgets constrained employee efficiency and organizational competitiveness. Furthermore, underinvestment led to operational inefficiencies and weaker financial performance, which ultimately reduced firm value sustainability (Mensah &amp; Agyapong, 2022; Bello et al., 2026).</w:t>
      </w:r>
    </w:p>
    <w:p w14:paraId="2CAAE43E" w14:textId="1E6E42BD"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Importantly, board independence enhanced the effectiveness of training investment by improving oversight, reducing agency conflicts, and aligning human capital expenditures with value maximization objectives (Adebiyi et al., 2023; Ntim et al., 2022). Yahaya (2024) demonstrated that independent directors strengthened accountability and resource allocation efficiency, while empirical studies showed that firms with more independent boards were better positioned to convert training investments into improved performance and higher firm value (</w:t>
      </w:r>
      <w:proofErr w:type="spellStart"/>
      <w:r w:rsidRPr="00A52D66">
        <w:rPr>
          <w:rFonts w:ascii="Times New Roman" w:hAnsi="Times New Roman" w:cs="Times New Roman"/>
        </w:rPr>
        <w:t>Uwuigbe</w:t>
      </w:r>
      <w:proofErr w:type="spellEnd"/>
      <w:r w:rsidRPr="00A52D66">
        <w:rPr>
          <w:rFonts w:ascii="Times New Roman" w:hAnsi="Times New Roman" w:cs="Times New Roman"/>
        </w:rPr>
        <w:t xml:space="preserve"> et al., 2023; Mensah et al., 2022; Okafor &amp; </w:t>
      </w:r>
      <w:proofErr w:type="spellStart"/>
      <w:r w:rsidRPr="00A52D66">
        <w:rPr>
          <w:rFonts w:ascii="Times New Roman" w:hAnsi="Times New Roman" w:cs="Times New Roman"/>
        </w:rPr>
        <w:t>Ibadin</w:t>
      </w:r>
      <w:proofErr w:type="spellEnd"/>
      <w:r w:rsidRPr="00A52D66">
        <w:rPr>
          <w:rFonts w:ascii="Times New Roman" w:hAnsi="Times New Roman" w:cs="Times New Roman"/>
        </w:rPr>
        <w:t>, 2025).</w:t>
      </w:r>
    </w:p>
    <w:p w14:paraId="3302F2D2" w14:textId="47E5CDF9"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lastRenderedPageBreak/>
        <w:t xml:space="preserve">Nevertheless, despite these insights, the literature remained fragmented, as most studies examined training investment and board independence separately, with limited integration of multidimensional training proxies and firm value measured by Tobin’s Q (Adebiyi et al., 2023; </w:t>
      </w:r>
      <w:proofErr w:type="spellStart"/>
      <w:r w:rsidRPr="00A52D66">
        <w:rPr>
          <w:rFonts w:ascii="Times New Roman" w:hAnsi="Times New Roman" w:cs="Times New Roman"/>
        </w:rPr>
        <w:t>Bukari</w:t>
      </w:r>
      <w:proofErr w:type="spellEnd"/>
      <w:r w:rsidRPr="00A52D66">
        <w:rPr>
          <w:rFonts w:ascii="Times New Roman" w:hAnsi="Times New Roman" w:cs="Times New Roman"/>
        </w:rPr>
        <w:t xml:space="preserve"> et al., 2024). Although prior evidence showed that board independence improved firm value and governance outcomes (</w:t>
      </w:r>
      <w:proofErr w:type="spellStart"/>
      <w:r w:rsidRPr="00A52D66">
        <w:rPr>
          <w:rFonts w:ascii="Times New Roman" w:hAnsi="Times New Roman" w:cs="Times New Roman"/>
        </w:rPr>
        <w:t>Uwuigbe</w:t>
      </w:r>
      <w:proofErr w:type="spellEnd"/>
      <w:r w:rsidRPr="00A52D66">
        <w:rPr>
          <w:rFonts w:ascii="Times New Roman" w:hAnsi="Times New Roman" w:cs="Times New Roman"/>
        </w:rPr>
        <w:t xml:space="preserve"> et al., 2023), it largely ignored its moderating role in strengthening the value relevance of training investment. In addition, sector specific evidence, particularly in the oil and gas industry, remained limited and methodologically inconsistent (Ahmed et al., 2025). Therefore, this study address</w:t>
      </w:r>
      <w:r w:rsidR="00574296">
        <w:rPr>
          <w:rFonts w:ascii="Times New Roman" w:hAnsi="Times New Roman" w:cs="Times New Roman"/>
        </w:rPr>
        <w:t>es</w:t>
      </w:r>
      <w:r w:rsidRPr="00A52D66">
        <w:rPr>
          <w:rFonts w:ascii="Times New Roman" w:hAnsi="Times New Roman" w:cs="Times New Roman"/>
        </w:rPr>
        <w:t xml:space="preserve"> this gap by examining the effect of training investment on firm value of listed oil and gas firms in Nigeria, while incorporating board independence as a moderating mechanism </w:t>
      </w:r>
    </w:p>
    <w:p w14:paraId="7F3A4232" w14:textId="7EA99127" w:rsidR="009A7EA1" w:rsidRPr="002C5C73" w:rsidRDefault="009A7EA1" w:rsidP="002C5C73">
      <w:pPr>
        <w:pStyle w:val="ListParagraph"/>
        <w:numPr>
          <w:ilvl w:val="0"/>
          <w:numId w:val="7"/>
        </w:numPr>
        <w:spacing w:line="360" w:lineRule="auto"/>
        <w:jc w:val="both"/>
        <w:rPr>
          <w:rFonts w:ascii="Times New Roman" w:hAnsi="Times New Roman" w:cs="Times New Roman"/>
          <w:b/>
          <w:bCs/>
        </w:rPr>
      </w:pPr>
      <w:r w:rsidRPr="002C5C73">
        <w:rPr>
          <w:rFonts w:ascii="Times New Roman" w:hAnsi="Times New Roman" w:cs="Times New Roman"/>
          <w:b/>
          <w:bCs/>
        </w:rPr>
        <w:t>Literature Review</w:t>
      </w:r>
    </w:p>
    <w:p w14:paraId="2B081D6F" w14:textId="452CE6C8" w:rsidR="000F1B8A" w:rsidRPr="0058447B" w:rsidRDefault="009A7EA1" w:rsidP="00D86E88">
      <w:pPr>
        <w:pStyle w:val="ListParagraph"/>
        <w:numPr>
          <w:ilvl w:val="1"/>
          <w:numId w:val="7"/>
        </w:numPr>
        <w:spacing w:line="360" w:lineRule="auto"/>
        <w:ind w:left="0" w:firstLine="0"/>
        <w:jc w:val="both"/>
        <w:rPr>
          <w:rFonts w:ascii="Times New Roman" w:hAnsi="Times New Roman" w:cs="Times New Roman"/>
          <w:b/>
          <w:bCs/>
        </w:rPr>
      </w:pPr>
      <w:r w:rsidRPr="0058447B">
        <w:rPr>
          <w:rFonts w:ascii="Times New Roman" w:hAnsi="Times New Roman" w:cs="Times New Roman"/>
          <w:b/>
          <w:bCs/>
        </w:rPr>
        <w:t xml:space="preserve">Conceptual Review </w:t>
      </w:r>
    </w:p>
    <w:p w14:paraId="212F9CE2" w14:textId="49EBD381" w:rsidR="009A7EA1" w:rsidRPr="0058447B" w:rsidRDefault="003C0CC7" w:rsidP="00D86E88">
      <w:pPr>
        <w:pStyle w:val="ListParagraph"/>
        <w:numPr>
          <w:ilvl w:val="2"/>
          <w:numId w:val="7"/>
        </w:numPr>
        <w:spacing w:line="360" w:lineRule="auto"/>
        <w:ind w:left="0" w:firstLine="0"/>
        <w:jc w:val="both"/>
        <w:rPr>
          <w:rFonts w:ascii="Times New Roman" w:hAnsi="Times New Roman" w:cs="Times New Roman"/>
          <w:b/>
          <w:bCs/>
        </w:rPr>
      </w:pPr>
      <w:r>
        <w:rPr>
          <w:rFonts w:ascii="Times New Roman" w:hAnsi="Times New Roman" w:cs="Times New Roman"/>
          <w:b/>
          <w:bCs/>
        </w:rPr>
        <w:t>Firm Value</w:t>
      </w:r>
    </w:p>
    <w:p w14:paraId="0AA057B9" w14:textId="3A6AC0F9" w:rsidR="00FB0A5C" w:rsidRDefault="00FB0A5C" w:rsidP="00F215E9">
      <w:pPr>
        <w:spacing w:line="360" w:lineRule="auto"/>
        <w:jc w:val="both"/>
        <w:rPr>
          <w:rFonts w:ascii="Times New Roman" w:hAnsi="Times New Roman" w:cs="Times New Roman"/>
        </w:rPr>
      </w:pPr>
      <w:r w:rsidRPr="00FB0A5C">
        <w:rPr>
          <w:rFonts w:ascii="Times New Roman" w:hAnsi="Times New Roman" w:cs="Times New Roman"/>
        </w:rPr>
        <w:t xml:space="preserve">Firm value represents a multidimensional construct that reflects the market’s overall assessment of a firm’s economic worth, incorporating expectations about profitability, growth, risk, and governance quality, although its conceptualization varies across authors and contexts. For instance, Ibrahim (2025) </w:t>
      </w:r>
      <w:r>
        <w:rPr>
          <w:rFonts w:ascii="Times New Roman" w:hAnsi="Times New Roman" w:cs="Times New Roman"/>
        </w:rPr>
        <w:t>viewed</w:t>
      </w:r>
      <w:r w:rsidRPr="00FB0A5C">
        <w:rPr>
          <w:rFonts w:ascii="Times New Roman" w:hAnsi="Times New Roman" w:cs="Times New Roman"/>
        </w:rPr>
        <w:t xml:space="preserve"> firm value as the market-based outcome of investors’ perceptions of firm performance and prospects, while Yahaya (2024) </w:t>
      </w:r>
      <w:r>
        <w:rPr>
          <w:rFonts w:ascii="Times New Roman" w:hAnsi="Times New Roman" w:cs="Times New Roman"/>
        </w:rPr>
        <w:t>opined</w:t>
      </w:r>
      <w:r w:rsidRPr="00FB0A5C">
        <w:rPr>
          <w:rFonts w:ascii="Times New Roman" w:hAnsi="Times New Roman" w:cs="Times New Roman"/>
        </w:rPr>
        <w:t xml:space="preserve"> it from a financial reporting perspective as a function of transparency and earnings quality; similarly, </w:t>
      </w:r>
      <w:proofErr w:type="spellStart"/>
      <w:r w:rsidRPr="00FB0A5C">
        <w:rPr>
          <w:rFonts w:ascii="Times New Roman" w:hAnsi="Times New Roman" w:cs="Times New Roman"/>
        </w:rPr>
        <w:t>Bukari</w:t>
      </w:r>
      <w:proofErr w:type="spellEnd"/>
      <w:r w:rsidRPr="00FB0A5C">
        <w:rPr>
          <w:rFonts w:ascii="Times New Roman" w:hAnsi="Times New Roman" w:cs="Times New Roman"/>
        </w:rPr>
        <w:t xml:space="preserve"> et al. (2024) emphasize</w:t>
      </w:r>
      <w:r>
        <w:rPr>
          <w:rFonts w:ascii="Times New Roman" w:hAnsi="Times New Roman" w:cs="Times New Roman"/>
        </w:rPr>
        <w:t>d</w:t>
      </w:r>
      <w:r w:rsidRPr="00FB0A5C">
        <w:rPr>
          <w:rFonts w:ascii="Times New Roman" w:hAnsi="Times New Roman" w:cs="Times New Roman"/>
        </w:rPr>
        <w:t xml:space="preserve"> the role of ESG integration in shaping sustainable firm value. Despite these perspectives, significant issues persist, including valuation distortions arising from information asymmetry, weak disclosure systems, and market inefficiencies, particularly in emerging economies (Adebayo et al., 2023; Okafor &amp; Ezeani, 2022). Moreover, while measures such as Tobin’s Q and market to book ratio are widely adopted due to their forward-looking nature, they are often criticized for sensitivity to market volatility and difficulties in estimating replacement costs, thereby limiting their precision across contexts (Yahaya &amp; Yusuf, 2026). In contrast, accounting based measures offer stability but fail to fully capture market expectations, thus creating a trade</w:t>
      </w:r>
      <w:r>
        <w:rPr>
          <w:rFonts w:ascii="Times New Roman" w:hAnsi="Times New Roman" w:cs="Times New Roman"/>
        </w:rPr>
        <w:t>-</w:t>
      </w:r>
      <w:r w:rsidRPr="00FB0A5C">
        <w:rPr>
          <w:rFonts w:ascii="Times New Roman" w:hAnsi="Times New Roman" w:cs="Times New Roman"/>
        </w:rPr>
        <w:t xml:space="preserve">off between relevance and reliability. Consequently, firm value is influenced by governance quality, capital structure, and strategic investments such as human capital development, yet its accurate measurement remains contested, </w:t>
      </w:r>
      <w:r w:rsidRPr="00FB0A5C">
        <w:rPr>
          <w:rFonts w:ascii="Times New Roman" w:hAnsi="Times New Roman" w:cs="Times New Roman"/>
        </w:rPr>
        <w:lastRenderedPageBreak/>
        <w:t xml:space="preserve">requiring careful methodological alignment with research objectives and institutional context (Moses, 2023; </w:t>
      </w:r>
      <w:proofErr w:type="spellStart"/>
      <w:r w:rsidRPr="00FB0A5C">
        <w:rPr>
          <w:rFonts w:ascii="Times New Roman" w:hAnsi="Times New Roman" w:cs="Times New Roman"/>
        </w:rPr>
        <w:t>Bukari</w:t>
      </w:r>
      <w:proofErr w:type="spellEnd"/>
      <w:r w:rsidRPr="00FB0A5C">
        <w:rPr>
          <w:rFonts w:ascii="Times New Roman" w:hAnsi="Times New Roman" w:cs="Times New Roman"/>
        </w:rPr>
        <w:t xml:space="preserve"> et al., 2024)</w:t>
      </w:r>
    </w:p>
    <w:p w14:paraId="69FCA703" w14:textId="15481D7F" w:rsidR="006F4203" w:rsidRPr="00F215E9" w:rsidRDefault="00FB0A5C" w:rsidP="00F215E9">
      <w:pPr>
        <w:spacing w:line="360" w:lineRule="auto"/>
        <w:jc w:val="both"/>
        <w:rPr>
          <w:rFonts w:ascii="Times New Roman" w:hAnsi="Times New Roman" w:cs="Times New Roman"/>
          <w:b/>
          <w:bCs/>
        </w:rPr>
      </w:pPr>
      <w:r w:rsidRPr="00FB0A5C">
        <w:rPr>
          <w:rFonts w:ascii="Times New Roman" w:hAnsi="Times New Roman" w:cs="Times New Roman"/>
        </w:rPr>
        <w:t xml:space="preserve"> </w:t>
      </w:r>
      <w:r w:rsidR="00F215E9">
        <w:rPr>
          <w:rFonts w:ascii="Times New Roman" w:hAnsi="Times New Roman" w:cs="Times New Roman"/>
          <w:b/>
          <w:bCs/>
        </w:rPr>
        <w:t>2.1.2</w:t>
      </w:r>
      <w:r w:rsidR="00F215E9">
        <w:rPr>
          <w:rFonts w:ascii="Times New Roman" w:hAnsi="Times New Roman" w:cs="Times New Roman"/>
          <w:b/>
          <w:bCs/>
        </w:rPr>
        <w:tab/>
      </w:r>
      <w:r w:rsidR="0046093B" w:rsidRPr="00F215E9">
        <w:rPr>
          <w:rFonts w:ascii="Times New Roman" w:hAnsi="Times New Roman" w:cs="Times New Roman"/>
          <w:b/>
          <w:bCs/>
        </w:rPr>
        <w:t>Training Investment</w:t>
      </w:r>
    </w:p>
    <w:p w14:paraId="27071978" w14:textId="69A9FDA0" w:rsidR="00303686" w:rsidRDefault="00303686" w:rsidP="00303686">
      <w:pPr>
        <w:spacing w:line="360" w:lineRule="auto"/>
        <w:jc w:val="both"/>
        <w:rPr>
          <w:rFonts w:ascii="Times New Roman" w:hAnsi="Times New Roman" w:cs="Times New Roman"/>
        </w:rPr>
      </w:pPr>
      <w:r w:rsidRPr="00303686">
        <w:rPr>
          <w:rFonts w:ascii="Times New Roman" w:hAnsi="Times New Roman" w:cs="Times New Roman"/>
        </w:rPr>
        <w:t xml:space="preserve">Training investment is conceptualized as a strategic allocation of resources toward employee learning, skill acquisition, and capability development aimed at enhancing firm productivity and innovation, though scholars differ in scope and emphasis, with OECD (2023) defining it as deliberate human capital formation, while World Bank (2023) and </w:t>
      </w:r>
      <w:proofErr w:type="spellStart"/>
      <w:r w:rsidRPr="00303686">
        <w:rPr>
          <w:rFonts w:ascii="Times New Roman" w:hAnsi="Times New Roman" w:cs="Times New Roman"/>
        </w:rPr>
        <w:t>Bolli</w:t>
      </w:r>
      <w:proofErr w:type="spellEnd"/>
      <w:r w:rsidRPr="00303686">
        <w:rPr>
          <w:rFonts w:ascii="Times New Roman" w:hAnsi="Times New Roman" w:cs="Times New Roman"/>
        </w:rPr>
        <w:t xml:space="preserve"> and </w:t>
      </w:r>
      <w:proofErr w:type="spellStart"/>
      <w:r w:rsidRPr="00303686">
        <w:rPr>
          <w:rFonts w:ascii="Times New Roman" w:hAnsi="Times New Roman" w:cs="Times New Roman"/>
        </w:rPr>
        <w:t>Woerter</w:t>
      </w:r>
      <w:proofErr w:type="spellEnd"/>
      <w:r w:rsidRPr="00303686">
        <w:rPr>
          <w:rFonts w:ascii="Times New Roman" w:hAnsi="Times New Roman" w:cs="Times New Roman"/>
        </w:rPr>
        <w:t xml:space="preserve"> (2022) view</w:t>
      </w:r>
      <w:r w:rsidR="00574296">
        <w:rPr>
          <w:rFonts w:ascii="Times New Roman" w:hAnsi="Times New Roman" w:cs="Times New Roman"/>
        </w:rPr>
        <w:t>ed</w:t>
      </w:r>
      <w:r w:rsidRPr="00303686">
        <w:rPr>
          <w:rFonts w:ascii="Times New Roman" w:hAnsi="Times New Roman" w:cs="Times New Roman"/>
        </w:rPr>
        <w:t xml:space="preserve"> it as a mechanism for strengthening absorptive capacity and innovation readiness; however, persistent issues such as underinvestment, short-term managerial orientation, and difficulty in quantifying returns are highlighted by Institute for Fiscal Studies (2023) and Acemoglu and Restrepo (2023), which constrain optimal deployment; empirically, Dearden et al. (2022), </w:t>
      </w:r>
      <w:proofErr w:type="spellStart"/>
      <w:r w:rsidRPr="00303686">
        <w:rPr>
          <w:rFonts w:ascii="Times New Roman" w:hAnsi="Times New Roman" w:cs="Times New Roman"/>
        </w:rPr>
        <w:t>Tuamyil</w:t>
      </w:r>
      <w:proofErr w:type="spellEnd"/>
      <w:r w:rsidRPr="00303686">
        <w:rPr>
          <w:rFonts w:ascii="Times New Roman" w:hAnsi="Times New Roman" w:cs="Times New Roman"/>
        </w:rPr>
        <w:t xml:space="preserve"> (2024), and </w:t>
      </w:r>
      <w:proofErr w:type="spellStart"/>
      <w:r w:rsidRPr="00303686">
        <w:rPr>
          <w:rFonts w:ascii="Times New Roman" w:hAnsi="Times New Roman" w:cs="Times New Roman"/>
        </w:rPr>
        <w:t>Adeleye</w:t>
      </w:r>
      <w:proofErr w:type="spellEnd"/>
      <w:r w:rsidRPr="00303686">
        <w:rPr>
          <w:rFonts w:ascii="Times New Roman" w:hAnsi="Times New Roman" w:cs="Times New Roman"/>
        </w:rPr>
        <w:t xml:space="preserve"> and George (2023) show</w:t>
      </w:r>
      <w:r w:rsidR="00574296">
        <w:rPr>
          <w:rFonts w:ascii="Times New Roman" w:hAnsi="Times New Roman" w:cs="Times New Roman"/>
        </w:rPr>
        <w:t>ed</w:t>
      </w:r>
      <w:r w:rsidRPr="00303686">
        <w:rPr>
          <w:rFonts w:ascii="Times New Roman" w:hAnsi="Times New Roman" w:cs="Times New Roman"/>
        </w:rPr>
        <w:t xml:space="preserve"> that training investment improves productivity and innovation, yet </w:t>
      </w:r>
      <w:proofErr w:type="spellStart"/>
      <w:r w:rsidRPr="00303686">
        <w:rPr>
          <w:rFonts w:ascii="Times New Roman" w:hAnsi="Times New Roman" w:cs="Times New Roman"/>
        </w:rPr>
        <w:t>Neycheva</w:t>
      </w:r>
      <w:proofErr w:type="spellEnd"/>
      <w:r w:rsidRPr="00303686">
        <w:rPr>
          <w:rFonts w:ascii="Times New Roman" w:hAnsi="Times New Roman" w:cs="Times New Roman"/>
        </w:rPr>
        <w:t xml:space="preserve"> (2024) and </w:t>
      </w:r>
      <w:proofErr w:type="spellStart"/>
      <w:r w:rsidRPr="00303686">
        <w:rPr>
          <w:rFonts w:ascii="Times New Roman" w:hAnsi="Times New Roman" w:cs="Times New Roman"/>
        </w:rPr>
        <w:t>Liodaki</w:t>
      </w:r>
      <w:proofErr w:type="spellEnd"/>
      <w:r w:rsidRPr="00303686">
        <w:rPr>
          <w:rFonts w:ascii="Times New Roman" w:hAnsi="Times New Roman" w:cs="Times New Roman"/>
        </w:rPr>
        <w:t xml:space="preserve"> and Karalis (2024) emphasize</w:t>
      </w:r>
      <w:r w:rsidR="00574296">
        <w:rPr>
          <w:rFonts w:ascii="Times New Roman" w:hAnsi="Times New Roman" w:cs="Times New Roman"/>
        </w:rPr>
        <w:t>d</w:t>
      </w:r>
      <w:r w:rsidRPr="00303686">
        <w:rPr>
          <w:rFonts w:ascii="Times New Roman" w:hAnsi="Times New Roman" w:cs="Times New Roman"/>
        </w:rPr>
        <w:t xml:space="preserve"> participation barriers and uneven access, while </w:t>
      </w:r>
      <w:proofErr w:type="spellStart"/>
      <w:r w:rsidRPr="00303686">
        <w:rPr>
          <w:rFonts w:ascii="Times New Roman" w:hAnsi="Times New Roman" w:cs="Times New Roman"/>
        </w:rPr>
        <w:t>Burlina</w:t>
      </w:r>
      <w:proofErr w:type="spellEnd"/>
      <w:r w:rsidRPr="00303686">
        <w:rPr>
          <w:rFonts w:ascii="Times New Roman" w:hAnsi="Times New Roman" w:cs="Times New Roman"/>
        </w:rPr>
        <w:t xml:space="preserve"> et al. (2025) argue</w:t>
      </w:r>
      <w:r w:rsidR="00574296">
        <w:rPr>
          <w:rFonts w:ascii="Times New Roman" w:hAnsi="Times New Roman" w:cs="Times New Roman"/>
        </w:rPr>
        <w:t>d</w:t>
      </w:r>
      <w:r w:rsidRPr="00303686">
        <w:rPr>
          <w:rFonts w:ascii="Times New Roman" w:hAnsi="Times New Roman" w:cs="Times New Roman"/>
        </w:rPr>
        <w:t xml:space="preserve"> that effectiveness depends more on intensity and structure than mere expenditure; measurement remains multidimensional, with scholars such as Kiani (2024), Diaz et al. (2025), and </w:t>
      </w:r>
      <w:proofErr w:type="spellStart"/>
      <w:r w:rsidRPr="00303686">
        <w:rPr>
          <w:rFonts w:ascii="Times New Roman" w:hAnsi="Times New Roman" w:cs="Times New Roman"/>
        </w:rPr>
        <w:t>Intara</w:t>
      </w:r>
      <w:proofErr w:type="spellEnd"/>
      <w:r w:rsidRPr="00303686">
        <w:rPr>
          <w:rFonts w:ascii="Times New Roman" w:hAnsi="Times New Roman" w:cs="Times New Roman"/>
        </w:rPr>
        <w:t xml:space="preserve"> (2024) operationalizing training investment through proxies including training expenditure, training intensity, participation rate, and human capital investment ratio, though Corrado et al. (2023) critique</w:t>
      </w:r>
      <w:r w:rsidR="001B1470">
        <w:rPr>
          <w:rFonts w:ascii="Times New Roman" w:hAnsi="Times New Roman" w:cs="Times New Roman"/>
        </w:rPr>
        <w:t>d</w:t>
      </w:r>
      <w:r w:rsidRPr="00303686">
        <w:rPr>
          <w:rFonts w:ascii="Times New Roman" w:hAnsi="Times New Roman" w:cs="Times New Roman"/>
        </w:rPr>
        <w:t xml:space="preserve"> these proxies for failing to capture training quality and learning outcomes; comparatively, while OECD (2023) and World Bank (2023) stress</w:t>
      </w:r>
      <w:r w:rsidR="001B1470">
        <w:rPr>
          <w:rFonts w:ascii="Times New Roman" w:hAnsi="Times New Roman" w:cs="Times New Roman"/>
        </w:rPr>
        <w:t>ed</w:t>
      </w:r>
      <w:r w:rsidRPr="00303686">
        <w:rPr>
          <w:rFonts w:ascii="Times New Roman" w:hAnsi="Times New Roman" w:cs="Times New Roman"/>
        </w:rPr>
        <w:t xml:space="preserve"> its macroeconomic and capability-building roles, firm-level studies emphasize efficiency and deployment mechanisms, creating a divergence between theoretical promise and empirical realization; thus, in this study, training investment is proxied by training expenditure, training intensity, participation rate in training programs, and human capital investment ratio, integrating financial, structural, and intensity-based dimensions to better capture its complex contribution to innovation and firm value.</w:t>
      </w:r>
    </w:p>
    <w:p w14:paraId="71B5098D" w14:textId="0FA13599" w:rsidR="004D7572" w:rsidRDefault="00EB096B" w:rsidP="00EB096B">
      <w:pPr>
        <w:pStyle w:val="ListParagraph"/>
        <w:numPr>
          <w:ilvl w:val="2"/>
          <w:numId w:val="10"/>
        </w:numPr>
        <w:jc w:val="both"/>
        <w:rPr>
          <w:rFonts w:ascii="Times New Roman" w:hAnsi="Times New Roman" w:cs="Times New Roman"/>
          <w:b/>
          <w:bCs/>
        </w:rPr>
      </w:pPr>
      <w:r w:rsidRPr="00EB096B">
        <w:rPr>
          <w:rFonts w:ascii="Times New Roman" w:hAnsi="Times New Roman" w:cs="Times New Roman"/>
          <w:b/>
          <w:bCs/>
        </w:rPr>
        <w:t>Board Independence</w:t>
      </w:r>
    </w:p>
    <w:p w14:paraId="424C46F9" w14:textId="3A961998" w:rsidR="00EB096B" w:rsidRPr="00EB096B" w:rsidRDefault="00EB096B" w:rsidP="00EB096B">
      <w:pPr>
        <w:spacing w:line="360" w:lineRule="auto"/>
        <w:jc w:val="both"/>
        <w:rPr>
          <w:rFonts w:ascii="Times New Roman" w:hAnsi="Times New Roman" w:cs="Times New Roman"/>
        </w:rPr>
      </w:pPr>
      <w:r w:rsidRPr="00EB096B">
        <w:rPr>
          <w:rFonts w:ascii="Times New Roman" w:hAnsi="Times New Roman" w:cs="Times New Roman"/>
        </w:rPr>
        <w:t>Board independence is a core corporate governance mechanism that reflects the proportion and influence of non-executive directors who are free from managerial control, thereby enhancing objective oversight and strategic decision making, although its conceptualization varies across the literature. For instance, Adebiyi et al. (2023) define</w:t>
      </w:r>
      <w:r>
        <w:rPr>
          <w:rFonts w:ascii="Times New Roman" w:hAnsi="Times New Roman" w:cs="Times New Roman"/>
        </w:rPr>
        <w:t>d</w:t>
      </w:r>
      <w:r w:rsidRPr="00EB096B">
        <w:rPr>
          <w:rFonts w:ascii="Times New Roman" w:hAnsi="Times New Roman" w:cs="Times New Roman"/>
        </w:rPr>
        <w:t xml:space="preserve"> board independence as the extent to which </w:t>
      </w:r>
      <w:r w:rsidRPr="00EB096B">
        <w:rPr>
          <w:rFonts w:ascii="Times New Roman" w:hAnsi="Times New Roman" w:cs="Times New Roman"/>
        </w:rPr>
        <w:lastRenderedPageBreak/>
        <w:t>outside directors dominate board composition to mitigate agency conflicts, while Yahaya (2024) emphasize</w:t>
      </w:r>
      <w:r>
        <w:rPr>
          <w:rFonts w:ascii="Times New Roman" w:hAnsi="Times New Roman" w:cs="Times New Roman"/>
        </w:rPr>
        <w:t>d</w:t>
      </w:r>
      <w:r w:rsidRPr="00EB096B">
        <w:rPr>
          <w:rFonts w:ascii="Times New Roman" w:hAnsi="Times New Roman" w:cs="Times New Roman"/>
        </w:rPr>
        <w:t xml:space="preserve"> its role in strengthening accountability and financial reporting quality; similarly, </w:t>
      </w:r>
      <w:proofErr w:type="spellStart"/>
      <w:r w:rsidRPr="00EB096B">
        <w:rPr>
          <w:rFonts w:ascii="Times New Roman" w:hAnsi="Times New Roman" w:cs="Times New Roman"/>
        </w:rPr>
        <w:t>Uwuigbe</w:t>
      </w:r>
      <w:proofErr w:type="spellEnd"/>
      <w:r w:rsidRPr="00EB096B">
        <w:rPr>
          <w:rFonts w:ascii="Times New Roman" w:hAnsi="Times New Roman" w:cs="Times New Roman"/>
        </w:rPr>
        <w:t xml:space="preserve"> et al. (2023) link</w:t>
      </w:r>
      <w:r>
        <w:rPr>
          <w:rFonts w:ascii="Times New Roman" w:hAnsi="Times New Roman" w:cs="Times New Roman"/>
        </w:rPr>
        <w:t>ed</w:t>
      </w:r>
      <w:r w:rsidRPr="00EB096B">
        <w:rPr>
          <w:rFonts w:ascii="Times New Roman" w:hAnsi="Times New Roman" w:cs="Times New Roman"/>
        </w:rPr>
        <w:t xml:space="preserve"> board independence to improved monitoring efficiency and firm performance. Despite these perspectives, key issues persist, including “token independence,” weak enforcement, and limited director expertise, which reduce its effectiveness in emerging markets (Okafor &amp; </w:t>
      </w:r>
      <w:proofErr w:type="spellStart"/>
      <w:r w:rsidRPr="00EB096B">
        <w:rPr>
          <w:rFonts w:ascii="Times New Roman" w:hAnsi="Times New Roman" w:cs="Times New Roman"/>
        </w:rPr>
        <w:t>Ibadin</w:t>
      </w:r>
      <w:proofErr w:type="spellEnd"/>
      <w:r w:rsidRPr="00EB096B">
        <w:rPr>
          <w:rFonts w:ascii="Times New Roman" w:hAnsi="Times New Roman" w:cs="Times New Roman"/>
        </w:rPr>
        <w:t>, 2025). Empirically, board independence is commonly measured using the ratio or proportion of independent non-executive directors to total board size, although this proxy has been criticized for failing to capture behavioral independence and actual influence. In comparison, while higher board independence is associated with improved firm value and governance outcomes, excessive independence without firm specific knowledge may weaken strategic cohesion, thus presenting a trade</w:t>
      </w:r>
      <w:r w:rsidR="00417A7E">
        <w:rPr>
          <w:rFonts w:ascii="Times New Roman" w:hAnsi="Times New Roman" w:cs="Times New Roman"/>
        </w:rPr>
        <w:t>-</w:t>
      </w:r>
      <w:r w:rsidRPr="00EB096B">
        <w:rPr>
          <w:rFonts w:ascii="Times New Roman" w:hAnsi="Times New Roman" w:cs="Times New Roman"/>
        </w:rPr>
        <w:t>off between monitoring and advisory roles (Ntim et al., 2022). Consequently, board independence remains a critical but imperfect governance tool, whose effectiveness depends on contextual factors such as institutional quality, regulatory enforcement, and alignment with other governance mechanisms, particularly in enhancing value relevance of strategic investments</w:t>
      </w:r>
    </w:p>
    <w:p w14:paraId="0E5B1667" w14:textId="57D9A628" w:rsidR="0012786E" w:rsidRPr="00EB096B" w:rsidRDefault="00EB096B" w:rsidP="00EB096B">
      <w:pPr>
        <w:spacing w:line="360" w:lineRule="auto"/>
        <w:jc w:val="both"/>
        <w:rPr>
          <w:rFonts w:ascii="Times New Roman" w:hAnsi="Times New Roman" w:cs="Times New Roman"/>
          <w:b/>
          <w:bCs/>
        </w:rPr>
      </w:pPr>
      <w:r>
        <w:rPr>
          <w:rFonts w:ascii="Times New Roman" w:hAnsi="Times New Roman" w:cs="Times New Roman"/>
          <w:b/>
          <w:bCs/>
        </w:rPr>
        <w:t xml:space="preserve">2.1.3 </w:t>
      </w:r>
      <w:r w:rsidR="00845282" w:rsidRPr="00EB096B">
        <w:rPr>
          <w:rFonts w:ascii="Times New Roman" w:hAnsi="Times New Roman" w:cs="Times New Roman"/>
          <w:b/>
          <w:bCs/>
        </w:rPr>
        <w:t>Training Investment, Board Independence and Innovation</w:t>
      </w:r>
    </w:p>
    <w:p w14:paraId="601110F3" w14:textId="4F1A3C23" w:rsidR="0053192E" w:rsidRDefault="0053192E" w:rsidP="0053192E">
      <w:pPr>
        <w:spacing w:line="360" w:lineRule="auto"/>
        <w:jc w:val="both"/>
        <w:rPr>
          <w:rFonts w:ascii="Times New Roman" w:hAnsi="Times New Roman" w:cs="Times New Roman"/>
        </w:rPr>
      </w:pPr>
      <w:r w:rsidRPr="0053192E">
        <w:rPr>
          <w:rFonts w:ascii="Times New Roman" w:hAnsi="Times New Roman" w:cs="Times New Roman"/>
        </w:rPr>
        <w:t xml:space="preserve">The relationship between training investment, board governance, and firm value is fundamentally complementary, as human capital development enhances firm capabilities while effective governance ensures optimal allocation and monitoring of such investments, thereby strengthening value creation (Agyemang &amp; Ofori, 2023; </w:t>
      </w:r>
      <w:proofErr w:type="spellStart"/>
      <w:r w:rsidRPr="0053192E">
        <w:rPr>
          <w:rFonts w:ascii="Times New Roman" w:hAnsi="Times New Roman" w:cs="Times New Roman"/>
        </w:rPr>
        <w:t>Uwuigbe</w:t>
      </w:r>
      <w:proofErr w:type="spellEnd"/>
      <w:r w:rsidRPr="0053192E">
        <w:rPr>
          <w:rFonts w:ascii="Times New Roman" w:hAnsi="Times New Roman" w:cs="Times New Roman"/>
        </w:rPr>
        <w:t xml:space="preserve"> et al., 2023). Empirical evidence show</w:t>
      </w:r>
      <w:r w:rsidR="00C3289B">
        <w:rPr>
          <w:rFonts w:ascii="Times New Roman" w:hAnsi="Times New Roman" w:cs="Times New Roman"/>
        </w:rPr>
        <w:t>ed</w:t>
      </w:r>
      <w:r w:rsidRPr="0053192E">
        <w:rPr>
          <w:rFonts w:ascii="Times New Roman" w:hAnsi="Times New Roman" w:cs="Times New Roman"/>
        </w:rPr>
        <w:t xml:space="preserve"> that firms with higher training investment achieve superior performance and market valuation, particularly when supported by strong governance structures, as Yahaya (2024) demonstrate</w:t>
      </w:r>
      <w:r w:rsidR="00C3289B">
        <w:rPr>
          <w:rFonts w:ascii="Times New Roman" w:hAnsi="Times New Roman" w:cs="Times New Roman"/>
        </w:rPr>
        <w:t>d</w:t>
      </w:r>
      <w:r w:rsidRPr="0053192E">
        <w:rPr>
          <w:rFonts w:ascii="Times New Roman" w:hAnsi="Times New Roman" w:cs="Times New Roman"/>
        </w:rPr>
        <w:t xml:space="preserve"> that governance quality enhances the value relevance of strategic investments. Moreover, board independence improves oversight, reduces agency conflicts, and ensures that training expenditures translate into productivity and innovation gains, which ultimately drive firm value (</w:t>
      </w:r>
      <w:proofErr w:type="spellStart"/>
      <w:r w:rsidRPr="0053192E">
        <w:rPr>
          <w:rFonts w:ascii="Times New Roman" w:hAnsi="Times New Roman" w:cs="Times New Roman"/>
        </w:rPr>
        <w:t>Bukari</w:t>
      </w:r>
      <w:proofErr w:type="spellEnd"/>
      <w:r w:rsidRPr="0053192E">
        <w:rPr>
          <w:rFonts w:ascii="Times New Roman" w:hAnsi="Times New Roman" w:cs="Times New Roman"/>
        </w:rPr>
        <w:t xml:space="preserve"> et al., 2024; Okafor &amp; </w:t>
      </w:r>
      <w:proofErr w:type="spellStart"/>
      <w:r w:rsidRPr="0053192E">
        <w:rPr>
          <w:rFonts w:ascii="Times New Roman" w:hAnsi="Times New Roman" w:cs="Times New Roman"/>
        </w:rPr>
        <w:t>Ibadin</w:t>
      </w:r>
      <w:proofErr w:type="spellEnd"/>
      <w:r w:rsidRPr="0053192E">
        <w:rPr>
          <w:rFonts w:ascii="Times New Roman" w:hAnsi="Times New Roman" w:cs="Times New Roman"/>
        </w:rPr>
        <w:t>, 2025). In contrast, weak governance frameworks may dilute the benefits of training investment, leading to inefficient resource utilization and suboptimal value outcomes, thus highlighting the synergistic role of governance and human capital in sustaining firm value (Mensah et al., 2022; Salisu &amp; Mohammed, 2024; Bello et al., 2026).</w:t>
      </w:r>
    </w:p>
    <w:p w14:paraId="10AE7D6F" w14:textId="1BCE9AB0" w:rsidR="0012786E" w:rsidRPr="0058447B" w:rsidRDefault="005A796A" w:rsidP="0053192E">
      <w:pPr>
        <w:spacing w:line="360" w:lineRule="auto"/>
        <w:jc w:val="both"/>
        <w:rPr>
          <w:rFonts w:ascii="Times New Roman" w:hAnsi="Times New Roman" w:cs="Times New Roman"/>
          <w:b/>
          <w:bCs/>
        </w:rPr>
      </w:pPr>
      <w:r w:rsidRPr="0058447B">
        <w:rPr>
          <w:rFonts w:ascii="Times New Roman" w:hAnsi="Times New Roman" w:cs="Times New Roman"/>
          <w:b/>
          <w:bCs/>
        </w:rPr>
        <w:t>2.2 Theoretical Review</w:t>
      </w:r>
    </w:p>
    <w:p w14:paraId="506439D1" w14:textId="4AEB6CE5" w:rsidR="00341B77" w:rsidRPr="0058447B" w:rsidRDefault="0058447B" w:rsidP="009313AD">
      <w:pPr>
        <w:jc w:val="both"/>
        <w:rPr>
          <w:rFonts w:ascii="Times New Roman" w:hAnsi="Times New Roman" w:cs="Times New Roman"/>
          <w:b/>
          <w:bCs/>
        </w:rPr>
      </w:pPr>
      <w:r w:rsidRPr="0058447B">
        <w:rPr>
          <w:rFonts w:ascii="Times New Roman" w:hAnsi="Times New Roman" w:cs="Times New Roman"/>
          <w:b/>
          <w:bCs/>
        </w:rPr>
        <w:t xml:space="preserve">2.2.1. </w:t>
      </w:r>
      <w:r w:rsidR="002E43C0" w:rsidRPr="0058447B">
        <w:rPr>
          <w:rFonts w:ascii="Times New Roman" w:hAnsi="Times New Roman" w:cs="Times New Roman"/>
          <w:b/>
          <w:bCs/>
        </w:rPr>
        <w:t>Human Capital Theory</w:t>
      </w:r>
    </w:p>
    <w:p w14:paraId="10385E73" w14:textId="77777777" w:rsidR="008C30AD" w:rsidRDefault="008C30AD" w:rsidP="002E43C0">
      <w:pPr>
        <w:spacing w:line="360" w:lineRule="auto"/>
        <w:jc w:val="both"/>
        <w:rPr>
          <w:rFonts w:ascii="Times New Roman" w:hAnsi="Times New Roman" w:cs="Times New Roman"/>
        </w:rPr>
      </w:pPr>
      <w:r w:rsidRPr="008C30AD">
        <w:rPr>
          <w:rFonts w:ascii="Times New Roman" w:hAnsi="Times New Roman" w:cs="Times New Roman"/>
        </w:rPr>
        <w:lastRenderedPageBreak/>
        <w:t>Human Capital Theory, propounded by Gary Becker in 1964, posited that investment in education and training enhanced employees’ skills, productivity, and future economic returns, assuming rational decision making and measurable returns on human capital accumulation (Becker, 1964; Agyemang &amp; Ofori, 2023</w:t>
      </w:r>
      <w:proofErr w:type="gramStart"/>
      <w:r w:rsidRPr="008C30AD">
        <w:rPr>
          <w:rFonts w:ascii="Times New Roman" w:hAnsi="Times New Roman" w:cs="Times New Roman"/>
        </w:rPr>
        <w:t>) .</w:t>
      </w:r>
      <w:proofErr w:type="gramEnd"/>
      <w:r w:rsidRPr="008C30AD">
        <w:rPr>
          <w:rFonts w:ascii="Times New Roman" w:hAnsi="Times New Roman" w:cs="Times New Roman"/>
        </w:rPr>
        <w:t xml:space="preserve"> Recent studies showed that human capital development significantly improved firm performance and value creation, as Mensah et al. (2022) found that training intensity enhanced productivity, while Salisu and Mohammed (2024) reported a positive link between workforce training and firm value. However, the theory was limited by measurement difficulties, time lag effects, and its narrow economic orientation, and critics argued that it overlooked institutional and governance factors influencing outcomes (Kessler, 2022; Yahaya, 2024). Despite these limitations, its key benefit lay in explaining how strategic investment in training drove innovation, efficiency, and competitive advantage. Accordingly, this study will apply Human Capital Theory by proposing that training investment will enhance firm value, while board independence will strengthen the efficiency and monitoring of such investments, thereby improving firm value measured by Tobin’s Q.</w:t>
      </w:r>
    </w:p>
    <w:p w14:paraId="6AECFB1A" w14:textId="7768F2D2" w:rsidR="004C60EF" w:rsidRPr="0058447B" w:rsidRDefault="0058447B" w:rsidP="002E43C0">
      <w:pPr>
        <w:spacing w:line="360" w:lineRule="auto"/>
        <w:jc w:val="both"/>
        <w:rPr>
          <w:rFonts w:ascii="Times New Roman" w:hAnsi="Times New Roman" w:cs="Times New Roman"/>
          <w:b/>
          <w:bCs/>
        </w:rPr>
      </w:pPr>
      <w:r w:rsidRPr="0058447B">
        <w:rPr>
          <w:rFonts w:ascii="Times New Roman" w:hAnsi="Times New Roman" w:cs="Times New Roman"/>
          <w:b/>
          <w:bCs/>
        </w:rPr>
        <w:t xml:space="preserve">2.2.2. </w:t>
      </w:r>
      <w:r w:rsidR="004C60EF" w:rsidRPr="0058447B">
        <w:rPr>
          <w:rFonts w:ascii="Times New Roman" w:hAnsi="Times New Roman" w:cs="Times New Roman"/>
          <w:b/>
          <w:bCs/>
        </w:rPr>
        <w:t>Signaling theory</w:t>
      </w:r>
    </w:p>
    <w:p w14:paraId="34686D02" w14:textId="11712166" w:rsidR="00C3289B" w:rsidRPr="00C3289B" w:rsidRDefault="00C3289B" w:rsidP="00C3289B">
      <w:pPr>
        <w:spacing w:line="360" w:lineRule="auto"/>
        <w:jc w:val="both"/>
        <w:rPr>
          <w:rFonts w:ascii="Times New Roman" w:hAnsi="Times New Roman" w:cs="Times New Roman"/>
        </w:rPr>
      </w:pPr>
      <w:r w:rsidRPr="00C3289B">
        <w:rPr>
          <w:rFonts w:ascii="Times New Roman" w:hAnsi="Times New Roman" w:cs="Times New Roman"/>
        </w:rPr>
        <w:t xml:space="preserve">Signaling theory, propounded by Michael Spence in 1973, posited that firms conveyed credible information to external stakeholders under conditions of information asymmetry, assuming that signals were observable, costly, and difficult to imitate (Connelly et al., 2025; </w:t>
      </w:r>
      <w:proofErr w:type="spellStart"/>
      <w:r w:rsidRPr="00C3289B">
        <w:rPr>
          <w:rFonts w:ascii="Times New Roman" w:hAnsi="Times New Roman" w:cs="Times New Roman"/>
        </w:rPr>
        <w:t>Svetek</w:t>
      </w:r>
      <w:proofErr w:type="spellEnd"/>
      <w:r w:rsidRPr="00C3289B">
        <w:rPr>
          <w:rFonts w:ascii="Times New Roman" w:hAnsi="Times New Roman" w:cs="Times New Roman"/>
        </w:rPr>
        <w:t>, 2022). Recent studies showed that corporate disclosures and strategic investments served as signals that influenced investor perception and firm valuation, as Connelly et al. (2025) emphasized the evolving relevance of signaling mechanisms in modern markets, while Fathi (2025) found that financial and non-financial signals significantly affected firm value (Fathi, 2025). However, the theory was limited by the possibility of signal manipulation and its reliance on accurate market interpretation, and critics argued that not all signals reflected true firm quality, especially in weak institutional settings (Valero-Gil, 2024). Despite these limitations, its key benefit lay in explaining how firms reduced information asymmetry and enhanced investor confidence. Accordingly, this study will apply signaling theory by proposing that training investment will serve as a credible signal of future capability and performance, while board independence will strengthen the credibility of such signals through effective monitoring, thereby improving firm value measured by Tobin’s Q.</w:t>
      </w:r>
    </w:p>
    <w:p w14:paraId="4B32ECC9" w14:textId="58AE2991" w:rsidR="00D019F6" w:rsidRPr="0058447B" w:rsidRDefault="0058447B" w:rsidP="002E43C0">
      <w:pPr>
        <w:spacing w:line="360" w:lineRule="auto"/>
        <w:jc w:val="both"/>
        <w:rPr>
          <w:rFonts w:ascii="Times New Roman" w:hAnsi="Times New Roman" w:cs="Times New Roman"/>
          <w:b/>
          <w:bCs/>
        </w:rPr>
      </w:pPr>
      <w:r w:rsidRPr="0058447B">
        <w:rPr>
          <w:rFonts w:ascii="Times New Roman" w:hAnsi="Times New Roman" w:cs="Times New Roman"/>
          <w:b/>
          <w:bCs/>
        </w:rPr>
        <w:t>2.2.3</w:t>
      </w:r>
      <w:r w:rsidR="00B24D60">
        <w:rPr>
          <w:rFonts w:ascii="Times New Roman" w:hAnsi="Times New Roman" w:cs="Times New Roman"/>
          <w:b/>
          <w:bCs/>
        </w:rPr>
        <w:tab/>
      </w:r>
      <w:r w:rsidR="00D019F6" w:rsidRPr="0058447B">
        <w:rPr>
          <w:rFonts w:ascii="Times New Roman" w:hAnsi="Times New Roman" w:cs="Times New Roman"/>
          <w:b/>
          <w:bCs/>
        </w:rPr>
        <w:t>Theoretical Justification</w:t>
      </w:r>
    </w:p>
    <w:p w14:paraId="4FCF1EE3" w14:textId="7FAA924B" w:rsidR="00F2692F" w:rsidRDefault="00F2692F" w:rsidP="004F49B2">
      <w:pPr>
        <w:spacing w:line="360" w:lineRule="auto"/>
        <w:jc w:val="both"/>
        <w:rPr>
          <w:rFonts w:ascii="Times New Roman" w:hAnsi="Times New Roman" w:cs="Times New Roman"/>
        </w:rPr>
      </w:pPr>
      <w:r w:rsidRPr="00F2692F">
        <w:rPr>
          <w:rFonts w:ascii="Times New Roman" w:hAnsi="Times New Roman" w:cs="Times New Roman"/>
        </w:rPr>
        <w:lastRenderedPageBreak/>
        <w:t xml:space="preserve">The integration of Human Capital Theory and Signaling Theory provides a complementary framework for explaining how training investment influences firm value, as the former focuses on productivity enhancement while the latter emphasizes information transmission under asymmetry. Human Capital Theory posited that investment in training improved skills and productivity outcomes (Deming, 2025), whereas Signaling Theory, developed by Michael Spence, explained how observable actions conveyed firm quality to external stakeholders (Connelly et al., 2025), since signals must be credible and costly to </w:t>
      </w:r>
      <w:proofErr w:type="gramStart"/>
      <w:r w:rsidRPr="00F2692F">
        <w:rPr>
          <w:rFonts w:ascii="Times New Roman" w:hAnsi="Times New Roman" w:cs="Times New Roman"/>
        </w:rPr>
        <w:t>imitate .</w:t>
      </w:r>
      <w:proofErr w:type="gramEnd"/>
      <w:r w:rsidRPr="00F2692F">
        <w:rPr>
          <w:rFonts w:ascii="Times New Roman" w:hAnsi="Times New Roman" w:cs="Times New Roman"/>
        </w:rPr>
        <w:t xml:space="preserve"> Empirical studies showed that training not only enhanced productivity but also functioned as a signal of future performance and organizational capability (</w:t>
      </w:r>
      <w:proofErr w:type="spellStart"/>
      <w:r w:rsidRPr="00F2692F">
        <w:rPr>
          <w:rFonts w:ascii="Times New Roman" w:hAnsi="Times New Roman" w:cs="Times New Roman"/>
        </w:rPr>
        <w:t>Svetek</w:t>
      </w:r>
      <w:proofErr w:type="spellEnd"/>
      <w:r w:rsidRPr="00F2692F">
        <w:rPr>
          <w:rFonts w:ascii="Times New Roman" w:hAnsi="Times New Roman" w:cs="Times New Roman"/>
        </w:rPr>
        <w:t xml:space="preserve">, 2022; </w:t>
      </w:r>
      <w:proofErr w:type="spellStart"/>
      <w:r w:rsidRPr="00F2692F">
        <w:rPr>
          <w:rFonts w:ascii="Times New Roman" w:hAnsi="Times New Roman" w:cs="Times New Roman"/>
        </w:rPr>
        <w:t>Fathi</w:t>
      </w:r>
      <w:proofErr w:type="spellEnd"/>
      <w:r w:rsidRPr="00F2692F">
        <w:rPr>
          <w:rFonts w:ascii="Times New Roman" w:hAnsi="Times New Roman" w:cs="Times New Roman"/>
        </w:rPr>
        <w:t>, 2025). However, critics argued that returns to training may reflect signaling effects rather than real productivity gains, thereby creating interpretational challenges (Valero-Gil, 2024; Auerbach, 2025). Despite this, their integration offered a more robust explanation by capturing both intrinsic value creation and market perception. Accordingly, this study will apply the integrated framework by proposing that training investment will enhance firm value through capability development, while board independence will strengthen the credibility and monitoring of these signals, thereby improving firm value measured by Tobin’s Q.</w:t>
      </w:r>
    </w:p>
    <w:p w14:paraId="5DC42F8F" w14:textId="5D430F3F" w:rsidR="005A796A" w:rsidRPr="0058447B" w:rsidRDefault="005A796A" w:rsidP="009313AD">
      <w:pPr>
        <w:jc w:val="both"/>
        <w:rPr>
          <w:rFonts w:ascii="Times New Roman" w:hAnsi="Times New Roman" w:cs="Times New Roman"/>
          <w:b/>
          <w:bCs/>
        </w:rPr>
      </w:pPr>
      <w:r w:rsidRPr="0058447B">
        <w:rPr>
          <w:rFonts w:ascii="Times New Roman" w:hAnsi="Times New Roman" w:cs="Times New Roman"/>
          <w:b/>
          <w:bCs/>
        </w:rPr>
        <w:t>2.3 Empirical Review</w:t>
      </w:r>
    </w:p>
    <w:p w14:paraId="2032A887" w14:textId="4464347E"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Agyemang and Ofori (2023) employed an ex post facto research design using secondary panel data from 120 listed firms in the UK between 2012 and 2021, applying fixed effects regression to examine human capital investment and firm value, and found that training expenditure significantly improves Tobin’s Q; however, the study did not incorporate board independence as a moderating variable, creating a governance gap.</w:t>
      </w:r>
      <w:r>
        <w:rPr>
          <w:rFonts w:ascii="Times New Roman" w:hAnsi="Times New Roman" w:cs="Times New Roman"/>
        </w:rPr>
        <w:t xml:space="preserve"> </w:t>
      </w:r>
      <w:r w:rsidRPr="004A4249">
        <w:rPr>
          <w:rFonts w:ascii="Times New Roman" w:hAnsi="Times New Roman" w:cs="Times New Roman"/>
        </w:rPr>
        <w:t>Rodríguez Valencia (2025) analyzed 91 listed SMEs in Spain using panel data from 2015 to 2022, adopting purposive sampling and generalized method of moments (GMM) estimation, and reported that corporate governance variables, particularly board independence, positively influence firm value; nonetheless, the study focused on governance without integrating training investment variables.</w:t>
      </w:r>
    </w:p>
    <w:p w14:paraId="645AC2E2" w14:textId="47A30B0C"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Sutrisno (2023) conducted a survey-based study of 78 manufacturing firms in Indonesia using structured questionnaires and regression analysis on 2022 data, and found that board independence significantly enhances firm value and earnings persistence; however, the study lacked longitudinal evidence and omitted human capital investment variables.</w:t>
      </w:r>
      <w:r>
        <w:rPr>
          <w:rFonts w:ascii="Times New Roman" w:hAnsi="Times New Roman" w:cs="Times New Roman"/>
        </w:rPr>
        <w:t xml:space="preserve"> </w:t>
      </w:r>
      <w:r w:rsidRPr="004A4249">
        <w:rPr>
          <w:rFonts w:ascii="Times New Roman" w:hAnsi="Times New Roman" w:cs="Times New Roman"/>
        </w:rPr>
        <w:t xml:space="preserve">Noor and Alam (2024) applied a quantitative research design using secondary data from 40 banking and insurance firms in Indonesia </w:t>
      </w:r>
      <w:r w:rsidRPr="004A4249">
        <w:rPr>
          <w:rFonts w:ascii="Times New Roman" w:hAnsi="Times New Roman" w:cs="Times New Roman"/>
        </w:rPr>
        <w:lastRenderedPageBreak/>
        <w:t>over 2018 to 2022, utilizing PLS SEM, and found that corporate governance and investment decisions significantly affect firm value, with moderating effects present; however, training investment proxies were not disaggregated, limiting insight into human capital dynamics.</w:t>
      </w:r>
    </w:p>
    <w:p w14:paraId="79F720DC" w14:textId="7A753A47"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Soomro et al. (2026) adopted a mixed methods design combining survey data from 200 executives and secondary financial data from listed firms in Pakistan between 2018 and 2024, using correlation and regression techniques, and found that board independence significantly improves Tobin’s Q and investor confidence; however, the study identified weak enforcement and did not examine training investment interactions.</w:t>
      </w:r>
      <w:r>
        <w:rPr>
          <w:rFonts w:ascii="Times New Roman" w:hAnsi="Times New Roman" w:cs="Times New Roman"/>
        </w:rPr>
        <w:t xml:space="preserve"> </w:t>
      </w:r>
      <w:proofErr w:type="spellStart"/>
      <w:r w:rsidRPr="004A4249">
        <w:rPr>
          <w:rFonts w:ascii="Times New Roman" w:hAnsi="Times New Roman" w:cs="Times New Roman"/>
        </w:rPr>
        <w:t>Bunyaminu</w:t>
      </w:r>
      <w:proofErr w:type="spellEnd"/>
      <w:r w:rsidRPr="004A4249">
        <w:rPr>
          <w:rFonts w:ascii="Times New Roman" w:hAnsi="Times New Roman" w:cs="Times New Roman"/>
        </w:rPr>
        <w:t xml:space="preserve"> (2025) employed panel data analysis using purposive sampling of listed firms on the Ghana Stock Exchange from 2016 to 2022, applying random effects regression, and found that board attributes including independence significantly enhance firm market value; however, the study did not incorporate human capital investment measures, creating a conceptual gap.</w:t>
      </w:r>
    </w:p>
    <w:p w14:paraId="61684A60" w14:textId="0AAB34EC"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Abbas and Yahaya (2024) used panel data from 153 firms over 2014 to 2023, applying ordinary least squares and robustness checks, and found that board independence reduces earnings management and improves reporting quality, which indirectly enhances firm value; nevertheless, the study focused on financial reporting without linking training investment to firm value outcomes.</w:t>
      </w:r>
      <w:r>
        <w:rPr>
          <w:rFonts w:ascii="Times New Roman" w:hAnsi="Times New Roman" w:cs="Times New Roman"/>
        </w:rPr>
        <w:t xml:space="preserve"> </w:t>
      </w:r>
      <w:r w:rsidRPr="004A4249">
        <w:rPr>
          <w:rFonts w:ascii="Times New Roman" w:hAnsi="Times New Roman" w:cs="Times New Roman"/>
        </w:rPr>
        <w:t xml:space="preserve">Wang et al. (2022) adopted a </w:t>
      </w:r>
      <w:proofErr w:type="spellStart"/>
      <w:r w:rsidRPr="004A4249">
        <w:rPr>
          <w:rFonts w:ascii="Times New Roman" w:hAnsi="Times New Roman" w:cs="Times New Roman"/>
        </w:rPr>
        <w:t>quasi experimental</w:t>
      </w:r>
      <w:proofErr w:type="spellEnd"/>
      <w:r w:rsidRPr="004A4249">
        <w:rPr>
          <w:rFonts w:ascii="Times New Roman" w:hAnsi="Times New Roman" w:cs="Times New Roman"/>
        </w:rPr>
        <w:t xml:space="preserve"> design using regulatory changes in Taiwan as a natural experiment, analyzing panel data of listed firms with difference in differences estimation, and found a negative relationship between board independence and firm value due to director quality constraints; however, the study did not consider human capital investments as a complementary factor.</w:t>
      </w:r>
    </w:p>
    <w:p w14:paraId="3156232D" w14:textId="319B9660"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 xml:space="preserve">Adebayo et al. (2023) utilized secondary data from Nigerian listed firms over a </w:t>
      </w:r>
      <w:proofErr w:type="gramStart"/>
      <w:r w:rsidRPr="004A4249">
        <w:rPr>
          <w:rFonts w:ascii="Times New Roman" w:hAnsi="Times New Roman" w:cs="Times New Roman"/>
        </w:rPr>
        <w:t>ten year</w:t>
      </w:r>
      <w:proofErr w:type="gramEnd"/>
      <w:r w:rsidRPr="004A4249">
        <w:rPr>
          <w:rFonts w:ascii="Times New Roman" w:hAnsi="Times New Roman" w:cs="Times New Roman"/>
        </w:rPr>
        <w:t xml:space="preserve"> period with panel regression techniques, and found that market inefficiencies and weak disclosures distort firm value measurement; however, the study did not explore governance mechanisms such as board independence or training investment interactions.</w:t>
      </w:r>
      <w:r>
        <w:rPr>
          <w:rFonts w:ascii="Times New Roman" w:hAnsi="Times New Roman" w:cs="Times New Roman"/>
        </w:rPr>
        <w:t xml:space="preserve"> </w:t>
      </w:r>
      <w:proofErr w:type="spellStart"/>
      <w:r w:rsidRPr="004A4249">
        <w:rPr>
          <w:rFonts w:ascii="Times New Roman" w:hAnsi="Times New Roman" w:cs="Times New Roman"/>
        </w:rPr>
        <w:t>Uwuigbe</w:t>
      </w:r>
      <w:proofErr w:type="spellEnd"/>
      <w:r w:rsidRPr="004A4249">
        <w:rPr>
          <w:rFonts w:ascii="Times New Roman" w:hAnsi="Times New Roman" w:cs="Times New Roman"/>
        </w:rPr>
        <w:t xml:space="preserve"> et al. (2023) employed an ex post facto design using secondary data from Nigerian listed firms between 2012 and 2021, applying multiple regression analysis, and found that board independence significantly improves financial performance and firm value; however, the study did not examine the moderating role of board independence on training investment, nor did it focus on sector specific dynamics such as oil and gas firms, thereby justifying the present study.</w:t>
      </w:r>
    </w:p>
    <w:p w14:paraId="7555FB41" w14:textId="36AB74E2"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lastRenderedPageBreak/>
        <w:t>Mensah et al. (2022) adopted a panel research design using secondary data from 85 listed firms in South Africa over the period 2013 to 2020, employing fixed and random effects models, and found that human capital development, particularly training intensity, significantly improves firm performance and market valuation; however, the study did not incorporate board independence as a moderating variable, thereby limiting governance insights.</w:t>
      </w:r>
      <w:r>
        <w:rPr>
          <w:rFonts w:ascii="Times New Roman" w:hAnsi="Times New Roman" w:cs="Times New Roman"/>
        </w:rPr>
        <w:t xml:space="preserve"> </w:t>
      </w:r>
      <w:r w:rsidRPr="004A4249">
        <w:rPr>
          <w:rFonts w:ascii="Times New Roman" w:hAnsi="Times New Roman" w:cs="Times New Roman"/>
        </w:rPr>
        <w:t>Okoye and Eze (2023) utilized a survey research design with primary data collected from 150 manufacturing firms in Nigeria using stratified sampling and multiple regression analysis, and found that training expenditure and employee participation in training programs significantly enhance organizational performance; nonetheless, the study relied on perceptual measures and did not link outcomes to firm value proxies such as Tobin’s Q.</w:t>
      </w:r>
    </w:p>
    <w:p w14:paraId="2ECD0806" w14:textId="74AFDF96"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Salisu and Mohammed (2024) employed an ex post facto design using panel data from 60 listed firms in Nigeria between 2015 and 2022, applying generalized least squares estimation, and reported that workforce training significantly improves firm value and operational efficiency; however, the study did not examine governance structures such as board independence, creating a moderating gap.</w:t>
      </w:r>
      <w:r>
        <w:rPr>
          <w:rFonts w:ascii="Times New Roman" w:hAnsi="Times New Roman" w:cs="Times New Roman"/>
        </w:rPr>
        <w:t xml:space="preserve"> </w:t>
      </w:r>
      <w:proofErr w:type="spellStart"/>
      <w:r w:rsidRPr="004A4249">
        <w:rPr>
          <w:rFonts w:ascii="Times New Roman" w:hAnsi="Times New Roman" w:cs="Times New Roman"/>
        </w:rPr>
        <w:t>Bukari</w:t>
      </w:r>
      <w:proofErr w:type="spellEnd"/>
      <w:r w:rsidRPr="004A4249">
        <w:rPr>
          <w:rFonts w:ascii="Times New Roman" w:hAnsi="Times New Roman" w:cs="Times New Roman"/>
        </w:rPr>
        <w:t xml:space="preserve"> et al. (2024) used panel data from 110 firms across emerging markets between 2014 and 2021, adopting GMM estimation, and found that corporate governance mechanisms, including board independence, significantly enhance firm value especially when moderated by ESG performance; however, the study did not incorporate human capital investment proxies, limiting its explanatory scope on training effects.</w:t>
      </w:r>
    </w:p>
    <w:p w14:paraId="0DA3AE2F" w14:textId="102AFB12"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Ahmed et al. (2025) conducted a panel study using data from 75 listed service firms in Nigeria from 2012 to 2023, applying dynamic panel estimation techniques, and found that board independence significantly influences firm financial decisions and value outcomes; nevertheless, the study did not consider training investment variables or sector specific evidence from oil and gas firms.</w:t>
      </w:r>
      <w:r>
        <w:rPr>
          <w:rFonts w:ascii="Times New Roman" w:hAnsi="Times New Roman" w:cs="Times New Roman"/>
        </w:rPr>
        <w:t xml:space="preserve"> </w:t>
      </w:r>
      <w:r w:rsidRPr="004A4249">
        <w:rPr>
          <w:rFonts w:ascii="Times New Roman" w:hAnsi="Times New Roman" w:cs="Times New Roman"/>
        </w:rPr>
        <w:t>Adedoyin et al. (2023) adopted an ex post facto design using secondary data from 95 listed Nigerian firms over the period 2011 to 2020, employing panel regression analysis, and found that board characteristics, including independence, positively affect firm value; however, the study did not integrate multidimensional training investment proxies nor examine their interaction with governance variables, thereby leaving a critical gap addressed by the present study.</w:t>
      </w:r>
    </w:p>
    <w:p w14:paraId="6EC7E39C" w14:textId="1543488E" w:rsidR="003F2E9B" w:rsidRPr="00127BA5" w:rsidRDefault="00542CCC" w:rsidP="00542CCC">
      <w:pPr>
        <w:pStyle w:val="ListParagraph"/>
        <w:numPr>
          <w:ilvl w:val="0"/>
          <w:numId w:val="4"/>
        </w:numPr>
        <w:jc w:val="both"/>
        <w:rPr>
          <w:rFonts w:ascii="Times New Roman" w:hAnsi="Times New Roman" w:cs="Times New Roman"/>
          <w:b/>
          <w:bCs/>
        </w:rPr>
      </w:pPr>
      <w:r w:rsidRPr="00127BA5">
        <w:rPr>
          <w:rFonts w:ascii="Times New Roman" w:hAnsi="Times New Roman" w:cs="Times New Roman"/>
          <w:b/>
          <w:bCs/>
        </w:rPr>
        <w:t>Methodology</w:t>
      </w:r>
    </w:p>
    <w:p w14:paraId="38907C3F" w14:textId="2CDA7458" w:rsidR="006E66CE" w:rsidRDefault="006E66CE" w:rsidP="00B9459D">
      <w:pPr>
        <w:spacing w:line="360" w:lineRule="auto"/>
        <w:jc w:val="both"/>
        <w:rPr>
          <w:rFonts w:ascii="Times New Roman" w:hAnsi="Times New Roman" w:cs="Times New Roman"/>
        </w:rPr>
      </w:pPr>
      <w:r w:rsidRPr="006E66CE">
        <w:rPr>
          <w:rFonts w:ascii="Times New Roman" w:hAnsi="Times New Roman" w:cs="Times New Roman"/>
        </w:rPr>
        <w:lastRenderedPageBreak/>
        <w:t xml:space="preserve">This study adopted an ex post facto research design with a quantitative panel approach to examine the moderating role of board independence on the relationship between training investment and firm value. The population comprised twelve listed oil and gas firms on the Nigerian Exchange Group, and a census sampling technique was used, resulting in a sample size of twelve firms due to the small and accessible population. The choice of listed oil and gas firms was justified by their strategic economic importance, high capital intensity, strong governance structures, and relatively consistent disclosure practices, which enhanced data reliability. Secondary data were obtained from audited annual reports, </w:t>
      </w:r>
      <w:r>
        <w:rPr>
          <w:rFonts w:ascii="Times New Roman" w:hAnsi="Times New Roman" w:cs="Times New Roman"/>
        </w:rPr>
        <w:t>c</w:t>
      </w:r>
      <w:r w:rsidRPr="006E66CE">
        <w:rPr>
          <w:rFonts w:ascii="Times New Roman" w:hAnsi="Times New Roman" w:cs="Times New Roman"/>
        </w:rPr>
        <w:t>orporate governance disclosures, and NGX fact books for the period 2015 to 2024, with 2015 selected as the base year because it reflected post IFRS reporting stability and improved governance disclosure consistency. Data were analyzed using panel regression techniques, specifically random effects and moderated regression analysis, with relevant diagnostic tests to ensure robustness of the estimates.</w:t>
      </w:r>
    </w:p>
    <w:p w14:paraId="5B23CCAA" w14:textId="441018B4" w:rsidR="00542CCC" w:rsidRPr="00B9459D" w:rsidRDefault="00B9459D" w:rsidP="00B9459D">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00542CCC" w:rsidRPr="00B9459D">
        <w:rPr>
          <w:rFonts w:ascii="Times New Roman" w:hAnsi="Times New Roman" w:cs="Times New Roman"/>
          <w:b/>
          <w:bCs/>
        </w:rPr>
        <w:t>Model Specification</w:t>
      </w:r>
    </w:p>
    <w:p w14:paraId="712EC311" w14:textId="77777777" w:rsidR="00170320" w:rsidRDefault="00B9459D" w:rsidP="00B9459D">
      <w:pPr>
        <w:spacing w:line="360" w:lineRule="auto"/>
        <w:jc w:val="both"/>
        <w:rPr>
          <w:rFonts w:ascii="Times New Roman" w:hAnsi="Times New Roman" w:cs="Times New Roman"/>
        </w:rPr>
      </w:pPr>
      <w:r w:rsidRPr="006E66CE">
        <w:rPr>
          <w:rFonts w:ascii="Times New Roman" w:hAnsi="Times New Roman" w:cs="Times New Roman"/>
        </w:rPr>
        <w:t xml:space="preserve">The model for this study was adapted from </w:t>
      </w:r>
      <w:proofErr w:type="spellStart"/>
      <w:r w:rsidRPr="006E66CE">
        <w:rPr>
          <w:rFonts w:ascii="Times New Roman" w:hAnsi="Times New Roman" w:cs="Times New Roman"/>
        </w:rPr>
        <w:t>Zouari-Hadiji</w:t>
      </w:r>
      <w:proofErr w:type="spellEnd"/>
      <w:r w:rsidRPr="006E66CE">
        <w:rPr>
          <w:rFonts w:ascii="Times New Roman" w:hAnsi="Times New Roman" w:cs="Times New Roman"/>
        </w:rPr>
        <w:t xml:space="preserve"> R. and </w:t>
      </w:r>
      <w:proofErr w:type="spellStart"/>
      <w:r w:rsidRPr="006E66CE">
        <w:rPr>
          <w:rFonts w:ascii="Times New Roman" w:hAnsi="Times New Roman" w:cs="Times New Roman"/>
        </w:rPr>
        <w:t>Khlif</w:t>
      </w:r>
      <w:proofErr w:type="spellEnd"/>
      <w:r w:rsidRPr="006E66CE">
        <w:rPr>
          <w:rFonts w:ascii="Times New Roman" w:hAnsi="Times New Roman" w:cs="Times New Roman"/>
        </w:rPr>
        <w:t xml:space="preserve"> H. (2022), titled Human Capital Investment, Corporate Governance and Market Valuation, which employed a panel regression framework to examine how governance mechanisms influence the relationship between human capital investment and firm value. The original model is specified as</w:t>
      </w:r>
      <w:r w:rsidRPr="00B9459D">
        <w:rPr>
          <w:rFonts w:ascii="Times New Roman" w:hAnsi="Times New Roman" w:cs="Times New Roman"/>
        </w:rPr>
        <w:t>:</w:t>
      </w:r>
    </w:p>
    <w:p w14:paraId="1BE602D2" w14:textId="7C829E28" w:rsidR="00170320" w:rsidRDefault="001B7A07" w:rsidP="00170320">
      <w:pPr>
        <w:spacing w:line="360" w:lineRule="auto"/>
        <w:jc w:val="both"/>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FV</m:t>
            </m:r>
          </m:e>
          <m:sub>
            <m:r>
              <w:rPr>
                <w:rFonts w:ascii="Cambria Math" w:hAnsi="Cambria Math" w:cs="Times New Roman"/>
              </w:rPr>
              <m:t>it</m:t>
            </m:r>
          </m:sub>
        </m:sSub>
        <m:r>
          <w:rPr>
            <w:rFonts w:ascii="Cambria Math" w:hAnsi="Cambria Math" w:cs="Times New Roman"/>
          </w:rPr>
          <m:t>=α+</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HCI</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CG</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m:t>
        </m:r>
        <m:r>
          <m:rPr>
            <m:nor/>
          </m:rPr>
          <w:rPr>
            <w:rFonts w:ascii="Times New Roman" w:hAnsi="Times New Roman" w:cs="Times New Roman"/>
          </w:rPr>
          <m:t>HCI</m:t>
        </m:r>
        <m:r>
          <w:rPr>
            <w:rFonts w:ascii="Cambria Math" w:hAnsi="Cambria Math" w:cs="Times New Roman"/>
          </w:rPr>
          <m:t>×</m:t>
        </m:r>
        <m:r>
          <m:rPr>
            <m:nor/>
          </m:rPr>
          <w:rPr>
            <w:rFonts w:ascii="Times New Roman" w:hAnsi="Times New Roman" w:cs="Times New Roman"/>
          </w:rPr>
          <m:t>CG</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m:rPr>
                <m:nor/>
              </m:rPr>
              <w:rPr>
                <w:rFonts w:ascii="Times New Roman" w:hAnsi="Times New Roman" w:cs="Times New Roman"/>
              </w:rPr>
              <m:t>Controls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00B9459D" w:rsidRPr="00B9459D">
        <w:rPr>
          <w:rFonts w:ascii="Times New Roman" w:hAnsi="Times New Roman" w:cs="Times New Roman"/>
        </w:rPr>
        <w:t>,</w:t>
      </w:r>
      <w:r w:rsidR="00B9459D" w:rsidRPr="00B9459D">
        <w:rPr>
          <w:rFonts w:ascii="Times New Roman" w:hAnsi="Times New Roman" w:cs="Times New Roman"/>
        </w:rPr>
        <w:br/>
        <w:t>where firm value is influenced by human capital investment, corporate governance, and their interaction.</w:t>
      </w:r>
      <w:r w:rsidR="0025519F">
        <w:rPr>
          <w:rFonts w:ascii="Times New Roman" w:hAnsi="Times New Roman" w:cs="Times New Roman"/>
        </w:rPr>
        <w:t xml:space="preserve"> </w:t>
      </w:r>
      <w:r w:rsidR="00B9459D" w:rsidRPr="00B9459D">
        <w:rPr>
          <w:rFonts w:ascii="Times New Roman" w:hAnsi="Times New Roman" w:cs="Times New Roman"/>
        </w:rPr>
        <w:t>Adapting this framework to the present study, firm value is proxied by Tobin’s Q, while training investment is decomposed into four proxies, and board independence represents corporate governance. The baseline model is specified as:</w:t>
      </w:r>
    </w:p>
    <w:p w14:paraId="6DA4FA97" w14:textId="2EAD4824" w:rsidR="00B9459D" w:rsidRPr="00B9459D" w:rsidRDefault="001B7A07" w:rsidP="00170320">
      <w:pPr>
        <w:spacing w:line="240" w:lineRule="auto"/>
        <w:jc w:val="both"/>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TobinQ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TRNEXP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TRNINT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TRNPR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HCIR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BIND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sSub>
          <m:sSubPr>
            <m:ctrlPr>
              <w:rPr>
                <w:rFonts w:ascii="Cambria Math" w:hAnsi="Cambria Math" w:cs="Times New Roman"/>
              </w:rPr>
            </m:ctrlPr>
          </m:sSubPr>
          <m:e>
            <m:r>
              <m:rPr>
                <m:nor/>
              </m:rPr>
              <w:rPr>
                <w:rFonts w:ascii="Times New Roman" w:hAnsi="Times New Roman" w:cs="Times New Roman"/>
              </w:rPr>
              <m:t>FSIZE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7</m:t>
            </m:r>
          </m:sub>
        </m:sSub>
        <m:sSub>
          <m:sSubPr>
            <m:ctrlPr>
              <w:rPr>
                <w:rFonts w:ascii="Cambria Math" w:hAnsi="Cambria Math" w:cs="Times New Roman"/>
              </w:rPr>
            </m:ctrlPr>
          </m:sSubPr>
          <m:e>
            <m:r>
              <m:rPr>
                <m:nor/>
              </m:rPr>
              <w:rPr>
                <w:rFonts w:ascii="Times New Roman" w:hAnsi="Times New Roman" w:cs="Times New Roman"/>
              </w:rPr>
              <m:t>FAGE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00B9459D" w:rsidRPr="00B9459D">
        <w:rPr>
          <w:rFonts w:ascii="Times New Roman" w:hAnsi="Times New Roman" w:cs="Times New Roman"/>
        </w:rPr>
        <w:t>.</w:t>
      </w:r>
    </w:p>
    <w:p w14:paraId="4F4EDCF5" w14:textId="77777777" w:rsidR="00170320" w:rsidRDefault="00B9459D" w:rsidP="00170320">
      <w:pPr>
        <w:spacing w:line="360" w:lineRule="auto"/>
        <w:jc w:val="both"/>
        <w:rPr>
          <w:rFonts w:ascii="Times New Roman" w:hAnsi="Times New Roman" w:cs="Times New Roman"/>
        </w:rPr>
      </w:pPr>
      <w:r w:rsidRPr="00B9459D">
        <w:rPr>
          <w:rFonts w:ascii="Times New Roman" w:hAnsi="Times New Roman" w:cs="Times New Roman"/>
        </w:rPr>
        <w:t>To capture the moderating role of board independence, the interaction model is specified as:</w:t>
      </w:r>
    </w:p>
    <w:p w14:paraId="6D2E662B" w14:textId="1F7F7940" w:rsidR="00B9459D" w:rsidRPr="00B9459D" w:rsidRDefault="001B7A07" w:rsidP="00170320">
      <w:pPr>
        <w:spacing w:line="240" w:lineRule="auto"/>
        <w:jc w:val="both"/>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TobinQ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TRNEXP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TRNINT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TRNPR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HCIR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BIND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m:t>
        </m:r>
        <m:r>
          <m:rPr>
            <m:nor/>
          </m:rPr>
          <w:rPr>
            <w:rFonts w:ascii="Times New Roman" w:hAnsi="Times New Roman" w:cs="Times New Roman"/>
          </w:rPr>
          <m:t>TRNEXP</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m:t>
        </m:r>
        <m:r>
          <m:rPr>
            <m:nor/>
          </m:rPr>
          <w:rPr>
            <w:rFonts w:ascii="Times New Roman" w:hAnsi="Times New Roman" w:cs="Times New Roman"/>
          </w:rPr>
          <m:t>TRNINT</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m:t>
        </m:r>
        <m:r>
          <m:rPr>
            <m:nor/>
          </m:rPr>
          <w:rPr>
            <w:rFonts w:ascii="Times New Roman" w:hAnsi="Times New Roman" w:cs="Times New Roman"/>
          </w:rPr>
          <m:t>TRNPR</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9</m:t>
            </m:r>
          </m:sub>
        </m:sSub>
        <m:r>
          <w:rPr>
            <w:rFonts w:ascii="Cambria Math" w:hAnsi="Cambria Math" w:cs="Times New Roman"/>
          </w:rPr>
          <m:t>(</m:t>
        </m:r>
        <m:r>
          <m:rPr>
            <m:nor/>
          </m:rPr>
          <w:rPr>
            <w:rFonts w:ascii="Times New Roman" w:hAnsi="Times New Roman" w:cs="Times New Roman"/>
          </w:rPr>
          <m:t>HCIR</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10</m:t>
            </m:r>
          </m:sub>
        </m:sSub>
        <m:sSub>
          <m:sSubPr>
            <m:ctrlPr>
              <w:rPr>
                <w:rFonts w:ascii="Cambria Math" w:hAnsi="Cambria Math" w:cs="Times New Roman"/>
              </w:rPr>
            </m:ctrlPr>
          </m:sSubPr>
          <m:e>
            <m:r>
              <m:rPr>
                <m:nor/>
              </m:rPr>
              <w:rPr>
                <w:rFonts w:ascii="Times New Roman" w:hAnsi="Times New Roman" w:cs="Times New Roman"/>
              </w:rPr>
              <m:t>FSIZE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11</m:t>
            </m:r>
          </m:sub>
        </m:sSub>
        <m:sSub>
          <m:sSubPr>
            <m:ctrlPr>
              <w:rPr>
                <w:rFonts w:ascii="Cambria Math" w:hAnsi="Cambria Math" w:cs="Times New Roman"/>
              </w:rPr>
            </m:ctrlPr>
          </m:sSubPr>
          <m:e>
            <m:r>
              <m:rPr>
                <m:nor/>
              </m:rPr>
              <w:rPr>
                <w:rFonts w:ascii="Times New Roman" w:hAnsi="Times New Roman" w:cs="Times New Roman"/>
              </w:rPr>
              <m:t>FAGE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00B9459D" w:rsidRPr="00B9459D">
        <w:rPr>
          <w:rFonts w:ascii="Times New Roman" w:hAnsi="Times New Roman" w:cs="Times New Roman"/>
        </w:rPr>
        <w:t>.</w:t>
      </w:r>
    </w:p>
    <w:p w14:paraId="36D47EBF" w14:textId="53615658" w:rsidR="00216B01" w:rsidRDefault="00B9459D" w:rsidP="00170320">
      <w:pPr>
        <w:spacing w:line="360" w:lineRule="auto"/>
        <w:jc w:val="both"/>
        <w:rPr>
          <w:rFonts w:ascii="Times New Roman" w:hAnsi="Times New Roman" w:cs="Times New Roman"/>
          <w:lang w:val="en-GB"/>
        </w:rPr>
      </w:pPr>
      <w:r w:rsidRPr="00B9459D">
        <w:rPr>
          <w:rFonts w:ascii="Times New Roman" w:hAnsi="Times New Roman" w:cs="Times New Roman"/>
        </w:rPr>
        <w:t xml:space="preserve">Where </w:t>
      </w:r>
      <m:oMath>
        <m:r>
          <w:rPr>
            <w:rFonts w:ascii="Cambria Math" w:hAnsi="Cambria Math" w:cs="Times New Roman"/>
          </w:rPr>
          <m:t>i</m:t>
        </m:r>
      </m:oMath>
      <w:r w:rsidRPr="00B9459D">
        <w:rPr>
          <w:rFonts w:ascii="Times New Roman" w:hAnsi="Times New Roman" w:cs="Times New Roman"/>
        </w:rPr>
        <w:t xml:space="preserve">and </w:t>
      </w:r>
      <m:oMath>
        <m:r>
          <w:rPr>
            <w:rFonts w:ascii="Cambria Math" w:hAnsi="Cambria Math" w:cs="Times New Roman"/>
          </w:rPr>
          <m:t>t</m:t>
        </m:r>
      </m:oMath>
      <w:r w:rsidRPr="00B9459D">
        <w:rPr>
          <w:rFonts w:ascii="Times New Roman" w:hAnsi="Times New Roman" w:cs="Times New Roman"/>
        </w:rPr>
        <w:t xml:space="preserve">denote firm and time respectively, TobinQ represents firm value, TRNEXP is training expenditure, TRNINT is training intensity, TRNPR is participation rate in training programs, HCIR </w:t>
      </w:r>
      <w:r w:rsidRPr="00B9459D">
        <w:rPr>
          <w:rFonts w:ascii="Times New Roman" w:hAnsi="Times New Roman" w:cs="Times New Roman"/>
        </w:rPr>
        <w:lastRenderedPageBreak/>
        <w:t xml:space="preserve">is human capital investment ratio, BIND denotes board independence, FSIZE and FAGE represent firm size and firm age as control variables, and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Pr="00B9459D">
        <w:rPr>
          <w:rFonts w:ascii="Times New Roman" w:hAnsi="Times New Roman" w:cs="Times New Roman"/>
        </w:rPr>
        <w:t>is the stochastic error term. The interaction coefficients capture the moderating influence of board independence on the relationship between training investment and firm value.</w:t>
      </w:r>
      <w:r w:rsidR="00170320">
        <w:rPr>
          <w:rFonts w:ascii="Times New Roman" w:hAnsi="Times New Roman" w:cs="Times New Roman"/>
        </w:rPr>
        <w:t xml:space="preserve"> </w:t>
      </w:r>
      <w:r w:rsidR="00216B01">
        <w:rPr>
          <w:rFonts w:ascii="Times New Roman" w:hAnsi="Times New Roman" w:cs="Times New Roman"/>
          <w:lang w:val="en-GB"/>
        </w:rPr>
        <w:t xml:space="preserve">A priori expectation is in line with extant literature to be </w:t>
      </w:r>
      <w:r w:rsidR="00216B01" w:rsidRPr="0076662F">
        <w:rPr>
          <w:rFonts w:ascii="Times New Roman" w:hAnsi="Times New Roman" w:cs="Times New Roman"/>
        </w:rPr>
        <w:t>β₁</w:t>
      </w:r>
      <w:r w:rsidR="00216B01">
        <w:rPr>
          <w:rFonts w:ascii="Times New Roman" w:hAnsi="Times New Roman" w:cs="Times New Roman"/>
          <w:lang w:val="en-GB"/>
        </w:rPr>
        <w:t xml:space="preserve"> - </w:t>
      </w:r>
      <w:r w:rsidR="00216B01" w:rsidRPr="0076662F">
        <w:rPr>
          <w:rFonts w:ascii="Times New Roman" w:hAnsi="Times New Roman" w:cs="Times New Roman"/>
        </w:rPr>
        <w:t>β</w:t>
      </w:r>
      <w:r w:rsidR="00216B01">
        <w:rPr>
          <w:rFonts w:ascii="Times New Roman" w:hAnsi="Times New Roman" w:cs="Times New Roman"/>
          <w:vertAlign w:val="subscript"/>
        </w:rPr>
        <w:t>11</w:t>
      </w:r>
      <w:r w:rsidR="00216B01" w:rsidRPr="006D319D">
        <w:rPr>
          <w:rFonts w:ascii="Times New Roman" w:hAnsi="Times New Roman" w:cs="Times New Roman"/>
          <w:vertAlign w:val="subscript"/>
          <w:lang w:val="en-GB"/>
        </w:rPr>
        <w:t xml:space="preserve"> </w:t>
      </w:r>
      <w:r w:rsidR="00216B01">
        <w:rPr>
          <w:rFonts w:ascii="Times New Roman" w:hAnsi="Times New Roman" w:cs="Times New Roman"/>
          <w:lang w:val="en-GB"/>
        </w:rPr>
        <w:t>&gt; 0</w:t>
      </w:r>
    </w:p>
    <w:p w14:paraId="29BCE1AF" w14:textId="4E95AA47" w:rsidR="003F352A" w:rsidRPr="00A92128" w:rsidRDefault="003F352A" w:rsidP="003F352A">
      <w:pPr>
        <w:spacing w:after="0" w:line="360" w:lineRule="auto"/>
        <w:jc w:val="both"/>
        <w:rPr>
          <w:rFonts w:ascii="Times New Roman" w:hAnsi="Times New Roman" w:cs="Times New Roman"/>
          <w:b/>
          <w:bCs/>
        </w:rPr>
      </w:pPr>
      <w:r w:rsidRPr="00A92128">
        <w:rPr>
          <w:rFonts w:ascii="Times New Roman" w:hAnsi="Times New Roman" w:cs="Times New Roman"/>
          <w:b/>
          <w:bCs/>
        </w:rPr>
        <w:t>3.2 Measurement of Variables</w:t>
      </w:r>
    </w:p>
    <w:p w14:paraId="4E2AC9D2" w14:textId="1E15232E" w:rsidR="003F352A" w:rsidRDefault="003F352A" w:rsidP="003F352A">
      <w:pPr>
        <w:spacing w:after="0" w:line="240" w:lineRule="auto"/>
        <w:jc w:val="both"/>
        <w:rPr>
          <w:rFonts w:ascii="Times New Roman" w:hAnsi="Times New Roman" w:cs="Times New Roman"/>
          <w:b/>
          <w:bCs/>
        </w:rPr>
      </w:pPr>
      <w:r>
        <w:rPr>
          <w:rFonts w:ascii="Times New Roman" w:hAnsi="Times New Roman" w:cs="Times New Roman"/>
          <w:b/>
          <w:bCs/>
        </w:rPr>
        <w:t>Table 1: Description and Measurement of Variable</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673"/>
        <w:gridCol w:w="2977"/>
        <w:gridCol w:w="2126"/>
        <w:gridCol w:w="1984"/>
      </w:tblGrid>
      <w:tr w:rsidR="00E3318A" w:rsidRPr="00C37ABB" w14:paraId="1A634EED" w14:textId="77777777" w:rsidTr="00881733">
        <w:tc>
          <w:tcPr>
            <w:tcW w:w="0" w:type="auto"/>
            <w:tcBorders>
              <w:top w:val="single" w:sz="4" w:space="0" w:color="auto"/>
              <w:bottom w:val="single" w:sz="4" w:space="0" w:color="auto"/>
            </w:tcBorders>
            <w:hideMark/>
          </w:tcPr>
          <w:p w14:paraId="1E1FFB96"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S/N</w:t>
            </w:r>
          </w:p>
        </w:tc>
        <w:tc>
          <w:tcPr>
            <w:tcW w:w="1673" w:type="dxa"/>
            <w:tcBorders>
              <w:top w:val="single" w:sz="4" w:space="0" w:color="auto"/>
              <w:bottom w:val="single" w:sz="4" w:space="0" w:color="auto"/>
            </w:tcBorders>
            <w:hideMark/>
          </w:tcPr>
          <w:p w14:paraId="4C036642"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Variables</w:t>
            </w:r>
          </w:p>
        </w:tc>
        <w:tc>
          <w:tcPr>
            <w:tcW w:w="2977" w:type="dxa"/>
            <w:tcBorders>
              <w:top w:val="single" w:sz="4" w:space="0" w:color="auto"/>
              <w:bottom w:val="single" w:sz="4" w:space="0" w:color="auto"/>
            </w:tcBorders>
            <w:hideMark/>
          </w:tcPr>
          <w:p w14:paraId="3976D7BB"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Description</w:t>
            </w:r>
          </w:p>
        </w:tc>
        <w:tc>
          <w:tcPr>
            <w:tcW w:w="2126" w:type="dxa"/>
            <w:tcBorders>
              <w:top w:val="single" w:sz="4" w:space="0" w:color="auto"/>
              <w:bottom w:val="single" w:sz="4" w:space="0" w:color="auto"/>
            </w:tcBorders>
            <w:hideMark/>
          </w:tcPr>
          <w:p w14:paraId="1F3EEE0A"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Measurement</w:t>
            </w:r>
          </w:p>
        </w:tc>
        <w:tc>
          <w:tcPr>
            <w:tcW w:w="1984" w:type="dxa"/>
            <w:tcBorders>
              <w:top w:val="single" w:sz="4" w:space="0" w:color="auto"/>
              <w:bottom w:val="single" w:sz="4" w:space="0" w:color="auto"/>
            </w:tcBorders>
            <w:hideMark/>
          </w:tcPr>
          <w:p w14:paraId="4C3EA596" w14:textId="059C5C5C"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 xml:space="preserve">Sources </w:t>
            </w:r>
          </w:p>
        </w:tc>
      </w:tr>
      <w:tr w:rsidR="00E3318A" w:rsidRPr="00C37ABB" w14:paraId="36AF4185" w14:textId="77777777" w:rsidTr="00881733">
        <w:tc>
          <w:tcPr>
            <w:tcW w:w="0" w:type="auto"/>
            <w:tcBorders>
              <w:top w:val="single" w:sz="4" w:space="0" w:color="auto"/>
            </w:tcBorders>
            <w:hideMark/>
          </w:tcPr>
          <w:p w14:paraId="6ED78EF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1</w:t>
            </w:r>
          </w:p>
        </w:tc>
        <w:tc>
          <w:tcPr>
            <w:tcW w:w="1673" w:type="dxa"/>
            <w:tcBorders>
              <w:top w:val="single" w:sz="4" w:space="0" w:color="auto"/>
            </w:tcBorders>
            <w:hideMark/>
          </w:tcPr>
          <w:p w14:paraId="5E95AF9E"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Firm Value (Tobin’s Q) (Dependent Variable)</w:t>
            </w:r>
          </w:p>
        </w:tc>
        <w:tc>
          <w:tcPr>
            <w:tcW w:w="2977" w:type="dxa"/>
            <w:tcBorders>
              <w:top w:val="single" w:sz="4" w:space="0" w:color="auto"/>
            </w:tcBorders>
            <w:hideMark/>
          </w:tcPr>
          <w:p w14:paraId="2F7F184A" w14:textId="0CB778E5"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 xml:space="preserve">Market-based measure reflecting investors’ assessment of firm </w:t>
            </w:r>
            <w:r w:rsidR="00E3318A" w:rsidRPr="00C37ABB">
              <w:rPr>
                <w:rFonts w:ascii="Times New Roman" w:hAnsi="Times New Roman" w:cs="Times New Roman"/>
                <w:sz w:val="22"/>
                <w:szCs w:val="22"/>
              </w:rPr>
              <w:t>p</w:t>
            </w:r>
            <w:r w:rsidRPr="00C37ABB">
              <w:rPr>
                <w:rFonts w:ascii="Times New Roman" w:hAnsi="Times New Roman" w:cs="Times New Roman"/>
                <w:sz w:val="22"/>
                <w:szCs w:val="22"/>
              </w:rPr>
              <w:t>erformance, growth prospects, and overall value</w:t>
            </w:r>
          </w:p>
        </w:tc>
        <w:tc>
          <w:tcPr>
            <w:tcW w:w="2126" w:type="dxa"/>
            <w:tcBorders>
              <w:top w:val="single" w:sz="4" w:space="0" w:color="auto"/>
            </w:tcBorders>
            <w:hideMark/>
          </w:tcPr>
          <w:p w14:paraId="39D3AB32"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Market value of equity + book value of total debt ÷ book value of total assets</w:t>
            </w:r>
          </w:p>
        </w:tc>
        <w:tc>
          <w:tcPr>
            <w:tcW w:w="1984" w:type="dxa"/>
            <w:tcBorders>
              <w:top w:val="single" w:sz="4" w:space="0" w:color="auto"/>
            </w:tcBorders>
            <w:hideMark/>
          </w:tcPr>
          <w:p w14:paraId="085B6E9D" w14:textId="0A5B1FC8" w:rsidR="0025519F" w:rsidRPr="00C37ABB" w:rsidRDefault="0025519F" w:rsidP="00E3318A">
            <w:pPr>
              <w:rPr>
                <w:rFonts w:ascii="Times New Roman" w:hAnsi="Times New Roman" w:cs="Times New Roman"/>
                <w:sz w:val="22"/>
                <w:szCs w:val="22"/>
              </w:rPr>
            </w:pPr>
            <w:proofErr w:type="spellStart"/>
            <w:r w:rsidRPr="00C37ABB">
              <w:rPr>
                <w:rFonts w:ascii="Times New Roman" w:hAnsi="Times New Roman" w:cs="Times New Roman"/>
                <w:sz w:val="22"/>
                <w:szCs w:val="22"/>
              </w:rPr>
              <w:t>Intara</w:t>
            </w:r>
            <w:proofErr w:type="spellEnd"/>
            <w:r w:rsidRPr="00C37ABB">
              <w:rPr>
                <w:rFonts w:ascii="Times New Roman" w:hAnsi="Times New Roman" w:cs="Times New Roman"/>
                <w:sz w:val="22"/>
                <w:szCs w:val="22"/>
              </w:rPr>
              <w:t xml:space="preserve"> (2024); </w:t>
            </w:r>
            <w:proofErr w:type="spellStart"/>
            <w:r w:rsidRPr="00C37ABB">
              <w:rPr>
                <w:rFonts w:ascii="Times New Roman" w:hAnsi="Times New Roman" w:cs="Times New Roman"/>
                <w:sz w:val="22"/>
                <w:szCs w:val="22"/>
              </w:rPr>
              <w:t>Zouari-</w:t>
            </w:r>
            <w:proofErr w:type="gramStart"/>
            <w:r w:rsidRPr="00C37ABB">
              <w:rPr>
                <w:rFonts w:ascii="Times New Roman" w:hAnsi="Times New Roman" w:cs="Times New Roman"/>
                <w:sz w:val="22"/>
                <w:szCs w:val="22"/>
              </w:rPr>
              <w:t>Hadiji</w:t>
            </w:r>
            <w:proofErr w:type="spellEnd"/>
            <w:r w:rsidRPr="00C37ABB">
              <w:rPr>
                <w:rFonts w:ascii="Times New Roman" w:hAnsi="Times New Roman" w:cs="Times New Roman"/>
                <w:sz w:val="22"/>
                <w:szCs w:val="22"/>
              </w:rPr>
              <w:t xml:space="preserve">  &amp;</w:t>
            </w:r>
            <w:proofErr w:type="gramEnd"/>
            <w:r w:rsidRPr="00C37ABB">
              <w:rPr>
                <w:rFonts w:ascii="Times New Roman" w:hAnsi="Times New Roman" w:cs="Times New Roman"/>
                <w:sz w:val="22"/>
                <w:szCs w:val="22"/>
              </w:rPr>
              <w:t xml:space="preserve"> </w:t>
            </w:r>
            <w:proofErr w:type="spellStart"/>
            <w:r w:rsidRPr="00C37ABB">
              <w:rPr>
                <w:rFonts w:ascii="Times New Roman" w:hAnsi="Times New Roman" w:cs="Times New Roman"/>
                <w:sz w:val="22"/>
                <w:szCs w:val="22"/>
              </w:rPr>
              <w:t>Khlif</w:t>
            </w:r>
            <w:proofErr w:type="spellEnd"/>
            <w:r w:rsidRPr="00C37ABB">
              <w:rPr>
                <w:rFonts w:ascii="Times New Roman" w:hAnsi="Times New Roman" w:cs="Times New Roman"/>
                <w:sz w:val="22"/>
                <w:szCs w:val="22"/>
              </w:rPr>
              <w:t xml:space="preserve"> 2022); Yahaya (2024)</w:t>
            </w:r>
          </w:p>
        </w:tc>
      </w:tr>
      <w:tr w:rsidR="00E3318A" w:rsidRPr="00C37ABB" w14:paraId="15CE981A" w14:textId="77777777" w:rsidTr="00881733">
        <w:tc>
          <w:tcPr>
            <w:tcW w:w="0" w:type="auto"/>
            <w:hideMark/>
          </w:tcPr>
          <w:p w14:paraId="7C7165E7"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2</w:t>
            </w:r>
          </w:p>
        </w:tc>
        <w:tc>
          <w:tcPr>
            <w:tcW w:w="1673" w:type="dxa"/>
            <w:hideMark/>
          </w:tcPr>
          <w:p w14:paraId="255F3FE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Training Expenditure (Independent Variable)</w:t>
            </w:r>
          </w:p>
        </w:tc>
        <w:tc>
          <w:tcPr>
            <w:tcW w:w="2977" w:type="dxa"/>
            <w:hideMark/>
          </w:tcPr>
          <w:p w14:paraId="5223A430"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Financial resources committed to employee training and development activities</w:t>
            </w:r>
          </w:p>
        </w:tc>
        <w:tc>
          <w:tcPr>
            <w:tcW w:w="2126" w:type="dxa"/>
            <w:hideMark/>
          </w:tcPr>
          <w:p w14:paraId="3C5E976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Total training cost ÷ total operating expenses or total assets</w:t>
            </w:r>
          </w:p>
        </w:tc>
        <w:tc>
          <w:tcPr>
            <w:tcW w:w="1984" w:type="dxa"/>
            <w:hideMark/>
          </w:tcPr>
          <w:p w14:paraId="13E3660C" w14:textId="403B9C45" w:rsidR="0025519F" w:rsidRPr="00C37ABB" w:rsidRDefault="0025519F" w:rsidP="00E3318A">
            <w:pPr>
              <w:rPr>
                <w:rFonts w:ascii="Times New Roman" w:hAnsi="Times New Roman" w:cs="Times New Roman"/>
                <w:sz w:val="22"/>
                <w:szCs w:val="22"/>
              </w:rPr>
            </w:pPr>
            <w:proofErr w:type="spellStart"/>
            <w:r w:rsidRPr="00C37ABB">
              <w:rPr>
                <w:rFonts w:ascii="Times New Roman" w:hAnsi="Times New Roman" w:cs="Times New Roman"/>
                <w:sz w:val="22"/>
                <w:szCs w:val="22"/>
              </w:rPr>
              <w:t>Tuamyil</w:t>
            </w:r>
            <w:proofErr w:type="spellEnd"/>
            <w:r w:rsidR="00E3318A" w:rsidRPr="00C37ABB">
              <w:rPr>
                <w:rFonts w:ascii="Times New Roman" w:hAnsi="Times New Roman" w:cs="Times New Roman"/>
                <w:sz w:val="22"/>
                <w:szCs w:val="22"/>
              </w:rPr>
              <w:t xml:space="preserve"> (</w:t>
            </w:r>
            <w:r w:rsidRPr="00C37ABB">
              <w:rPr>
                <w:rFonts w:ascii="Times New Roman" w:hAnsi="Times New Roman" w:cs="Times New Roman"/>
                <w:sz w:val="22"/>
                <w:szCs w:val="22"/>
              </w:rPr>
              <w:t xml:space="preserve">2024); Olabode &amp; </w:t>
            </w:r>
            <w:proofErr w:type="spellStart"/>
            <w:r w:rsidRPr="00C37ABB">
              <w:rPr>
                <w:rFonts w:ascii="Times New Roman" w:hAnsi="Times New Roman" w:cs="Times New Roman"/>
                <w:sz w:val="22"/>
                <w:szCs w:val="22"/>
              </w:rPr>
              <w:t>Ayoboye</w:t>
            </w:r>
            <w:proofErr w:type="spellEnd"/>
            <w:r w:rsidRPr="00C37ABB">
              <w:rPr>
                <w:rFonts w:ascii="Times New Roman" w:hAnsi="Times New Roman" w:cs="Times New Roman"/>
                <w:sz w:val="22"/>
                <w:szCs w:val="22"/>
              </w:rPr>
              <w:t xml:space="preserve"> (2023); Habtoor (2024)</w:t>
            </w:r>
          </w:p>
        </w:tc>
      </w:tr>
      <w:tr w:rsidR="00E3318A" w:rsidRPr="00C37ABB" w14:paraId="24CC0133" w14:textId="77777777" w:rsidTr="00881733">
        <w:tc>
          <w:tcPr>
            <w:tcW w:w="0" w:type="auto"/>
            <w:hideMark/>
          </w:tcPr>
          <w:p w14:paraId="31ADEAB3"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3</w:t>
            </w:r>
          </w:p>
        </w:tc>
        <w:tc>
          <w:tcPr>
            <w:tcW w:w="1673" w:type="dxa"/>
            <w:hideMark/>
          </w:tcPr>
          <w:p w14:paraId="781192EA"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Training Intensity (Independent Variable)</w:t>
            </w:r>
          </w:p>
        </w:tc>
        <w:tc>
          <w:tcPr>
            <w:tcW w:w="2977" w:type="dxa"/>
            <w:hideMark/>
          </w:tcPr>
          <w:p w14:paraId="553E1C8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Depth and frequency of training programs undertaken by the firm</w:t>
            </w:r>
          </w:p>
        </w:tc>
        <w:tc>
          <w:tcPr>
            <w:tcW w:w="2126" w:type="dxa"/>
            <w:hideMark/>
          </w:tcPr>
          <w:p w14:paraId="4ADA760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Total training hours ÷ total number of employees</w:t>
            </w:r>
          </w:p>
        </w:tc>
        <w:tc>
          <w:tcPr>
            <w:tcW w:w="1984" w:type="dxa"/>
            <w:hideMark/>
          </w:tcPr>
          <w:p w14:paraId="39EF1A2D"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 xml:space="preserve">Li et al. (2024); </w:t>
            </w:r>
            <w:proofErr w:type="spellStart"/>
            <w:r w:rsidRPr="00C37ABB">
              <w:rPr>
                <w:rFonts w:ascii="Times New Roman" w:hAnsi="Times New Roman" w:cs="Times New Roman"/>
                <w:sz w:val="22"/>
                <w:szCs w:val="22"/>
              </w:rPr>
              <w:t>Zouari-Hadiji</w:t>
            </w:r>
            <w:proofErr w:type="spellEnd"/>
            <w:r w:rsidRPr="00C37ABB">
              <w:rPr>
                <w:rFonts w:ascii="Times New Roman" w:hAnsi="Times New Roman" w:cs="Times New Roman"/>
                <w:sz w:val="22"/>
                <w:szCs w:val="22"/>
              </w:rPr>
              <w:t xml:space="preserve"> &amp; </w:t>
            </w:r>
            <w:proofErr w:type="spellStart"/>
            <w:r w:rsidRPr="00C37ABB">
              <w:rPr>
                <w:rFonts w:ascii="Times New Roman" w:hAnsi="Times New Roman" w:cs="Times New Roman"/>
                <w:sz w:val="22"/>
                <w:szCs w:val="22"/>
              </w:rPr>
              <w:t>Khlif</w:t>
            </w:r>
            <w:proofErr w:type="spellEnd"/>
            <w:r w:rsidRPr="00C37ABB">
              <w:rPr>
                <w:rFonts w:ascii="Times New Roman" w:hAnsi="Times New Roman" w:cs="Times New Roman"/>
                <w:sz w:val="22"/>
                <w:szCs w:val="22"/>
              </w:rPr>
              <w:t xml:space="preserve"> (2022)</w:t>
            </w:r>
          </w:p>
        </w:tc>
      </w:tr>
      <w:tr w:rsidR="00E3318A" w:rsidRPr="00C37ABB" w14:paraId="653CF465" w14:textId="77777777" w:rsidTr="00881733">
        <w:tc>
          <w:tcPr>
            <w:tcW w:w="0" w:type="auto"/>
            <w:hideMark/>
          </w:tcPr>
          <w:p w14:paraId="4156B4A1"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4</w:t>
            </w:r>
          </w:p>
        </w:tc>
        <w:tc>
          <w:tcPr>
            <w:tcW w:w="1673" w:type="dxa"/>
            <w:hideMark/>
          </w:tcPr>
          <w:p w14:paraId="365C59A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Participation Rate in Training Programs (Independent Variable)</w:t>
            </w:r>
          </w:p>
        </w:tc>
        <w:tc>
          <w:tcPr>
            <w:tcW w:w="2977" w:type="dxa"/>
            <w:hideMark/>
          </w:tcPr>
          <w:p w14:paraId="0FE9563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Level of employee involvement in training programs</w:t>
            </w:r>
          </w:p>
        </w:tc>
        <w:tc>
          <w:tcPr>
            <w:tcW w:w="2126" w:type="dxa"/>
            <w:hideMark/>
          </w:tcPr>
          <w:p w14:paraId="059CFB9C"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Number of employees trained ÷ total number of employees</w:t>
            </w:r>
          </w:p>
        </w:tc>
        <w:tc>
          <w:tcPr>
            <w:tcW w:w="1984" w:type="dxa"/>
            <w:hideMark/>
          </w:tcPr>
          <w:p w14:paraId="726D46AB"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Adeosun (2024); Liu et al. (2023)</w:t>
            </w:r>
          </w:p>
        </w:tc>
      </w:tr>
      <w:tr w:rsidR="00E3318A" w:rsidRPr="00C37ABB" w14:paraId="2DE66BD1" w14:textId="77777777" w:rsidTr="00881733">
        <w:tc>
          <w:tcPr>
            <w:tcW w:w="0" w:type="auto"/>
            <w:hideMark/>
          </w:tcPr>
          <w:p w14:paraId="6E78C4A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5</w:t>
            </w:r>
          </w:p>
        </w:tc>
        <w:tc>
          <w:tcPr>
            <w:tcW w:w="1673" w:type="dxa"/>
            <w:hideMark/>
          </w:tcPr>
          <w:p w14:paraId="2A1CD4B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Human Capital Investment Ratio (Independent Variable)</w:t>
            </w:r>
          </w:p>
        </w:tc>
        <w:tc>
          <w:tcPr>
            <w:tcW w:w="2977" w:type="dxa"/>
            <w:hideMark/>
          </w:tcPr>
          <w:p w14:paraId="2F1A5EF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Degree of firm commitment to workforce development relative to resources</w:t>
            </w:r>
          </w:p>
        </w:tc>
        <w:tc>
          <w:tcPr>
            <w:tcW w:w="2126" w:type="dxa"/>
            <w:hideMark/>
          </w:tcPr>
          <w:p w14:paraId="21B99FFE"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Total training and development cost ÷ total employee cost or total revenue</w:t>
            </w:r>
          </w:p>
        </w:tc>
        <w:tc>
          <w:tcPr>
            <w:tcW w:w="1984" w:type="dxa"/>
            <w:hideMark/>
          </w:tcPr>
          <w:p w14:paraId="693B9595" w14:textId="77777777" w:rsidR="0025519F" w:rsidRPr="00C37ABB" w:rsidRDefault="0025519F" w:rsidP="00E3318A">
            <w:pPr>
              <w:rPr>
                <w:rFonts w:ascii="Times New Roman" w:hAnsi="Times New Roman" w:cs="Times New Roman"/>
                <w:sz w:val="22"/>
                <w:szCs w:val="22"/>
              </w:rPr>
            </w:pPr>
            <w:proofErr w:type="spellStart"/>
            <w:r w:rsidRPr="00C37ABB">
              <w:rPr>
                <w:rFonts w:ascii="Times New Roman" w:hAnsi="Times New Roman" w:cs="Times New Roman"/>
                <w:sz w:val="22"/>
                <w:szCs w:val="22"/>
              </w:rPr>
              <w:t>Intara</w:t>
            </w:r>
            <w:proofErr w:type="spellEnd"/>
            <w:r w:rsidRPr="00C37ABB">
              <w:rPr>
                <w:rFonts w:ascii="Times New Roman" w:hAnsi="Times New Roman" w:cs="Times New Roman"/>
                <w:sz w:val="22"/>
                <w:szCs w:val="22"/>
              </w:rPr>
              <w:t xml:space="preserve"> (2024); </w:t>
            </w:r>
            <w:proofErr w:type="spellStart"/>
            <w:r w:rsidRPr="00C37ABB">
              <w:rPr>
                <w:rFonts w:ascii="Times New Roman" w:hAnsi="Times New Roman" w:cs="Times New Roman"/>
                <w:sz w:val="22"/>
                <w:szCs w:val="22"/>
              </w:rPr>
              <w:t>Tuamyil</w:t>
            </w:r>
            <w:proofErr w:type="spellEnd"/>
            <w:r w:rsidRPr="00C37ABB">
              <w:rPr>
                <w:rFonts w:ascii="Times New Roman" w:hAnsi="Times New Roman" w:cs="Times New Roman"/>
                <w:sz w:val="22"/>
                <w:szCs w:val="22"/>
              </w:rPr>
              <w:t xml:space="preserve"> (2024); Diaz et al. (2025)</w:t>
            </w:r>
          </w:p>
        </w:tc>
      </w:tr>
      <w:tr w:rsidR="00E3318A" w:rsidRPr="00C37ABB" w14:paraId="129252A3" w14:textId="77777777" w:rsidTr="00881733">
        <w:tc>
          <w:tcPr>
            <w:tcW w:w="0" w:type="auto"/>
            <w:hideMark/>
          </w:tcPr>
          <w:p w14:paraId="7BC2FFF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6</w:t>
            </w:r>
          </w:p>
        </w:tc>
        <w:tc>
          <w:tcPr>
            <w:tcW w:w="1673" w:type="dxa"/>
            <w:hideMark/>
          </w:tcPr>
          <w:p w14:paraId="02E2E581"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Board Independence (Moderating Variable)</w:t>
            </w:r>
          </w:p>
        </w:tc>
        <w:tc>
          <w:tcPr>
            <w:tcW w:w="2977" w:type="dxa"/>
            <w:hideMark/>
          </w:tcPr>
          <w:p w14:paraId="558B24A8"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Degree of board autonomy and monitoring effectiveness in governance</w:t>
            </w:r>
          </w:p>
        </w:tc>
        <w:tc>
          <w:tcPr>
            <w:tcW w:w="2126" w:type="dxa"/>
            <w:hideMark/>
          </w:tcPr>
          <w:p w14:paraId="560A33F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Number of independent non-executive directors ÷ total board size</w:t>
            </w:r>
          </w:p>
        </w:tc>
        <w:tc>
          <w:tcPr>
            <w:tcW w:w="1984" w:type="dxa"/>
            <w:hideMark/>
          </w:tcPr>
          <w:p w14:paraId="6078BA5C" w14:textId="77777777" w:rsidR="0025519F" w:rsidRPr="00C37ABB" w:rsidRDefault="0025519F" w:rsidP="00E3318A">
            <w:pPr>
              <w:rPr>
                <w:rFonts w:ascii="Times New Roman" w:hAnsi="Times New Roman" w:cs="Times New Roman"/>
                <w:sz w:val="22"/>
                <w:szCs w:val="22"/>
              </w:rPr>
            </w:pPr>
            <w:proofErr w:type="spellStart"/>
            <w:r w:rsidRPr="00C37ABB">
              <w:rPr>
                <w:rFonts w:ascii="Times New Roman" w:hAnsi="Times New Roman" w:cs="Times New Roman"/>
                <w:sz w:val="22"/>
                <w:szCs w:val="22"/>
              </w:rPr>
              <w:t>Uwuigbe</w:t>
            </w:r>
            <w:proofErr w:type="spellEnd"/>
            <w:r w:rsidRPr="00C37ABB">
              <w:rPr>
                <w:rFonts w:ascii="Times New Roman" w:hAnsi="Times New Roman" w:cs="Times New Roman"/>
                <w:sz w:val="22"/>
                <w:szCs w:val="22"/>
              </w:rPr>
              <w:t xml:space="preserve"> et al. (2023); Yahaya (2024); Musa &amp; Modibbo (2025)</w:t>
            </w:r>
          </w:p>
        </w:tc>
      </w:tr>
      <w:tr w:rsidR="00E3318A" w:rsidRPr="00C37ABB" w14:paraId="4EF5E856" w14:textId="77777777" w:rsidTr="00881733">
        <w:tc>
          <w:tcPr>
            <w:tcW w:w="0" w:type="auto"/>
            <w:hideMark/>
          </w:tcPr>
          <w:p w14:paraId="1278EA52"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7</w:t>
            </w:r>
          </w:p>
        </w:tc>
        <w:tc>
          <w:tcPr>
            <w:tcW w:w="1673" w:type="dxa"/>
            <w:hideMark/>
          </w:tcPr>
          <w:p w14:paraId="43C1FA9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Firm Size (Control Variable)</w:t>
            </w:r>
          </w:p>
        </w:tc>
        <w:tc>
          <w:tcPr>
            <w:tcW w:w="2977" w:type="dxa"/>
            <w:hideMark/>
          </w:tcPr>
          <w:p w14:paraId="03B86D66"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Scale of firm operations and resource capacity</w:t>
            </w:r>
          </w:p>
        </w:tc>
        <w:tc>
          <w:tcPr>
            <w:tcW w:w="2126" w:type="dxa"/>
            <w:hideMark/>
          </w:tcPr>
          <w:p w14:paraId="5549880B"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Natural logarithm of total assets</w:t>
            </w:r>
          </w:p>
        </w:tc>
        <w:tc>
          <w:tcPr>
            <w:tcW w:w="1984" w:type="dxa"/>
            <w:hideMark/>
          </w:tcPr>
          <w:p w14:paraId="00F4EB5C"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Liu et al. (2023); Habtoor (2024)</w:t>
            </w:r>
          </w:p>
        </w:tc>
      </w:tr>
      <w:tr w:rsidR="00E3318A" w:rsidRPr="00C37ABB" w14:paraId="7093B2CD" w14:textId="77777777" w:rsidTr="00881733">
        <w:tc>
          <w:tcPr>
            <w:tcW w:w="0" w:type="auto"/>
            <w:hideMark/>
          </w:tcPr>
          <w:p w14:paraId="4ADF02C2"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8</w:t>
            </w:r>
          </w:p>
        </w:tc>
        <w:tc>
          <w:tcPr>
            <w:tcW w:w="1673" w:type="dxa"/>
            <w:hideMark/>
          </w:tcPr>
          <w:p w14:paraId="6879B7C6"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Firm Age (Control Variable)</w:t>
            </w:r>
          </w:p>
        </w:tc>
        <w:tc>
          <w:tcPr>
            <w:tcW w:w="2977" w:type="dxa"/>
            <w:hideMark/>
          </w:tcPr>
          <w:p w14:paraId="208C04F8"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Organizational maturity and experience over time</w:t>
            </w:r>
          </w:p>
        </w:tc>
        <w:tc>
          <w:tcPr>
            <w:tcW w:w="2126" w:type="dxa"/>
            <w:hideMark/>
          </w:tcPr>
          <w:p w14:paraId="36A74FF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Natural logarithm of number of years since incorporation</w:t>
            </w:r>
          </w:p>
        </w:tc>
        <w:tc>
          <w:tcPr>
            <w:tcW w:w="1984" w:type="dxa"/>
            <w:hideMark/>
          </w:tcPr>
          <w:p w14:paraId="4BB4C26D"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 xml:space="preserve">Li et al. (2024); </w:t>
            </w:r>
            <w:proofErr w:type="spellStart"/>
            <w:r w:rsidRPr="00C37ABB">
              <w:rPr>
                <w:rFonts w:ascii="Times New Roman" w:hAnsi="Times New Roman" w:cs="Times New Roman"/>
                <w:sz w:val="22"/>
                <w:szCs w:val="22"/>
              </w:rPr>
              <w:t>Intara</w:t>
            </w:r>
            <w:proofErr w:type="spellEnd"/>
            <w:r w:rsidRPr="00C37ABB">
              <w:rPr>
                <w:rFonts w:ascii="Times New Roman" w:hAnsi="Times New Roman" w:cs="Times New Roman"/>
                <w:sz w:val="22"/>
                <w:szCs w:val="22"/>
              </w:rPr>
              <w:t xml:space="preserve"> (2024)</w:t>
            </w:r>
          </w:p>
        </w:tc>
      </w:tr>
    </w:tbl>
    <w:p w14:paraId="102BA2A8" w14:textId="2A8395C2" w:rsidR="00BB6FDC" w:rsidRPr="00E3318A" w:rsidRDefault="00C10E3B" w:rsidP="00900013">
      <w:pPr>
        <w:spacing w:line="240" w:lineRule="auto"/>
        <w:jc w:val="both"/>
        <w:rPr>
          <w:rFonts w:ascii="Times New Roman" w:hAnsi="Times New Roman" w:cs="Times New Roman"/>
          <w:b/>
          <w:bCs/>
        </w:rPr>
      </w:pPr>
      <w:r w:rsidRPr="00E3318A">
        <w:rPr>
          <w:rFonts w:ascii="Times New Roman" w:hAnsi="Times New Roman" w:cs="Times New Roman"/>
          <w:b/>
          <w:bCs/>
        </w:rPr>
        <w:t>Source: Author’s Compilation (2026)</w:t>
      </w:r>
    </w:p>
    <w:p w14:paraId="2D09B085" w14:textId="697FD4A3" w:rsidR="003F2E9B" w:rsidRDefault="00696CD1" w:rsidP="009313AD">
      <w:pPr>
        <w:jc w:val="both"/>
        <w:rPr>
          <w:rFonts w:ascii="Times New Roman" w:hAnsi="Times New Roman" w:cs="Times New Roman"/>
          <w:b/>
          <w:bCs/>
        </w:rPr>
      </w:pPr>
      <w:r>
        <w:rPr>
          <w:rFonts w:ascii="Times New Roman" w:hAnsi="Times New Roman" w:cs="Times New Roman"/>
          <w:b/>
          <w:bCs/>
        </w:rPr>
        <w:t xml:space="preserve">4. Results and Discussion </w:t>
      </w:r>
    </w:p>
    <w:p w14:paraId="4291F686" w14:textId="77777777" w:rsidR="00696CD1" w:rsidRDefault="00696CD1" w:rsidP="00696CD1">
      <w:pPr>
        <w:jc w:val="both"/>
        <w:rPr>
          <w:rFonts w:ascii="Times New Roman" w:hAnsi="Times New Roman" w:cs="Times New Roman"/>
          <w:b/>
          <w:bCs/>
        </w:rPr>
      </w:pPr>
      <w:r w:rsidRPr="00696CD1">
        <w:rPr>
          <w:rFonts w:ascii="Times New Roman" w:hAnsi="Times New Roman" w:cs="Times New Roman"/>
          <w:b/>
          <w:bCs/>
        </w:rPr>
        <w:t>4.1 Descriptive Statistics</w:t>
      </w:r>
    </w:p>
    <w:p w14:paraId="0E6B40F4" w14:textId="2F8DDD7B" w:rsidR="00696CD1" w:rsidRPr="00696CD1" w:rsidRDefault="00696CD1" w:rsidP="00E149BE">
      <w:pPr>
        <w:spacing w:after="0" w:line="240" w:lineRule="auto"/>
        <w:jc w:val="both"/>
        <w:rPr>
          <w:rFonts w:ascii="Times New Roman" w:hAnsi="Times New Roman" w:cs="Times New Roman"/>
        </w:rPr>
      </w:pPr>
      <w:r w:rsidRPr="00696CD1">
        <w:rPr>
          <w:rFonts w:ascii="Times New Roman" w:hAnsi="Times New Roman" w:cs="Times New Roman"/>
          <w:b/>
          <w:bCs/>
        </w:rPr>
        <w:lastRenderedPageBreak/>
        <w:t xml:space="preserve">Table </w:t>
      </w:r>
      <w:r w:rsidR="006C04CE">
        <w:rPr>
          <w:rFonts w:ascii="Times New Roman" w:hAnsi="Times New Roman" w:cs="Times New Roman"/>
          <w:b/>
          <w:bCs/>
        </w:rPr>
        <w:t>2</w:t>
      </w:r>
      <w:r w:rsidR="00E149BE">
        <w:rPr>
          <w:rFonts w:ascii="Times New Roman" w:hAnsi="Times New Roman" w:cs="Times New Roman"/>
          <w:b/>
          <w:bCs/>
        </w:rPr>
        <w:t>:</w:t>
      </w:r>
      <w:r w:rsidR="00045F1C">
        <w:rPr>
          <w:rFonts w:ascii="Times New Roman" w:hAnsi="Times New Roman" w:cs="Times New Roman"/>
          <w:b/>
          <w:bCs/>
        </w:rPr>
        <w:t xml:space="preserve"> </w:t>
      </w:r>
      <w:r w:rsidRPr="00696CD1">
        <w:rPr>
          <w:rFonts w:ascii="Times New Roman" w:hAnsi="Times New Roman" w:cs="Times New Roman"/>
          <w:i/>
          <w:iCs/>
        </w:rPr>
        <w:t>Descriptive Statistics of Study Variables (N = 1</w:t>
      </w:r>
      <w:r w:rsidR="00023A18">
        <w:rPr>
          <w:rFonts w:ascii="Times New Roman" w:hAnsi="Times New Roman" w:cs="Times New Roman"/>
          <w:i/>
          <w:iCs/>
        </w:rPr>
        <w:t>20</w:t>
      </w:r>
      <w:r w:rsidRPr="00696CD1">
        <w:rPr>
          <w:rFonts w:ascii="Times New Roman" w:hAnsi="Times New Roman" w:cs="Times New Roman"/>
          <w:i/>
          <w:iCs/>
        </w:rPr>
        <w:t>)</w:t>
      </w:r>
    </w:p>
    <w:tbl>
      <w:tblPr>
        <w:tblStyle w:val="PlainTable2"/>
        <w:tblW w:w="8045" w:type="dxa"/>
        <w:tblBorders>
          <w:top w:val="single" w:sz="4" w:space="0" w:color="auto"/>
          <w:bottom w:val="single" w:sz="4" w:space="0" w:color="auto"/>
        </w:tblBorders>
        <w:tblLook w:val="04A0" w:firstRow="1" w:lastRow="0" w:firstColumn="1" w:lastColumn="0" w:noHBand="0" w:noVBand="1"/>
      </w:tblPr>
      <w:tblGrid>
        <w:gridCol w:w="1874"/>
        <w:gridCol w:w="898"/>
        <w:gridCol w:w="1365"/>
        <w:gridCol w:w="1365"/>
        <w:gridCol w:w="1178"/>
        <w:gridCol w:w="1365"/>
      </w:tblGrid>
      <w:tr w:rsidR="00696CD1" w:rsidRPr="00696CD1" w14:paraId="4341E5C2" w14:textId="77777777" w:rsidTr="0088173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3A77AC0" w14:textId="77777777" w:rsidR="00696CD1" w:rsidRPr="00696CD1" w:rsidRDefault="00696CD1" w:rsidP="00696CD1">
            <w:pPr>
              <w:jc w:val="both"/>
              <w:rPr>
                <w:rFonts w:ascii="Times New Roman" w:hAnsi="Times New Roman" w:cs="Times New Roman"/>
                <w:b w:val="0"/>
                <w:bCs w:val="0"/>
              </w:rPr>
            </w:pPr>
            <w:r w:rsidRPr="00696CD1">
              <w:rPr>
                <w:rFonts w:ascii="Times New Roman" w:hAnsi="Times New Roman" w:cs="Times New Roman"/>
              </w:rPr>
              <w:t>Variable</w:t>
            </w:r>
          </w:p>
        </w:tc>
        <w:tc>
          <w:tcPr>
            <w:tcW w:w="0" w:type="auto"/>
            <w:tcBorders>
              <w:top w:val="single" w:sz="4" w:space="0" w:color="auto"/>
              <w:bottom w:val="single" w:sz="4" w:space="0" w:color="auto"/>
            </w:tcBorders>
            <w:hideMark/>
          </w:tcPr>
          <w:p w14:paraId="0B1CF4BD"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N</w:t>
            </w:r>
          </w:p>
        </w:tc>
        <w:tc>
          <w:tcPr>
            <w:tcW w:w="0" w:type="auto"/>
            <w:tcBorders>
              <w:top w:val="single" w:sz="4" w:space="0" w:color="auto"/>
              <w:bottom w:val="single" w:sz="4" w:space="0" w:color="auto"/>
            </w:tcBorders>
            <w:hideMark/>
          </w:tcPr>
          <w:p w14:paraId="70E5BA18"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Mean</w:t>
            </w:r>
          </w:p>
        </w:tc>
        <w:tc>
          <w:tcPr>
            <w:tcW w:w="0" w:type="auto"/>
            <w:tcBorders>
              <w:top w:val="single" w:sz="4" w:space="0" w:color="auto"/>
              <w:bottom w:val="single" w:sz="4" w:space="0" w:color="auto"/>
            </w:tcBorders>
            <w:hideMark/>
          </w:tcPr>
          <w:p w14:paraId="382116D7"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SD</w:t>
            </w:r>
          </w:p>
        </w:tc>
        <w:tc>
          <w:tcPr>
            <w:tcW w:w="0" w:type="auto"/>
            <w:tcBorders>
              <w:top w:val="single" w:sz="4" w:space="0" w:color="auto"/>
              <w:bottom w:val="single" w:sz="4" w:space="0" w:color="auto"/>
            </w:tcBorders>
            <w:hideMark/>
          </w:tcPr>
          <w:p w14:paraId="68761423"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Min</w:t>
            </w:r>
          </w:p>
        </w:tc>
        <w:tc>
          <w:tcPr>
            <w:tcW w:w="0" w:type="auto"/>
            <w:tcBorders>
              <w:top w:val="single" w:sz="4" w:space="0" w:color="auto"/>
              <w:bottom w:val="single" w:sz="4" w:space="0" w:color="auto"/>
            </w:tcBorders>
            <w:hideMark/>
          </w:tcPr>
          <w:p w14:paraId="14EF8159"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Max</w:t>
            </w:r>
          </w:p>
        </w:tc>
      </w:tr>
      <w:tr w:rsidR="00696CD1" w:rsidRPr="00696CD1" w14:paraId="28368877"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521826AE"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TOBINQ</w:t>
            </w:r>
          </w:p>
        </w:tc>
        <w:tc>
          <w:tcPr>
            <w:tcW w:w="0" w:type="auto"/>
            <w:tcBorders>
              <w:top w:val="single" w:sz="4" w:space="0" w:color="auto"/>
              <w:bottom w:val="none" w:sz="0" w:space="0" w:color="auto"/>
            </w:tcBorders>
            <w:hideMark/>
          </w:tcPr>
          <w:p w14:paraId="0390CDF0" w14:textId="47DA0F3A"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single" w:sz="4" w:space="0" w:color="auto"/>
              <w:bottom w:val="none" w:sz="0" w:space="0" w:color="auto"/>
            </w:tcBorders>
            <w:hideMark/>
          </w:tcPr>
          <w:p w14:paraId="653912CD"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0.384</w:t>
            </w:r>
          </w:p>
        </w:tc>
        <w:tc>
          <w:tcPr>
            <w:tcW w:w="0" w:type="auto"/>
            <w:tcBorders>
              <w:top w:val="single" w:sz="4" w:space="0" w:color="auto"/>
              <w:bottom w:val="none" w:sz="0" w:space="0" w:color="auto"/>
            </w:tcBorders>
            <w:hideMark/>
          </w:tcPr>
          <w:p w14:paraId="59933F87"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0.447</w:t>
            </w:r>
          </w:p>
        </w:tc>
        <w:tc>
          <w:tcPr>
            <w:tcW w:w="0" w:type="auto"/>
            <w:tcBorders>
              <w:top w:val="single" w:sz="4" w:space="0" w:color="auto"/>
              <w:bottom w:val="none" w:sz="0" w:space="0" w:color="auto"/>
            </w:tcBorders>
            <w:hideMark/>
          </w:tcPr>
          <w:p w14:paraId="00F8FDF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tcBorders>
              <w:top w:val="single" w:sz="4" w:space="0" w:color="auto"/>
              <w:bottom w:val="none" w:sz="0" w:space="0" w:color="auto"/>
            </w:tcBorders>
            <w:hideMark/>
          </w:tcPr>
          <w:p w14:paraId="6B33404C"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2.645</w:t>
            </w:r>
          </w:p>
        </w:tc>
      </w:tr>
      <w:tr w:rsidR="00696CD1" w:rsidRPr="00696CD1" w14:paraId="401AD853"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1E0EFA"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TRNEXP</w:t>
            </w:r>
          </w:p>
        </w:tc>
        <w:tc>
          <w:tcPr>
            <w:tcW w:w="0" w:type="auto"/>
            <w:hideMark/>
          </w:tcPr>
          <w:p w14:paraId="4F316D2D" w14:textId="5AA098BE"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363647D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0.458</w:t>
            </w:r>
          </w:p>
        </w:tc>
        <w:tc>
          <w:tcPr>
            <w:tcW w:w="0" w:type="auto"/>
            <w:hideMark/>
          </w:tcPr>
          <w:p w14:paraId="5B6DE90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0.655</w:t>
            </w:r>
          </w:p>
        </w:tc>
        <w:tc>
          <w:tcPr>
            <w:tcW w:w="0" w:type="auto"/>
            <w:hideMark/>
          </w:tcPr>
          <w:p w14:paraId="2292868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hideMark/>
          </w:tcPr>
          <w:p w14:paraId="6A404EC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3.509</w:t>
            </w:r>
          </w:p>
        </w:tc>
      </w:tr>
      <w:tr w:rsidR="00696CD1" w:rsidRPr="00696CD1" w14:paraId="5F3D8D82"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0E9AC30"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TRNPR</w:t>
            </w:r>
          </w:p>
        </w:tc>
        <w:tc>
          <w:tcPr>
            <w:tcW w:w="0" w:type="auto"/>
            <w:tcBorders>
              <w:top w:val="none" w:sz="0" w:space="0" w:color="auto"/>
              <w:bottom w:val="none" w:sz="0" w:space="0" w:color="auto"/>
            </w:tcBorders>
            <w:hideMark/>
          </w:tcPr>
          <w:p w14:paraId="7F7F8493" w14:textId="52572F14"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none" w:sz="0" w:space="0" w:color="auto"/>
              <w:bottom w:val="none" w:sz="0" w:space="0" w:color="auto"/>
            </w:tcBorders>
            <w:hideMark/>
          </w:tcPr>
          <w:p w14:paraId="5A0E051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0.523</w:t>
            </w:r>
          </w:p>
        </w:tc>
        <w:tc>
          <w:tcPr>
            <w:tcW w:w="0" w:type="auto"/>
            <w:tcBorders>
              <w:top w:val="none" w:sz="0" w:space="0" w:color="auto"/>
              <w:bottom w:val="none" w:sz="0" w:space="0" w:color="auto"/>
            </w:tcBorders>
            <w:hideMark/>
          </w:tcPr>
          <w:p w14:paraId="66E74AB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0.602</w:t>
            </w:r>
          </w:p>
        </w:tc>
        <w:tc>
          <w:tcPr>
            <w:tcW w:w="0" w:type="auto"/>
            <w:tcBorders>
              <w:top w:val="none" w:sz="0" w:space="0" w:color="auto"/>
              <w:bottom w:val="none" w:sz="0" w:space="0" w:color="auto"/>
            </w:tcBorders>
            <w:hideMark/>
          </w:tcPr>
          <w:p w14:paraId="5229D06E"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tcBorders>
              <w:top w:val="none" w:sz="0" w:space="0" w:color="auto"/>
              <w:bottom w:val="none" w:sz="0" w:space="0" w:color="auto"/>
            </w:tcBorders>
            <w:hideMark/>
          </w:tcPr>
          <w:p w14:paraId="292DDB2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2.945</w:t>
            </w:r>
          </w:p>
        </w:tc>
      </w:tr>
      <w:tr w:rsidR="00696CD1" w:rsidRPr="00696CD1" w14:paraId="418ACB35"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76A975B"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TRNINT</w:t>
            </w:r>
          </w:p>
        </w:tc>
        <w:tc>
          <w:tcPr>
            <w:tcW w:w="0" w:type="auto"/>
            <w:hideMark/>
          </w:tcPr>
          <w:p w14:paraId="2F3D63D0" w14:textId="256337FB"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612AEFA9"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8.850</w:t>
            </w:r>
          </w:p>
        </w:tc>
        <w:tc>
          <w:tcPr>
            <w:tcW w:w="0" w:type="auto"/>
            <w:hideMark/>
          </w:tcPr>
          <w:p w14:paraId="4739231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3.850</w:t>
            </w:r>
          </w:p>
        </w:tc>
        <w:tc>
          <w:tcPr>
            <w:tcW w:w="0" w:type="auto"/>
            <w:hideMark/>
          </w:tcPr>
          <w:p w14:paraId="76037354"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hideMark/>
          </w:tcPr>
          <w:p w14:paraId="7D6C5F2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15.474</w:t>
            </w:r>
          </w:p>
        </w:tc>
      </w:tr>
      <w:tr w:rsidR="00696CD1" w:rsidRPr="00696CD1" w14:paraId="7EA26D81"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4A29616"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HCIR</w:t>
            </w:r>
          </w:p>
        </w:tc>
        <w:tc>
          <w:tcPr>
            <w:tcW w:w="0" w:type="auto"/>
            <w:tcBorders>
              <w:top w:val="none" w:sz="0" w:space="0" w:color="auto"/>
              <w:bottom w:val="none" w:sz="0" w:space="0" w:color="auto"/>
            </w:tcBorders>
            <w:hideMark/>
          </w:tcPr>
          <w:p w14:paraId="6C6477B2" w14:textId="58110BC3"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none" w:sz="0" w:space="0" w:color="auto"/>
              <w:bottom w:val="none" w:sz="0" w:space="0" w:color="auto"/>
            </w:tcBorders>
            <w:hideMark/>
          </w:tcPr>
          <w:p w14:paraId="6550E03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0.427</w:t>
            </w:r>
          </w:p>
        </w:tc>
        <w:tc>
          <w:tcPr>
            <w:tcW w:w="0" w:type="auto"/>
            <w:tcBorders>
              <w:top w:val="none" w:sz="0" w:space="0" w:color="auto"/>
              <w:bottom w:val="none" w:sz="0" w:space="0" w:color="auto"/>
            </w:tcBorders>
            <w:hideMark/>
          </w:tcPr>
          <w:p w14:paraId="6AB6CE9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0.947</w:t>
            </w:r>
          </w:p>
        </w:tc>
        <w:tc>
          <w:tcPr>
            <w:tcW w:w="0" w:type="auto"/>
            <w:tcBorders>
              <w:top w:val="none" w:sz="0" w:space="0" w:color="auto"/>
              <w:bottom w:val="none" w:sz="0" w:space="0" w:color="auto"/>
            </w:tcBorders>
            <w:hideMark/>
          </w:tcPr>
          <w:p w14:paraId="02202F3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tcBorders>
              <w:top w:val="none" w:sz="0" w:space="0" w:color="auto"/>
              <w:bottom w:val="none" w:sz="0" w:space="0" w:color="auto"/>
            </w:tcBorders>
            <w:hideMark/>
          </w:tcPr>
          <w:p w14:paraId="27BFA82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5.297</w:t>
            </w:r>
          </w:p>
        </w:tc>
      </w:tr>
      <w:tr w:rsidR="00696CD1" w:rsidRPr="00696CD1" w14:paraId="78EFBCAA"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84FEB72"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BIND</w:t>
            </w:r>
          </w:p>
        </w:tc>
        <w:tc>
          <w:tcPr>
            <w:tcW w:w="0" w:type="auto"/>
            <w:hideMark/>
          </w:tcPr>
          <w:p w14:paraId="6D08385F" w14:textId="71C5EBBD"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6F678B0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4.939</w:t>
            </w:r>
          </w:p>
        </w:tc>
        <w:tc>
          <w:tcPr>
            <w:tcW w:w="0" w:type="auto"/>
            <w:hideMark/>
          </w:tcPr>
          <w:p w14:paraId="724E32F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0.175</w:t>
            </w:r>
          </w:p>
        </w:tc>
        <w:tc>
          <w:tcPr>
            <w:tcW w:w="0" w:type="auto"/>
            <w:hideMark/>
          </w:tcPr>
          <w:p w14:paraId="3D06CF7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4.382</w:t>
            </w:r>
          </w:p>
        </w:tc>
        <w:tc>
          <w:tcPr>
            <w:tcW w:w="0" w:type="auto"/>
            <w:hideMark/>
          </w:tcPr>
          <w:p w14:paraId="495264BF"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5.193</w:t>
            </w:r>
          </w:p>
        </w:tc>
      </w:tr>
      <w:tr w:rsidR="00696CD1" w:rsidRPr="00696CD1" w14:paraId="28CEE411"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025B853"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FSIZ</w:t>
            </w:r>
          </w:p>
        </w:tc>
        <w:tc>
          <w:tcPr>
            <w:tcW w:w="0" w:type="auto"/>
            <w:tcBorders>
              <w:top w:val="none" w:sz="0" w:space="0" w:color="auto"/>
              <w:bottom w:val="none" w:sz="0" w:space="0" w:color="auto"/>
            </w:tcBorders>
            <w:hideMark/>
          </w:tcPr>
          <w:p w14:paraId="621D17A6" w14:textId="426E2180"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none" w:sz="0" w:space="0" w:color="auto"/>
              <w:bottom w:val="none" w:sz="0" w:space="0" w:color="auto"/>
            </w:tcBorders>
            <w:hideMark/>
          </w:tcPr>
          <w:p w14:paraId="112130CC"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12.179</w:t>
            </w:r>
          </w:p>
        </w:tc>
        <w:tc>
          <w:tcPr>
            <w:tcW w:w="0" w:type="auto"/>
            <w:tcBorders>
              <w:top w:val="none" w:sz="0" w:space="0" w:color="auto"/>
              <w:bottom w:val="none" w:sz="0" w:space="0" w:color="auto"/>
            </w:tcBorders>
            <w:hideMark/>
          </w:tcPr>
          <w:p w14:paraId="4159AE6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1.588</w:t>
            </w:r>
          </w:p>
        </w:tc>
        <w:tc>
          <w:tcPr>
            <w:tcW w:w="0" w:type="auto"/>
            <w:tcBorders>
              <w:top w:val="none" w:sz="0" w:space="0" w:color="auto"/>
              <w:bottom w:val="none" w:sz="0" w:space="0" w:color="auto"/>
            </w:tcBorders>
            <w:hideMark/>
          </w:tcPr>
          <w:p w14:paraId="2884199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7.222</w:t>
            </w:r>
          </w:p>
        </w:tc>
        <w:tc>
          <w:tcPr>
            <w:tcW w:w="0" w:type="auto"/>
            <w:tcBorders>
              <w:top w:val="none" w:sz="0" w:space="0" w:color="auto"/>
              <w:bottom w:val="none" w:sz="0" w:space="0" w:color="auto"/>
            </w:tcBorders>
            <w:hideMark/>
          </w:tcPr>
          <w:p w14:paraId="6ED6282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15.710</w:t>
            </w:r>
          </w:p>
        </w:tc>
      </w:tr>
      <w:tr w:rsidR="00696CD1" w:rsidRPr="00696CD1" w14:paraId="299AC6C6"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1024BD"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AGE</w:t>
            </w:r>
          </w:p>
        </w:tc>
        <w:tc>
          <w:tcPr>
            <w:tcW w:w="0" w:type="auto"/>
            <w:hideMark/>
          </w:tcPr>
          <w:p w14:paraId="1A5E21DB" w14:textId="6EF76DD6"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2845951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25.430</w:t>
            </w:r>
          </w:p>
        </w:tc>
        <w:tc>
          <w:tcPr>
            <w:tcW w:w="0" w:type="auto"/>
            <w:hideMark/>
          </w:tcPr>
          <w:p w14:paraId="10748419"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15.819</w:t>
            </w:r>
          </w:p>
        </w:tc>
        <w:tc>
          <w:tcPr>
            <w:tcW w:w="0" w:type="auto"/>
            <w:hideMark/>
          </w:tcPr>
          <w:p w14:paraId="60FC5B2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hideMark/>
          </w:tcPr>
          <w:p w14:paraId="4C426147"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52.000</w:t>
            </w:r>
          </w:p>
        </w:tc>
      </w:tr>
    </w:tbl>
    <w:p w14:paraId="4608A16B" w14:textId="33705F51" w:rsidR="00696CD1" w:rsidRPr="00696CD1" w:rsidRDefault="00696CD1" w:rsidP="00696CD1">
      <w:pPr>
        <w:jc w:val="both"/>
        <w:rPr>
          <w:rFonts w:ascii="Times New Roman" w:hAnsi="Times New Roman" w:cs="Times New Roman"/>
          <w:b/>
          <w:bCs/>
        </w:rPr>
      </w:pPr>
      <w:r>
        <w:rPr>
          <w:rFonts w:ascii="Times New Roman" w:hAnsi="Times New Roman" w:cs="Times New Roman"/>
          <w:b/>
          <w:bCs/>
        </w:rPr>
        <w:t>Source: Researchers’ Computation (2026)</w:t>
      </w:r>
    </w:p>
    <w:p w14:paraId="591B0F10" w14:textId="105D6BFC" w:rsidR="00C37ABB" w:rsidRDefault="00C37ABB" w:rsidP="00696CD1">
      <w:pPr>
        <w:jc w:val="both"/>
        <w:rPr>
          <w:rFonts w:ascii="Times New Roman" w:hAnsi="Times New Roman" w:cs="Times New Roman"/>
        </w:rPr>
      </w:pPr>
      <w:r w:rsidRPr="00C37ABB">
        <w:rPr>
          <w:rFonts w:ascii="Times New Roman" w:hAnsi="Times New Roman" w:cs="Times New Roman"/>
        </w:rPr>
        <w:t xml:space="preserve">Table </w:t>
      </w:r>
      <w:r w:rsidR="006C04CE">
        <w:rPr>
          <w:rFonts w:ascii="Times New Roman" w:hAnsi="Times New Roman" w:cs="Times New Roman"/>
        </w:rPr>
        <w:t>2</w:t>
      </w:r>
      <w:r w:rsidRPr="00C37ABB">
        <w:rPr>
          <w:rFonts w:ascii="Times New Roman" w:hAnsi="Times New Roman" w:cs="Times New Roman"/>
        </w:rPr>
        <w:t xml:space="preserve"> presented the descriptive statistics of the study variables based on 120 firm year observations, showing moderate variation across key measures. Firm value, proxied by Tobin’s Q, recorded a low mean of 0.384 with a standard deviation of 0.447, suggesting generally low market valuation with noticeable dispersion across firms. Training investment proxies such as TRNEXP and TRNPR showed moderate averages of 0.458 and 0.523 respectively, while TRNINT had a relatively high mean of 8.850, indicating varying intensity of training activities. HCIR exhibited high variability with a standard deviation of 0.947, reflecting inconsistent human capital investment across firms. Board independence (BIND) showed minimal dispersion, implying relative uniformity in board composition, while firm size (FSIZ) and age (AGE) indicated significant heterogeneity among firms, suggesting differences in scale and maturity within the sample.</w:t>
      </w:r>
    </w:p>
    <w:p w14:paraId="6477A0A6" w14:textId="6D9DC853" w:rsidR="00696CD1" w:rsidRPr="00696CD1" w:rsidRDefault="00696CD1" w:rsidP="00696CD1">
      <w:pPr>
        <w:jc w:val="both"/>
        <w:rPr>
          <w:rFonts w:ascii="Times New Roman" w:hAnsi="Times New Roman" w:cs="Times New Roman"/>
          <w:b/>
          <w:bCs/>
        </w:rPr>
      </w:pPr>
      <w:r w:rsidRPr="00696CD1">
        <w:rPr>
          <w:rFonts w:ascii="Times New Roman" w:hAnsi="Times New Roman" w:cs="Times New Roman"/>
          <w:b/>
          <w:bCs/>
        </w:rPr>
        <w:t>4.2 Correlation Analysis</w:t>
      </w:r>
    </w:p>
    <w:p w14:paraId="0D586AA2" w14:textId="1FA17EA6" w:rsidR="00696CD1" w:rsidRPr="00696CD1" w:rsidRDefault="00696CD1" w:rsidP="00E9411D">
      <w:pPr>
        <w:spacing w:line="240" w:lineRule="auto"/>
        <w:jc w:val="both"/>
        <w:rPr>
          <w:rFonts w:ascii="Times New Roman" w:hAnsi="Times New Roman" w:cs="Times New Roman"/>
        </w:rPr>
      </w:pPr>
      <w:r w:rsidRPr="00696CD1">
        <w:rPr>
          <w:rFonts w:ascii="Times New Roman" w:hAnsi="Times New Roman" w:cs="Times New Roman"/>
          <w:b/>
          <w:bCs/>
        </w:rPr>
        <w:t xml:space="preserve">Table </w:t>
      </w:r>
      <w:r w:rsidR="006C04CE">
        <w:rPr>
          <w:rFonts w:ascii="Times New Roman" w:hAnsi="Times New Roman" w:cs="Times New Roman"/>
          <w:b/>
          <w:bCs/>
        </w:rPr>
        <w:t>3</w:t>
      </w:r>
      <w:r w:rsidR="00B47E99">
        <w:rPr>
          <w:rFonts w:ascii="Times New Roman" w:hAnsi="Times New Roman" w:cs="Times New Roman"/>
          <w:b/>
          <w:bCs/>
        </w:rPr>
        <w:t xml:space="preserve">: </w:t>
      </w:r>
      <w:r w:rsidRPr="00696CD1">
        <w:rPr>
          <w:rFonts w:ascii="Times New Roman" w:hAnsi="Times New Roman" w:cs="Times New Roman"/>
          <w:i/>
          <w:iCs/>
        </w:rPr>
        <w:t>Pearson Correlation Matrix of Study Variables (N = 1</w:t>
      </w:r>
      <w:r w:rsidR="00023A18">
        <w:rPr>
          <w:rFonts w:ascii="Times New Roman" w:hAnsi="Times New Roman" w:cs="Times New Roman"/>
          <w:i/>
          <w:iCs/>
        </w:rPr>
        <w:t>20</w:t>
      </w:r>
      <w:r w:rsidRPr="00696CD1">
        <w:rPr>
          <w:rFonts w:ascii="Times New Roman" w:hAnsi="Times New Roman" w:cs="Times New Roman"/>
          <w:i/>
          <w:iCs/>
        </w:rPr>
        <w:t>)</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1203"/>
        <w:gridCol w:w="1172"/>
        <w:gridCol w:w="1203"/>
        <w:gridCol w:w="1043"/>
        <w:gridCol w:w="1150"/>
        <w:gridCol w:w="843"/>
        <w:gridCol w:w="836"/>
        <w:gridCol w:w="756"/>
        <w:gridCol w:w="756"/>
      </w:tblGrid>
      <w:tr w:rsidR="00696CD1" w:rsidRPr="00696CD1" w14:paraId="049463CF" w14:textId="77777777" w:rsidTr="00335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3FF8399" w14:textId="77777777" w:rsidR="00696CD1" w:rsidRPr="00696CD1" w:rsidRDefault="00696CD1" w:rsidP="00696CD1">
            <w:pPr>
              <w:jc w:val="both"/>
              <w:rPr>
                <w:rFonts w:ascii="Times New Roman" w:hAnsi="Times New Roman" w:cs="Times New Roman"/>
                <w:b w:val="0"/>
                <w:bCs w:val="0"/>
              </w:rPr>
            </w:pPr>
            <w:r w:rsidRPr="00696CD1">
              <w:rPr>
                <w:rFonts w:ascii="Times New Roman" w:hAnsi="Times New Roman" w:cs="Times New Roman"/>
              </w:rPr>
              <w:t>Variable</w:t>
            </w:r>
          </w:p>
        </w:tc>
        <w:tc>
          <w:tcPr>
            <w:tcW w:w="0" w:type="auto"/>
            <w:tcBorders>
              <w:top w:val="single" w:sz="4" w:space="0" w:color="auto"/>
              <w:bottom w:val="single" w:sz="4" w:space="0" w:color="auto"/>
            </w:tcBorders>
            <w:hideMark/>
          </w:tcPr>
          <w:p w14:paraId="4C6847A4"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TOBINQ</w:t>
            </w:r>
          </w:p>
        </w:tc>
        <w:tc>
          <w:tcPr>
            <w:tcW w:w="0" w:type="auto"/>
            <w:tcBorders>
              <w:top w:val="single" w:sz="4" w:space="0" w:color="auto"/>
              <w:bottom w:val="single" w:sz="4" w:space="0" w:color="auto"/>
            </w:tcBorders>
            <w:hideMark/>
          </w:tcPr>
          <w:p w14:paraId="57914E38"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TRNEXP</w:t>
            </w:r>
          </w:p>
        </w:tc>
        <w:tc>
          <w:tcPr>
            <w:tcW w:w="0" w:type="auto"/>
            <w:tcBorders>
              <w:top w:val="single" w:sz="4" w:space="0" w:color="auto"/>
              <w:bottom w:val="single" w:sz="4" w:space="0" w:color="auto"/>
            </w:tcBorders>
            <w:hideMark/>
          </w:tcPr>
          <w:p w14:paraId="7C72ACE8"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TRNPR</w:t>
            </w:r>
          </w:p>
        </w:tc>
        <w:tc>
          <w:tcPr>
            <w:tcW w:w="0" w:type="auto"/>
            <w:tcBorders>
              <w:top w:val="single" w:sz="4" w:space="0" w:color="auto"/>
              <w:bottom w:val="single" w:sz="4" w:space="0" w:color="auto"/>
            </w:tcBorders>
            <w:hideMark/>
          </w:tcPr>
          <w:p w14:paraId="56603611"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TRNINT</w:t>
            </w:r>
          </w:p>
        </w:tc>
        <w:tc>
          <w:tcPr>
            <w:tcW w:w="0" w:type="auto"/>
            <w:tcBorders>
              <w:top w:val="single" w:sz="4" w:space="0" w:color="auto"/>
              <w:bottom w:val="single" w:sz="4" w:space="0" w:color="auto"/>
            </w:tcBorders>
            <w:hideMark/>
          </w:tcPr>
          <w:p w14:paraId="440718B2"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HCIR</w:t>
            </w:r>
          </w:p>
        </w:tc>
        <w:tc>
          <w:tcPr>
            <w:tcW w:w="0" w:type="auto"/>
            <w:tcBorders>
              <w:top w:val="single" w:sz="4" w:space="0" w:color="auto"/>
              <w:bottom w:val="single" w:sz="4" w:space="0" w:color="auto"/>
            </w:tcBorders>
            <w:hideMark/>
          </w:tcPr>
          <w:p w14:paraId="5F4B3B6E"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BIND</w:t>
            </w:r>
          </w:p>
        </w:tc>
        <w:tc>
          <w:tcPr>
            <w:tcW w:w="0" w:type="auto"/>
            <w:tcBorders>
              <w:top w:val="single" w:sz="4" w:space="0" w:color="auto"/>
              <w:bottom w:val="single" w:sz="4" w:space="0" w:color="auto"/>
            </w:tcBorders>
            <w:hideMark/>
          </w:tcPr>
          <w:p w14:paraId="6433D1D6"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FSIZ</w:t>
            </w:r>
          </w:p>
        </w:tc>
        <w:tc>
          <w:tcPr>
            <w:tcW w:w="0" w:type="auto"/>
            <w:tcBorders>
              <w:top w:val="single" w:sz="4" w:space="0" w:color="auto"/>
              <w:bottom w:val="single" w:sz="4" w:space="0" w:color="auto"/>
            </w:tcBorders>
            <w:hideMark/>
          </w:tcPr>
          <w:p w14:paraId="3305E7A5"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AGE</w:t>
            </w:r>
          </w:p>
        </w:tc>
      </w:tr>
      <w:tr w:rsidR="00696CD1" w:rsidRPr="00696CD1" w14:paraId="5070D887"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4BC5BEE3"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TOBINQ</w:t>
            </w:r>
          </w:p>
        </w:tc>
        <w:tc>
          <w:tcPr>
            <w:tcW w:w="0" w:type="auto"/>
            <w:tcBorders>
              <w:top w:val="single" w:sz="4" w:space="0" w:color="auto"/>
              <w:bottom w:val="none" w:sz="0" w:space="0" w:color="auto"/>
            </w:tcBorders>
            <w:hideMark/>
          </w:tcPr>
          <w:p w14:paraId="7C38D74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single" w:sz="4" w:space="0" w:color="auto"/>
              <w:bottom w:val="none" w:sz="0" w:space="0" w:color="auto"/>
            </w:tcBorders>
            <w:hideMark/>
          </w:tcPr>
          <w:p w14:paraId="2BA72C8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47636B2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4C121DD8"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6E0FB22B"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6B331F7E"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234C18FD"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3967714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41742528"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142F8DEF"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TRNEXP</w:t>
            </w:r>
          </w:p>
        </w:tc>
        <w:tc>
          <w:tcPr>
            <w:tcW w:w="0" w:type="auto"/>
            <w:hideMark/>
          </w:tcPr>
          <w:p w14:paraId="7F64C9F6"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-0.290</w:t>
            </w:r>
          </w:p>
        </w:tc>
        <w:tc>
          <w:tcPr>
            <w:tcW w:w="0" w:type="auto"/>
            <w:hideMark/>
          </w:tcPr>
          <w:p w14:paraId="58A4CECA"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hideMark/>
          </w:tcPr>
          <w:p w14:paraId="459DEEEE"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6E3E83E"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0516CD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EC83CAE"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72CCC63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4DDF10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6CD1" w:rsidRPr="00696CD1" w14:paraId="71B88990"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FC24F4B"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TRNPR</w:t>
            </w:r>
          </w:p>
        </w:tc>
        <w:tc>
          <w:tcPr>
            <w:tcW w:w="0" w:type="auto"/>
            <w:tcBorders>
              <w:top w:val="none" w:sz="0" w:space="0" w:color="auto"/>
              <w:bottom w:val="none" w:sz="0" w:space="0" w:color="auto"/>
            </w:tcBorders>
            <w:hideMark/>
          </w:tcPr>
          <w:p w14:paraId="7C68A8F7"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-0.341</w:t>
            </w:r>
          </w:p>
        </w:tc>
        <w:tc>
          <w:tcPr>
            <w:tcW w:w="0" w:type="auto"/>
            <w:tcBorders>
              <w:top w:val="none" w:sz="0" w:space="0" w:color="auto"/>
              <w:bottom w:val="none" w:sz="0" w:space="0" w:color="auto"/>
            </w:tcBorders>
            <w:hideMark/>
          </w:tcPr>
          <w:p w14:paraId="5626F8D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0.828</w:t>
            </w:r>
          </w:p>
        </w:tc>
        <w:tc>
          <w:tcPr>
            <w:tcW w:w="0" w:type="auto"/>
            <w:tcBorders>
              <w:top w:val="none" w:sz="0" w:space="0" w:color="auto"/>
              <w:bottom w:val="none" w:sz="0" w:space="0" w:color="auto"/>
            </w:tcBorders>
            <w:hideMark/>
          </w:tcPr>
          <w:p w14:paraId="3024A27A"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none" w:sz="0" w:space="0" w:color="auto"/>
              <w:bottom w:val="none" w:sz="0" w:space="0" w:color="auto"/>
            </w:tcBorders>
            <w:hideMark/>
          </w:tcPr>
          <w:p w14:paraId="0879E46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473C4B90"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6F2BAEB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79DAE01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5CD4FB4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224AF401"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4F82510C"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TRNINT</w:t>
            </w:r>
          </w:p>
        </w:tc>
        <w:tc>
          <w:tcPr>
            <w:tcW w:w="0" w:type="auto"/>
            <w:hideMark/>
          </w:tcPr>
          <w:p w14:paraId="556C1D6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-0.031</w:t>
            </w:r>
          </w:p>
        </w:tc>
        <w:tc>
          <w:tcPr>
            <w:tcW w:w="0" w:type="auto"/>
            <w:hideMark/>
          </w:tcPr>
          <w:p w14:paraId="2FB04B9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0.431</w:t>
            </w:r>
          </w:p>
        </w:tc>
        <w:tc>
          <w:tcPr>
            <w:tcW w:w="0" w:type="auto"/>
            <w:hideMark/>
          </w:tcPr>
          <w:p w14:paraId="1951880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0.377</w:t>
            </w:r>
          </w:p>
        </w:tc>
        <w:tc>
          <w:tcPr>
            <w:tcW w:w="0" w:type="auto"/>
            <w:hideMark/>
          </w:tcPr>
          <w:p w14:paraId="67DD0F2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hideMark/>
          </w:tcPr>
          <w:p w14:paraId="269BEA8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680BA7F"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37F6D3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A8E5B2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6CD1" w:rsidRPr="00696CD1" w14:paraId="6BC59226"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07F9D3C"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HCIR</w:t>
            </w:r>
          </w:p>
        </w:tc>
        <w:tc>
          <w:tcPr>
            <w:tcW w:w="0" w:type="auto"/>
            <w:tcBorders>
              <w:top w:val="none" w:sz="0" w:space="0" w:color="auto"/>
              <w:bottom w:val="none" w:sz="0" w:space="0" w:color="auto"/>
            </w:tcBorders>
            <w:hideMark/>
          </w:tcPr>
          <w:p w14:paraId="2ABFDC97"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-0.250</w:t>
            </w:r>
          </w:p>
        </w:tc>
        <w:tc>
          <w:tcPr>
            <w:tcW w:w="0" w:type="auto"/>
            <w:tcBorders>
              <w:top w:val="none" w:sz="0" w:space="0" w:color="auto"/>
              <w:bottom w:val="none" w:sz="0" w:space="0" w:color="auto"/>
            </w:tcBorders>
            <w:hideMark/>
          </w:tcPr>
          <w:p w14:paraId="1D7E65D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0.752</w:t>
            </w:r>
          </w:p>
        </w:tc>
        <w:tc>
          <w:tcPr>
            <w:tcW w:w="0" w:type="auto"/>
            <w:tcBorders>
              <w:top w:val="none" w:sz="0" w:space="0" w:color="auto"/>
              <w:bottom w:val="none" w:sz="0" w:space="0" w:color="auto"/>
            </w:tcBorders>
            <w:hideMark/>
          </w:tcPr>
          <w:p w14:paraId="1516EDC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0.814</w:t>
            </w:r>
          </w:p>
        </w:tc>
        <w:tc>
          <w:tcPr>
            <w:tcW w:w="0" w:type="auto"/>
            <w:tcBorders>
              <w:top w:val="none" w:sz="0" w:space="0" w:color="auto"/>
              <w:bottom w:val="none" w:sz="0" w:space="0" w:color="auto"/>
            </w:tcBorders>
            <w:hideMark/>
          </w:tcPr>
          <w:p w14:paraId="2BAC0BD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0.409</w:t>
            </w:r>
          </w:p>
        </w:tc>
        <w:tc>
          <w:tcPr>
            <w:tcW w:w="0" w:type="auto"/>
            <w:tcBorders>
              <w:top w:val="none" w:sz="0" w:space="0" w:color="auto"/>
              <w:bottom w:val="none" w:sz="0" w:space="0" w:color="auto"/>
            </w:tcBorders>
            <w:hideMark/>
          </w:tcPr>
          <w:p w14:paraId="024EDADA"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none" w:sz="0" w:space="0" w:color="auto"/>
              <w:bottom w:val="none" w:sz="0" w:space="0" w:color="auto"/>
            </w:tcBorders>
            <w:hideMark/>
          </w:tcPr>
          <w:p w14:paraId="262E82F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6162DFD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293184E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2F8694FC"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1584A708"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BIND</w:t>
            </w:r>
          </w:p>
        </w:tc>
        <w:tc>
          <w:tcPr>
            <w:tcW w:w="0" w:type="auto"/>
            <w:hideMark/>
          </w:tcPr>
          <w:p w14:paraId="1D088EB0"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-0.320</w:t>
            </w:r>
          </w:p>
        </w:tc>
        <w:tc>
          <w:tcPr>
            <w:tcW w:w="0" w:type="auto"/>
            <w:hideMark/>
          </w:tcPr>
          <w:p w14:paraId="6C56B2E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0.107</w:t>
            </w:r>
          </w:p>
        </w:tc>
        <w:tc>
          <w:tcPr>
            <w:tcW w:w="0" w:type="auto"/>
            <w:hideMark/>
          </w:tcPr>
          <w:p w14:paraId="551B28C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0.095</w:t>
            </w:r>
          </w:p>
        </w:tc>
        <w:tc>
          <w:tcPr>
            <w:tcW w:w="0" w:type="auto"/>
            <w:hideMark/>
          </w:tcPr>
          <w:p w14:paraId="0DF75B4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-0.058</w:t>
            </w:r>
          </w:p>
        </w:tc>
        <w:tc>
          <w:tcPr>
            <w:tcW w:w="0" w:type="auto"/>
            <w:hideMark/>
          </w:tcPr>
          <w:p w14:paraId="6576044A"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0.075</w:t>
            </w:r>
          </w:p>
        </w:tc>
        <w:tc>
          <w:tcPr>
            <w:tcW w:w="0" w:type="auto"/>
            <w:hideMark/>
          </w:tcPr>
          <w:p w14:paraId="7B8F85F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hideMark/>
          </w:tcPr>
          <w:p w14:paraId="4C14257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BEDDEB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6CD1" w:rsidRPr="00696CD1" w14:paraId="1FB386AA"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90E5459"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FSIZ</w:t>
            </w:r>
          </w:p>
        </w:tc>
        <w:tc>
          <w:tcPr>
            <w:tcW w:w="0" w:type="auto"/>
            <w:tcBorders>
              <w:top w:val="none" w:sz="0" w:space="0" w:color="auto"/>
              <w:bottom w:val="none" w:sz="0" w:space="0" w:color="auto"/>
            </w:tcBorders>
            <w:hideMark/>
          </w:tcPr>
          <w:p w14:paraId="15C6BB2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0.175</w:t>
            </w:r>
          </w:p>
        </w:tc>
        <w:tc>
          <w:tcPr>
            <w:tcW w:w="0" w:type="auto"/>
            <w:tcBorders>
              <w:top w:val="none" w:sz="0" w:space="0" w:color="auto"/>
              <w:bottom w:val="none" w:sz="0" w:space="0" w:color="auto"/>
            </w:tcBorders>
            <w:hideMark/>
          </w:tcPr>
          <w:p w14:paraId="040621A2"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-0.438</w:t>
            </w:r>
          </w:p>
        </w:tc>
        <w:tc>
          <w:tcPr>
            <w:tcW w:w="0" w:type="auto"/>
            <w:tcBorders>
              <w:top w:val="none" w:sz="0" w:space="0" w:color="auto"/>
              <w:bottom w:val="none" w:sz="0" w:space="0" w:color="auto"/>
            </w:tcBorders>
            <w:hideMark/>
          </w:tcPr>
          <w:p w14:paraId="7A44F740"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-0.462</w:t>
            </w:r>
          </w:p>
        </w:tc>
        <w:tc>
          <w:tcPr>
            <w:tcW w:w="0" w:type="auto"/>
            <w:tcBorders>
              <w:top w:val="none" w:sz="0" w:space="0" w:color="auto"/>
              <w:bottom w:val="none" w:sz="0" w:space="0" w:color="auto"/>
            </w:tcBorders>
            <w:hideMark/>
          </w:tcPr>
          <w:p w14:paraId="42CE4351"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0.022</w:t>
            </w:r>
          </w:p>
        </w:tc>
        <w:tc>
          <w:tcPr>
            <w:tcW w:w="0" w:type="auto"/>
            <w:tcBorders>
              <w:top w:val="none" w:sz="0" w:space="0" w:color="auto"/>
              <w:bottom w:val="none" w:sz="0" w:space="0" w:color="auto"/>
            </w:tcBorders>
            <w:hideMark/>
          </w:tcPr>
          <w:p w14:paraId="7DF95802"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-0.610</w:t>
            </w:r>
          </w:p>
        </w:tc>
        <w:tc>
          <w:tcPr>
            <w:tcW w:w="0" w:type="auto"/>
            <w:tcBorders>
              <w:top w:val="none" w:sz="0" w:space="0" w:color="auto"/>
              <w:bottom w:val="none" w:sz="0" w:space="0" w:color="auto"/>
            </w:tcBorders>
            <w:hideMark/>
          </w:tcPr>
          <w:p w14:paraId="61B23FE8"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-0.071</w:t>
            </w:r>
          </w:p>
        </w:tc>
        <w:tc>
          <w:tcPr>
            <w:tcW w:w="0" w:type="auto"/>
            <w:tcBorders>
              <w:top w:val="none" w:sz="0" w:space="0" w:color="auto"/>
              <w:bottom w:val="none" w:sz="0" w:space="0" w:color="auto"/>
            </w:tcBorders>
            <w:hideMark/>
          </w:tcPr>
          <w:p w14:paraId="0E4A98CD"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none" w:sz="0" w:space="0" w:color="auto"/>
              <w:bottom w:val="none" w:sz="0" w:space="0" w:color="auto"/>
            </w:tcBorders>
            <w:hideMark/>
          </w:tcPr>
          <w:p w14:paraId="5ED4AB11"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55E0FF43"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4541F948"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AGE</w:t>
            </w:r>
          </w:p>
        </w:tc>
        <w:tc>
          <w:tcPr>
            <w:tcW w:w="0" w:type="auto"/>
            <w:hideMark/>
          </w:tcPr>
          <w:p w14:paraId="0F050A9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0.234</w:t>
            </w:r>
          </w:p>
        </w:tc>
        <w:tc>
          <w:tcPr>
            <w:tcW w:w="0" w:type="auto"/>
            <w:hideMark/>
          </w:tcPr>
          <w:p w14:paraId="4F74D92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-0.092</w:t>
            </w:r>
          </w:p>
        </w:tc>
        <w:tc>
          <w:tcPr>
            <w:tcW w:w="0" w:type="auto"/>
            <w:hideMark/>
          </w:tcPr>
          <w:p w14:paraId="50BB051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-0.091</w:t>
            </w:r>
          </w:p>
        </w:tc>
        <w:tc>
          <w:tcPr>
            <w:tcW w:w="0" w:type="auto"/>
            <w:hideMark/>
          </w:tcPr>
          <w:p w14:paraId="31BEC9A7"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0.249</w:t>
            </w:r>
          </w:p>
        </w:tc>
        <w:tc>
          <w:tcPr>
            <w:tcW w:w="0" w:type="auto"/>
            <w:hideMark/>
          </w:tcPr>
          <w:p w14:paraId="7F4AC908"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0.099</w:t>
            </w:r>
          </w:p>
        </w:tc>
        <w:tc>
          <w:tcPr>
            <w:tcW w:w="0" w:type="auto"/>
            <w:hideMark/>
          </w:tcPr>
          <w:p w14:paraId="730F2F0A"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-0.039</w:t>
            </w:r>
          </w:p>
        </w:tc>
        <w:tc>
          <w:tcPr>
            <w:tcW w:w="0" w:type="auto"/>
            <w:hideMark/>
          </w:tcPr>
          <w:p w14:paraId="288C8BA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0.020</w:t>
            </w:r>
          </w:p>
        </w:tc>
        <w:tc>
          <w:tcPr>
            <w:tcW w:w="0" w:type="auto"/>
            <w:hideMark/>
          </w:tcPr>
          <w:p w14:paraId="32D5F9E8"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r>
    </w:tbl>
    <w:p w14:paraId="3504CE13" w14:textId="49D1FD88" w:rsidR="00696CD1" w:rsidRDefault="00696CD1" w:rsidP="00696CD1">
      <w:pPr>
        <w:jc w:val="both"/>
        <w:rPr>
          <w:rFonts w:ascii="Times New Roman" w:hAnsi="Times New Roman" w:cs="Times New Roman"/>
          <w:b/>
          <w:bCs/>
        </w:rPr>
      </w:pPr>
      <w:r>
        <w:rPr>
          <w:rFonts w:ascii="Times New Roman" w:hAnsi="Times New Roman" w:cs="Times New Roman"/>
          <w:b/>
          <w:bCs/>
        </w:rPr>
        <w:t>Source: Researchers’ Computation (2026)</w:t>
      </w:r>
    </w:p>
    <w:p w14:paraId="2F9E0E80" w14:textId="1F2A0BAC" w:rsidR="00E9411D" w:rsidRDefault="00E9411D" w:rsidP="00074750">
      <w:pPr>
        <w:jc w:val="both"/>
        <w:rPr>
          <w:rFonts w:ascii="Times New Roman" w:hAnsi="Times New Roman" w:cs="Times New Roman"/>
        </w:rPr>
      </w:pPr>
      <w:r w:rsidRPr="00E9411D">
        <w:rPr>
          <w:rFonts w:ascii="Times New Roman" w:hAnsi="Times New Roman" w:cs="Times New Roman"/>
        </w:rPr>
        <w:t xml:space="preserve">Table </w:t>
      </w:r>
      <w:r w:rsidR="006C04CE">
        <w:rPr>
          <w:rFonts w:ascii="Times New Roman" w:hAnsi="Times New Roman" w:cs="Times New Roman"/>
        </w:rPr>
        <w:t>3</w:t>
      </w:r>
      <w:r w:rsidRPr="00E9411D">
        <w:rPr>
          <w:rFonts w:ascii="Times New Roman" w:hAnsi="Times New Roman" w:cs="Times New Roman"/>
        </w:rPr>
        <w:t xml:space="preserve"> presented the Pearson correlation matrix for the study variables and showed the nature and strength of linear relationships among them. Firm value (TOBINQ) exhibited weak to moderate negative correlations with training expenditure (-0.290), training participation (-0.341), and human capital investment ratio (-0.250), while its relationship with training intensity (-0.031) was negligible, suggesting mixed associations between training proxies and firm value. However, TOBINQ showed positive correlations with firm size (0.175) and age (0.234), indicating that larger and more mature firms tended to have higher valuation. Strong positive correlations were observed </w:t>
      </w:r>
      <w:r w:rsidRPr="00E9411D">
        <w:rPr>
          <w:rFonts w:ascii="Times New Roman" w:hAnsi="Times New Roman" w:cs="Times New Roman"/>
        </w:rPr>
        <w:lastRenderedPageBreak/>
        <w:t>among training variables, particularly between TRNEXP and TRNPR (0.828) and between TRNPR and HCIR (0.814), which suggested potential multicollinearity concerns. Board independence (BIND) showed weak correlations with most variables, indicating limited direct association, while the overall correlation coefficients remained below the critical threshold, suggesting absence of severe multicollinearity.</w:t>
      </w:r>
    </w:p>
    <w:p w14:paraId="5581B58E" w14:textId="6A3FE0C0" w:rsidR="00074750" w:rsidRPr="00074750" w:rsidRDefault="00074750" w:rsidP="00074750">
      <w:pPr>
        <w:jc w:val="both"/>
        <w:rPr>
          <w:rFonts w:ascii="Times New Roman" w:hAnsi="Times New Roman" w:cs="Times New Roman"/>
          <w:b/>
          <w:bCs/>
        </w:rPr>
      </w:pPr>
      <w:r w:rsidRPr="00074750">
        <w:rPr>
          <w:rFonts w:ascii="Times New Roman" w:hAnsi="Times New Roman" w:cs="Times New Roman"/>
          <w:b/>
          <w:bCs/>
        </w:rPr>
        <w:t>4.3 Linearity Test</w:t>
      </w:r>
    </w:p>
    <w:p w14:paraId="34FB0536" w14:textId="332ED092" w:rsidR="00074750" w:rsidRDefault="00074750" w:rsidP="00074750">
      <w:pPr>
        <w:spacing w:after="0" w:line="240" w:lineRule="auto"/>
        <w:jc w:val="both"/>
        <w:rPr>
          <w:rFonts w:ascii="Times New Roman" w:hAnsi="Times New Roman" w:cs="Times New Roman"/>
          <w:b/>
          <w:bCs/>
        </w:rPr>
      </w:pPr>
      <w:r>
        <w:rPr>
          <w:rFonts w:ascii="Times New Roman" w:hAnsi="Times New Roman" w:cs="Times New Roman"/>
          <w:b/>
          <w:bCs/>
        </w:rPr>
        <w:t xml:space="preserve">Figure </w:t>
      </w:r>
      <w:r w:rsidR="006C04CE">
        <w:rPr>
          <w:rFonts w:ascii="Times New Roman" w:hAnsi="Times New Roman" w:cs="Times New Roman"/>
          <w:b/>
          <w:bCs/>
        </w:rPr>
        <w:t>1-</w:t>
      </w:r>
    </w:p>
    <w:p w14:paraId="1061E750" w14:textId="382E1AE4" w:rsidR="00074750" w:rsidRDefault="00074750" w:rsidP="00074750">
      <w:pPr>
        <w:spacing w:after="0"/>
        <w:jc w:val="both"/>
        <w:rPr>
          <w:rFonts w:ascii="Times New Roman" w:hAnsi="Times New Roman" w:cs="Times New Roman"/>
          <w:i/>
          <w:iCs/>
        </w:rPr>
      </w:pPr>
      <w:r>
        <w:rPr>
          <w:rFonts w:ascii="Times New Roman" w:hAnsi="Times New Roman" w:cs="Times New Roman"/>
          <w:i/>
          <w:iCs/>
        </w:rPr>
        <w:t xml:space="preserve">Linearity Test amongst variables </w:t>
      </w:r>
    </w:p>
    <w:p w14:paraId="01DE084C" w14:textId="153919ED" w:rsidR="00074750" w:rsidRPr="00074750" w:rsidRDefault="00074750" w:rsidP="00074750">
      <w:pPr>
        <w:jc w:val="both"/>
        <w:rPr>
          <w:rFonts w:ascii="Times New Roman" w:hAnsi="Times New Roman" w:cs="Times New Roman"/>
          <w:b/>
          <w:bCs/>
        </w:rPr>
      </w:pPr>
      <w:r>
        <w:rPr>
          <w:rFonts w:ascii="Times New Roman" w:hAnsi="Times New Roman" w:cs="Times New Roman"/>
          <w:i/>
          <w:iCs/>
          <w:noProof/>
        </w:rPr>
        <w:drawing>
          <wp:inline distT="0" distB="0" distL="0" distR="0" wp14:anchorId="39AEDFB5" wp14:editId="1309180B">
            <wp:extent cx="5943600" cy="1784733"/>
            <wp:effectExtent l="0" t="0" r="0" b="6350"/>
            <wp:docPr id="2224398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39837" name="Picture 222439837"/>
                    <pic:cNvPicPr/>
                  </pic:nvPicPr>
                  <pic:blipFill>
                    <a:blip r:embed="rId8">
                      <a:extLst>
                        <a:ext uri="{28A0092B-C50C-407E-A947-70E740481C1C}">
                          <a14:useLocalDpi xmlns:a14="http://schemas.microsoft.com/office/drawing/2010/main" val="0"/>
                        </a:ext>
                      </a:extLst>
                    </a:blip>
                    <a:stretch>
                      <a:fillRect/>
                    </a:stretch>
                  </pic:blipFill>
                  <pic:spPr>
                    <a:xfrm>
                      <a:off x="0" y="0"/>
                      <a:ext cx="5968269" cy="1792141"/>
                    </a:xfrm>
                    <a:prstGeom prst="rect">
                      <a:avLst/>
                    </a:prstGeom>
                  </pic:spPr>
                </pic:pic>
              </a:graphicData>
            </a:graphic>
          </wp:inline>
        </w:drawing>
      </w:r>
      <w:r>
        <w:rPr>
          <w:rFonts w:ascii="Times New Roman" w:hAnsi="Times New Roman" w:cs="Times New Roman"/>
          <w:b/>
          <w:bCs/>
        </w:rPr>
        <w:t xml:space="preserve">Source: </w:t>
      </w:r>
      <w:r w:rsidR="002079D7">
        <w:rPr>
          <w:rFonts w:ascii="Times New Roman" w:hAnsi="Times New Roman" w:cs="Times New Roman"/>
          <w:b/>
          <w:bCs/>
        </w:rPr>
        <w:t>Researchers’ Computation (2026)</w:t>
      </w:r>
    </w:p>
    <w:p w14:paraId="0D295574" w14:textId="7ADD2C80" w:rsidR="002A54DE" w:rsidRPr="002A54DE" w:rsidRDefault="002A54DE" w:rsidP="001458A7">
      <w:pPr>
        <w:jc w:val="both"/>
        <w:rPr>
          <w:rFonts w:ascii="Times New Roman" w:hAnsi="Times New Roman" w:cs="Times New Roman"/>
        </w:rPr>
      </w:pPr>
      <w:r w:rsidRPr="002A54DE">
        <w:rPr>
          <w:rFonts w:ascii="Times New Roman" w:hAnsi="Times New Roman" w:cs="Times New Roman"/>
        </w:rPr>
        <w:t>The partial residual plots indicate that all explanatory variables exhibit approximately linear relationships with TOBINQ. TRNEXP and TRNPR show slight negative slopes with scattered points and no clear curvature, suggesting weak but linear associations. TRNINT and FSIZ display near-flat patterns, while HCIR also shows a weak negative but linear trend without systematic deviation. BIND presents a more noticeable negative linear slope, yet still without nonlinear clustering, and AGE shows a mild positive linear trend. Overall, the absence of visible curvature or structural breaks across variables confirms that the linearity assumption is satisfied, supporting the use of a linear panel regression model.</w:t>
      </w:r>
    </w:p>
    <w:p w14:paraId="0E2A6F53" w14:textId="542AE894" w:rsidR="001458A7" w:rsidRPr="001458A7" w:rsidRDefault="001458A7" w:rsidP="001458A7">
      <w:pPr>
        <w:jc w:val="both"/>
        <w:rPr>
          <w:rFonts w:ascii="Times New Roman" w:hAnsi="Times New Roman" w:cs="Times New Roman"/>
          <w:b/>
          <w:bCs/>
        </w:rPr>
      </w:pPr>
      <w:r w:rsidRPr="001458A7">
        <w:rPr>
          <w:rFonts w:ascii="Times New Roman" w:hAnsi="Times New Roman" w:cs="Times New Roman"/>
          <w:b/>
          <w:bCs/>
        </w:rPr>
        <w:t>4.4 Diagnostic Tests</w:t>
      </w:r>
    </w:p>
    <w:p w14:paraId="0CFD89E3" w14:textId="4E00D6D3" w:rsidR="001458A7" w:rsidRDefault="001458A7" w:rsidP="001458A7">
      <w:pPr>
        <w:jc w:val="both"/>
        <w:rPr>
          <w:rFonts w:ascii="Times New Roman" w:hAnsi="Times New Roman" w:cs="Times New Roman"/>
        </w:rPr>
      </w:pPr>
      <w:r w:rsidRPr="001458A7">
        <w:rPr>
          <w:rFonts w:ascii="Times New Roman" w:hAnsi="Times New Roman" w:cs="Times New Roman"/>
        </w:rPr>
        <w:t>To ensure the robustness and validity of the regression estimates, several post-estimation diagnostic tests were conducted. These tests examined multicollinearity, model specification, heteroskedasticity, panel effects, estimator selection, and serial correlation. The consolidated results are presented in Table 4.</w:t>
      </w:r>
    </w:p>
    <w:p w14:paraId="25B6B9DE" w14:textId="77777777" w:rsidR="00790F4E" w:rsidRDefault="00790F4E" w:rsidP="001458A7">
      <w:pPr>
        <w:jc w:val="both"/>
        <w:rPr>
          <w:rFonts w:ascii="Times New Roman" w:hAnsi="Times New Roman" w:cs="Times New Roman"/>
        </w:rPr>
      </w:pPr>
    </w:p>
    <w:p w14:paraId="59084621" w14:textId="77777777" w:rsidR="00790F4E" w:rsidRPr="001458A7" w:rsidRDefault="00790F4E" w:rsidP="001458A7">
      <w:pPr>
        <w:jc w:val="both"/>
        <w:rPr>
          <w:rFonts w:ascii="Times New Roman" w:hAnsi="Times New Roman" w:cs="Times New Roman"/>
        </w:rPr>
      </w:pPr>
    </w:p>
    <w:p w14:paraId="053ADC30" w14:textId="690EDB53" w:rsidR="001458A7" w:rsidRPr="001458A7" w:rsidRDefault="001458A7" w:rsidP="00D5684B">
      <w:pPr>
        <w:spacing w:after="0" w:line="240" w:lineRule="auto"/>
        <w:jc w:val="both"/>
        <w:rPr>
          <w:rFonts w:ascii="Times New Roman" w:hAnsi="Times New Roman" w:cs="Times New Roman"/>
        </w:rPr>
      </w:pPr>
      <w:r w:rsidRPr="001458A7">
        <w:rPr>
          <w:rFonts w:ascii="Times New Roman" w:hAnsi="Times New Roman" w:cs="Times New Roman"/>
          <w:b/>
          <w:bCs/>
        </w:rPr>
        <w:t>Table 4</w:t>
      </w:r>
      <w:r w:rsidR="00D5684B">
        <w:rPr>
          <w:rFonts w:ascii="Times New Roman" w:hAnsi="Times New Roman" w:cs="Times New Roman"/>
          <w:b/>
          <w:bCs/>
        </w:rPr>
        <w:t xml:space="preserve"> </w:t>
      </w:r>
      <w:r w:rsidRPr="001458A7">
        <w:rPr>
          <w:rFonts w:ascii="Times New Roman" w:hAnsi="Times New Roman" w:cs="Times New Roman"/>
          <w:i/>
          <w:iCs/>
        </w:rPr>
        <w:t>Summary of Diagnostic Test Results</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2956"/>
        <w:gridCol w:w="1043"/>
        <w:gridCol w:w="636"/>
        <w:gridCol w:w="897"/>
        <w:gridCol w:w="1388"/>
        <w:gridCol w:w="2555"/>
      </w:tblGrid>
      <w:tr w:rsidR="001458A7" w:rsidRPr="001458A7" w14:paraId="64CD9FC7" w14:textId="77777777" w:rsidTr="0079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E1DD902" w14:textId="77777777" w:rsidR="001458A7" w:rsidRPr="001458A7" w:rsidRDefault="001458A7" w:rsidP="00D5684B">
            <w:pPr>
              <w:rPr>
                <w:rFonts w:ascii="Times New Roman" w:hAnsi="Times New Roman" w:cs="Times New Roman"/>
                <w:b w:val="0"/>
                <w:bCs w:val="0"/>
              </w:rPr>
            </w:pPr>
            <w:r w:rsidRPr="001458A7">
              <w:rPr>
                <w:rFonts w:ascii="Times New Roman" w:hAnsi="Times New Roman" w:cs="Times New Roman"/>
              </w:rPr>
              <w:t>Test</w:t>
            </w:r>
          </w:p>
        </w:tc>
        <w:tc>
          <w:tcPr>
            <w:tcW w:w="0" w:type="auto"/>
            <w:tcBorders>
              <w:bottom w:val="none" w:sz="0" w:space="0" w:color="auto"/>
            </w:tcBorders>
            <w:hideMark/>
          </w:tcPr>
          <w:p w14:paraId="1A1AE4B7"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Statistic</w:t>
            </w:r>
          </w:p>
        </w:tc>
        <w:tc>
          <w:tcPr>
            <w:tcW w:w="0" w:type="auto"/>
            <w:tcBorders>
              <w:bottom w:val="none" w:sz="0" w:space="0" w:color="auto"/>
            </w:tcBorders>
            <w:hideMark/>
          </w:tcPr>
          <w:p w14:paraId="14C502CC" w14:textId="5ECBC834" w:rsidR="001458A7" w:rsidRPr="001458A7" w:rsidRDefault="00317B71"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D</w:t>
            </w:r>
            <w:r w:rsidR="001458A7" w:rsidRPr="001458A7">
              <w:rPr>
                <w:rFonts w:ascii="Times New Roman" w:hAnsi="Times New Roman" w:cs="Times New Roman"/>
              </w:rPr>
              <w:t>f</w:t>
            </w:r>
          </w:p>
        </w:tc>
        <w:tc>
          <w:tcPr>
            <w:tcW w:w="0" w:type="auto"/>
            <w:tcBorders>
              <w:bottom w:val="none" w:sz="0" w:space="0" w:color="auto"/>
            </w:tcBorders>
            <w:hideMark/>
          </w:tcPr>
          <w:p w14:paraId="6508F611"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p-value</w:t>
            </w:r>
          </w:p>
        </w:tc>
        <w:tc>
          <w:tcPr>
            <w:tcW w:w="0" w:type="auto"/>
            <w:tcBorders>
              <w:bottom w:val="none" w:sz="0" w:space="0" w:color="auto"/>
            </w:tcBorders>
            <w:hideMark/>
          </w:tcPr>
          <w:p w14:paraId="23D4DF97"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Decision</w:t>
            </w:r>
          </w:p>
        </w:tc>
        <w:tc>
          <w:tcPr>
            <w:tcW w:w="0" w:type="auto"/>
            <w:tcBorders>
              <w:bottom w:val="none" w:sz="0" w:space="0" w:color="auto"/>
            </w:tcBorders>
            <w:hideMark/>
          </w:tcPr>
          <w:p w14:paraId="38926F89"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Interpretation</w:t>
            </w:r>
          </w:p>
        </w:tc>
      </w:tr>
      <w:tr w:rsidR="001458A7" w:rsidRPr="001458A7" w14:paraId="608659A7"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F777A4C"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lastRenderedPageBreak/>
              <w:t>Variance Inflation Factor (Mean VIF)</w:t>
            </w:r>
          </w:p>
        </w:tc>
        <w:tc>
          <w:tcPr>
            <w:tcW w:w="0" w:type="auto"/>
            <w:tcBorders>
              <w:top w:val="none" w:sz="0" w:space="0" w:color="auto"/>
              <w:bottom w:val="none" w:sz="0" w:space="0" w:color="auto"/>
            </w:tcBorders>
            <w:hideMark/>
          </w:tcPr>
          <w:p w14:paraId="659B89C0"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2.65</w:t>
            </w:r>
          </w:p>
        </w:tc>
        <w:tc>
          <w:tcPr>
            <w:tcW w:w="0" w:type="auto"/>
            <w:tcBorders>
              <w:top w:val="none" w:sz="0" w:space="0" w:color="auto"/>
              <w:bottom w:val="none" w:sz="0" w:space="0" w:color="auto"/>
            </w:tcBorders>
            <w:hideMark/>
          </w:tcPr>
          <w:p w14:paraId="1B008A4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w:t>
            </w:r>
          </w:p>
        </w:tc>
        <w:tc>
          <w:tcPr>
            <w:tcW w:w="0" w:type="auto"/>
            <w:tcBorders>
              <w:top w:val="none" w:sz="0" w:space="0" w:color="auto"/>
              <w:bottom w:val="none" w:sz="0" w:space="0" w:color="auto"/>
            </w:tcBorders>
            <w:hideMark/>
          </w:tcPr>
          <w:p w14:paraId="7EC5A579"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w:t>
            </w:r>
          </w:p>
        </w:tc>
        <w:tc>
          <w:tcPr>
            <w:tcW w:w="0" w:type="auto"/>
            <w:tcBorders>
              <w:top w:val="none" w:sz="0" w:space="0" w:color="auto"/>
              <w:bottom w:val="none" w:sz="0" w:space="0" w:color="auto"/>
            </w:tcBorders>
            <w:hideMark/>
          </w:tcPr>
          <w:p w14:paraId="7F6A116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Acceptable</w:t>
            </w:r>
          </w:p>
        </w:tc>
        <w:tc>
          <w:tcPr>
            <w:tcW w:w="0" w:type="auto"/>
            <w:tcBorders>
              <w:top w:val="none" w:sz="0" w:space="0" w:color="auto"/>
              <w:bottom w:val="none" w:sz="0" w:space="0" w:color="auto"/>
            </w:tcBorders>
            <w:hideMark/>
          </w:tcPr>
          <w:p w14:paraId="232BC08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No severe multicollinearity</w:t>
            </w:r>
          </w:p>
        </w:tc>
      </w:tr>
      <w:tr w:rsidR="001458A7" w:rsidRPr="001458A7" w14:paraId="451D55AF"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1D2A4E9C"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(Heteroskedasticity)</w:t>
            </w:r>
          </w:p>
        </w:tc>
        <w:tc>
          <w:tcPr>
            <w:tcW w:w="0" w:type="auto"/>
            <w:hideMark/>
          </w:tcPr>
          <w:p w14:paraId="7B16829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40.87</w:t>
            </w:r>
          </w:p>
        </w:tc>
        <w:tc>
          <w:tcPr>
            <w:tcW w:w="0" w:type="auto"/>
            <w:hideMark/>
          </w:tcPr>
          <w:p w14:paraId="299C1B5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35</w:t>
            </w:r>
          </w:p>
        </w:tc>
        <w:tc>
          <w:tcPr>
            <w:tcW w:w="0" w:type="auto"/>
            <w:hideMark/>
          </w:tcPr>
          <w:p w14:paraId="64D0CB10"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0.2282</w:t>
            </w:r>
          </w:p>
        </w:tc>
        <w:tc>
          <w:tcPr>
            <w:tcW w:w="0" w:type="auto"/>
            <w:hideMark/>
          </w:tcPr>
          <w:p w14:paraId="390B207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Not significant</w:t>
            </w:r>
          </w:p>
        </w:tc>
        <w:tc>
          <w:tcPr>
            <w:tcW w:w="0" w:type="auto"/>
            <w:hideMark/>
          </w:tcPr>
          <w:p w14:paraId="7AE88403"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No evidence of heteroskedasticity under IM-test</w:t>
            </w:r>
          </w:p>
        </w:tc>
      </w:tr>
      <w:tr w:rsidR="001458A7" w:rsidRPr="001458A7" w14:paraId="59560EA1"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16CF850"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(Skewness)</w:t>
            </w:r>
          </w:p>
        </w:tc>
        <w:tc>
          <w:tcPr>
            <w:tcW w:w="0" w:type="auto"/>
            <w:tcBorders>
              <w:top w:val="none" w:sz="0" w:space="0" w:color="auto"/>
              <w:bottom w:val="none" w:sz="0" w:space="0" w:color="auto"/>
            </w:tcBorders>
            <w:hideMark/>
          </w:tcPr>
          <w:p w14:paraId="1C7ED175"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14.44</w:t>
            </w:r>
          </w:p>
        </w:tc>
        <w:tc>
          <w:tcPr>
            <w:tcW w:w="0" w:type="auto"/>
            <w:tcBorders>
              <w:top w:val="none" w:sz="0" w:space="0" w:color="auto"/>
              <w:bottom w:val="none" w:sz="0" w:space="0" w:color="auto"/>
            </w:tcBorders>
            <w:hideMark/>
          </w:tcPr>
          <w:p w14:paraId="4836386A"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7</w:t>
            </w:r>
          </w:p>
        </w:tc>
        <w:tc>
          <w:tcPr>
            <w:tcW w:w="0" w:type="auto"/>
            <w:tcBorders>
              <w:top w:val="none" w:sz="0" w:space="0" w:color="auto"/>
              <w:bottom w:val="none" w:sz="0" w:space="0" w:color="auto"/>
            </w:tcBorders>
            <w:hideMark/>
          </w:tcPr>
          <w:p w14:paraId="631F1C3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0.0439</w:t>
            </w:r>
          </w:p>
        </w:tc>
        <w:tc>
          <w:tcPr>
            <w:tcW w:w="0" w:type="auto"/>
            <w:tcBorders>
              <w:top w:val="none" w:sz="0" w:space="0" w:color="auto"/>
              <w:bottom w:val="none" w:sz="0" w:space="0" w:color="auto"/>
            </w:tcBorders>
            <w:hideMark/>
          </w:tcPr>
          <w:p w14:paraId="3B8A3E6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Significant</w:t>
            </w:r>
          </w:p>
        </w:tc>
        <w:tc>
          <w:tcPr>
            <w:tcW w:w="0" w:type="auto"/>
            <w:tcBorders>
              <w:top w:val="none" w:sz="0" w:space="0" w:color="auto"/>
              <w:bottom w:val="none" w:sz="0" w:space="0" w:color="auto"/>
            </w:tcBorders>
            <w:hideMark/>
          </w:tcPr>
          <w:p w14:paraId="4189AA4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Mild non-normality (skewness) present</w:t>
            </w:r>
          </w:p>
        </w:tc>
      </w:tr>
      <w:tr w:rsidR="001458A7" w:rsidRPr="001458A7" w14:paraId="4C9A9FFC"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557C101A"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(Kurtosis)</w:t>
            </w:r>
          </w:p>
        </w:tc>
        <w:tc>
          <w:tcPr>
            <w:tcW w:w="0" w:type="auto"/>
            <w:hideMark/>
          </w:tcPr>
          <w:p w14:paraId="13829894"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3.83</w:t>
            </w:r>
          </w:p>
        </w:tc>
        <w:tc>
          <w:tcPr>
            <w:tcW w:w="0" w:type="auto"/>
            <w:hideMark/>
          </w:tcPr>
          <w:p w14:paraId="14242528"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w:t>
            </w:r>
          </w:p>
        </w:tc>
        <w:tc>
          <w:tcPr>
            <w:tcW w:w="0" w:type="auto"/>
            <w:hideMark/>
          </w:tcPr>
          <w:p w14:paraId="49B23CA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0.0503</w:t>
            </w:r>
          </w:p>
        </w:tc>
        <w:tc>
          <w:tcPr>
            <w:tcW w:w="0" w:type="auto"/>
            <w:hideMark/>
          </w:tcPr>
          <w:p w14:paraId="55CCE92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Marginal</w:t>
            </w:r>
          </w:p>
        </w:tc>
        <w:tc>
          <w:tcPr>
            <w:tcW w:w="0" w:type="auto"/>
            <w:hideMark/>
          </w:tcPr>
          <w:p w14:paraId="3119FA0D"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Slight deviation in kurtosis</w:t>
            </w:r>
          </w:p>
        </w:tc>
      </w:tr>
      <w:tr w:rsidR="001458A7" w:rsidRPr="001458A7" w14:paraId="470984B4"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2F86986"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(Total)</w:t>
            </w:r>
          </w:p>
        </w:tc>
        <w:tc>
          <w:tcPr>
            <w:tcW w:w="0" w:type="auto"/>
            <w:tcBorders>
              <w:top w:val="none" w:sz="0" w:space="0" w:color="auto"/>
              <w:bottom w:val="none" w:sz="0" w:space="0" w:color="auto"/>
            </w:tcBorders>
            <w:hideMark/>
          </w:tcPr>
          <w:p w14:paraId="6EF537D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59.14</w:t>
            </w:r>
          </w:p>
        </w:tc>
        <w:tc>
          <w:tcPr>
            <w:tcW w:w="0" w:type="auto"/>
            <w:tcBorders>
              <w:top w:val="none" w:sz="0" w:space="0" w:color="auto"/>
              <w:bottom w:val="none" w:sz="0" w:space="0" w:color="auto"/>
            </w:tcBorders>
            <w:hideMark/>
          </w:tcPr>
          <w:p w14:paraId="506CC844"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43</w:t>
            </w:r>
          </w:p>
        </w:tc>
        <w:tc>
          <w:tcPr>
            <w:tcW w:w="0" w:type="auto"/>
            <w:tcBorders>
              <w:top w:val="none" w:sz="0" w:space="0" w:color="auto"/>
              <w:bottom w:val="none" w:sz="0" w:space="0" w:color="auto"/>
            </w:tcBorders>
            <w:hideMark/>
          </w:tcPr>
          <w:p w14:paraId="784BAE5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0.0514</w:t>
            </w:r>
          </w:p>
        </w:tc>
        <w:tc>
          <w:tcPr>
            <w:tcW w:w="0" w:type="auto"/>
            <w:tcBorders>
              <w:top w:val="none" w:sz="0" w:space="0" w:color="auto"/>
              <w:bottom w:val="none" w:sz="0" w:space="0" w:color="auto"/>
            </w:tcBorders>
            <w:hideMark/>
          </w:tcPr>
          <w:p w14:paraId="0A6C576A"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Borderline</w:t>
            </w:r>
          </w:p>
        </w:tc>
        <w:tc>
          <w:tcPr>
            <w:tcW w:w="0" w:type="auto"/>
            <w:tcBorders>
              <w:top w:val="none" w:sz="0" w:space="0" w:color="auto"/>
              <w:bottom w:val="none" w:sz="0" w:space="0" w:color="auto"/>
            </w:tcBorders>
            <w:hideMark/>
          </w:tcPr>
          <w:p w14:paraId="7962314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Minor overall misspecification concerns</w:t>
            </w:r>
          </w:p>
        </w:tc>
      </w:tr>
      <w:tr w:rsidR="001458A7" w:rsidRPr="001458A7" w14:paraId="01594A6A"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5334B672"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Modified Wald Test (Groupwise Heteroskedasticity)</w:t>
            </w:r>
          </w:p>
        </w:tc>
        <w:tc>
          <w:tcPr>
            <w:tcW w:w="0" w:type="auto"/>
            <w:hideMark/>
          </w:tcPr>
          <w:p w14:paraId="28481114"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9790.39</w:t>
            </w:r>
          </w:p>
        </w:tc>
        <w:tc>
          <w:tcPr>
            <w:tcW w:w="0" w:type="auto"/>
            <w:hideMark/>
          </w:tcPr>
          <w:p w14:paraId="6FC3E1B0"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11</w:t>
            </w:r>
          </w:p>
        </w:tc>
        <w:tc>
          <w:tcPr>
            <w:tcW w:w="0" w:type="auto"/>
            <w:hideMark/>
          </w:tcPr>
          <w:p w14:paraId="48B60A55"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0.0000</w:t>
            </w:r>
          </w:p>
        </w:tc>
        <w:tc>
          <w:tcPr>
            <w:tcW w:w="0" w:type="auto"/>
            <w:hideMark/>
          </w:tcPr>
          <w:p w14:paraId="0AB74037"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Reject H₀</w:t>
            </w:r>
          </w:p>
        </w:tc>
        <w:tc>
          <w:tcPr>
            <w:tcW w:w="0" w:type="auto"/>
            <w:hideMark/>
          </w:tcPr>
          <w:p w14:paraId="33272F96"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Presence of heteroskedasticity across panels</w:t>
            </w:r>
          </w:p>
        </w:tc>
      </w:tr>
      <w:tr w:rsidR="001458A7" w:rsidRPr="001458A7" w14:paraId="1D26DD85"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9886B78"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Breusch–Pagan LM Test (Random Effects)</w:t>
            </w:r>
          </w:p>
        </w:tc>
        <w:tc>
          <w:tcPr>
            <w:tcW w:w="0" w:type="auto"/>
            <w:tcBorders>
              <w:top w:val="none" w:sz="0" w:space="0" w:color="auto"/>
              <w:bottom w:val="none" w:sz="0" w:space="0" w:color="auto"/>
            </w:tcBorders>
            <w:hideMark/>
          </w:tcPr>
          <w:p w14:paraId="618FC5D1"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18.51</w:t>
            </w:r>
          </w:p>
        </w:tc>
        <w:tc>
          <w:tcPr>
            <w:tcW w:w="0" w:type="auto"/>
            <w:tcBorders>
              <w:top w:val="none" w:sz="0" w:space="0" w:color="auto"/>
              <w:bottom w:val="none" w:sz="0" w:space="0" w:color="auto"/>
            </w:tcBorders>
            <w:hideMark/>
          </w:tcPr>
          <w:p w14:paraId="63A4C574"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w:t>
            </w:r>
          </w:p>
        </w:tc>
        <w:tc>
          <w:tcPr>
            <w:tcW w:w="0" w:type="auto"/>
            <w:tcBorders>
              <w:top w:val="none" w:sz="0" w:space="0" w:color="auto"/>
              <w:bottom w:val="none" w:sz="0" w:space="0" w:color="auto"/>
            </w:tcBorders>
            <w:hideMark/>
          </w:tcPr>
          <w:p w14:paraId="4337EDE0"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0.0000</w:t>
            </w:r>
          </w:p>
        </w:tc>
        <w:tc>
          <w:tcPr>
            <w:tcW w:w="0" w:type="auto"/>
            <w:tcBorders>
              <w:top w:val="none" w:sz="0" w:space="0" w:color="auto"/>
              <w:bottom w:val="none" w:sz="0" w:space="0" w:color="auto"/>
            </w:tcBorders>
            <w:hideMark/>
          </w:tcPr>
          <w:p w14:paraId="53AD7215"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Reject H₀</w:t>
            </w:r>
          </w:p>
        </w:tc>
        <w:tc>
          <w:tcPr>
            <w:tcW w:w="0" w:type="auto"/>
            <w:tcBorders>
              <w:top w:val="none" w:sz="0" w:space="0" w:color="auto"/>
              <w:bottom w:val="none" w:sz="0" w:space="0" w:color="auto"/>
            </w:tcBorders>
            <w:hideMark/>
          </w:tcPr>
          <w:p w14:paraId="3FFE62F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Panel effects present; OLS inappropriate</w:t>
            </w:r>
          </w:p>
        </w:tc>
      </w:tr>
      <w:tr w:rsidR="001458A7" w:rsidRPr="001458A7" w14:paraId="47D1F7B9"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770CF79A"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Hausman Test</w:t>
            </w:r>
          </w:p>
        </w:tc>
        <w:tc>
          <w:tcPr>
            <w:tcW w:w="0" w:type="auto"/>
            <w:hideMark/>
          </w:tcPr>
          <w:p w14:paraId="4783C94E"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5.24</w:t>
            </w:r>
          </w:p>
        </w:tc>
        <w:tc>
          <w:tcPr>
            <w:tcW w:w="0" w:type="auto"/>
            <w:hideMark/>
          </w:tcPr>
          <w:p w14:paraId="25CE80A4"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7</w:t>
            </w:r>
          </w:p>
        </w:tc>
        <w:tc>
          <w:tcPr>
            <w:tcW w:w="0" w:type="auto"/>
            <w:hideMark/>
          </w:tcPr>
          <w:p w14:paraId="7E29DC1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0.6305</w:t>
            </w:r>
          </w:p>
        </w:tc>
        <w:tc>
          <w:tcPr>
            <w:tcW w:w="0" w:type="auto"/>
            <w:hideMark/>
          </w:tcPr>
          <w:p w14:paraId="26EDF16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Fail to reject H₀</w:t>
            </w:r>
          </w:p>
        </w:tc>
        <w:tc>
          <w:tcPr>
            <w:tcW w:w="0" w:type="auto"/>
            <w:hideMark/>
          </w:tcPr>
          <w:p w14:paraId="11536838"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Random effects preferred</w:t>
            </w:r>
          </w:p>
        </w:tc>
      </w:tr>
      <w:tr w:rsidR="001458A7" w:rsidRPr="001458A7" w14:paraId="15C1D21B"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D1943B4"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Wooldridge Test (Autocorrelation)</w:t>
            </w:r>
          </w:p>
        </w:tc>
        <w:tc>
          <w:tcPr>
            <w:tcW w:w="0" w:type="auto"/>
            <w:tcBorders>
              <w:top w:val="none" w:sz="0" w:space="0" w:color="auto"/>
              <w:bottom w:val="none" w:sz="0" w:space="0" w:color="auto"/>
            </w:tcBorders>
            <w:hideMark/>
          </w:tcPr>
          <w:p w14:paraId="2D4745E1"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31.184</w:t>
            </w:r>
          </w:p>
        </w:tc>
        <w:tc>
          <w:tcPr>
            <w:tcW w:w="0" w:type="auto"/>
            <w:tcBorders>
              <w:top w:val="none" w:sz="0" w:space="0" w:color="auto"/>
              <w:bottom w:val="none" w:sz="0" w:space="0" w:color="auto"/>
            </w:tcBorders>
            <w:hideMark/>
          </w:tcPr>
          <w:p w14:paraId="22509B6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1,10</w:t>
            </w:r>
          </w:p>
        </w:tc>
        <w:tc>
          <w:tcPr>
            <w:tcW w:w="0" w:type="auto"/>
            <w:tcBorders>
              <w:top w:val="none" w:sz="0" w:space="0" w:color="auto"/>
              <w:bottom w:val="none" w:sz="0" w:space="0" w:color="auto"/>
            </w:tcBorders>
            <w:hideMark/>
          </w:tcPr>
          <w:p w14:paraId="0965E5D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0.0002</w:t>
            </w:r>
          </w:p>
        </w:tc>
        <w:tc>
          <w:tcPr>
            <w:tcW w:w="0" w:type="auto"/>
            <w:tcBorders>
              <w:top w:val="none" w:sz="0" w:space="0" w:color="auto"/>
              <w:bottom w:val="none" w:sz="0" w:space="0" w:color="auto"/>
            </w:tcBorders>
            <w:hideMark/>
          </w:tcPr>
          <w:p w14:paraId="252FC19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Reject H₀</w:t>
            </w:r>
          </w:p>
        </w:tc>
        <w:tc>
          <w:tcPr>
            <w:tcW w:w="0" w:type="auto"/>
            <w:tcBorders>
              <w:top w:val="none" w:sz="0" w:space="0" w:color="auto"/>
              <w:bottom w:val="none" w:sz="0" w:space="0" w:color="auto"/>
            </w:tcBorders>
            <w:hideMark/>
          </w:tcPr>
          <w:p w14:paraId="3421F507"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First-order autocorrelation present</w:t>
            </w:r>
          </w:p>
        </w:tc>
      </w:tr>
    </w:tbl>
    <w:p w14:paraId="7F5C343D" w14:textId="7CB31208" w:rsidR="001458A7" w:rsidRPr="001458A7" w:rsidRDefault="001458A7" w:rsidP="001458A7">
      <w:pPr>
        <w:jc w:val="both"/>
        <w:rPr>
          <w:rFonts w:ascii="Times New Roman" w:hAnsi="Times New Roman" w:cs="Times New Roman"/>
          <w:b/>
          <w:bCs/>
        </w:rPr>
      </w:pPr>
      <w:r>
        <w:rPr>
          <w:rFonts w:ascii="Times New Roman" w:hAnsi="Times New Roman" w:cs="Times New Roman"/>
          <w:b/>
          <w:bCs/>
        </w:rPr>
        <w:t>Source: Researchers’ Computation (2026)</w:t>
      </w:r>
    </w:p>
    <w:p w14:paraId="3D090AA9" w14:textId="1AED7081" w:rsidR="002A54DE" w:rsidRPr="002A54DE" w:rsidRDefault="002A54DE" w:rsidP="002A54DE">
      <w:pPr>
        <w:jc w:val="both"/>
        <w:rPr>
          <w:rFonts w:ascii="Times New Roman" w:hAnsi="Times New Roman" w:cs="Times New Roman"/>
        </w:rPr>
      </w:pPr>
      <w:r w:rsidRPr="002A54DE">
        <w:rPr>
          <w:rFonts w:ascii="Times New Roman" w:hAnsi="Times New Roman" w:cs="Times New Roman"/>
        </w:rPr>
        <w:t xml:space="preserve">The diagnostic results indicate that the model is generally well specified with no serious multicollinearity, as the mean VIF of 2.65 falls within acceptable limits. The Cameron and Trivedi IM-test </w:t>
      </w:r>
      <w:r w:rsidR="00317B71" w:rsidRPr="002A54DE">
        <w:rPr>
          <w:rFonts w:ascii="Times New Roman" w:hAnsi="Times New Roman" w:cs="Times New Roman"/>
        </w:rPr>
        <w:t>show</w:t>
      </w:r>
      <w:r w:rsidRPr="002A54DE">
        <w:rPr>
          <w:rFonts w:ascii="Times New Roman" w:hAnsi="Times New Roman" w:cs="Times New Roman"/>
        </w:rPr>
        <w:t xml:space="preserve"> no evidence of heteroskedasticity, although the significant skewness and marginal kurtosis suggest mild deviations from normality. The borderline significance of the overall IM-test points to minor specification concerns, but not severe enough to invalidate the model.</w:t>
      </w:r>
    </w:p>
    <w:p w14:paraId="1EEAD8FA" w14:textId="77777777" w:rsidR="002A54DE" w:rsidRPr="002A54DE" w:rsidRDefault="002A54DE" w:rsidP="002A54DE">
      <w:pPr>
        <w:jc w:val="both"/>
        <w:rPr>
          <w:rFonts w:ascii="Times New Roman" w:hAnsi="Times New Roman" w:cs="Times New Roman"/>
        </w:rPr>
      </w:pPr>
      <w:r w:rsidRPr="002A54DE">
        <w:rPr>
          <w:rFonts w:ascii="Times New Roman" w:hAnsi="Times New Roman" w:cs="Times New Roman"/>
        </w:rPr>
        <w:t>However, panel-specific tests reveal important issues. The Modified Wald test confirms the presence of groupwise heteroskedasticity, while the Wooldridge test indicates first-order autocorrelation, implying that error terms are not independently distributed. The Breusch–Pagan LM test establishes the presence of panel effects, making pooled OLS inappropriate, and the Hausman test supports the use of the random effects model as consistent and efficient. Overall, these results justify the adoption of a random effects estimator with robust standard errors to ensure reliable inference.</w:t>
      </w:r>
    </w:p>
    <w:p w14:paraId="2AC6C355" w14:textId="6735D653" w:rsidR="00251B8A" w:rsidRPr="00251B8A" w:rsidRDefault="00251B8A" w:rsidP="001458A7">
      <w:pPr>
        <w:jc w:val="both"/>
        <w:rPr>
          <w:rFonts w:ascii="Times New Roman" w:hAnsi="Times New Roman" w:cs="Times New Roman"/>
          <w:b/>
          <w:bCs/>
        </w:rPr>
      </w:pPr>
      <w:r>
        <w:rPr>
          <w:rFonts w:ascii="Times New Roman" w:hAnsi="Times New Roman" w:cs="Times New Roman"/>
          <w:b/>
          <w:bCs/>
        </w:rPr>
        <w:t xml:space="preserve">4.5 Regression Results </w:t>
      </w:r>
    </w:p>
    <w:p w14:paraId="2579884C" w14:textId="77777777" w:rsidR="001458A7" w:rsidRPr="001458A7" w:rsidRDefault="001458A7" w:rsidP="001458A7">
      <w:pPr>
        <w:jc w:val="both"/>
        <w:rPr>
          <w:rFonts w:ascii="Times New Roman" w:hAnsi="Times New Roman" w:cs="Times New Roman"/>
          <w:b/>
          <w:bCs/>
        </w:rPr>
      </w:pPr>
      <w:r w:rsidRPr="001458A7">
        <w:rPr>
          <w:rFonts w:ascii="Times New Roman" w:hAnsi="Times New Roman" w:cs="Times New Roman"/>
          <w:b/>
          <w:bCs/>
        </w:rPr>
        <w:t>4.5.1 Individual Effects (Random Effects Model)</w:t>
      </w:r>
    </w:p>
    <w:p w14:paraId="426E8561" w14:textId="0D09ECFC" w:rsidR="001458A7" w:rsidRPr="001458A7" w:rsidRDefault="001458A7" w:rsidP="001458A7">
      <w:pPr>
        <w:jc w:val="both"/>
        <w:rPr>
          <w:rFonts w:ascii="Times New Roman" w:hAnsi="Times New Roman" w:cs="Times New Roman"/>
        </w:rPr>
      </w:pPr>
      <w:r w:rsidRPr="001458A7">
        <w:rPr>
          <w:rFonts w:ascii="Times New Roman" w:hAnsi="Times New Roman" w:cs="Times New Roman"/>
        </w:rPr>
        <w:t xml:space="preserve">Following the diagnostic results which supported the use of the random effects estimator, a random-effects generalized least squares regression with cluster-robust standard errors was estimated to examine the effect of training and human capital variables on firm innovation (TOBINQ). The results are presented in Table </w:t>
      </w:r>
      <w:r>
        <w:rPr>
          <w:rFonts w:ascii="Times New Roman" w:hAnsi="Times New Roman" w:cs="Times New Roman"/>
        </w:rPr>
        <w:t>5.</w:t>
      </w:r>
    </w:p>
    <w:p w14:paraId="00EE51F8" w14:textId="1ED4AEDE" w:rsidR="001458A7" w:rsidRPr="001458A7" w:rsidRDefault="001458A7" w:rsidP="001458A7">
      <w:pPr>
        <w:spacing w:after="0"/>
        <w:jc w:val="both"/>
        <w:rPr>
          <w:rFonts w:ascii="Times New Roman" w:hAnsi="Times New Roman" w:cs="Times New Roman"/>
        </w:rPr>
      </w:pPr>
      <w:r w:rsidRPr="001458A7">
        <w:rPr>
          <w:rFonts w:ascii="Times New Roman" w:hAnsi="Times New Roman" w:cs="Times New Roman"/>
          <w:b/>
          <w:bCs/>
        </w:rPr>
        <w:t xml:space="preserve">Table </w:t>
      </w:r>
      <w:r w:rsidR="006C04CE">
        <w:rPr>
          <w:rFonts w:ascii="Times New Roman" w:hAnsi="Times New Roman" w:cs="Times New Roman"/>
          <w:b/>
          <w:bCs/>
        </w:rPr>
        <w:t>5</w:t>
      </w:r>
      <w:r w:rsidR="00B47E99">
        <w:rPr>
          <w:rFonts w:ascii="Times New Roman" w:hAnsi="Times New Roman" w:cs="Times New Roman"/>
          <w:b/>
          <w:bCs/>
        </w:rPr>
        <w:t xml:space="preserve">: </w:t>
      </w:r>
      <w:r w:rsidRPr="001458A7">
        <w:rPr>
          <w:rFonts w:ascii="Times New Roman" w:hAnsi="Times New Roman" w:cs="Times New Roman"/>
          <w:i/>
          <w:iCs/>
        </w:rPr>
        <w:t>Random Effects GLS Regression Results (Dependent Variable: TOBINQ)</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1486"/>
        <w:gridCol w:w="1650"/>
        <w:gridCol w:w="1362"/>
        <w:gridCol w:w="828"/>
        <w:gridCol w:w="1057"/>
        <w:gridCol w:w="1554"/>
        <w:gridCol w:w="1538"/>
      </w:tblGrid>
      <w:tr w:rsidR="001458A7" w:rsidRPr="001458A7" w14:paraId="563F60EE" w14:textId="77777777" w:rsidTr="0079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1CB3810" w14:textId="77777777" w:rsidR="001458A7" w:rsidRPr="001458A7" w:rsidRDefault="001458A7" w:rsidP="001458A7">
            <w:pPr>
              <w:jc w:val="both"/>
              <w:rPr>
                <w:rFonts w:ascii="Times New Roman" w:hAnsi="Times New Roman" w:cs="Times New Roman"/>
                <w:b w:val="0"/>
                <w:bCs w:val="0"/>
              </w:rPr>
            </w:pPr>
            <w:r w:rsidRPr="001458A7">
              <w:rPr>
                <w:rFonts w:ascii="Times New Roman" w:hAnsi="Times New Roman" w:cs="Times New Roman"/>
              </w:rPr>
              <w:lastRenderedPageBreak/>
              <w:t>Variable</w:t>
            </w:r>
          </w:p>
        </w:tc>
        <w:tc>
          <w:tcPr>
            <w:tcW w:w="0" w:type="auto"/>
            <w:tcBorders>
              <w:top w:val="single" w:sz="4" w:space="0" w:color="auto"/>
              <w:bottom w:val="single" w:sz="4" w:space="0" w:color="auto"/>
            </w:tcBorders>
            <w:hideMark/>
          </w:tcPr>
          <w:p w14:paraId="7C3294A7"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Coefficient</w:t>
            </w:r>
          </w:p>
        </w:tc>
        <w:tc>
          <w:tcPr>
            <w:tcW w:w="0" w:type="auto"/>
            <w:tcBorders>
              <w:top w:val="single" w:sz="4" w:space="0" w:color="auto"/>
              <w:bottom w:val="single" w:sz="4" w:space="0" w:color="auto"/>
            </w:tcBorders>
            <w:hideMark/>
          </w:tcPr>
          <w:p w14:paraId="3B7DC3FA"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Robust SE</w:t>
            </w:r>
          </w:p>
        </w:tc>
        <w:tc>
          <w:tcPr>
            <w:tcW w:w="0" w:type="auto"/>
            <w:tcBorders>
              <w:top w:val="single" w:sz="4" w:space="0" w:color="auto"/>
              <w:bottom w:val="single" w:sz="4" w:space="0" w:color="auto"/>
            </w:tcBorders>
            <w:hideMark/>
          </w:tcPr>
          <w:p w14:paraId="62D42AA8" w14:textId="75F410D5" w:rsidR="001458A7" w:rsidRPr="001458A7" w:rsidRDefault="00790F4E"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Z</w:t>
            </w:r>
          </w:p>
        </w:tc>
        <w:tc>
          <w:tcPr>
            <w:tcW w:w="0" w:type="auto"/>
            <w:tcBorders>
              <w:top w:val="single" w:sz="4" w:space="0" w:color="auto"/>
              <w:bottom w:val="single" w:sz="4" w:space="0" w:color="auto"/>
            </w:tcBorders>
            <w:hideMark/>
          </w:tcPr>
          <w:p w14:paraId="00754AE6"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p-value</w:t>
            </w:r>
          </w:p>
        </w:tc>
        <w:tc>
          <w:tcPr>
            <w:tcW w:w="0" w:type="auto"/>
            <w:tcBorders>
              <w:top w:val="single" w:sz="4" w:space="0" w:color="auto"/>
              <w:bottom w:val="single" w:sz="4" w:space="0" w:color="auto"/>
            </w:tcBorders>
            <w:hideMark/>
          </w:tcPr>
          <w:p w14:paraId="2EC70131"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95% CI Lower</w:t>
            </w:r>
          </w:p>
        </w:tc>
        <w:tc>
          <w:tcPr>
            <w:tcW w:w="0" w:type="auto"/>
            <w:tcBorders>
              <w:top w:val="single" w:sz="4" w:space="0" w:color="auto"/>
              <w:bottom w:val="single" w:sz="4" w:space="0" w:color="auto"/>
            </w:tcBorders>
            <w:hideMark/>
          </w:tcPr>
          <w:p w14:paraId="23859204"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95% CI Upper</w:t>
            </w:r>
          </w:p>
        </w:tc>
      </w:tr>
      <w:tr w:rsidR="001458A7" w:rsidRPr="001458A7" w14:paraId="1EDEB60A"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587678DE"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TRNEXP</w:t>
            </w:r>
          </w:p>
        </w:tc>
        <w:tc>
          <w:tcPr>
            <w:tcW w:w="0" w:type="auto"/>
            <w:tcBorders>
              <w:top w:val="single" w:sz="4" w:space="0" w:color="auto"/>
              <w:bottom w:val="none" w:sz="0" w:space="0" w:color="auto"/>
            </w:tcBorders>
            <w:hideMark/>
          </w:tcPr>
          <w:p w14:paraId="5407BC1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-0.082</w:t>
            </w:r>
          </w:p>
        </w:tc>
        <w:tc>
          <w:tcPr>
            <w:tcW w:w="0" w:type="auto"/>
            <w:tcBorders>
              <w:top w:val="single" w:sz="4" w:space="0" w:color="auto"/>
              <w:bottom w:val="none" w:sz="0" w:space="0" w:color="auto"/>
            </w:tcBorders>
            <w:hideMark/>
          </w:tcPr>
          <w:p w14:paraId="47C84162"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0.041</w:t>
            </w:r>
          </w:p>
        </w:tc>
        <w:tc>
          <w:tcPr>
            <w:tcW w:w="0" w:type="auto"/>
            <w:tcBorders>
              <w:top w:val="single" w:sz="4" w:space="0" w:color="auto"/>
              <w:bottom w:val="none" w:sz="0" w:space="0" w:color="auto"/>
            </w:tcBorders>
            <w:hideMark/>
          </w:tcPr>
          <w:p w14:paraId="688123D1"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-2.02</w:t>
            </w:r>
          </w:p>
        </w:tc>
        <w:tc>
          <w:tcPr>
            <w:tcW w:w="0" w:type="auto"/>
            <w:tcBorders>
              <w:top w:val="single" w:sz="4" w:space="0" w:color="auto"/>
              <w:bottom w:val="none" w:sz="0" w:space="0" w:color="auto"/>
            </w:tcBorders>
            <w:hideMark/>
          </w:tcPr>
          <w:p w14:paraId="3D47F340"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0.044</w:t>
            </w:r>
          </w:p>
        </w:tc>
        <w:tc>
          <w:tcPr>
            <w:tcW w:w="0" w:type="auto"/>
            <w:tcBorders>
              <w:top w:val="single" w:sz="4" w:space="0" w:color="auto"/>
              <w:bottom w:val="none" w:sz="0" w:space="0" w:color="auto"/>
            </w:tcBorders>
            <w:hideMark/>
          </w:tcPr>
          <w:p w14:paraId="0C4BAE6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-0.162</w:t>
            </w:r>
          </w:p>
        </w:tc>
        <w:tc>
          <w:tcPr>
            <w:tcW w:w="0" w:type="auto"/>
            <w:tcBorders>
              <w:top w:val="single" w:sz="4" w:space="0" w:color="auto"/>
              <w:bottom w:val="none" w:sz="0" w:space="0" w:color="auto"/>
            </w:tcBorders>
            <w:hideMark/>
          </w:tcPr>
          <w:p w14:paraId="4E6F4CB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-0.002</w:t>
            </w:r>
          </w:p>
        </w:tc>
      </w:tr>
      <w:tr w:rsidR="001458A7" w:rsidRPr="001458A7" w14:paraId="3DD3B680"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60FA61E4"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TRNPR</w:t>
            </w:r>
          </w:p>
        </w:tc>
        <w:tc>
          <w:tcPr>
            <w:tcW w:w="0" w:type="auto"/>
            <w:hideMark/>
          </w:tcPr>
          <w:p w14:paraId="008A53E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-0.271</w:t>
            </w:r>
          </w:p>
        </w:tc>
        <w:tc>
          <w:tcPr>
            <w:tcW w:w="0" w:type="auto"/>
            <w:hideMark/>
          </w:tcPr>
          <w:p w14:paraId="55C08F5E"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0.078</w:t>
            </w:r>
          </w:p>
        </w:tc>
        <w:tc>
          <w:tcPr>
            <w:tcW w:w="0" w:type="auto"/>
            <w:hideMark/>
          </w:tcPr>
          <w:p w14:paraId="5748DE9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-3.48</w:t>
            </w:r>
          </w:p>
        </w:tc>
        <w:tc>
          <w:tcPr>
            <w:tcW w:w="0" w:type="auto"/>
            <w:hideMark/>
          </w:tcPr>
          <w:p w14:paraId="218F48AE"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w:t>
            </w:r>
          </w:p>
        </w:tc>
        <w:tc>
          <w:tcPr>
            <w:tcW w:w="0" w:type="auto"/>
            <w:hideMark/>
          </w:tcPr>
          <w:p w14:paraId="10E3F330"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-0.424</w:t>
            </w:r>
          </w:p>
        </w:tc>
        <w:tc>
          <w:tcPr>
            <w:tcW w:w="0" w:type="auto"/>
            <w:hideMark/>
          </w:tcPr>
          <w:p w14:paraId="13F51FDA"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-0.119</w:t>
            </w:r>
          </w:p>
        </w:tc>
      </w:tr>
      <w:tr w:rsidR="001458A7" w:rsidRPr="001458A7" w14:paraId="26A0604D"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7E0D3133"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TRNINT</w:t>
            </w:r>
          </w:p>
        </w:tc>
        <w:tc>
          <w:tcPr>
            <w:tcW w:w="0" w:type="auto"/>
            <w:tcBorders>
              <w:top w:val="none" w:sz="0" w:space="0" w:color="auto"/>
              <w:bottom w:val="none" w:sz="0" w:space="0" w:color="auto"/>
            </w:tcBorders>
            <w:hideMark/>
          </w:tcPr>
          <w:p w14:paraId="5B25768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0.022</w:t>
            </w:r>
          </w:p>
        </w:tc>
        <w:tc>
          <w:tcPr>
            <w:tcW w:w="0" w:type="auto"/>
            <w:tcBorders>
              <w:top w:val="none" w:sz="0" w:space="0" w:color="auto"/>
              <w:bottom w:val="none" w:sz="0" w:space="0" w:color="auto"/>
            </w:tcBorders>
            <w:hideMark/>
          </w:tcPr>
          <w:p w14:paraId="4740DC67"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0.015</w:t>
            </w:r>
          </w:p>
        </w:tc>
        <w:tc>
          <w:tcPr>
            <w:tcW w:w="0" w:type="auto"/>
            <w:tcBorders>
              <w:top w:val="none" w:sz="0" w:space="0" w:color="auto"/>
              <w:bottom w:val="none" w:sz="0" w:space="0" w:color="auto"/>
            </w:tcBorders>
            <w:hideMark/>
          </w:tcPr>
          <w:p w14:paraId="1E54409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2.00</w:t>
            </w:r>
          </w:p>
        </w:tc>
        <w:tc>
          <w:tcPr>
            <w:tcW w:w="0" w:type="auto"/>
            <w:tcBorders>
              <w:top w:val="none" w:sz="0" w:space="0" w:color="auto"/>
              <w:bottom w:val="none" w:sz="0" w:space="0" w:color="auto"/>
            </w:tcBorders>
            <w:hideMark/>
          </w:tcPr>
          <w:p w14:paraId="213E031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0.040</w:t>
            </w:r>
          </w:p>
        </w:tc>
        <w:tc>
          <w:tcPr>
            <w:tcW w:w="0" w:type="auto"/>
            <w:tcBorders>
              <w:top w:val="none" w:sz="0" w:space="0" w:color="auto"/>
              <w:bottom w:val="none" w:sz="0" w:space="0" w:color="auto"/>
            </w:tcBorders>
            <w:hideMark/>
          </w:tcPr>
          <w:p w14:paraId="630A8D2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-0.007</w:t>
            </w:r>
          </w:p>
        </w:tc>
        <w:tc>
          <w:tcPr>
            <w:tcW w:w="0" w:type="auto"/>
            <w:tcBorders>
              <w:top w:val="none" w:sz="0" w:space="0" w:color="auto"/>
              <w:bottom w:val="none" w:sz="0" w:space="0" w:color="auto"/>
            </w:tcBorders>
            <w:hideMark/>
          </w:tcPr>
          <w:p w14:paraId="26D72482"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0.051</w:t>
            </w:r>
          </w:p>
        </w:tc>
      </w:tr>
      <w:tr w:rsidR="001458A7" w:rsidRPr="001458A7" w14:paraId="734D93A8"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719B31FA"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HCIR</w:t>
            </w:r>
          </w:p>
        </w:tc>
        <w:tc>
          <w:tcPr>
            <w:tcW w:w="0" w:type="auto"/>
            <w:hideMark/>
          </w:tcPr>
          <w:p w14:paraId="69D93303"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0.036</w:t>
            </w:r>
          </w:p>
        </w:tc>
        <w:tc>
          <w:tcPr>
            <w:tcW w:w="0" w:type="auto"/>
            <w:hideMark/>
          </w:tcPr>
          <w:p w14:paraId="4C86E935"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0.089</w:t>
            </w:r>
          </w:p>
        </w:tc>
        <w:tc>
          <w:tcPr>
            <w:tcW w:w="0" w:type="auto"/>
            <w:hideMark/>
          </w:tcPr>
          <w:p w14:paraId="6EAD7E67"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0.40</w:t>
            </w:r>
          </w:p>
        </w:tc>
        <w:tc>
          <w:tcPr>
            <w:tcW w:w="0" w:type="auto"/>
            <w:hideMark/>
          </w:tcPr>
          <w:p w14:paraId="10D721B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0.687</w:t>
            </w:r>
          </w:p>
        </w:tc>
        <w:tc>
          <w:tcPr>
            <w:tcW w:w="0" w:type="auto"/>
            <w:hideMark/>
          </w:tcPr>
          <w:p w14:paraId="283448E9"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-0.139</w:t>
            </w:r>
          </w:p>
        </w:tc>
        <w:tc>
          <w:tcPr>
            <w:tcW w:w="0" w:type="auto"/>
            <w:hideMark/>
          </w:tcPr>
          <w:p w14:paraId="78DDE2AA"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0.211</w:t>
            </w:r>
          </w:p>
        </w:tc>
      </w:tr>
      <w:tr w:rsidR="001458A7" w:rsidRPr="001458A7" w14:paraId="78C57E60"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22696A3"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FSIZ</w:t>
            </w:r>
          </w:p>
        </w:tc>
        <w:tc>
          <w:tcPr>
            <w:tcW w:w="0" w:type="auto"/>
            <w:tcBorders>
              <w:top w:val="none" w:sz="0" w:space="0" w:color="auto"/>
              <w:bottom w:val="none" w:sz="0" w:space="0" w:color="auto"/>
            </w:tcBorders>
            <w:hideMark/>
          </w:tcPr>
          <w:p w14:paraId="1D6D8F6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-0.032</w:t>
            </w:r>
          </w:p>
        </w:tc>
        <w:tc>
          <w:tcPr>
            <w:tcW w:w="0" w:type="auto"/>
            <w:tcBorders>
              <w:top w:val="none" w:sz="0" w:space="0" w:color="auto"/>
              <w:bottom w:val="none" w:sz="0" w:space="0" w:color="auto"/>
            </w:tcBorders>
            <w:hideMark/>
          </w:tcPr>
          <w:p w14:paraId="0F23585C"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0.085</w:t>
            </w:r>
          </w:p>
        </w:tc>
        <w:tc>
          <w:tcPr>
            <w:tcW w:w="0" w:type="auto"/>
            <w:tcBorders>
              <w:top w:val="none" w:sz="0" w:space="0" w:color="auto"/>
              <w:bottom w:val="none" w:sz="0" w:space="0" w:color="auto"/>
            </w:tcBorders>
            <w:hideMark/>
          </w:tcPr>
          <w:p w14:paraId="5A018827"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-0.38</w:t>
            </w:r>
          </w:p>
        </w:tc>
        <w:tc>
          <w:tcPr>
            <w:tcW w:w="0" w:type="auto"/>
            <w:tcBorders>
              <w:top w:val="none" w:sz="0" w:space="0" w:color="auto"/>
              <w:bottom w:val="none" w:sz="0" w:space="0" w:color="auto"/>
            </w:tcBorders>
            <w:hideMark/>
          </w:tcPr>
          <w:p w14:paraId="07D12BFE"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0.703</w:t>
            </w:r>
          </w:p>
        </w:tc>
        <w:tc>
          <w:tcPr>
            <w:tcW w:w="0" w:type="auto"/>
            <w:tcBorders>
              <w:top w:val="none" w:sz="0" w:space="0" w:color="auto"/>
              <w:bottom w:val="none" w:sz="0" w:space="0" w:color="auto"/>
            </w:tcBorders>
            <w:hideMark/>
          </w:tcPr>
          <w:p w14:paraId="7E91715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-0.198</w:t>
            </w:r>
          </w:p>
        </w:tc>
        <w:tc>
          <w:tcPr>
            <w:tcW w:w="0" w:type="auto"/>
            <w:tcBorders>
              <w:top w:val="none" w:sz="0" w:space="0" w:color="auto"/>
              <w:bottom w:val="none" w:sz="0" w:space="0" w:color="auto"/>
            </w:tcBorders>
            <w:hideMark/>
          </w:tcPr>
          <w:p w14:paraId="2CB6B834"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0.134</w:t>
            </w:r>
          </w:p>
        </w:tc>
      </w:tr>
      <w:tr w:rsidR="001458A7" w:rsidRPr="001458A7" w14:paraId="1D7ABD96"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4B8E20C3"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AGE</w:t>
            </w:r>
          </w:p>
        </w:tc>
        <w:tc>
          <w:tcPr>
            <w:tcW w:w="0" w:type="auto"/>
            <w:hideMark/>
          </w:tcPr>
          <w:p w14:paraId="268BA44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-0.00006</w:t>
            </w:r>
          </w:p>
        </w:tc>
        <w:tc>
          <w:tcPr>
            <w:tcW w:w="0" w:type="auto"/>
            <w:hideMark/>
          </w:tcPr>
          <w:p w14:paraId="562AA7B6"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0.0036</w:t>
            </w:r>
          </w:p>
        </w:tc>
        <w:tc>
          <w:tcPr>
            <w:tcW w:w="0" w:type="auto"/>
            <w:hideMark/>
          </w:tcPr>
          <w:p w14:paraId="3D70E27C"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-0.02</w:t>
            </w:r>
          </w:p>
        </w:tc>
        <w:tc>
          <w:tcPr>
            <w:tcW w:w="0" w:type="auto"/>
            <w:hideMark/>
          </w:tcPr>
          <w:p w14:paraId="2EAD821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0.986</w:t>
            </w:r>
          </w:p>
        </w:tc>
        <w:tc>
          <w:tcPr>
            <w:tcW w:w="0" w:type="auto"/>
            <w:hideMark/>
          </w:tcPr>
          <w:p w14:paraId="5163A9E8"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-0.007</w:t>
            </w:r>
          </w:p>
        </w:tc>
        <w:tc>
          <w:tcPr>
            <w:tcW w:w="0" w:type="auto"/>
            <w:hideMark/>
          </w:tcPr>
          <w:p w14:paraId="7779FA0D"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0.007</w:t>
            </w:r>
          </w:p>
        </w:tc>
      </w:tr>
      <w:tr w:rsidR="001458A7" w:rsidRPr="001458A7" w14:paraId="35EE2195"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8C7D686"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Constant</w:t>
            </w:r>
          </w:p>
        </w:tc>
        <w:tc>
          <w:tcPr>
            <w:tcW w:w="0" w:type="auto"/>
            <w:tcBorders>
              <w:top w:val="none" w:sz="0" w:space="0" w:color="auto"/>
              <w:bottom w:val="none" w:sz="0" w:space="0" w:color="auto"/>
            </w:tcBorders>
            <w:hideMark/>
          </w:tcPr>
          <w:p w14:paraId="757D7A8A"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0.752</w:t>
            </w:r>
          </w:p>
        </w:tc>
        <w:tc>
          <w:tcPr>
            <w:tcW w:w="0" w:type="auto"/>
            <w:tcBorders>
              <w:top w:val="none" w:sz="0" w:space="0" w:color="auto"/>
              <w:bottom w:val="none" w:sz="0" w:space="0" w:color="auto"/>
            </w:tcBorders>
            <w:hideMark/>
          </w:tcPr>
          <w:p w14:paraId="69D2F23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1.024</w:t>
            </w:r>
          </w:p>
        </w:tc>
        <w:tc>
          <w:tcPr>
            <w:tcW w:w="0" w:type="auto"/>
            <w:tcBorders>
              <w:top w:val="none" w:sz="0" w:space="0" w:color="auto"/>
              <w:bottom w:val="none" w:sz="0" w:space="0" w:color="auto"/>
            </w:tcBorders>
            <w:hideMark/>
          </w:tcPr>
          <w:p w14:paraId="5CA44D4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0.73</w:t>
            </w:r>
          </w:p>
        </w:tc>
        <w:tc>
          <w:tcPr>
            <w:tcW w:w="0" w:type="auto"/>
            <w:tcBorders>
              <w:top w:val="none" w:sz="0" w:space="0" w:color="auto"/>
              <w:bottom w:val="none" w:sz="0" w:space="0" w:color="auto"/>
            </w:tcBorders>
            <w:hideMark/>
          </w:tcPr>
          <w:p w14:paraId="26366AD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0.462</w:t>
            </w:r>
          </w:p>
        </w:tc>
        <w:tc>
          <w:tcPr>
            <w:tcW w:w="0" w:type="auto"/>
            <w:tcBorders>
              <w:top w:val="none" w:sz="0" w:space="0" w:color="auto"/>
              <w:bottom w:val="none" w:sz="0" w:space="0" w:color="auto"/>
            </w:tcBorders>
            <w:hideMark/>
          </w:tcPr>
          <w:p w14:paraId="10ACF10E"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-1.254</w:t>
            </w:r>
          </w:p>
        </w:tc>
        <w:tc>
          <w:tcPr>
            <w:tcW w:w="0" w:type="auto"/>
            <w:tcBorders>
              <w:top w:val="none" w:sz="0" w:space="0" w:color="auto"/>
              <w:bottom w:val="none" w:sz="0" w:space="0" w:color="auto"/>
            </w:tcBorders>
            <w:hideMark/>
          </w:tcPr>
          <w:p w14:paraId="55A855B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2.758</w:t>
            </w:r>
          </w:p>
        </w:tc>
      </w:tr>
      <w:tr w:rsidR="0080214F" w:rsidRPr="001458A7" w14:paraId="58903F0E" w14:textId="77777777" w:rsidTr="00790F4E">
        <w:tc>
          <w:tcPr>
            <w:cnfStyle w:val="001000000000" w:firstRow="0" w:lastRow="0" w:firstColumn="1" w:lastColumn="0" w:oddVBand="0" w:evenVBand="0" w:oddHBand="0" w:evenHBand="0" w:firstRowFirstColumn="0" w:firstRowLastColumn="0" w:lastRowFirstColumn="0" w:lastRowLastColumn="0"/>
            <w:tcW w:w="0" w:type="auto"/>
            <w:gridSpan w:val="7"/>
          </w:tcPr>
          <w:p w14:paraId="6A2CED15" w14:textId="795B669B" w:rsidR="0080214F" w:rsidRPr="001458A7" w:rsidRDefault="0080214F" w:rsidP="0080214F">
            <w:pPr>
              <w:jc w:val="both"/>
              <w:rPr>
                <w:rFonts w:ascii="Times New Roman" w:hAnsi="Times New Roman" w:cs="Times New Roman"/>
              </w:rPr>
            </w:pPr>
            <w:r w:rsidRPr="001458A7">
              <w:rPr>
                <w:rFonts w:ascii="Times New Roman" w:hAnsi="Times New Roman" w:cs="Times New Roman"/>
              </w:rPr>
              <w:t>Model statistics:</w:t>
            </w:r>
            <w:r>
              <w:rPr>
                <w:rFonts w:ascii="Times New Roman" w:hAnsi="Times New Roman" w:cs="Times New Roman"/>
              </w:rPr>
              <w:t xml:space="preserve"> </w:t>
            </w:r>
            <w:proofErr w:type="spellStart"/>
            <w:r>
              <w:rPr>
                <w:rFonts w:ascii="Times New Roman" w:hAnsi="Times New Roman" w:cs="Times New Roman"/>
              </w:rPr>
              <w:t>Obs</w:t>
            </w:r>
            <w:proofErr w:type="spellEnd"/>
            <w:r w:rsidRPr="001458A7">
              <w:rPr>
                <w:rFonts w:ascii="Times New Roman" w:hAnsi="Times New Roman" w:cs="Times New Roman"/>
              </w:rPr>
              <w:t xml:space="preserve"> = 1</w:t>
            </w:r>
            <w:r w:rsidR="00BB000C">
              <w:rPr>
                <w:rFonts w:ascii="Times New Roman" w:hAnsi="Times New Roman" w:cs="Times New Roman"/>
              </w:rPr>
              <w:t>20</w:t>
            </w:r>
            <w:r>
              <w:rPr>
                <w:rFonts w:ascii="Times New Roman" w:hAnsi="Times New Roman" w:cs="Times New Roman"/>
              </w:rPr>
              <w:t>; G</w:t>
            </w:r>
            <w:r w:rsidRPr="001458A7">
              <w:rPr>
                <w:rFonts w:ascii="Times New Roman" w:hAnsi="Times New Roman" w:cs="Times New Roman"/>
              </w:rPr>
              <w:t>roups = 1</w:t>
            </w:r>
            <w:r w:rsidR="00BB000C">
              <w:rPr>
                <w:rFonts w:ascii="Times New Roman" w:hAnsi="Times New Roman" w:cs="Times New Roman"/>
              </w:rPr>
              <w:t>2</w:t>
            </w:r>
            <w:r>
              <w:rPr>
                <w:rFonts w:ascii="Times New Roman" w:hAnsi="Times New Roman" w:cs="Times New Roman"/>
              </w:rPr>
              <w:t xml:space="preserve">; </w:t>
            </w:r>
            <w:r w:rsidRPr="001458A7">
              <w:rPr>
                <w:rFonts w:ascii="Times New Roman" w:hAnsi="Times New Roman" w:cs="Times New Roman"/>
              </w:rPr>
              <w:t>Wald chi</w:t>
            </w:r>
            <w:proofErr w:type="gramStart"/>
            <w:r w:rsidRPr="001458A7">
              <w:rPr>
                <w:rFonts w:ascii="Times New Roman" w:hAnsi="Times New Roman" w:cs="Times New Roman"/>
              </w:rPr>
              <w:t>²(</w:t>
            </w:r>
            <w:proofErr w:type="gramEnd"/>
            <w:r w:rsidRPr="001458A7">
              <w:rPr>
                <w:rFonts w:ascii="Times New Roman" w:hAnsi="Times New Roman" w:cs="Times New Roman"/>
              </w:rPr>
              <w:t>6) = 15.31</w:t>
            </w:r>
            <w:r>
              <w:rPr>
                <w:rFonts w:ascii="Times New Roman" w:hAnsi="Times New Roman" w:cs="Times New Roman"/>
              </w:rPr>
              <w:t xml:space="preserve">; </w:t>
            </w:r>
            <w:r w:rsidRPr="001458A7">
              <w:rPr>
                <w:rFonts w:ascii="Times New Roman" w:hAnsi="Times New Roman" w:cs="Times New Roman"/>
              </w:rPr>
              <w:t>Prob &gt; chi² = 0.0179</w:t>
            </w:r>
            <w:r>
              <w:rPr>
                <w:rFonts w:ascii="Times New Roman" w:hAnsi="Times New Roman" w:cs="Times New Roman"/>
              </w:rPr>
              <w:t xml:space="preserve">; </w:t>
            </w:r>
            <w:r w:rsidRPr="001458A7">
              <w:rPr>
                <w:rFonts w:ascii="Times New Roman" w:hAnsi="Times New Roman" w:cs="Times New Roman"/>
              </w:rPr>
              <w:t>Within R² = 0.073</w:t>
            </w:r>
            <w:r>
              <w:rPr>
                <w:rFonts w:ascii="Times New Roman" w:hAnsi="Times New Roman" w:cs="Times New Roman"/>
              </w:rPr>
              <w:t xml:space="preserve">; </w:t>
            </w:r>
            <w:r w:rsidRPr="001458A7">
              <w:rPr>
                <w:rFonts w:ascii="Times New Roman" w:hAnsi="Times New Roman" w:cs="Times New Roman"/>
              </w:rPr>
              <w:t>Between R² = 0.162</w:t>
            </w:r>
            <w:r>
              <w:rPr>
                <w:rFonts w:ascii="Times New Roman" w:hAnsi="Times New Roman" w:cs="Times New Roman"/>
              </w:rPr>
              <w:t xml:space="preserve">; </w:t>
            </w:r>
            <w:r w:rsidRPr="001458A7">
              <w:rPr>
                <w:rFonts w:ascii="Times New Roman" w:hAnsi="Times New Roman" w:cs="Times New Roman"/>
              </w:rPr>
              <w:t>Overall R² = 0.113</w:t>
            </w:r>
            <w:r>
              <w:rPr>
                <w:rFonts w:ascii="Times New Roman" w:hAnsi="Times New Roman" w:cs="Times New Roman"/>
              </w:rPr>
              <w:t xml:space="preserve">; </w:t>
            </w:r>
            <w:r w:rsidRPr="001458A7">
              <w:rPr>
                <w:rFonts w:ascii="Times New Roman" w:hAnsi="Times New Roman" w:cs="Times New Roman"/>
              </w:rPr>
              <w:t>rho = 0.363</w:t>
            </w:r>
          </w:p>
        </w:tc>
      </w:tr>
    </w:tbl>
    <w:p w14:paraId="71EB8112" w14:textId="3671E96F" w:rsidR="001458A7" w:rsidRDefault="0080214F" w:rsidP="001458A7">
      <w:pPr>
        <w:jc w:val="both"/>
        <w:rPr>
          <w:rFonts w:ascii="Times New Roman" w:hAnsi="Times New Roman" w:cs="Times New Roman"/>
          <w:b/>
          <w:bCs/>
        </w:rPr>
      </w:pPr>
      <w:r>
        <w:rPr>
          <w:rFonts w:ascii="Times New Roman" w:hAnsi="Times New Roman" w:cs="Times New Roman"/>
          <w:b/>
          <w:bCs/>
        </w:rPr>
        <w:t>Source: Researchers’ Computation (2026)</w:t>
      </w:r>
    </w:p>
    <w:p w14:paraId="63B476A1" w14:textId="5BBEF400" w:rsidR="00E9411D" w:rsidRP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t xml:space="preserve">Table </w:t>
      </w:r>
      <w:r w:rsidR="006C04CE">
        <w:rPr>
          <w:rFonts w:ascii="Times New Roman" w:hAnsi="Times New Roman" w:cs="Times New Roman"/>
        </w:rPr>
        <w:t>5</w:t>
      </w:r>
      <w:r w:rsidRPr="00E9411D">
        <w:rPr>
          <w:rFonts w:ascii="Times New Roman" w:hAnsi="Times New Roman" w:cs="Times New Roman"/>
        </w:rPr>
        <w:t xml:space="preserve"> presented the random effects GLS regression results and showed that the model was statistically significant overall, as indicated by the Wald chi² value of 15.31 with a p value of 0.0179, suggesting that the explanatory variables jointly influenced firm value. Training expenditure (TRNEXP) had a negative and significant effect on Tobin’s Q (β = -0.082, p = 0.044), while training participation rate (TRNPR) also showed a negative and highly significant relationship (β = -0.271, p = 0.000), implying that increases in these variables were associated with lower firm value. In contrast, training intensity (TRNINT) exerted a positive and significant effect (β = 0.022, p = 0.040), indicating that more intensive training contributed to improved firm value. However, human capital investment ratio (HCIR) was positive but not statistically significant (p = 0.687), suggesting limited influence on firm value.</w:t>
      </w:r>
    </w:p>
    <w:p w14:paraId="1D37D8EE" w14:textId="77777777" w:rsid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t>Furthermore, the control variables, firm size (FSIZ) and firm age (AGE), were both negative and statistically insignificant, indicating that they did not significantly explain variations in firm value within the sample. The R² values showed modest explanatory power, with an overall R² of 0.113, suggesting that approximately 11.3 percent of the variation in firm value was explained by the model. The rho value of 0.363 indicated moderate panel level variation, supporting the appropriateness of the random effects estimation. Overall, the results suggested that while certain dimensions of training investment influenced firm value, their effects were mixed and context dependent.</w:t>
      </w:r>
    </w:p>
    <w:p w14:paraId="0CB1A5D2" w14:textId="77777777" w:rsidR="00790F4E" w:rsidRPr="00E9411D" w:rsidRDefault="00790F4E" w:rsidP="00E9411D">
      <w:pPr>
        <w:spacing w:line="360" w:lineRule="auto"/>
        <w:jc w:val="both"/>
        <w:rPr>
          <w:rFonts w:ascii="Times New Roman" w:hAnsi="Times New Roman" w:cs="Times New Roman"/>
        </w:rPr>
      </w:pPr>
    </w:p>
    <w:p w14:paraId="6E186F79" w14:textId="77777777" w:rsidR="00251B8A" w:rsidRPr="00251B8A" w:rsidRDefault="00251B8A" w:rsidP="00381E8B">
      <w:pPr>
        <w:spacing w:line="360" w:lineRule="auto"/>
        <w:jc w:val="both"/>
        <w:rPr>
          <w:rFonts w:ascii="Times New Roman" w:hAnsi="Times New Roman" w:cs="Times New Roman"/>
          <w:b/>
          <w:bCs/>
        </w:rPr>
      </w:pPr>
      <w:r w:rsidRPr="00251B8A">
        <w:rPr>
          <w:rFonts w:ascii="Times New Roman" w:hAnsi="Times New Roman" w:cs="Times New Roman"/>
          <w:b/>
          <w:bCs/>
        </w:rPr>
        <w:t>4.5.2 Moderating Effect of Board Independence</w:t>
      </w:r>
    </w:p>
    <w:p w14:paraId="3A796414" w14:textId="6613F34B" w:rsidR="00251B8A" w:rsidRPr="00251B8A" w:rsidRDefault="00251B8A" w:rsidP="00381E8B">
      <w:pPr>
        <w:spacing w:line="360" w:lineRule="auto"/>
        <w:jc w:val="both"/>
        <w:rPr>
          <w:rFonts w:ascii="Times New Roman" w:hAnsi="Times New Roman" w:cs="Times New Roman"/>
        </w:rPr>
      </w:pPr>
      <w:r w:rsidRPr="00251B8A">
        <w:rPr>
          <w:rFonts w:ascii="Times New Roman" w:hAnsi="Times New Roman" w:cs="Times New Roman"/>
        </w:rPr>
        <w:lastRenderedPageBreak/>
        <w:t xml:space="preserve">To examine whether board independence (BIND) moderates the relationship between training variables and firm innovation, interaction terms between BIND and each human capital variable were introduced into the random effects model. Cluster-robust standard errors were applied to account for within-group dependence. The results are presented in Table </w:t>
      </w:r>
      <w:r w:rsidR="006C04CE">
        <w:rPr>
          <w:rFonts w:ascii="Times New Roman" w:hAnsi="Times New Roman" w:cs="Times New Roman"/>
        </w:rPr>
        <w:t>6</w:t>
      </w:r>
      <w:r w:rsidRPr="00251B8A">
        <w:rPr>
          <w:rFonts w:ascii="Times New Roman" w:hAnsi="Times New Roman" w:cs="Times New Roman"/>
        </w:rPr>
        <w:t>.</w:t>
      </w:r>
    </w:p>
    <w:p w14:paraId="6A945FDD" w14:textId="3DAA4D6C" w:rsidR="00251B8A" w:rsidRPr="00381E8B" w:rsidRDefault="00251B8A" w:rsidP="0064765F">
      <w:pPr>
        <w:spacing w:after="0"/>
        <w:rPr>
          <w:rFonts w:ascii="Times New Roman" w:hAnsi="Times New Roman" w:cs="Times New Roman"/>
        </w:rPr>
      </w:pPr>
      <w:r w:rsidRPr="00251B8A">
        <w:rPr>
          <w:rFonts w:ascii="Times New Roman" w:hAnsi="Times New Roman" w:cs="Times New Roman"/>
          <w:b/>
          <w:bCs/>
        </w:rPr>
        <w:t xml:space="preserve">Table </w:t>
      </w:r>
      <w:r w:rsidR="006C04CE">
        <w:rPr>
          <w:rFonts w:ascii="Times New Roman" w:hAnsi="Times New Roman" w:cs="Times New Roman"/>
          <w:b/>
          <w:bCs/>
        </w:rPr>
        <w:t>6</w:t>
      </w:r>
      <w:r w:rsidR="00665900">
        <w:rPr>
          <w:rFonts w:ascii="Times New Roman" w:hAnsi="Times New Roman" w:cs="Times New Roman"/>
          <w:b/>
          <w:bCs/>
        </w:rPr>
        <w:t xml:space="preserve">: </w:t>
      </w:r>
      <w:r w:rsidRPr="00381E8B">
        <w:rPr>
          <w:rFonts w:ascii="Times New Roman" w:hAnsi="Times New Roman" w:cs="Times New Roman"/>
        </w:rPr>
        <w:t>Random Effects GLS Regression with Moderating Effects (Dependent Variable: TOBINQ)</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2050"/>
        <w:gridCol w:w="1609"/>
        <w:gridCol w:w="1339"/>
        <w:gridCol w:w="892"/>
        <w:gridCol w:w="1085"/>
        <w:gridCol w:w="1284"/>
        <w:gridCol w:w="1216"/>
      </w:tblGrid>
      <w:tr w:rsidR="00251B8A" w:rsidRPr="00251B8A" w14:paraId="3C22CACE" w14:textId="77777777" w:rsidTr="0079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hideMark/>
          </w:tcPr>
          <w:p w14:paraId="592E890F" w14:textId="77777777" w:rsidR="00251B8A" w:rsidRPr="00251B8A" w:rsidRDefault="00251B8A" w:rsidP="00790F4E">
            <w:pPr>
              <w:rPr>
                <w:rFonts w:ascii="Times New Roman" w:hAnsi="Times New Roman" w:cs="Times New Roman"/>
                <w:b w:val="0"/>
                <w:bCs w:val="0"/>
              </w:rPr>
            </w:pPr>
            <w:r w:rsidRPr="00251B8A">
              <w:rPr>
                <w:rFonts w:ascii="Times New Roman" w:hAnsi="Times New Roman" w:cs="Times New Roman"/>
              </w:rPr>
              <w:t>Variable</w:t>
            </w:r>
          </w:p>
        </w:tc>
        <w:tc>
          <w:tcPr>
            <w:tcW w:w="1205" w:type="dxa"/>
            <w:tcBorders>
              <w:top w:val="single" w:sz="4" w:space="0" w:color="auto"/>
              <w:bottom w:val="single" w:sz="4" w:space="0" w:color="auto"/>
            </w:tcBorders>
            <w:hideMark/>
          </w:tcPr>
          <w:p w14:paraId="694CF43D"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Coefficient</w:t>
            </w:r>
          </w:p>
        </w:tc>
        <w:tc>
          <w:tcPr>
            <w:tcW w:w="1342" w:type="dxa"/>
            <w:tcBorders>
              <w:top w:val="single" w:sz="4" w:space="0" w:color="auto"/>
              <w:bottom w:val="single" w:sz="4" w:space="0" w:color="auto"/>
            </w:tcBorders>
            <w:hideMark/>
          </w:tcPr>
          <w:p w14:paraId="4842C8A9"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Robust SE</w:t>
            </w:r>
          </w:p>
        </w:tc>
        <w:tc>
          <w:tcPr>
            <w:tcW w:w="889" w:type="dxa"/>
            <w:tcBorders>
              <w:top w:val="single" w:sz="4" w:space="0" w:color="auto"/>
              <w:bottom w:val="single" w:sz="4" w:space="0" w:color="auto"/>
            </w:tcBorders>
            <w:hideMark/>
          </w:tcPr>
          <w:p w14:paraId="4518E8F1"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z</w:t>
            </w:r>
          </w:p>
        </w:tc>
        <w:tc>
          <w:tcPr>
            <w:tcW w:w="1096" w:type="dxa"/>
            <w:tcBorders>
              <w:top w:val="single" w:sz="4" w:space="0" w:color="auto"/>
              <w:bottom w:val="single" w:sz="4" w:space="0" w:color="auto"/>
            </w:tcBorders>
            <w:hideMark/>
          </w:tcPr>
          <w:p w14:paraId="67AD2E74"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p-value</w:t>
            </w:r>
          </w:p>
        </w:tc>
        <w:tc>
          <w:tcPr>
            <w:tcW w:w="1325" w:type="dxa"/>
            <w:tcBorders>
              <w:top w:val="single" w:sz="4" w:space="0" w:color="auto"/>
              <w:bottom w:val="single" w:sz="4" w:space="0" w:color="auto"/>
            </w:tcBorders>
            <w:hideMark/>
          </w:tcPr>
          <w:p w14:paraId="79DC0E39"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95% CI Lower</w:t>
            </w:r>
          </w:p>
        </w:tc>
        <w:tc>
          <w:tcPr>
            <w:tcW w:w="1208" w:type="dxa"/>
            <w:tcBorders>
              <w:top w:val="single" w:sz="4" w:space="0" w:color="auto"/>
              <w:bottom w:val="single" w:sz="4" w:space="0" w:color="auto"/>
            </w:tcBorders>
            <w:hideMark/>
          </w:tcPr>
          <w:p w14:paraId="0A1AAB1A"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95% CI Upper</w:t>
            </w:r>
          </w:p>
        </w:tc>
      </w:tr>
      <w:tr w:rsidR="00251B8A" w:rsidRPr="00251B8A" w14:paraId="0B8DC4E7"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one" w:sz="0" w:space="0" w:color="auto"/>
            </w:tcBorders>
            <w:hideMark/>
          </w:tcPr>
          <w:p w14:paraId="1DCB09D2"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TRNEXP</w:t>
            </w:r>
          </w:p>
        </w:tc>
        <w:tc>
          <w:tcPr>
            <w:tcW w:w="1205" w:type="dxa"/>
            <w:tcBorders>
              <w:top w:val="single" w:sz="4" w:space="0" w:color="auto"/>
              <w:bottom w:val="none" w:sz="0" w:space="0" w:color="auto"/>
            </w:tcBorders>
            <w:hideMark/>
          </w:tcPr>
          <w:p w14:paraId="11446D9F"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-2.346</w:t>
            </w:r>
          </w:p>
        </w:tc>
        <w:tc>
          <w:tcPr>
            <w:tcW w:w="1342" w:type="dxa"/>
            <w:tcBorders>
              <w:top w:val="single" w:sz="4" w:space="0" w:color="auto"/>
              <w:bottom w:val="none" w:sz="0" w:space="0" w:color="auto"/>
            </w:tcBorders>
            <w:hideMark/>
          </w:tcPr>
          <w:p w14:paraId="092E264F"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1.118</w:t>
            </w:r>
          </w:p>
        </w:tc>
        <w:tc>
          <w:tcPr>
            <w:tcW w:w="889" w:type="dxa"/>
            <w:tcBorders>
              <w:top w:val="single" w:sz="4" w:space="0" w:color="auto"/>
              <w:bottom w:val="none" w:sz="0" w:space="0" w:color="auto"/>
            </w:tcBorders>
            <w:hideMark/>
          </w:tcPr>
          <w:p w14:paraId="4A806B5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-2.10</w:t>
            </w:r>
          </w:p>
        </w:tc>
        <w:tc>
          <w:tcPr>
            <w:tcW w:w="1096" w:type="dxa"/>
            <w:tcBorders>
              <w:top w:val="single" w:sz="4" w:space="0" w:color="auto"/>
              <w:bottom w:val="none" w:sz="0" w:space="0" w:color="auto"/>
            </w:tcBorders>
            <w:hideMark/>
          </w:tcPr>
          <w:p w14:paraId="3BA366EA"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0.036</w:t>
            </w:r>
          </w:p>
        </w:tc>
        <w:tc>
          <w:tcPr>
            <w:tcW w:w="1325" w:type="dxa"/>
            <w:tcBorders>
              <w:top w:val="single" w:sz="4" w:space="0" w:color="auto"/>
              <w:bottom w:val="none" w:sz="0" w:space="0" w:color="auto"/>
            </w:tcBorders>
            <w:hideMark/>
          </w:tcPr>
          <w:p w14:paraId="06AFE538"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-4.537</w:t>
            </w:r>
          </w:p>
        </w:tc>
        <w:tc>
          <w:tcPr>
            <w:tcW w:w="1208" w:type="dxa"/>
            <w:tcBorders>
              <w:top w:val="single" w:sz="4" w:space="0" w:color="auto"/>
              <w:bottom w:val="none" w:sz="0" w:space="0" w:color="auto"/>
            </w:tcBorders>
            <w:hideMark/>
          </w:tcPr>
          <w:p w14:paraId="24F95064"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-0.156</w:t>
            </w:r>
          </w:p>
        </w:tc>
      </w:tr>
      <w:tr w:rsidR="00251B8A" w:rsidRPr="00251B8A" w14:paraId="689D8F82"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58C78AB6"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BIND</w:t>
            </w:r>
          </w:p>
        </w:tc>
        <w:tc>
          <w:tcPr>
            <w:tcW w:w="1205" w:type="dxa"/>
            <w:hideMark/>
          </w:tcPr>
          <w:p w14:paraId="7A215C2E"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0.890</w:t>
            </w:r>
          </w:p>
        </w:tc>
        <w:tc>
          <w:tcPr>
            <w:tcW w:w="1342" w:type="dxa"/>
            <w:hideMark/>
          </w:tcPr>
          <w:p w14:paraId="6CDA386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0.776</w:t>
            </w:r>
          </w:p>
        </w:tc>
        <w:tc>
          <w:tcPr>
            <w:tcW w:w="889" w:type="dxa"/>
            <w:hideMark/>
          </w:tcPr>
          <w:p w14:paraId="0AB2FCF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1.15</w:t>
            </w:r>
          </w:p>
        </w:tc>
        <w:tc>
          <w:tcPr>
            <w:tcW w:w="1096" w:type="dxa"/>
            <w:hideMark/>
          </w:tcPr>
          <w:p w14:paraId="0F9F946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0.251</w:t>
            </w:r>
          </w:p>
        </w:tc>
        <w:tc>
          <w:tcPr>
            <w:tcW w:w="1325" w:type="dxa"/>
            <w:hideMark/>
          </w:tcPr>
          <w:p w14:paraId="780E0DBC"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-0.630</w:t>
            </w:r>
          </w:p>
        </w:tc>
        <w:tc>
          <w:tcPr>
            <w:tcW w:w="1208" w:type="dxa"/>
            <w:hideMark/>
          </w:tcPr>
          <w:p w14:paraId="4E31D3F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2.410</w:t>
            </w:r>
          </w:p>
        </w:tc>
      </w:tr>
      <w:tr w:rsidR="00251B8A" w:rsidRPr="00251B8A" w14:paraId="1D06CD35"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7F9753D3"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TRNEXP × BIND</w:t>
            </w:r>
          </w:p>
        </w:tc>
        <w:tc>
          <w:tcPr>
            <w:tcW w:w="1205" w:type="dxa"/>
            <w:tcBorders>
              <w:top w:val="none" w:sz="0" w:space="0" w:color="auto"/>
              <w:bottom w:val="none" w:sz="0" w:space="0" w:color="auto"/>
            </w:tcBorders>
            <w:hideMark/>
          </w:tcPr>
          <w:p w14:paraId="6B77D18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0.466</w:t>
            </w:r>
          </w:p>
        </w:tc>
        <w:tc>
          <w:tcPr>
            <w:tcW w:w="1342" w:type="dxa"/>
            <w:tcBorders>
              <w:top w:val="none" w:sz="0" w:space="0" w:color="auto"/>
              <w:bottom w:val="none" w:sz="0" w:space="0" w:color="auto"/>
            </w:tcBorders>
            <w:hideMark/>
          </w:tcPr>
          <w:p w14:paraId="6EAEA021"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0.226</w:t>
            </w:r>
          </w:p>
        </w:tc>
        <w:tc>
          <w:tcPr>
            <w:tcW w:w="889" w:type="dxa"/>
            <w:tcBorders>
              <w:top w:val="none" w:sz="0" w:space="0" w:color="auto"/>
              <w:bottom w:val="none" w:sz="0" w:space="0" w:color="auto"/>
            </w:tcBorders>
            <w:hideMark/>
          </w:tcPr>
          <w:p w14:paraId="3C41FBB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2.06</w:t>
            </w:r>
          </w:p>
        </w:tc>
        <w:tc>
          <w:tcPr>
            <w:tcW w:w="1096" w:type="dxa"/>
            <w:tcBorders>
              <w:top w:val="none" w:sz="0" w:space="0" w:color="auto"/>
              <w:bottom w:val="none" w:sz="0" w:space="0" w:color="auto"/>
            </w:tcBorders>
            <w:hideMark/>
          </w:tcPr>
          <w:p w14:paraId="4A625A58"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0.039</w:t>
            </w:r>
          </w:p>
        </w:tc>
        <w:tc>
          <w:tcPr>
            <w:tcW w:w="1325" w:type="dxa"/>
            <w:tcBorders>
              <w:top w:val="none" w:sz="0" w:space="0" w:color="auto"/>
              <w:bottom w:val="none" w:sz="0" w:space="0" w:color="auto"/>
            </w:tcBorders>
            <w:hideMark/>
          </w:tcPr>
          <w:p w14:paraId="3A30CB05"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0.023</w:t>
            </w:r>
          </w:p>
        </w:tc>
        <w:tc>
          <w:tcPr>
            <w:tcW w:w="1208" w:type="dxa"/>
            <w:tcBorders>
              <w:top w:val="none" w:sz="0" w:space="0" w:color="auto"/>
              <w:bottom w:val="none" w:sz="0" w:space="0" w:color="auto"/>
            </w:tcBorders>
            <w:hideMark/>
          </w:tcPr>
          <w:p w14:paraId="7CE94B9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0.908</w:t>
            </w:r>
          </w:p>
        </w:tc>
      </w:tr>
      <w:tr w:rsidR="00251B8A" w:rsidRPr="00251B8A" w14:paraId="0E8563FD"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28FB37CE"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TRNPR</w:t>
            </w:r>
          </w:p>
        </w:tc>
        <w:tc>
          <w:tcPr>
            <w:tcW w:w="1205" w:type="dxa"/>
            <w:hideMark/>
          </w:tcPr>
          <w:p w14:paraId="4898B39A"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-5.686</w:t>
            </w:r>
          </w:p>
        </w:tc>
        <w:tc>
          <w:tcPr>
            <w:tcW w:w="1342" w:type="dxa"/>
            <w:hideMark/>
          </w:tcPr>
          <w:p w14:paraId="252EE5A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2.971</w:t>
            </w:r>
          </w:p>
        </w:tc>
        <w:tc>
          <w:tcPr>
            <w:tcW w:w="889" w:type="dxa"/>
            <w:hideMark/>
          </w:tcPr>
          <w:p w14:paraId="132CEED1"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-1.91</w:t>
            </w:r>
          </w:p>
        </w:tc>
        <w:tc>
          <w:tcPr>
            <w:tcW w:w="1096" w:type="dxa"/>
            <w:hideMark/>
          </w:tcPr>
          <w:p w14:paraId="3DD295C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0.056</w:t>
            </w:r>
          </w:p>
        </w:tc>
        <w:tc>
          <w:tcPr>
            <w:tcW w:w="1325" w:type="dxa"/>
            <w:hideMark/>
          </w:tcPr>
          <w:p w14:paraId="52C8C291"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-11.509</w:t>
            </w:r>
          </w:p>
        </w:tc>
        <w:tc>
          <w:tcPr>
            <w:tcW w:w="1208" w:type="dxa"/>
            <w:hideMark/>
          </w:tcPr>
          <w:p w14:paraId="7ADD1541"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0.136</w:t>
            </w:r>
          </w:p>
        </w:tc>
      </w:tr>
      <w:tr w:rsidR="00251B8A" w:rsidRPr="00251B8A" w14:paraId="6E9EADFD"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2E59A0AD"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TRNPR × BIND</w:t>
            </w:r>
          </w:p>
        </w:tc>
        <w:tc>
          <w:tcPr>
            <w:tcW w:w="1205" w:type="dxa"/>
            <w:tcBorders>
              <w:top w:val="none" w:sz="0" w:space="0" w:color="auto"/>
              <w:bottom w:val="none" w:sz="0" w:space="0" w:color="auto"/>
            </w:tcBorders>
            <w:hideMark/>
          </w:tcPr>
          <w:p w14:paraId="3F75D66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1.110</w:t>
            </w:r>
          </w:p>
        </w:tc>
        <w:tc>
          <w:tcPr>
            <w:tcW w:w="1342" w:type="dxa"/>
            <w:tcBorders>
              <w:top w:val="none" w:sz="0" w:space="0" w:color="auto"/>
              <w:bottom w:val="none" w:sz="0" w:space="0" w:color="auto"/>
            </w:tcBorders>
            <w:hideMark/>
          </w:tcPr>
          <w:p w14:paraId="26AFFBA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0.591</w:t>
            </w:r>
          </w:p>
        </w:tc>
        <w:tc>
          <w:tcPr>
            <w:tcW w:w="889" w:type="dxa"/>
            <w:tcBorders>
              <w:top w:val="none" w:sz="0" w:space="0" w:color="auto"/>
              <w:bottom w:val="none" w:sz="0" w:space="0" w:color="auto"/>
            </w:tcBorders>
            <w:hideMark/>
          </w:tcPr>
          <w:p w14:paraId="4856DACA"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1.88</w:t>
            </w:r>
          </w:p>
        </w:tc>
        <w:tc>
          <w:tcPr>
            <w:tcW w:w="1096" w:type="dxa"/>
            <w:tcBorders>
              <w:top w:val="none" w:sz="0" w:space="0" w:color="auto"/>
              <w:bottom w:val="none" w:sz="0" w:space="0" w:color="auto"/>
            </w:tcBorders>
            <w:hideMark/>
          </w:tcPr>
          <w:p w14:paraId="4714410A"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0.060</w:t>
            </w:r>
          </w:p>
        </w:tc>
        <w:tc>
          <w:tcPr>
            <w:tcW w:w="1325" w:type="dxa"/>
            <w:tcBorders>
              <w:top w:val="none" w:sz="0" w:space="0" w:color="auto"/>
              <w:bottom w:val="none" w:sz="0" w:space="0" w:color="auto"/>
            </w:tcBorders>
            <w:hideMark/>
          </w:tcPr>
          <w:p w14:paraId="6F0FE550"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-0.048</w:t>
            </w:r>
          </w:p>
        </w:tc>
        <w:tc>
          <w:tcPr>
            <w:tcW w:w="1208" w:type="dxa"/>
            <w:tcBorders>
              <w:top w:val="none" w:sz="0" w:space="0" w:color="auto"/>
              <w:bottom w:val="none" w:sz="0" w:space="0" w:color="auto"/>
            </w:tcBorders>
            <w:hideMark/>
          </w:tcPr>
          <w:p w14:paraId="4FDD0F3E"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2.267</w:t>
            </w:r>
          </w:p>
        </w:tc>
      </w:tr>
      <w:tr w:rsidR="00251B8A" w:rsidRPr="00251B8A" w14:paraId="6F6A84DB"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5885B566"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TRNINT</w:t>
            </w:r>
          </w:p>
        </w:tc>
        <w:tc>
          <w:tcPr>
            <w:tcW w:w="1205" w:type="dxa"/>
            <w:hideMark/>
          </w:tcPr>
          <w:p w14:paraId="1C8CF8E0"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1.224</w:t>
            </w:r>
          </w:p>
        </w:tc>
        <w:tc>
          <w:tcPr>
            <w:tcW w:w="1342" w:type="dxa"/>
            <w:hideMark/>
          </w:tcPr>
          <w:p w14:paraId="673475A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0.503</w:t>
            </w:r>
          </w:p>
        </w:tc>
        <w:tc>
          <w:tcPr>
            <w:tcW w:w="889" w:type="dxa"/>
            <w:hideMark/>
          </w:tcPr>
          <w:p w14:paraId="62925E0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2.44</w:t>
            </w:r>
          </w:p>
        </w:tc>
        <w:tc>
          <w:tcPr>
            <w:tcW w:w="1096" w:type="dxa"/>
            <w:hideMark/>
          </w:tcPr>
          <w:p w14:paraId="242F4FD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0.015</w:t>
            </w:r>
          </w:p>
        </w:tc>
        <w:tc>
          <w:tcPr>
            <w:tcW w:w="1325" w:type="dxa"/>
            <w:hideMark/>
          </w:tcPr>
          <w:p w14:paraId="46170EF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0.239</w:t>
            </w:r>
          </w:p>
        </w:tc>
        <w:tc>
          <w:tcPr>
            <w:tcW w:w="1208" w:type="dxa"/>
            <w:hideMark/>
          </w:tcPr>
          <w:p w14:paraId="7DA649C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2.209</w:t>
            </w:r>
          </w:p>
        </w:tc>
      </w:tr>
      <w:tr w:rsidR="00251B8A" w:rsidRPr="00251B8A" w14:paraId="36EBB73E"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6477ACBC"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TRNINT × BIND</w:t>
            </w:r>
          </w:p>
        </w:tc>
        <w:tc>
          <w:tcPr>
            <w:tcW w:w="1205" w:type="dxa"/>
            <w:tcBorders>
              <w:top w:val="none" w:sz="0" w:space="0" w:color="auto"/>
              <w:bottom w:val="none" w:sz="0" w:space="0" w:color="auto"/>
            </w:tcBorders>
            <w:hideMark/>
          </w:tcPr>
          <w:p w14:paraId="5E2A86C8"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-0.246</w:t>
            </w:r>
          </w:p>
        </w:tc>
        <w:tc>
          <w:tcPr>
            <w:tcW w:w="1342" w:type="dxa"/>
            <w:tcBorders>
              <w:top w:val="none" w:sz="0" w:space="0" w:color="auto"/>
              <w:bottom w:val="none" w:sz="0" w:space="0" w:color="auto"/>
            </w:tcBorders>
            <w:hideMark/>
          </w:tcPr>
          <w:p w14:paraId="2081825F"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0.102</w:t>
            </w:r>
          </w:p>
        </w:tc>
        <w:tc>
          <w:tcPr>
            <w:tcW w:w="889" w:type="dxa"/>
            <w:tcBorders>
              <w:top w:val="none" w:sz="0" w:space="0" w:color="auto"/>
              <w:bottom w:val="none" w:sz="0" w:space="0" w:color="auto"/>
            </w:tcBorders>
            <w:hideMark/>
          </w:tcPr>
          <w:p w14:paraId="23733694"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-2.41</w:t>
            </w:r>
          </w:p>
        </w:tc>
        <w:tc>
          <w:tcPr>
            <w:tcW w:w="1096" w:type="dxa"/>
            <w:tcBorders>
              <w:top w:val="none" w:sz="0" w:space="0" w:color="auto"/>
              <w:bottom w:val="none" w:sz="0" w:space="0" w:color="auto"/>
            </w:tcBorders>
            <w:hideMark/>
          </w:tcPr>
          <w:p w14:paraId="16018ADC"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0.016</w:t>
            </w:r>
          </w:p>
        </w:tc>
        <w:tc>
          <w:tcPr>
            <w:tcW w:w="1325" w:type="dxa"/>
            <w:tcBorders>
              <w:top w:val="none" w:sz="0" w:space="0" w:color="auto"/>
              <w:bottom w:val="none" w:sz="0" w:space="0" w:color="auto"/>
            </w:tcBorders>
            <w:hideMark/>
          </w:tcPr>
          <w:p w14:paraId="5438CB2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-0.447</w:t>
            </w:r>
          </w:p>
        </w:tc>
        <w:tc>
          <w:tcPr>
            <w:tcW w:w="1208" w:type="dxa"/>
            <w:tcBorders>
              <w:top w:val="none" w:sz="0" w:space="0" w:color="auto"/>
              <w:bottom w:val="none" w:sz="0" w:space="0" w:color="auto"/>
            </w:tcBorders>
            <w:hideMark/>
          </w:tcPr>
          <w:p w14:paraId="21D6579C"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-0.046</w:t>
            </w:r>
          </w:p>
        </w:tc>
      </w:tr>
      <w:tr w:rsidR="00251B8A" w:rsidRPr="00251B8A" w14:paraId="1972ED7E"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0BE18883"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HCIR</w:t>
            </w:r>
          </w:p>
        </w:tc>
        <w:tc>
          <w:tcPr>
            <w:tcW w:w="1205" w:type="dxa"/>
            <w:hideMark/>
          </w:tcPr>
          <w:p w14:paraId="663ECBE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1.570</w:t>
            </w:r>
          </w:p>
        </w:tc>
        <w:tc>
          <w:tcPr>
            <w:tcW w:w="1342" w:type="dxa"/>
            <w:hideMark/>
          </w:tcPr>
          <w:p w14:paraId="12212D3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1.106</w:t>
            </w:r>
          </w:p>
        </w:tc>
        <w:tc>
          <w:tcPr>
            <w:tcW w:w="889" w:type="dxa"/>
            <w:hideMark/>
          </w:tcPr>
          <w:p w14:paraId="1DD1729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1.42</w:t>
            </w:r>
          </w:p>
        </w:tc>
        <w:tc>
          <w:tcPr>
            <w:tcW w:w="1096" w:type="dxa"/>
            <w:hideMark/>
          </w:tcPr>
          <w:p w14:paraId="07253D15"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0.156</w:t>
            </w:r>
          </w:p>
        </w:tc>
        <w:tc>
          <w:tcPr>
            <w:tcW w:w="1325" w:type="dxa"/>
            <w:hideMark/>
          </w:tcPr>
          <w:p w14:paraId="3AA513A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-0.597</w:t>
            </w:r>
          </w:p>
        </w:tc>
        <w:tc>
          <w:tcPr>
            <w:tcW w:w="1208" w:type="dxa"/>
            <w:hideMark/>
          </w:tcPr>
          <w:p w14:paraId="69EF393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3.736</w:t>
            </w:r>
          </w:p>
        </w:tc>
      </w:tr>
      <w:tr w:rsidR="00251B8A" w:rsidRPr="00251B8A" w14:paraId="6D482458"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690DAD93"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HCIR × BIND</w:t>
            </w:r>
          </w:p>
        </w:tc>
        <w:tc>
          <w:tcPr>
            <w:tcW w:w="1205" w:type="dxa"/>
            <w:tcBorders>
              <w:top w:val="none" w:sz="0" w:space="0" w:color="auto"/>
              <w:bottom w:val="none" w:sz="0" w:space="0" w:color="auto"/>
            </w:tcBorders>
            <w:hideMark/>
          </w:tcPr>
          <w:p w14:paraId="4CC8C01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-0.315</w:t>
            </w:r>
          </w:p>
        </w:tc>
        <w:tc>
          <w:tcPr>
            <w:tcW w:w="1342" w:type="dxa"/>
            <w:tcBorders>
              <w:top w:val="none" w:sz="0" w:space="0" w:color="auto"/>
              <w:bottom w:val="none" w:sz="0" w:space="0" w:color="auto"/>
            </w:tcBorders>
            <w:hideMark/>
          </w:tcPr>
          <w:p w14:paraId="4C7DE41C"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0.223</w:t>
            </w:r>
          </w:p>
        </w:tc>
        <w:tc>
          <w:tcPr>
            <w:tcW w:w="889" w:type="dxa"/>
            <w:tcBorders>
              <w:top w:val="none" w:sz="0" w:space="0" w:color="auto"/>
              <w:bottom w:val="none" w:sz="0" w:space="0" w:color="auto"/>
            </w:tcBorders>
            <w:hideMark/>
          </w:tcPr>
          <w:p w14:paraId="14A4D107"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-1.41</w:t>
            </w:r>
          </w:p>
        </w:tc>
        <w:tc>
          <w:tcPr>
            <w:tcW w:w="1096" w:type="dxa"/>
            <w:tcBorders>
              <w:top w:val="none" w:sz="0" w:space="0" w:color="auto"/>
              <w:bottom w:val="none" w:sz="0" w:space="0" w:color="auto"/>
            </w:tcBorders>
            <w:hideMark/>
          </w:tcPr>
          <w:p w14:paraId="11F3BEA1"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0.158</w:t>
            </w:r>
          </w:p>
        </w:tc>
        <w:tc>
          <w:tcPr>
            <w:tcW w:w="1325" w:type="dxa"/>
            <w:tcBorders>
              <w:top w:val="none" w:sz="0" w:space="0" w:color="auto"/>
              <w:bottom w:val="none" w:sz="0" w:space="0" w:color="auto"/>
            </w:tcBorders>
            <w:hideMark/>
          </w:tcPr>
          <w:p w14:paraId="4EE4EC19"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-0.752</w:t>
            </w:r>
          </w:p>
        </w:tc>
        <w:tc>
          <w:tcPr>
            <w:tcW w:w="1208" w:type="dxa"/>
            <w:tcBorders>
              <w:top w:val="none" w:sz="0" w:space="0" w:color="auto"/>
              <w:bottom w:val="none" w:sz="0" w:space="0" w:color="auto"/>
            </w:tcBorders>
            <w:hideMark/>
          </w:tcPr>
          <w:p w14:paraId="3F424B1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0.122</w:t>
            </w:r>
          </w:p>
        </w:tc>
      </w:tr>
      <w:tr w:rsidR="00251B8A" w:rsidRPr="00251B8A" w14:paraId="73C4A9CF"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03A7467F"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FSIZ</w:t>
            </w:r>
          </w:p>
        </w:tc>
        <w:tc>
          <w:tcPr>
            <w:tcW w:w="1205" w:type="dxa"/>
            <w:hideMark/>
          </w:tcPr>
          <w:p w14:paraId="434839CC"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-0.007</w:t>
            </w:r>
          </w:p>
        </w:tc>
        <w:tc>
          <w:tcPr>
            <w:tcW w:w="1342" w:type="dxa"/>
            <w:hideMark/>
          </w:tcPr>
          <w:p w14:paraId="44DE21C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0.060</w:t>
            </w:r>
          </w:p>
        </w:tc>
        <w:tc>
          <w:tcPr>
            <w:tcW w:w="889" w:type="dxa"/>
            <w:hideMark/>
          </w:tcPr>
          <w:p w14:paraId="18C27A88"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-0.12</w:t>
            </w:r>
          </w:p>
        </w:tc>
        <w:tc>
          <w:tcPr>
            <w:tcW w:w="1096" w:type="dxa"/>
            <w:hideMark/>
          </w:tcPr>
          <w:p w14:paraId="77E35F7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0.902</w:t>
            </w:r>
          </w:p>
        </w:tc>
        <w:tc>
          <w:tcPr>
            <w:tcW w:w="1325" w:type="dxa"/>
            <w:hideMark/>
          </w:tcPr>
          <w:p w14:paraId="68D22A9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-0.125</w:t>
            </w:r>
          </w:p>
        </w:tc>
        <w:tc>
          <w:tcPr>
            <w:tcW w:w="1208" w:type="dxa"/>
            <w:hideMark/>
          </w:tcPr>
          <w:p w14:paraId="61B83B3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0.110</w:t>
            </w:r>
          </w:p>
        </w:tc>
      </w:tr>
      <w:tr w:rsidR="00251B8A" w:rsidRPr="00251B8A" w14:paraId="47F2B23C"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5AB35B90"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AGE</w:t>
            </w:r>
          </w:p>
        </w:tc>
        <w:tc>
          <w:tcPr>
            <w:tcW w:w="1205" w:type="dxa"/>
            <w:tcBorders>
              <w:top w:val="none" w:sz="0" w:space="0" w:color="auto"/>
              <w:bottom w:val="none" w:sz="0" w:space="0" w:color="auto"/>
            </w:tcBorders>
            <w:hideMark/>
          </w:tcPr>
          <w:p w14:paraId="2DCC9CC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0.004</w:t>
            </w:r>
          </w:p>
        </w:tc>
        <w:tc>
          <w:tcPr>
            <w:tcW w:w="1342" w:type="dxa"/>
            <w:tcBorders>
              <w:top w:val="none" w:sz="0" w:space="0" w:color="auto"/>
              <w:bottom w:val="none" w:sz="0" w:space="0" w:color="auto"/>
            </w:tcBorders>
            <w:hideMark/>
          </w:tcPr>
          <w:p w14:paraId="1DA71C44"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0.004</w:t>
            </w:r>
          </w:p>
        </w:tc>
        <w:tc>
          <w:tcPr>
            <w:tcW w:w="889" w:type="dxa"/>
            <w:tcBorders>
              <w:top w:val="none" w:sz="0" w:space="0" w:color="auto"/>
              <w:bottom w:val="none" w:sz="0" w:space="0" w:color="auto"/>
            </w:tcBorders>
            <w:hideMark/>
          </w:tcPr>
          <w:p w14:paraId="2EF4295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1.00</w:t>
            </w:r>
          </w:p>
        </w:tc>
        <w:tc>
          <w:tcPr>
            <w:tcW w:w="1096" w:type="dxa"/>
            <w:tcBorders>
              <w:top w:val="none" w:sz="0" w:space="0" w:color="auto"/>
              <w:bottom w:val="none" w:sz="0" w:space="0" w:color="auto"/>
            </w:tcBorders>
            <w:hideMark/>
          </w:tcPr>
          <w:p w14:paraId="67E35AE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0.318</w:t>
            </w:r>
          </w:p>
        </w:tc>
        <w:tc>
          <w:tcPr>
            <w:tcW w:w="1325" w:type="dxa"/>
            <w:tcBorders>
              <w:top w:val="none" w:sz="0" w:space="0" w:color="auto"/>
              <w:bottom w:val="none" w:sz="0" w:space="0" w:color="auto"/>
            </w:tcBorders>
            <w:hideMark/>
          </w:tcPr>
          <w:p w14:paraId="18243242"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-0.004</w:t>
            </w:r>
          </w:p>
        </w:tc>
        <w:tc>
          <w:tcPr>
            <w:tcW w:w="1208" w:type="dxa"/>
            <w:tcBorders>
              <w:top w:val="none" w:sz="0" w:space="0" w:color="auto"/>
              <w:bottom w:val="none" w:sz="0" w:space="0" w:color="auto"/>
            </w:tcBorders>
            <w:hideMark/>
          </w:tcPr>
          <w:p w14:paraId="3FA8C0A1"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0.011</w:t>
            </w:r>
          </w:p>
        </w:tc>
      </w:tr>
      <w:tr w:rsidR="00251B8A" w:rsidRPr="00251B8A" w14:paraId="2A38314B"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44AC8828"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Constant</w:t>
            </w:r>
          </w:p>
        </w:tc>
        <w:tc>
          <w:tcPr>
            <w:tcW w:w="1205" w:type="dxa"/>
            <w:hideMark/>
          </w:tcPr>
          <w:p w14:paraId="29F030A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-3.990</w:t>
            </w:r>
          </w:p>
        </w:tc>
        <w:tc>
          <w:tcPr>
            <w:tcW w:w="1342" w:type="dxa"/>
            <w:hideMark/>
          </w:tcPr>
          <w:p w14:paraId="7E86A95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4.006</w:t>
            </w:r>
          </w:p>
        </w:tc>
        <w:tc>
          <w:tcPr>
            <w:tcW w:w="889" w:type="dxa"/>
            <w:hideMark/>
          </w:tcPr>
          <w:p w14:paraId="0F1B5D6D"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-1.00</w:t>
            </w:r>
          </w:p>
        </w:tc>
        <w:tc>
          <w:tcPr>
            <w:tcW w:w="1096" w:type="dxa"/>
            <w:hideMark/>
          </w:tcPr>
          <w:p w14:paraId="27DBEAF4"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0.319</w:t>
            </w:r>
          </w:p>
        </w:tc>
        <w:tc>
          <w:tcPr>
            <w:tcW w:w="1325" w:type="dxa"/>
            <w:hideMark/>
          </w:tcPr>
          <w:p w14:paraId="3AD149A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-11.842</w:t>
            </w:r>
          </w:p>
        </w:tc>
        <w:tc>
          <w:tcPr>
            <w:tcW w:w="1208" w:type="dxa"/>
            <w:hideMark/>
          </w:tcPr>
          <w:p w14:paraId="0A02D87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3.861</w:t>
            </w:r>
          </w:p>
        </w:tc>
      </w:tr>
      <w:tr w:rsidR="00251B8A" w:rsidRPr="00251B8A" w14:paraId="5A33C239"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bottom w:val="none" w:sz="0" w:space="0" w:color="auto"/>
            </w:tcBorders>
          </w:tcPr>
          <w:p w14:paraId="785B1B50" w14:textId="3EE31081" w:rsidR="00251B8A" w:rsidRPr="00251B8A" w:rsidRDefault="00251B8A" w:rsidP="00790F4E">
            <w:pPr>
              <w:rPr>
                <w:rFonts w:ascii="Times New Roman" w:hAnsi="Times New Roman" w:cs="Times New Roman"/>
              </w:rPr>
            </w:pPr>
            <w:r w:rsidRPr="00251B8A">
              <w:rPr>
                <w:rFonts w:ascii="Times New Roman" w:hAnsi="Times New Roman" w:cs="Times New Roman"/>
              </w:rPr>
              <w:t>Model statistics:</w:t>
            </w:r>
            <w:r>
              <w:rPr>
                <w:rFonts w:ascii="Times New Roman" w:hAnsi="Times New Roman" w:cs="Times New Roman"/>
              </w:rPr>
              <w:t xml:space="preserve"> </w:t>
            </w:r>
            <w:proofErr w:type="spellStart"/>
            <w:r>
              <w:rPr>
                <w:rFonts w:ascii="Times New Roman" w:hAnsi="Times New Roman" w:cs="Times New Roman"/>
              </w:rPr>
              <w:t>Obs</w:t>
            </w:r>
            <w:proofErr w:type="spellEnd"/>
            <w:r w:rsidRPr="00251B8A">
              <w:rPr>
                <w:rFonts w:ascii="Times New Roman" w:hAnsi="Times New Roman" w:cs="Times New Roman"/>
              </w:rPr>
              <w:t xml:space="preserve"> = 1</w:t>
            </w:r>
            <w:r w:rsidR="002A54DE">
              <w:rPr>
                <w:rFonts w:ascii="Times New Roman" w:hAnsi="Times New Roman" w:cs="Times New Roman"/>
              </w:rPr>
              <w:t>20</w:t>
            </w:r>
            <w:r>
              <w:rPr>
                <w:rFonts w:ascii="Times New Roman" w:hAnsi="Times New Roman" w:cs="Times New Roman"/>
              </w:rPr>
              <w:t>; G</w:t>
            </w:r>
            <w:r w:rsidRPr="00251B8A">
              <w:rPr>
                <w:rFonts w:ascii="Times New Roman" w:hAnsi="Times New Roman" w:cs="Times New Roman"/>
              </w:rPr>
              <w:t>roups = 1</w:t>
            </w:r>
            <w:r w:rsidR="002A54DE">
              <w:rPr>
                <w:rFonts w:ascii="Times New Roman" w:hAnsi="Times New Roman" w:cs="Times New Roman"/>
              </w:rPr>
              <w:t>2</w:t>
            </w:r>
            <w:r>
              <w:rPr>
                <w:rFonts w:ascii="Times New Roman" w:hAnsi="Times New Roman" w:cs="Times New Roman"/>
              </w:rPr>
              <w:t xml:space="preserve">; </w:t>
            </w:r>
            <w:r w:rsidRPr="00251B8A">
              <w:rPr>
                <w:rFonts w:ascii="Times New Roman" w:hAnsi="Times New Roman" w:cs="Times New Roman"/>
              </w:rPr>
              <w:t>Wald chi</w:t>
            </w:r>
            <w:proofErr w:type="gramStart"/>
            <w:r w:rsidRPr="00251B8A">
              <w:rPr>
                <w:rFonts w:ascii="Times New Roman" w:hAnsi="Times New Roman" w:cs="Times New Roman"/>
              </w:rPr>
              <w:t>²(</w:t>
            </w:r>
            <w:proofErr w:type="gramEnd"/>
            <w:r w:rsidRPr="00251B8A">
              <w:rPr>
                <w:rFonts w:ascii="Times New Roman" w:hAnsi="Times New Roman" w:cs="Times New Roman"/>
              </w:rPr>
              <w:t>10) = 48.13</w:t>
            </w:r>
            <w:r>
              <w:rPr>
                <w:rFonts w:ascii="Times New Roman" w:hAnsi="Times New Roman" w:cs="Times New Roman"/>
              </w:rPr>
              <w:t xml:space="preserve">; </w:t>
            </w:r>
            <w:r w:rsidRPr="00251B8A">
              <w:rPr>
                <w:rFonts w:ascii="Times New Roman" w:hAnsi="Times New Roman" w:cs="Times New Roman"/>
              </w:rPr>
              <w:t>Prob &gt; chi² = 0.0000</w:t>
            </w:r>
            <w:r>
              <w:rPr>
                <w:rFonts w:ascii="Times New Roman" w:hAnsi="Times New Roman" w:cs="Times New Roman"/>
              </w:rPr>
              <w:t xml:space="preserve">; </w:t>
            </w:r>
            <w:r w:rsidRPr="00251B8A">
              <w:rPr>
                <w:rFonts w:ascii="Times New Roman" w:hAnsi="Times New Roman" w:cs="Times New Roman"/>
              </w:rPr>
              <w:t>Within R² = 0.178</w:t>
            </w:r>
            <w:r>
              <w:rPr>
                <w:rFonts w:ascii="Times New Roman" w:hAnsi="Times New Roman" w:cs="Times New Roman"/>
              </w:rPr>
              <w:t xml:space="preserve">; </w:t>
            </w:r>
            <w:r w:rsidRPr="00251B8A">
              <w:rPr>
                <w:rFonts w:ascii="Times New Roman" w:hAnsi="Times New Roman" w:cs="Times New Roman"/>
              </w:rPr>
              <w:t>Between R² = 0.558</w:t>
            </w:r>
            <w:r>
              <w:rPr>
                <w:rFonts w:ascii="Times New Roman" w:hAnsi="Times New Roman" w:cs="Times New Roman"/>
              </w:rPr>
              <w:t xml:space="preserve">; </w:t>
            </w:r>
            <w:r w:rsidRPr="00251B8A">
              <w:rPr>
                <w:rFonts w:ascii="Times New Roman" w:hAnsi="Times New Roman" w:cs="Times New Roman"/>
              </w:rPr>
              <w:t>Overall R² = 0.336</w:t>
            </w:r>
            <w:r>
              <w:rPr>
                <w:rFonts w:ascii="Times New Roman" w:hAnsi="Times New Roman" w:cs="Times New Roman"/>
              </w:rPr>
              <w:t xml:space="preserve">; </w:t>
            </w:r>
            <w:r w:rsidRPr="00251B8A">
              <w:rPr>
                <w:rFonts w:ascii="Times New Roman" w:hAnsi="Times New Roman" w:cs="Times New Roman"/>
              </w:rPr>
              <w:t>rho = 0.000</w:t>
            </w:r>
          </w:p>
        </w:tc>
      </w:tr>
    </w:tbl>
    <w:p w14:paraId="48C7C3B7" w14:textId="083A8180" w:rsidR="00251B8A" w:rsidRPr="00251B8A" w:rsidRDefault="00251B8A" w:rsidP="00251B8A">
      <w:pPr>
        <w:jc w:val="both"/>
        <w:rPr>
          <w:rFonts w:ascii="Times New Roman" w:hAnsi="Times New Roman" w:cs="Times New Roman"/>
          <w:b/>
          <w:bCs/>
        </w:rPr>
      </w:pPr>
      <w:r>
        <w:rPr>
          <w:rFonts w:ascii="Times New Roman" w:hAnsi="Times New Roman" w:cs="Times New Roman"/>
          <w:b/>
          <w:bCs/>
        </w:rPr>
        <w:t>Source: Researchers’ Computation (2026)</w:t>
      </w:r>
    </w:p>
    <w:p w14:paraId="3ED60080" w14:textId="5C702559" w:rsidR="00E9411D" w:rsidRP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t xml:space="preserve">Table </w:t>
      </w:r>
      <w:r w:rsidR="006C04CE">
        <w:rPr>
          <w:rFonts w:ascii="Times New Roman" w:hAnsi="Times New Roman" w:cs="Times New Roman"/>
        </w:rPr>
        <w:t>6</w:t>
      </w:r>
      <w:r w:rsidRPr="00E9411D">
        <w:rPr>
          <w:rFonts w:ascii="Times New Roman" w:hAnsi="Times New Roman" w:cs="Times New Roman"/>
        </w:rPr>
        <w:t xml:space="preserve"> presented the random effects GLS results with moderating effects and showed that the model was highly significant overall, as indicated by the Wald chi² value of 48.13 with a p value of 0.0000, suggesting strong joint explanatory power. Training expenditure (TRNEXP) had a negative and significant effect on firm value (β = -2.346, p = 0.036), however, its interaction with board independence (TRNEXP × BIND) was positive and significant (β = 0.466, p = 0.039), indicating that board independence mitigated the negative effect and enhanced value outcomes. Similarly, training participation rate (TRNPR) showed a negative effect that was marginally significant (p = 0.056), while its interaction with board independence was positive at a marginal level (p = 0.060), suggesting a conditional improvement in firm value. In contrast, training intensity (TRNINT) had a positive and significant direct effect (β = 1.224, p = 0.015), but its interaction with board independence was negative and significant (β = -0.246, p = 0.016), implying that excessive board monitoring may weaken its positive impact.</w:t>
      </w:r>
    </w:p>
    <w:p w14:paraId="32DE0F4F" w14:textId="77777777" w:rsidR="00E9411D" w:rsidRP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lastRenderedPageBreak/>
        <w:t>Furthermore, human capital investment ratio (HCIR) and its interaction with board independence were both statistically insignificant, indicating limited moderating influence. Board independence (BIND) itself was positive but insignificant, suggesting that its primary role was through interaction rather than direct effect. The control variables, firm size (FSIZ) and firm age (AGE), remained insignificant, confirming their weak explanatory power in the model. The model showed improved explanatory strength, with an overall R² of 0.336, indicating that about 33.6 percent of the variation in firm value was explained. The rho value of 0.000 suggested minimal unobserved panel heterogeneity, reinforcing the robustness of the estimates and highlighting the importance of interaction effects in explaining firm value dynamics.</w:t>
      </w:r>
    </w:p>
    <w:p w14:paraId="1B22B1AD" w14:textId="63DD4C28" w:rsidR="00251B8A" w:rsidRDefault="00251B8A" w:rsidP="00251B8A">
      <w:pPr>
        <w:jc w:val="both"/>
        <w:rPr>
          <w:rFonts w:ascii="Times New Roman" w:hAnsi="Times New Roman" w:cs="Times New Roman"/>
          <w:b/>
          <w:bCs/>
        </w:rPr>
      </w:pPr>
      <w:r w:rsidRPr="00251B8A">
        <w:rPr>
          <w:rFonts w:ascii="Times New Roman" w:hAnsi="Times New Roman" w:cs="Times New Roman"/>
          <w:b/>
          <w:bCs/>
        </w:rPr>
        <w:t xml:space="preserve">4.6 </w:t>
      </w:r>
      <w:r w:rsidR="00381E8B">
        <w:rPr>
          <w:rFonts w:ascii="Times New Roman" w:hAnsi="Times New Roman" w:cs="Times New Roman"/>
          <w:b/>
          <w:bCs/>
        </w:rPr>
        <w:tab/>
      </w:r>
      <w:r w:rsidRPr="00251B8A">
        <w:rPr>
          <w:rFonts w:ascii="Times New Roman" w:hAnsi="Times New Roman" w:cs="Times New Roman"/>
          <w:b/>
          <w:bCs/>
        </w:rPr>
        <w:t>Discussion of Findings</w:t>
      </w:r>
    </w:p>
    <w:p w14:paraId="7740CD20" w14:textId="79905771"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 xml:space="preserve">The findings revealed that training expenditure and participation rate exerted negative and significant effects on firm value, while training intensity showed a positive and significant influence, and human capital investment ratio remained insignificant. This suggests that mere financial allocation and broad participation without strategic depth may reduce efficiency, whereas intensive and structured training enhances value creation. Consistent with this, Agyemang and Ofori (2023) and Salisu and Mohammed (2024) found positive performance effects of training, although the present result contrasts with Ezeani et al. (2023) who emphasized consistent positive effects across proxies. Furthermore, </w:t>
      </w:r>
      <w:proofErr w:type="spellStart"/>
      <w:r w:rsidRPr="00D533FD">
        <w:rPr>
          <w:rFonts w:ascii="Times New Roman" w:hAnsi="Times New Roman" w:cs="Times New Roman"/>
        </w:rPr>
        <w:t>Tuamyil</w:t>
      </w:r>
      <w:proofErr w:type="spellEnd"/>
      <w:r w:rsidRPr="00D533FD">
        <w:rPr>
          <w:rFonts w:ascii="Times New Roman" w:hAnsi="Times New Roman" w:cs="Times New Roman"/>
        </w:rPr>
        <w:t xml:space="preserve"> (2024), Diaz et al. (2025), and Dearden et al. (2022) supported the importance of training structure over mere expenditure (</w:t>
      </w:r>
      <w:proofErr w:type="spellStart"/>
      <w:r w:rsidRPr="00D533FD">
        <w:rPr>
          <w:rFonts w:ascii="Times New Roman" w:hAnsi="Times New Roman" w:cs="Times New Roman"/>
        </w:rPr>
        <w:t>Tuamyil</w:t>
      </w:r>
      <w:proofErr w:type="spellEnd"/>
      <w:r w:rsidRPr="00D533FD">
        <w:rPr>
          <w:rFonts w:ascii="Times New Roman" w:hAnsi="Times New Roman" w:cs="Times New Roman"/>
        </w:rPr>
        <w:t>, 2024; Diaz et al., 2025; Dearden et al., 2022). The findings align with human capital theory by confirming that productive capability depends on effective investment, and with signaling theory by suggesting that poorly structured training sends weak signals to investors. Therefore, policy should prioritize outcome-based training frameworks and enforce disclosure standards that emphasize training quality rather than quantity.</w:t>
      </w:r>
    </w:p>
    <w:p w14:paraId="0C0A4C2C" w14:textId="31778BC1"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 xml:space="preserve">The moderating analysis showed that board independence significantly altered the relationship between training investment and firm value, particularly by mitigating the negative effect of training expenditure and improving the value relevance of participation rate, while weakening the positive impact of training intensity. This indicates that governance mechanisms play a critical role in optimizing human capital investments, although excessive monitoring may constrain operational flexibility. This finding is consistent with </w:t>
      </w:r>
      <w:proofErr w:type="spellStart"/>
      <w:r w:rsidRPr="00D533FD">
        <w:rPr>
          <w:rFonts w:ascii="Times New Roman" w:hAnsi="Times New Roman" w:cs="Times New Roman"/>
        </w:rPr>
        <w:t>Uwuigbe</w:t>
      </w:r>
      <w:proofErr w:type="spellEnd"/>
      <w:r w:rsidRPr="00D533FD">
        <w:rPr>
          <w:rFonts w:ascii="Times New Roman" w:hAnsi="Times New Roman" w:cs="Times New Roman"/>
        </w:rPr>
        <w:t xml:space="preserve"> et al. (2023) and </w:t>
      </w:r>
      <w:proofErr w:type="spellStart"/>
      <w:r w:rsidRPr="00D533FD">
        <w:rPr>
          <w:rFonts w:ascii="Times New Roman" w:hAnsi="Times New Roman" w:cs="Times New Roman"/>
        </w:rPr>
        <w:t>Bukari</w:t>
      </w:r>
      <w:proofErr w:type="spellEnd"/>
      <w:r w:rsidRPr="00D533FD">
        <w:rPr>
          <w:rFonts w:ascii="Times New Roman" w:hAnsi="Times New Roman" w:cs="Times New Roman"/>
        </w:rPr>
        <w:t xml:space="preserve"> et al. (2024) who </w:t>
      </w:r>
      <w:r w:rsidRPr="00D533FD">
        <w:rPr>
          <w:rFonts w:ascii="Times New Roman" w:hAnsi="Times New Roman" w:cs="Times New Roman"/>
        </w:rPr>
        <w:lastRenderedPageBreak/>
        <w:t>reported that governance enhances value outcomes, but contrasts with Wang et al. (2022) who found negative governance effects. In addition, Ahmed et al. (2025), Adedoyin et al. (2023), and Liu et al. (2023) confirmed the strategic role of board independence in shaping firm performance (Ahmed et al., 2025; Adedoyin et al., 2023; Liu et al., 2023). The findings support human capital theory by highlighting governance as a complementary mechanism for efficient resource utilization, and signaling theory by showing that independent boards enhance the credibility of training-related signals. Consequently, policy should strengthen board independence requirements and ensure directors possess relevant expertise to evaluate human capital investments effectively.</w:t>
      </w:r>
    </w:p>
    <w:p w14:paraId="0218FE18" w14:textId="52392EC6"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 xml:space="preserve">The results further indicated that control variables, firm size and firm age, were statistically insignificant in explaining firm value, suggesting that structural characteristics alone do not drive valuation without effective strategic investments. This implies that firm value in the oil and gas sector is more sensitive to internal capability development and governance quality than to scale or maturity. This finding aligns with Adebayo et al. (2023) and Moses (2023) who emphasized inefficiencies in market valuation, but contrasts with David et al. (2025) who reported significant firm characteristics effects. Supporting evidence from Yahaya (2024), </w:t>
      </w:r>
      <w:proofErr w:type="spellStart"/>
      <w:r w:rsidRPr="00D533FD">
        <w:rPr>
          <w:rFonts w:ascii="Times New Roman" w:hAnsi="Times New Roman" w:cs="Times New Roman"/>
        </w:rPr>
        <w:t>Intara</w:t>
      </w:r>
      <w:proofErr w:type="spellEnd"/>
      <w:r w:rsidRPr="00D533FD">
        <w:rPr>
          <w:rFonts w:ascii="Times New Roman" w:hAnsi="Times New Roman" w:cs="Times New Roman"/>
        </w:rPr>
        <w:t xml:space="preserve"> (2024), and </w:t>
      </w:r>
      <w:proofErr w:type="spellStart"/>
      <w:r w:rsidRPr="00D533FD">
        <w:rPr>
          <w:rFonts w:ascii="Times New Roman" w:hAnsi="Times New Roman" w:cs="Times New Roman"/>
        </w:rPr>
        <w:t>Onipe</w:t>
      </w:r>
      <w:proofErr w:type="spellEnd"/>
      <w:r w:rsidRPr="00D533FD">
        <w:rPr>
          <w:rFonts w:ascii="Times New Roman" w:hAnsi="Times New Roman" w:cs="Times New Roman"/>
        </w:rPr>
        <w:t xml:space="preserve"> (2024) further highlighted governance and intangible assets as key drivers (Yahaya, 2024; </w:t>
      </w:r>
      <w:proofErr w:type="spellStart"/>
      <w:r w:rsidRPr="00D533FD">
        <w:rPr>
          <w:rFonts w:ascii="Times New Roman" w:hAnsi="Times New Roman" w:cs="Times New Roman"/>
        </w:rPr>
        <w:t>Intara</w:t>
      </w:r>
      <w:proofErr w:type="spellEnd"/>
      <w:r w:rsidRPr="00D533FD">
        <w:rPr>
          <w:rFonts w:ascii="Times New Roman" w:hAnsi="Times New Roman" w:cs="Times New Roman"/>
        </w:rPr>
        <w:t xml:space="preserve">, 2024; </w:t>
      </w:r>
      <w:proofErr w:type="spellStart"/>
      <w:r w:rsidRPr="00D533FD">
        <w:rPr>
          <w:rFonts w:ascii="Times New Roman" w:hAnsi="Times New Roman" w:cs="Times New Roman"/>
        </w:rPr>
        <w:t>Onipe</w:t>
      </w:r>
      <w:proofErr w:type="spellEnd"/>
      <w:r w:rsidRPr="00D533FD">
        <w:rPr>
          <w:rFonts w:ascii="Times New Roman" w:hAnsi="Times New Roman" w:cs="Times New Roman"/>
        </w:rPr>
        <w:t>, 2024). The findings reinforce human capital theory by emphasizing capability over size, and signaling theory by indicating that investors respond more to strategic signals than firm demographics. Thus, policy should shift focus from structural incentives to capability-based performance metrics and governance reforms.</w:t>
      </w:r>
    </w:p>
    <w:p w14:paraId="13D8847C" w14:textId="76C43C97"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 xml:space="preserve">Finally, the overall model demonstrated improved explanatory power when moderating effects were introduced, confirming that interaction dynamics between training investment and board independence significantly enhance firm value explanation. This underscores the importance of integrating governance and human capital perspectives in firm valuation models. The result is consistent with </w:t>
      </w:r>
      <w:proofErr w:type="spellStart"/>
      <w:r w:rsidRPr="00D533FD">
        <w:rPr>
          <w:rFonts w:ascii="Times New Roman" w:hAnsi="Times New Roman" w:cs="Times New Roman"/>
        </w:rPr>
        <w:t>Zouari-Hadiji</w:t>
      </w:r>
      <w:proofErr w:type="spellEnd"/>
      <w:r w:rsidRPr="00D533FD">
        <w:rPr>
          <w:rFonts w:ascii="Times New Roman" w:hAnsi="Times New Roman" w:cs="Times New Roman"/>
        </w:rPr>
        <w:t xml:space="preserve"> and </w:t>
      </w:r>
      <w:proofErr w:type="spellStart"/>
      <w:r w:rsidRPr="00D533FD">
        <w:rPr>
          <w:rFonts w:ascii="Times New Roman" w:hAnsi="Times New Roman" w:cs="Times New Roman"/>
        </w:rPr>
        <w:t>Khlif</w:t>
      </w:r>
      <w:proofErr w:type="spellEnd"/>
      <w:r w:rsidRPr="00D533FD">
        <w:rPr>
          <w:rFonts w:ascii="Times New Roman" w:hAnsi="Times New Roman" w:cs="Times New Roman"/>
        </w:rPr>
        <w:t xml:space="preserve"> (2022), Connelly et al. (2025), and Fathi (2025) who emphasized interaction effects and signaling mechanisms, but extends prior studies by incorporating multidimensional training proxies. Additional support from Soomro (2026), Estévez-Mendoza and Montoro-Sánchez (2024), and </w:t>
      </w:r>
      <w:proofErr w:type="spellStart"/>
      <w:r w:rsidRPr="00D533FD">
        <w:rPr>
          <w:rFonts w:ascii="Times New Roman" w:hAnsi="Times New Roman" w:cs="Times New Roman"/>
        </w:rPr>
        <w:t>Dhaigude</w:t>
      </w:r>
      <w:proofErr w:type="spellEnd"/>
      <w:r w:rsidRPr="00D533FD">
        <w:rPr>
          <w:rFonts w:ascii="Times New Roman" w:hAnsi="Times New Roman" w:cs="Times New Roman"/>
        </w:rPr>
        <w:t xml:space="preserve"> (2024) highlighted the role of governance in enhancing value creation (Soomro, 2026; Estévez-Mendoza &amp; Montoro-Sánchez, 2024; </w:t>
      </w:r>
      <w:proofErr w:type="spellStart"/>
      <w:r w:rsidRPr="00D533FD">
        <w:rPr>
          <w:rFonts w:ascii="Times New Roman" w:hAnsi="Times New Roman" w:cs="Times New Roman"/>
        </w:rPr>
        <w:t>Dhaigude</w:t>
      </w:r>
      <w:proofErr w:type="spellEnd"/>
      <w:r w:rsidRPr="00D533FD">
        <w:rPr>
          <w:rFonts w:ascii="Times New Roman" w:hAnsi="Times New Roman" w:cs="Times New Roman"/>
        </w:rPr>
        <w:t xml:space="preserve">, 2024). The findings strongly align with human capital theory by validating the productivity channel of training, </w:t>
      </w:r>
      <w:r w:rsidRPr="00D533FD">
        <w:rPr>
          <w:rFonts w:ascii="Times New Roman" w:hAnsi="Times New Roman" w:cs="Times New Roman"/>
        </w:rPr>
        <w:lastRenderedPageBreak/>
        <w:t>and with signaling theory by confirming that governance strengthens signal credibility. Therefore, policymakers and regulators should promote integrated governance and human capital reporting frameworks to improve transparency, investor confidence, and sustainable firm value.</w:t>
      </w:r>
    </w:p>
    <w:p w14:paraId="1DA97C2B" w14:textId="77777777" w:rsidR="00E9411D" w:rsidRDefault="00E9411D" w:rsidP="00251B8A">
      <w:pPr>
        <w:jc w:val="both"/>
        <w:rPr>
          <w:rFonts w:ascii="Times New Roman" w:hAnsi="Times New Roman" w:cs="Times New Roman"/>
        </w:rPr>
      </w:pPr>
    </w:p>
    <w:p w14:paraId="2409786D" w14:textId="77777777" w:rsidR="00D533FD" w:rsidRDefault="00D533FD" w:rsidP="00251B8A">
      <w:pPr>
        <w:jc w:val="both"/>
        <w:rPr>
          <w:rFonts w:ascii="Times New Roman" w:hAnsi="Times New Roman" w:cs="Times New Roman"/>
        </w:rPr>
      </w:pPr>
    </w:p>
    <w:p w14:paraId="14E5087B" w14:textId="0E964A18" w:rsidR="00D533FD" w:rsidRPr="007A2832" w:rsidRDefault="00D533FD" w:rsidP="00251B8A">
      <w:pPr>
        <w:jc w:val="both"/>
        <w:rPr>
          <w:rFonts w:ascii="Times New Roman" w:hAnsi="Times New Roman" w:cs="Times New Roman"/>
          <w:b/>
          <w:bCs/>
        </w:rPr>
      </w:pPr>
      <w:r w:rsidRPr="007A2832">
        <w:rPr>
          <w:rFonts w:ascii="Times New Roman" w:hAnsi="Times New Roman" w:cs="Times New Roman"/>
          <w:b/>
          <w:bCs/>
        </w:rPr>
        <w:t>5. Conclusion and Recommendations</w:t>
      </w:r>
    </w:p>
    <w:p w14:paraId="40F22518" w14:textId="77777777" w:rsidR="007A2832" w:rsidRPr="007A2832" w:rsidRDefault="007A2832" w:rsidP="007A2832">
      <w:pPr>
        <w:spacing w:line="360" w:lineRule="auto"/>
        <w:jc w:val="both"/>
        <w:rPr>
          <w:rFonts w:ascii="Times New Roman" w:hAnsi="Times New Roman" w:cs="Times New Roman"/>
        </w:rPr>
      </w:pPr>
      <w:r w:rsidRPr="007A2832">
        <w:rPr>
          <w:rFonts w:ascii="Times New Roman" w:hAnsi="Times New Roman" w:cs="Times New Roman"/>
        </w:rPr>
        <w:t>The study concluded that training investment exerted mixed but significant effects on firm value among listed oil and gas firms in Nigeria, as training intensity enhanced firm value while training expenditure and participation rate reduced it, and human capital investment ratio showed no significant impact. Furthermore, board indepe</w:t>
      </w:r>
      <w:bookmarkStart w:id="0" w:name="_GoBack"/>
      <w:bookmarkEnd w:id="0"/>
      <w:r w:rsidRPr="007A2832">
        <w:rPr>
          <w:rFonts w:ascii="Times New Roman" w:hAnsi="Times New Roman" w:cs="Times New Roman"/>
        </w:rPr>
        <w:t>ndence played a critical moderating role by strengthening the positive value relevance of some training components while weakening others, indicating that governance quality shaped the effectiveness of human capital investment. Consequently, these findings confirmed that firm value was not driven merely by the volume of training investment but by its efficiency, structure, and governance oversight, thereby supporting the complementary relevance of human capital theory and signaling theory in explaining firm value dynamics.</w:t>
      </w:r>
    </w:p>
    <w:p w14:paraId="2485DA1E" w14:textId="77777777" w:rsidR="007A2832" w:rsidRPr="007A2832" w:rsidRDefault="007A2832" w:rsidP="007A2832">
      <w:pPr>
        <w:spacing w:line="360" w:lineRule="auto"/>
        <w:jc w:val="both"/>
        <w:rPr>
          <w:rFonts w:ascii="Times New Roman" w:hAnsi="Times New Roman" w:cs="Times New Roman"/>
        </w:rPr>
      </w:pPr>
      <w:r w:rsidRPr="007A2832">
        <w:rPr>
          <w:rFonts w:ascii="Times New Roman" w:hAnsi="Times New Roman" w:cs="Times New Roman"/>
        </w:rPr>
        <w:t>Accordingly, the study recommended that firms should prioritize structured and outcome driven training programs rather than indiscriminate expenditure, with emphasis on training intensity and measurable performance outcomes. In addition, regulatory authorities and policymakers should strengthen corporate governance frameworks by enhancing board independence and ensuring that board members possess relevant expertise to effectively monitor human capital investments. Moreover, firms should improve disclosure practices on training activities to enhance transparency and signal future performance to investors, while integrated policy frameworks should align human capital development with corporate governance mechanisms in order to promote sustainable firm value and improve investor confidence in the Nigerian oil and gas sector.</w:t>
      </w:r>
    </w:p>
    <w:p w14:paraId="3E0D86EB" w14:textId="77777777" w:rsidR="007A2832" w:rsidRPr="007A2832" w:rsidRDefault="007A2832" w:rsidP="007A2832">
      <w:pPr>
        <w:spacing w:line="360" w:lineRule="auto"/>
        <w:jc w:val="both"/>
        <w:rPr>
          <w:rFonts w:ascii="Times New Roman" w:hAnsi="Times New Roman" w:cs="Times New Roman"/>
        </w:rPr>
      </w:pPr>
      <w:r w:rsidRPr="007A2832">
        <w:rPr>
          <w:rFonts w:ascii="Times New Roman" w:hAnsi="Times New Roman" w:cs="Times New Roman"/>
        </w:rPr>
        <w:t xml:space="preserve">In view of these outcomes, this study contributed to knowledge by extending the firm value literature through integrating multidimensional training investment proxies with board independence as a moderating variable within a single empirical framework, thereby providing nuanced evidence that the value relevance of human capital investment depended on both its structure and governance oversight. It further advanced existing studies by demonstrating that </w:t>
      </w:r>
      <w:r w:rsidRPr="007A2832">
        <w:rPr>
          <w:rFonts w:ascii="Times New Roman" w:hAnsi="Times New Roman" w:cs="Times New Roman"/>
        </w:rPr>
        <w:lastRenderedPageBreak/>
        <w:t>training intensity enhanced firm value while other proxies yielded mixed effects, and by establishing that board independence conditioned these relationships, thus bridging the gap between human capital theory and signaling theory. Therefore, future studies should examine sectoral variations beyond oil and gas, incorporate additional governance mechanisms such as board expertise and ownership structure, and explore alternative measures of firm value and training quality using mixed methods approaches, while extending the time horizon and considering cross country comparative analysis to enhance generalizability.</w:t>
      </w:r>
    </w:p>
    <w:p w14:paraId="32285465" w14:textId="067F95C2" w:rsidR="0093288F" w:rsidRPr="006B4DD6" w:rsidRDefault="0093288F" w:rsidP="006B4DD6">
      <w:pPr>
        <w:jc w:val="center"/>
        <w:rPr>
          <w:rFonts w:ascii="Times New Roman" w:hAnsi="Times New Roman" w:cs="Times New Roman"/>
          <w:b/>
          <w:bCs/>
        </w:rPr>
      </w:pPr>
      <w:r w:rsidRPr="006B4DD6">
        <w:rPr>
          <w:rFonts w:ascii="Times New Roman" w:hAnsi="Times New Roman" w:cs="Times New Roman"/>
          <w:b/>
          <w:bCs/>
        </w:rPr>
        <w:t>Reference</w:t>
      </w:r>
    </w:p>
    <w:p w14:paraId="31C9CF81" w14:textId="77777777" w:rsidR="00E9411D" w:rsidRPr="00BC26A8" w:rsidRDefault="00E9411D" w:rsidP="0012786E">
      <w:pPr>
        <w:spacing w:line="240" w:lineRule="auto"/>
        <w:ind w:left="709" w:hanging="709"/>
        <w:jc w:val="both"/>
        <w:rPr>
          <w:rFonts w:ascii="Times New Roman" w:hAnsi="Times New Roman" w:cs="Times New Roman"/>
        </w:rPr>
      </w:pPr>
    </w:p>
    <w:p w14:paraId="3779E612" w14:textId="77777777" w:rsidR="00E9411D"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 xml:space="preserve">Adebayo, S. A., Olaoye, S. A., &amp; Adeyemi, S. B. (2023). Market inefficiencies and firm valuation in emerging African economies. </w:t>
      </w:r>
      <w:r w:rsidRPr="00FB0A5C">
        <w:rPr>
          <w:rFonts w:ascii="Times New Roman" w:hAnsi="Times New Roman" w:cs="Times New Roman"/>
          <w:i/>
          <w:iCs/>
        </w:rPr>
        <w:t>African Journal of Economic and Management Studies, 14</w:t>
      </w:r>
      <w:r w:rsidRPr="00FB0A5C">
        <w:rPr>
          <w:rFonts w:ascii="Times New Roman" w:hAnsi="Times New Roman" w:cs="Times New Roman"/>
        </w:rPr>
        <w:t>(2), 210–225.</w:t>
      </w:r>
    </w:p>
    <w:p w14:paraId="5A7C0FBD" w14:textId="77777777" w:rsidR="00E9411D" w:rsidRPr="007D01D7" w:rsidRDefault="00E9411D" w:rsidP="006C0A99">
      <w:pPr>
        <w:spacing w:line="240" w:lineRule="auto"/>
        <w:ind w:left="720" w:hanging="720"/>
        <w:jc w:val="both"/>
        <w:rPr>
          <w:rFonts w:ascii="Times New Roman" w:hAnsi="Times New Roman" w:cs="Times New Roman"/>
        </w:rPr>
      </w:pPr>
      <w:r w:rsidRPr="007D01D7">
        <w:rPr>
          <w:rFonts w:ascii="Times New Roman" w:hAnsi="Times New Roman" w:cs="Times New Roman"/>
        </w:rPr>
        <w:t xml:space="preserve">Adebiyi, W. K., </w:t>
      </w:r>
      <w:proofErr w:type="spellStart"/>
      <w:r w:rsidRPr="007D01D7">
        <w:rPr>
          <w:rFonts w:ascii="Times New Roman" w:hAnsi="Times New Roman" w:cs="Times New Roman"/>
        </w:rPr>
        <w:t>Olowookere</w:t>
      </w:r>
      <w:proofErr w:type="spellEnd"/>
      <w:r w:rsidRPr="007D01D7">
        <w:rPr>
          <w:rFonts w:ascii="Times New Roman" w:hAnsi="Times New Roman" w:cs="Times New Roman"/>
        </w:rPr>
        <w:t xml:space="preserve">, J. K., &amp; Akinleye, G. T. (2023). Corporate governance and firm value: Evidence from Nigeria. </w:t>
      </w:r>
      <w:r w:rsidRPr="007D01D7">
        <w:rPr>
          <w:rFonts w:ascii="Times New Roman" w:hAnsi="Times New Roman" w:cs="Times New Roman"/>
          <w:i/>
          <w:iCs/>
        </w:rPr>
        <w:t>International Journal of Business and Management Review, 11</w:t>
      </w:r>
      <w:r w:rsidRPr="007D01D7">
        <w:rPr>
          <w:rFonts w:ascii="Times New Roman" w:hAnsi="Times New Roman" w:cs="Times New Roman"/>
        </w:rPr>
        <w:t>(2), 45–60.</w:t>
      </w:r>
    </w:p>
    <w:p w14:paraId="690F238F" w14:textId="77777777" w:rsidR="00E9411D" w:rsidRPr="001059B3" w:rsidRDefault="00E9411D" w:rsidP="006C0A99">
      <w:pPr>
        <w:spacing w:line="240" w:lineRule="auto"/>
        <w:ind w:left="720" w:hanging="720"/>
        <w:jc w:val="both"/>
        <w:rPr>
          <w:rFonts w:ascii="Times New Roman" w:hAnsi="Times New Roman" w:cs="Times New Roman"/>
        </w:rPr>
      </w:pPr>
      <w:r w:rsidRPr="001059B3">
        <w:rPr>
          <w:rFonts w:ascii="Times New Roman" w:hAnsi="Times New Roman" w:cs="Times New Roman"/>
        </w:rPr>
        <w:t xml:space="preserve">Adedoyin, A., Adeleke, O., &amp; Oloruntoba, S. (2023). Board characteristics and firm value in Nigeria. </w:t>
      </w:r>
      <w:r w:rsidRPr="001059B3">
        <w:rPr>
          <w:rFonts w:ascii="Times New Roman" w:hAnsi="Times New Roman" w:cs="Times New Roman"/>
          <w:i/>
          <w:iCs/>
        </w:rPr>
        <w:t>African Journal of Economic and Management Studies, 14</w:t>
      </w:r>
      <w:r w:rsidRPr="001059B3">
        <w:rPr>
          <w:rFonts w:ascii="Times New Roman" w:hAnsi="Times New Roman" w:cs="Times New Roman"/>
        </w:rPr>
        <w:t>(4), 500–515.</w:t>
      </w:r>
    </w:p>
    <w:p w14:paraId="04D40AB5"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Adedoyin, F., Ajao, M., &amp; Oloyede, O. O. (2023). Board independence, corporate governance, and firm value: Evidence from Nigeria. </w:t>
      </w:r>
      <w:r w:rsidRPr="004A4249">
        <w:rPr>
          <w:rFonts w:ascii="Times New Roman" w:hAnsi="Times New Roman" w:cs="Times New Roman"/>
          <w:i/>
          <w:iCs/>
        </w:rPr>
        <w:t>Journal of Economic Structures, 12</w:t>
      </w:r>
      <w:r w:rsidRPr="004A4249">
        <w:rPr>
          <w:rFonts w:ascii="Times New Roman" w:hAnsi="Times New Roman" w:cs="Times New Roman"/>
        </w:rPr>
        <w:t>(1), 1–18. https://doi.org/10.1186/s40008-023-00256-7</w:t>
      </w:r>
    </w:p>
    <w:p w14:paraId="55AB687E" w14:textId="77777777" w:rsidR="00E9411D" w:rsidRDefault="00E9411D" w:rsidP="005A796A">
      <w:pPr>
        <w:spacing w:line="240" w:lineRule="auto"/>
        <w:ind w:left="709" w:hanging="709"/>
        <w:jc w:val="both"/>
        <w:rPr>
          <w:rFonts w:ascii="Times New Roman" w:hAnsi="Times New Roman" w:cs="Times New Roman"/>
        </w:rPr>
      </w:pPr>
      <w:r w:rsidRPr="005A796A">
        <w:rPr>
          <w:rFonts w:ascii="Times New Roman" w:hAnsi="Times New Roman" w:cs="Times New Roman"/>
        </w:rPr>
        <w:t xml:space="preserve">Adeleye, J. O., &amp; George, O. J. (2023). Effects of training and development on employees’ productivity in the Nigerian parastatals. </w:t>
      </w:r>
      <w:proofErr w:type="spellStart"/>
      <w:r w:rsidRPr="005A796A">
        <w:rPr>
          <w:rFonts w:ascii="Times New Roman" w:hAnsi="Times New Roman" w:cs="Times New Roman"/>
          <w:i/>
          <w:iCs/>
        </w:rPr>
        <w:t>Fuoye</w:t>
      </w:r>
      <w:proofErr w:type="spellEnd"/>
      <w:r w:rsidRPr="005A796A">
        <w:rPr>
          <w:rFonts w:ascii="Times New Roman" w:hAnsi="Times New Roman" w:cs="Times New Roman"/>
          <w:i/>
          <w:iCs/>
        </w:rPr>
        <w:t xml:space="preserve"> Journal of Finance and Contemporary Issues, 5</w:t>
      </w:r>
      <w:r w:rsidRPr="005A796A">
        <w:rPr>
          <w:rFonts w:ascii="Times New Roman" w:hAnsi="Times New Roman" w:cs="Times New Roman"/>
        </w:rPr>
        <w:t>(1), 155–170.</w:t>
      </w:r>
    </w:p>
    <w:p w14:paraId="2BD48018" w14:textId="77777777" w:rsidR="00E9411D" w:rsidRPr="00C250CB" w:rsidRDefault="00E9411D" w:rsidP="00C250CB">
      <w:pPr>
        <w:spacing w:line="240" w:lineRule="auto"/>
        <w:ind w:left="709" w:hanging="709"/>
        <w:jc w:val="both"/>
        <w:rPr>
          <w:rFonts w:ascii="Times New Roman" w:hAnsi="Times New Roman" w:cs="Times New Roman"/>
        </w:rPr>
      </w:pPr>
      <w:r w:rsidRPr="00C250CB">
        <w:rPr>
          <w:rFonts w:ascii="Times New Roman" w:hAnsi="Times New Roman" w:cs="Times New Roman"/>
        </w:rPr>
        <w:t xml:space="preserve">Adeosun, O. T. (2024). Human capital development, innovation, and industrial sector performance in Sub-Saharan Africa. </w:t>
      </w:r>
      <w:r w:rsidRPr="00C250CB">
        <w:rPr>
          <w:rFonts w:ascii="Times New Roman" w:hAnsi="Times New Roman" w:cs="Times New Roman"/>
          <w:i/>
          <w:iCs/>
        </w:rPr>
        <w:t>African Development Review, 36</w:t>
      </w:r>
      <w:r w:rsidRPr="00C250CB">
        <w:rPr>
          <w:rFonts w:ascii="Times New Roman" w:hAnsi="Times New Roman" w:cs="Times New Roman"/>
        </w:rPr>
        <w:t xml:space="preserve">(2), 245–261. </w:t>
      </w:r>
    </w:p>
    <w:p w14:paraId="29105B49"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Agyemang, O. S., &amp; Ofori, D. F. (2023). Human capital investment and firm performance: Evidence from emerging economies. </w:t>
      </w:r>
      <w:r w:rsidRPr="004A4249">
        <w:rPr>
          <w:rFonts w:ascii="Times New Roman" w:hAnsi="Times New Roman" w:cs="Times New Roman"/>
          <w:i/>
          <w:iCs/>
        </w:rPr>
        <w:t>African Journal of Economic and Management Studies, 14</w:t>
      </w:r>
      <w:r w:rsidRPr="004A4249">
        <w:rPr>
          <w:rFonts w:ascii="Times New Roman" w:hAnsi="Times New Roman" w:cs="Times New Roman"/>
        </w:rPr>
        <w:t>(3), 345–360. https://doi.org/10.1108/AJEMS-01-2023-0021</w:t>
      </w:r>
    </w:p>
    <w:p w14:paraId="08B0D0C1" w14:textId="77777777" w:rsidR="00E9411D" w:rsidRPr="001059B3" w:rsidRDefault="00E9411D" w:rsidP="006C0A99">
      <w:pPr>
        <w:spacing w:line="240" w:lineRule="auto"/>
        <w:ind w:left="720" w:hanging="720"/>
        <w:jc w:val="both"/>
        <w:rPr>
          <w:rFonts w:ascii="Times New Roman" w:hAnsi="Times New Roman" w:cs="Times New Roman"/>
        </w:rPr>
      </w:pPr>
      <w:r w:rsidRPr="001059B3">
        <w:rPr>
          <w:rFonts w:ascii="Times New Roman" w:hAnsi="Times New Roman" w:cs="Times New Roman"/>
        </w:rPr>
        <w:t xml:space="preserve">Ahmed, S. O., Ahmed, M. N., Tauhid, S., &amp; Yahaya, O. A. (2025). Board independence and capital structure of listed services firms in Nigeria, moderated by firm listing age. </w:t>
      </w:r>
      <w:r w:rsidRPr="001059B3">
        <w:rPr>
          <w:rFonts w:ascii="Times New Roman" w:hAnsi="Times New Roman" w:cs="Times New Roman"/>
          <w:i/>
          <w:iCs/>
        </w:rPr>
        <w:t>Journal of Accounting, Finance and Econometrics, 19</w:t>
      </w:r>
      <w:r w:rsidRPr="001059B3">
        <w:rPr>
          <w:rFonts w:ascii="Times New Roman" w:hAnsi="Times New Roman" w:cs="Times New Roman"/>
        </w:rPr>
        <w:t>(7), 103–119.</w:t>
      </w:r>
    </w:p>
    <w:p w14:paraId="329BACE6" w14:textId="77777777" w:rsidR="00E9411D" w:rsidRPr="007E328C" w:rsidRDefault="00E9411D" w:rsidP="006C0A99">
      <w:pPr>
        <w:spacing w:line="240" w:lineRule="auto"/>
        <w:ind w:left="720" w:hanging="720"/>
        <w:jc w:val="both"/>
        <w:rPr>
          <w:rFonts w:ascii="Times New Roman" w:hAnsi="Times New Roman" w:cs="Times New Roman"/>
        </w:rPr>
      </w:pPr>
      <w:r w:rsidRPr="007E328C">
        <w:rPr>
          <w:rFonts w:ascii="Times New Roman" w:hAnsi="Times New Roman" w:cs="Times New Roman"/>
        </w:rPr>
        <w:t xml:space="preserve">Al Naim, A., Alshammari, A., &amp; </w:t>
      </w:r>
      <w:proofErr w:type="spellStart"/>
      <w:r w:rsidRPr="007E328C">
        <w:rPr>
          <w:rFonts w:ascii="Times New Roman" w:hAnsi="Times New Roman" w:cs="Times New Roman"/>
        </w:rPr>
        <w:t>Alenezi</w:t>
      </w:r>
      <w:proofErr w:type="spellEnd"/>
      <w:r w:rsidRPr="007E328C">
        <w:rPr>
          <w:rFonts w:ascii="Times New Roman" w:hAnsi="Times New Roman" w:cs="Times New Roman"/>
        </w:rPr>
        <w:t xml:space="preserve">, M. (2026). Corporate governance reforms and firm value: Evidence from regulatory changes. </w:t>
      </w:r>
      <w:r w:rsidRPr="007E328C">
        <w:rPr>
          <w:rFonts w:ascii="Times New Roman" w:hAnsi="Times New Roman" w:cs="Times New Roman"/>
          <w:i/>
          <w:iCs/>
        </w:rPr>
        <w:t>Humanities and Social Sciences Communications, 13</w:t>
      </w:r>
      <w:r w:rsidRPr="007E328C">
        <w:rPr>
          <w:rFonts w:ascii="Times New Roman" w:hAnsi="Times New Roman" w:cs="Times New Roman"/>
        </w:rPr>
        <w:t>, 215.</w:t>
      </w:r>
    </w:p>
    <w:p w14:paraId="1944D1AB"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Auerbach, P. (2025). Reformulating the critique of human capital theory. </w:t>
      </w:r>
      <w:r w:rsidRPr="00F2692F">
        <w:rPr>
          <w:rFonts w:ascii="Times New Roman" w:hAnsi="Times New Roman" w:cs="Times New Roman"/>
          <w:i/>
          <w:iCs/>
        </w:rPr>
        <w:t>Journal of Economic Surveys, 39</w:t>
      </w:r>
      <w:r w:rsidRPr="00F2692F">
        <w:rPr>
          <w:rFonts w:ascii="Times New Roman" w:hAnsi="Times New Roman" w:cs="Times New Roman"/>
        </w:rPr>
        <w:t>(2), 315–332.</w:t>
      </w:r>
    </w:p>
    <w:p w14:paraId="40F86E3D" w14:textId="77777777" w:rsidR="00E9411D" w:rsidRPr="004F49B2" w:rsidRDefault="00E9411D" w:rsidP="004F49B2">
      <w:pPr>
        <w:spacing w:line="240" w:lineRule="auto"/>
        <w:ind w:left="709" w:hanging="709"/>
        <w:jc w:val="both"/>
        <w:rPr>
          <w:rFonts w:ascii="Times New Roman" w:hAnsi="Times New Roman" w:cs="Times New Roman"/>
        </w:rPr>
      </w:pPr>
      <w:proofErr w:type="spellStart"/>
      <w:r w:rsidRPr="004F49B2">
        <w:rPr>
          <w:rFonts w:ascii="Times New Roman" w:hAnsi="Times New Roman" w:cs="Times New Roman"/>
        </w:rPr>
        <w:lastRenderedPageBreak/>
        <w:t>Bafera</w:t>
      </w:r>
      <w:proofErr w:type="spellEnd"/>
      <w:r w:rsidRPr="004F49B2">
        <w:rPr>
          <w:rFonts w:ascii="Times New Roman" w:hAnsi="Times New Roman" w:cs="Times New Roman"/>
        </w:rPr>
        <w:t xml:space="preserve">, J., &amp; Kleinert, S. (2023). Signaling theory in entrepreneurship research: A systematic review and research agenda. </w:t>
      </w:r>
      <w:r w:rsidRPr="004F49B2">
        <w:rPr>
          <w:rFonts w:ascii="Times New Roman" w:hAnsi="Times New Roman" w:cs="Times New Roman"/>
          <w:i/>
          <w:iCs/>
        </w:rPr>
        <w:t>Entrepreneurship Theory and Practice, 47</w:t>
      </w:r>
      <w:r w:rsidRPr="004F49B2">
        <w:rPr>
          <w:rFonts w:ascii="Times New Roman" w:hAnsi="Times New Roman" w:cs="Times New Roman"/>
        </w:rPr>
        <w:t>(6), 2419–2464.</w:t>
      </w:r>
    </w:p>
    <w:p w14:paraId="15A9FE92" w14:textId="77777777" w:rsidR="00E9411D"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Baker, S. R., Bloom, N., &amp; Davis, S. J. (2022). Measuring economic policy uncertainty. </w:t>
      </w:r>
      <w:r w:rsidRPr="00CE37D8">
        <w:rPr>
          <w:rFonts w:ascii="Times New Roman" w:hAnsi="Times New Roman" w:cs="Times New Roman"/>
          <w:i/>
          <w:iCs/>
        </w:rPr>
        <w:t>The Quarterly Journal of Economics, 137</w:t>
      </w:r>
      <w:r w:rsidRPr="00CE37D8">
        <w:rPr>
          <w:rFonts w:ascii="Times New Roman" w:hAnsi="Times New Roman" w:cs="Times New Roman"/>
        </w:rPr>
        <w:t>(4), 2165–2213.</w:t>
      </w:r>
    </w:p>
    <w:p w14:paraId="1C595AA1" w14:textId="77777777" w:rsidR="00E9411D" w:rsidRPr="00C250CB" w:rsidRDefault="00E9411D" w:rsidP="00C250CB">
      <w:pPr>
        <w:spacing w:line="240" w:lineRule="auto"/>
        <w:ind w:left="709" w:hanging="709"/>
        <w:jc w:val="both"/>
        <w:rPr>
          <w:rFonts w:ascii="Times New Roman" w:hAnsi="Times New Roman" w:cs="Times New Roman"/>
        </w:rPr>
      </w:pPr>
      <w:r w:rsidRPr="00C250CB">
        <w:rPr>
          <w:rFonts w:ascii="Times New Roman" w:hAnsi="Times New Roman" w:cs="Times New Roman"/>
        </w:rPr>
        <w:t xml:space="preserve">Becker, G. S. (1964). </w:t>
      </w:r>
      <w:r w:rsidRPr="00C250CB">
        <w:rPr>
          <w:rFonts w:ascii="Times New Roman" w:hAnsi="Times New Roman" w:cs="Times New Roman"/>
          <w:i/>
          <w:iCs/>
        </w:rPr>
        <w:t>Human capital: A theoretical and empirical analysis, with special reference to education</w:t>
      </w:r>
      <w:r w:rsidRPr="00C250CB">
        <w:rPr>
          <w:rFonts w:ascii="Times New Roman" w:hAnsi="Times New Roman" w:cs="Times New Roman"/>
        </w:rPr>
        <w:t xml:space="preserve"> (3rd ed.). University of Chicago Press.</w:t>
      </w:r>
    </w:p>
    <w:p w14:paraId="511348A8" w14:textId="77777777" w:rsidR="00E9411D" w:rsidRPr="0053192E" w:rsidRDefault="00E9411D" w:rsidP="0053192E">
      <w:pPr>
        <w:spacing w:line="240" w:lineRule="auto"/>
        <w:ind w:left="709" w:hanging="709"/>
        <w:jc w:val="both"/>
        <w:rPr>
          <w:rFonts w:ascii="Times New Roman" w:hAnsi="Times New Roman" w:cs="Times New Roman"/>
        </w:rPr>
      </w:pPr>
      <w:r w:rsidRPr="0053192E">
        <w:rPr>
          <w:rFonts w:ascii="Times New Roman" w:hAnsi="Times New Roman" w:cs="Times New Roman"/>
        </w:rPr>
        <w:t xml:space="preserve">Bello, A., Sani, M. U., &amp; Garba, T. (2026). Human capital deficiency and firm performance in Sub Saharan Africa. </w:t>
      </w:r>
      <w:r w:rsidRPr="0053192E">
        <w:rPr>
          <w:rFonts w:ascii="Times New Roman" w:hAnsi="Times New Roman" w:cs="Times New Roman"/>
          <w:i/>
          <w:iCs/>
        </w:rPr>
        <w:t>African Journal of Business Management, 18</w:t>
      </w:r>
      <w:r w:rsidRPr="0053192E">
        <w:rPr>
          <w:rFonts w:ascii="Times New Roman" w:hAnsi="Times New Roman" w:cs="Times New Roman"/>
        </w:rPr>
        <w:t>(1), 33–47.</w:t>
      </w:r>
    </w:p>
    <w:p w14:paraId="6BD739A8" w14:textId="77777777" w:rsidR="00E9411D" w:rsidRDefault="00E9411D" w:rsidP="001D7C91">
      <w:pPr>
        <w:spacing w:line="240" w:lineRule="auto"/>
        <w:ind w:left="709" w:hanging="709"/>
        <w:jc w:val="both"/>
        <w:rPr>
          <w:rFonts w:ascii="Times New Roman" w:hAnsi="Times New Roman" w:cs="Times New Roman"/>
        </w:rPr>
      </w:pPr>
      <w:r w:rsidRPr="00D8143B">
        <w:rPr>
          <w:rFonts w:ascii="Times New Roman" w:hAnsi="Times New Roman" w:cs="Times New Roman"/>
        </w:rPr>
        <w:t xml:space="preserve">Bolli, T., &amp; </w:t>
      </w:r>
      <w:proofErr w:type="spellStart"/>
      <w:r w:rsidRPr="00D8143B">
        <w:rPr>
          <w:rFonts w:ascii="Times New Roman" w:hAnsi="Times New Roman" w:cs="Times New Roman"/>
        </w:rPr>
        <w:t>Woerter</w:t>
      </w:r>
      <w:proofErr w:type="spellEnd"/>
      <w:r w:rsidRPr="00D8143B">
        <w:rPr>
          <w:rFonts w:ascii="Times New Roman" w:hAnsi="Times New Roman" w:cs="Times New Roman"/>
        </w:rPr>
        <w:t xml:space="preserve">, M. (2022). Training and firm innovation. </w:t>
      </w:r>
      <w:r w:rsidRPr="00D8143B">
        <w:rPr>
          <w:rFonts w:ascii="Times New Roman" w:hAnsi="Times New Roman" w:cs="Times New Roman"/>
          <w:i/>
          <w:iCs/>
        </w:rPr>
        <w:t>Research Policy</w:t>
      </w:r>
      <w:r w:rsidRPr="00D8143B">
        <w:rPr>
          <w:rFonts w:ascii="Times New Roman" w:hAnsi="Times New Roman" w:cs="Times New Roman"/>
        </w:rPr>
        <w:t xml:space="preserve">, 51(7), 104509. </w:t>
      </w:r>
    </w:p>
    <w:p w14:paraId="3ACBE010" w14:textId="77777777" w:rsidR="00E9411D" w:rsidRPr="001059B3" w:rsidRDefault="00E9411D" w:rsidP="00E3318A">
      <w:pPr>
        <w:spacing w:line="240" w:lineRule="auto"/>
        <w:ind w:left="709" w:hanging="709"/>
        <w:jc w:val="both"/>
        <w:rPr>
          <w:rFonts w:ascii="Times New Roman" w:hAnsi="Times New Roman" w:cs="Times New Roman"/>
        </w:rPr>
      </w:pPr>
      <w:proofErr w:type="spellStart"/>
      <w:r w:rsidRPr="004A4249">
        <w:rPr>
          <w:rFonts w:ascii="Times New Roman" w:hAnsi="Times New Roman" w:cs="Times New Roman"/>
        </w:rPr>
        <w:t>Bukari</w:t>
      </w:r>
      <w:proofErr w:type="spellEnd"/>
      <w:r w:rsidRPr="004A4249">
        <w:rPr>
          <w:rFonts w:ascii="Times New Roman" w:hAnsi="Times New Roman" w:cs="Times New Roman"/>
        </w:rPr>
        <w:t xml:space="preserve">, A., </w:t>
      </w:r>
      <w:proofErr w:type="spellStart"/>
      <w:r w:rsidRPr="004A4249">
        <w:rPr>
          <w:rFonts w:ascii="Times New Roman" w:hAnsi="Times New Roman" w:cs="Times New Roman"/>
        </w:rPr>
        <w:t>Ahinful</w:t>
      </w:r>
      <w:proofErr w:type="spellEnd"/>
      <w:r w:rsidRPr="004A4249">
        <w:rPr>
          <w:rFonts w:ascii="Times New Roman" w:hAnsi="Times New Roman" w:cs="Times New Roman"/>
        </w:rPr>
        <w:t xml:space="preserve">, G. S., &amp; Ofori, D. F. (2024). Corporate governance and firm value: The moderating role of ESG performance. </w:t>
      </w:r>
      <w:r w:rsidRPr="004A4249">
        <w:rPr>
          <w:rFonts w:ascii="Times New Roman" w:hAnsi="Times New Roman" w:cs="Times New Roman"/>
          <w:i/>
          <w:iCs/>
        </w:rPr>
        <w:t>Cogent Economics &amp; Finance, 12</w:t>
      </w:r>
      <w:r w:rsidRPr="004A4249">
        <w:rPr>
          <w:rFonts w:ascii="Times New Roman" w:hAnsi="Times New Roman" w:cs="Times New Roman"/>
        </w:rPr>
        <w:t xml:space="preserve">(1), 2333941. </w:t>
      </w:r>
    </w:p>
    <w:p w14:paraId="094344AD" w14:textId="77777777" w:rsidR="00E9411D" w:rsidRPr="001910A9" w:rsidRDefault="00E9411D" w:rsidP="001910A9">
      <w:pPr>
        <w:spacing w:line="240" w:lineRule="auto"/>
        <w:ind w:left="709" w:hanging="709"/>
        <w:jc w:val="both"/>
        <w:rPr>
          <w:rFonts w:ascii="Times New Roman" w:hAnsi="Times New Roman" w:cs="Times New Roman"/>
        </w:rPr>
      </w:pPr>
      <w:r w:rsidRPr="001910A9">
        <w:rPr>
          <w:rFonts w:ascii="Times New Roman" w:hAnsi="Times New Roman" w:cs="Times New Roman"/>
        </w:rPr>
        <w:t xml:space="preserve">Connelly, B. L., Certo, S. T., Reutzel, C. R., </w:t>
      </w:r>
      <w:proofErr w:type="spellStart"/>
      <w:r w:rsidRPr="001910A9">
        <w:rPr>
          <w:rFonts w:ascii="Times New Roman" w:hAnsi="Times New Roman" w:cs="Times New Roman"/>
        </w:rPr>
        <w:t>DesJardine</w:t>
      </w:r>
      <w:proofErr w:type="spellEnd"/>
      <w:r w:rsidRPr="001910A9">
        <w:rPr>
          <w:rFonts w:ascii="Times New Roman" w:hAnsi="Times New Roman" w:cs="Times New Roman"/>
        </w:rPr>
        <w:t xml:space="preserve">, M. R., &amp; Zhou, Y. S. (2025). </w:t>
      </w:r>
      <w:r w:rsidRPr="001910A9">
        <w:rPr>
          <w:rFonts w:ascii="Times New Roman" w:hAnsi="Times New Roman" w:cs="Times New Roman"/>
          <w:i/>
          <w:iCs/>
        </w:rPr>
        <w:t>Signaling theory: State of the theory and its future</w:t>
      </w:r>
      <w:r w:rsidRPr="001910A9">
        <w:rPr>
          <w:rFonts w:ascii="Times New Roman" w:hAnsi="Times New Roman" w:cs="Times New Roman"/>
        </w:rPr>
        <w:t xml:space="preserve">. </w:t>
      </w:r>
      <w:r w:rsidRPr="001910A9">
        <w:rPr>
          <w:rFonts w:ascii="Times New Roman" w:hAnsi="Times New Roman" w:cs="Times New Roman"/>
          <w:i/>
          <w:iCs/>
        </w:rPr>
        <w:t>Journal of Management, 51</w:t>
      </w:r>
      <w:r w:rsidRPr="001910A9">
        <w:rPr>
          <w:rFonts w:ascii="Times New Roman" w:hAnsi="Times New Roman" w:cs="Times New Roman"/>
        </w:rPr>
        <w:t xml:space="preserve">(1), 24–61. </w:t>
      </w:r>
    </w:p>
    <w:p w14:paraId="4A297A12" w14:textId="77777777" w:rsidR="00E9411D"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David, R., Abdullahi, M., &amp; </w:t>
      </w:r>
      <w:proofErr w:type="spellStart"/>
      <w:r w:rsidRPr="00CE37D8">
        <w:rPr>
          <w:rFonts w:ascii="Times New Roman" w:hAnsi="Times New Roman" w:cs="Times New Roman"/>
        </w:rPr>
        <w:t>Daddau</w:t>
      </w:r>
      <w:proofErr w:type="spellEnd"/>
      <w:r w:rsidRPr="00CE37D8">
        <w:rPr>
          <w:rFonts w:ascii="Times New Roman" w:hAnsi="Times New Roman" w:cs="Times New Roman"/>
        </w:rPr>
        <w:t xml:space="preserve">, H. (2025). Corporate attributes and firm value of listed industrial goods firms in Nigeria. </w:t>
      </w:r>
      <w:r w:rsidRPr="00CE37D8">
        <w:rPr>
          <w:rFonts w:ascii="Times New Roman" w:hAnsi="Times New Roman" w:cs="Times New Roman"/>
          <w:i/>
          <w:iCs/>
        </w:rPr>
        <w:t>Journal of Accounting and Financial Management</w:t>
      </w:r>
      <w:r w:rsidRPr="00CE37D8">
        <w:rPr>
          <w:rFonts w:ascii="Times New Roman" w:hAnsi="Times New Roman" w:cs="Times New Roman"/>
        </w:rPr>
        <w:t>, 11(1), 45–60.</w:t>
      </w:r>
    </w:p>
    <w:p w14:paraId="343CD563" w14:textId="77777777" w:rsidR="00E9411D" w:rsidRDefault="00E9411D" w:rsidP="001D7C91">
      <w:pPr>
        <w:spacing w:line="240" w:lineRule="auto"/>
        <w:ind w:left="709" w:hanging="709"/>
        <w:jc w:val="both"/>
        <w:rPr>
          <w:rFonts w:ascii="Times New Roman" w:hAnsi="Times New Roman" w:cs="Times New Roman"/>
        </w:rPr>
      </w:pPr>
      <w:r w:rsidRPr="00D8143B">
        <w:rPr>
          <w:rFonts w:ascii="Times New Roman" w:hAnsi="Times New Roman" w:cs="Times New Roman"/>
        </w:rPr>
        <w:t xml:space="preserve">Dearden, L., Reed, H., &amp; John Van Reenen (2022). The impact of training on productivity and innovation. </w:t>
      </w:r>
      <w:r w:rsidRPr="00D8143B">
        <w:rPr>
          <w:rFonts w:ascii="Times New Roman" w:hAnsi="Times New Roman" w:cs="Times New Roman"/>
          <w:i/>
          <w:iCs/>
        </w:rPr>
        <w:t>Oxford Economic Papers</w:t>
      </w:r>
      <w:r w:rsidRPr="00D8143B">
        <w:rPr>
          <w:rFonts w:ascii="Times New Roman" w:hAnsi="Times New Roman" w:cs="Times New Roman"/>
        </w:rPr>
        <w:t>, 74(3), 617–639</w:t>
      </w:r>
      <w:r>
        <w:rPr>
          <w:rFonts w:ascii="Times New Roman" w:hAnsi="Times New Roman" w:cs="Times New Roman"/>
        </w:rPr>
        <w:t>.</w:t>
      </w:r>
    </w:p>
    <w:p w14:paraId="3346C32A"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Deming, D. (2025). Skills and human capital in the labor market. In O. Ashenfelter &amp; D. Card (Eds.), </w:t>
      </w:r>
      <w:r w:rsidRPr="00F2692F">
        <w:rPr>
          <w:rFonts w:ascii="Times New Roman" w:hAnsi="Times New Roman" w:cs="Times New Roman"/>
          <w:i/>
          <w:iCs/>
        </w:rPr>
        <w:t>Handbook of Labor Economics</w:t>
      </w:r>
      <w:r w:rsidRPr="00F2692F">
        <w:rPr>
          <w:rFonts w:ascii="Times New Roman" w:hAnsi="Times New Roman" w:cs="Times New Roman"/>
        </w:rPr>
        <w:t xml:space="preserve"> (Vol. 5, pp. 1–48). Elsevier.</w:t>
      </w:r>
    </w:p>
    <w:p w14:paraId="3CB9EE9C" w14:textId="77777777" w:rsidR="00E9411D" w:rsidRDefault="00E9411D" w:rsidP="001D7C91">
      <w:pPr>
        <w:spacing w:line="240" w:lineRule="auto"/>
        <w:ind w:left="709" w:hanging="709"/>
        <w:jc w:val="both"/>
        <w:rPr>
          <w:rFonts w:ascii="Times New Roman" w:hAnsi="Times New Roman" w:cs="Times New Roman"/>
        </w:rPr>
      </w:pPr>
      <w:proofErr w:type="spellStart"/>
      <w:r w:rsidRPr="001D7C91">
        <w:rPr>
          <w:rFonts w:ascii="Times New Roman" w:hAnsi="Times New Roman" w:cs="Times New Roman"/>
        </w:rPr>
        <w:t>Dhaigude</w:t>
      </w:r>
      <w:proofErr w:type="spellEnd"/>
      <w:r w:rsidRPr="001D7C91">
        <w:rPr>
          <w:rFonts w:ascii="Times New Roman" w:hAnsi="Times New Roman" w:cs="Times New Roman"/>
        </w:rPr>
        <w:t xml:space="preserve">, A. S. (2024). Human capital signaling and firm value: An empirical analysis. </w:t>
      </w:r>
      <w:r w:rsidRPr="001D7C91">
        <w:rPr>
          <w:rFonts w:ascii="Times New Roman" w:hAnsi="Times New Roman" w:cs="Times New Roman"/>
          <w:i/>
          <w:iCs/>
        </w:rPr>
        <w:t>International Journal of Business Research</w:t>
      </w:r>
      <w:r w:rsidRPr="001D7C91">
        <w:rPr>
          <w:rFonts w:ascii="Times New Roman" w:hAnsi="Times New Roman" w:cs="Times New Roman"/>
        </w:rPr>
        <w:t>, 24(2), 45–62.</w:t>
      </w:r>
    </w:p>
    <w:p w14:paraId="4403B408" w14:textId="77777777" w:rsidR="00E9411D" w:rsidRPr="004D7572" w:rsidRDefault="00E9411D" w:rsidP="0012786E">
      <w:pPr>
        <w:spacing w:line="240" w:lineRule="auto"/>
        <w:ind w:left="709" w:hanging="709"/>
        <w:jc w:val="both"/>
        <w:rPr>
          <w:rFonts w:ascii="Times New Roman" w:hAnsi="Times New Roman" w:cs="Times New Roman"/>
        </w:rPr>
      </w:pPr>
      <w:r w:rsidRPr="004D7572">
        <w:rPr>
          <w:rFonts w:ascii="Times New Roman" w:hAnsi="Times New Roman" w:cs="Times New Roman"/>
        </w:rPr>
        <w:t xml:space="preserve">Diaz, B. S., Neyra Nazarrett, A., Ramirez, J., Sadun, R., &amp; Tamayo, J. A. (2025). </w:t>
      </w:r>
      <w:r w:rsidRPr="004D7572">
        <w:rPr>
          <w:rFonts w:ascii="Times New Roman" w:hAnsi="Times New Roman" w:cs="Times New Roman"/>
          <w:i/>
          <w:iCs/>
        </w:rPr>
        <w:t>Training within firms</w:t>
      </w:r>
      <w:r w:rsidRPr="004D7572">
        <w:rPr>
          <w:rFonts w:ascii="Times New Roman" w:hAnsi="Times New Roman" w:cs="Times New Roman"/>
        </w:rPr>
        <w:t xml:space="preserve"> (NBER Working Paper No. 33670). National Bureau of Economic Research. </w:t>
      </w:r>
    </w:p>
    <w:p w14:paraId="5D1E7D2F" w14:textId="77777777" w:rsidR="00E9411D" w:rsidRDefault="00E9411D" w:rsidP="001D7C91">
      <w:pPr>
        <w:spacing w:line="240" w:lineRule="auto"/>
        <w:ind w:left="709" w:hanging="709"/>
        <w:jc w:val="both"/>
        <w:rPr>
          <w:rFonts w:ascii="Times New Roman" w:hAnsi="Times New Roman" w:cs="Times New Roman"/>
        </w:rPr>
      </w:pPr>
      <w:r>
        <w:rPr>
          <w:rFonts w:ascii="Times New Roman" w:hAnsi="Times New Roman" w:cs="Times New Roman"/>
        </w:rPr>
        <w:t xml:space="preserve">Emerald </w:t>
      </w:r>
      <w:r w:rsidRPr="001D7C91">
        <w:rPr>
          <w:rFonts w:ascii="Times New Roman" w:hAnsi="Times New Roman" w:cs="Times New Roman"/>
        </w:rPr>
        <w:t xml:space="preserve">(2023). Human capital investment and firm performance: Evidence from emerging economies. </w:t>
      </w:r>
      <w:r w:rsidRPr="001D7C91">
        <w:rPr>
          <w:rFonts w:ascii="Times New Roman" w:hAnsi="Times New Roman" w:cs="Times New Roman"/>
          <w:i/>
          <w:iCs/>
        </w:rPr>
        <w:t>Emerald Publishing</w:t>
      </w:r>
      <w:r w:rsidRPr="001D7C91">
        <w:rPr>
          <w:rFonts w:ascii="Times New Roman" w:hAnsi="Times New Roman" w:cs="Times New Roman"/>
        </w:rPr>
        <w:t>.</w:t>
      </w:r>
    </w:p>
    <w:p w14:paraId="75B54B96" w14:textId="77777777" w:rsidR="00E9411D" w:rsidRPr="005A796A" w:rsidRDefault="00E9411D" w:rsidP="005A796A">
      <w:pPr>
        <w:spacing w:line="240" w:lineRule="auto"/>
        <w:ind w:left="709" w:hanging="709"/>
        <w:jc w:val="both"/>
        <w:rPr>
          <w:rFonts w:ascii="Times New Roman" w:hAnsi="Times New Roman" w:cs="Times New Roman"/>
        </w:rPr>
      </w:pPr>
      <w:r w:rsidRPr="005A796A">
        <w:rPr>
          <w:rFonts w:ascii="Times New Roman" w:hAnsi="Times New Roman" w:cs="Times New Roman"/>
        </w:rPr>
        <w:t xml:space="preserve">Estévez-Mendoza, C., &amp; Montoro-Sánchez, A. (2024). Exploring the relationship between innovation and corporate governance. </w:t>
      </w:r>
      <w:r w:rsidRPr="005A796A">
        <w:rPr>
          <w:rFonts w:ascii="Times New Roman" w:hAnsi="Times New Roman" w:cs="Times New Roman"/>
          <w:i/>
          <w:iCs/>
        </w:rPr>
        <w:t>Technological Forecasting and Social Change, 209</w:t>
      </w:r>
      <w:r w:rsidRPr="005A796A">
        <w:rPr>
          <w:rFonts w:ascii="Times New Roman" w:hAnsi="Times New Roman" w:cs="Times New Roman"/>
        </w:rPr>
        <w:t xml:space="preserve">, 123784. </w:t>
      </w:r>
      <w:hyperlink r:id="rId9" w:tgtFrame="_new" w:history="1">
        <w:r w:rsidRPr="005A796A">
          <w:rPr>
            <w:rStyle w:val="Hyperlink"/>
            <w:rFonts w:ascii="Times New Roman" w:hAnsi="Times New Roman" w:cs="Times New Roman"/>
          </w:rPr>
          <w:t>https://doi.org/10.1016/j.techfore.2024.123784</w:t>
        </w:r>
      </w:hyperlink>
    </w:p>
    <w:p w14:paraId="4721BFB0" w14:textId="77777777" w:rsidR="00E9411D" w:rsidRPr="007F335E" w:rsidRDefault="00E9411D" w:rsidP="0012786E">
      <w:pPr>
        <w:spacing w:line="240" w:lineRule="auto"/>
        <w:ind w:left="709" w:hanging="709"/>
        <w:jc w:val="both"/>
        <w:rPr>
          <w:rFonts w:ascii="Times New Roman" w:hAnsi="Times New Roman" w:cs="Times New Roman"/>
        </w:rPr>
      </w:pPr>
      <w:r w:rsidRPr="007F335E">
        <w:rPr>
          <w:rFonts w:ascii="Times New Roman" w:hAnsi="Times New Roman" w:cs="Times New Roman"/>
        </w:rPr>
        <w:t xml:space="preserve">Eurostat. (2022). </w:t>
      </w:r>
      <w:r w:rsidRPr="007F335E">
        <w:rPr>
          <w:rFonts w:ascii="Times New Roman" w:hAnsi="Times New Roman" w:cs="Times New Roman"/>
          <w:i/>
          <w:iCs/>
        </w:rPr>
        <w:t>Community innovation survey: Methodological guidelines</w:t>
      </w:r>
      <w:r w:rsidRPr="007F335E">
        <w:rPr>
          <w:rFonts w:ascii="Times New Roman" w:hAnsi="Times New Roman" w:cs="Times New Roman"/>
        </w:rPr>
        <w:t>. Publications Office of the European Union. https://doi.org/10.2785/30219</w:t>
      </w:r>
    </w:p>
    <w:p w14:paraId="74C3A910" w14:textId="77777777" w:rsidR="00E9411D" w:rsidRPr="0001237A" w:rsidRDefault="00E9411D" w:rsidP="006C0A99">
      <w:pPr>
        <w:spacing w:line="240" w:lineRule="auto"/>
        <w:ind w:left="720" w:hanging="720"/>
        <w:jc w:val="both"/>
        <w:rPr>
          <w:rFonts w:ascii="Times New Roman" w:hAnsi="Times New Roman" w:cs="Times New Roman"/>
        </w:rPr>
      </w:pPr>
      <w:r w:rsidRPr="0001237A">
        <w:rPr>
          <w:rFonts w:ascii="Times New Roman" w:hAnsi="Times New Roman" w:cs="Times New Roman"/>
        </w:rPr>
        <w:t xml:space="preserve">Ezeani, E., Okoye, P. V. C., &amp; </w:t>
      </w:r>
      <w:proofErr w:type="spellStart"/>
      <w:r w:rsidRPr="0001237A">
        <w:rPr>
          <w:rFonts w:ascii="Times New Roman" w:hAnsi="Times New Roman" w:cs="Times New Roman"/>
        </w:rPr>
        <w:t>Egbunike</w:t>
      </w:r>
      <w:proofErr w:type="spellEnd"/>
      <w:r w:rsidRPr="0001237A">
        <w:rPr>
          <w:rFonts w:ascii="Times New Roman" w:hAnsi="Times New Roman" w:cs="Times New Roman"/>
        </w:rPr>
        <w:t xml:space="preserve">, F. C. (2023). Human capital investment and firm productivity in Nigeria. </w:t>
      </w:r>
      <w:r w:rsidRPr="0001237A">
        <w:rPr>
          <w:rFonts w:ascii="Times New Roman" w:hAnsi="Times New Roman" w:cs="Times New Roman"/>
          <w:i/>
          <w:iCs/>
        </w:rPr>
        <w:t>Journal of Accounting and Management, 13</w:t>
      </w:r>
      <w:r w:rsidRPr="0001237A">
        <w:rPr>
          <w:rFonts w:ascii="Times New Roman" w:hAnsi="Times New Roman" w:cs="Times New Roman"/>
        </w:rPr>
        <w:t>(2), 85–101.</w:t>
      </w:r>
    </w:p>
    <w:p w14:paraId="6EBE6656"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Fathi, S. (2025). Corporate finance signaling theory: An empirical analysis. </w:t>
      </w:r>
      <w:r w:rsidRPr="00F2692F">
        <w:rPr>
          <w:rFonts w:ascii="Times New Roman" w:hAnsi="Times New Roman" w:cs="Times New Roman"/>
          <w:i/>
          <w:iCs/>
        </w:rPr>
        <w:t>International Journal of Disclosure and Governance, 22</w:t>
      </w:r>
      <w:r w:rsidRPr="00F2692F">
        <w:rPr>
          <w:rFonts w:ascii="Times New Roman" w:hAnsi="Times New Roman" w:cs="Times New Roman"/>
        </w:rPr>
        <w:t>(3), 245–262. https://doi.org/10.1057/s41310-025-00145-6</w:t>
      </w:r>
    </w:p>
    <w:p w14:paraId="1BF97A0A" w14:textId="77777777" w:rsidR="00E9411D" w:rsidRPr="00CE37D8"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lastRenderedPageBreak/>
        <w:t xml:space="preserve">Flammer, C. (2023). Corporate green bonds and firm value. </w:t>
      </w:r>
      <w:r w:rsidRPr="00CE37D8">
        <w:rPr>
          <w:rFonts w:ascii="Times New Roman" w:hAnsi="Times New Roman" w:cs="Times New Roman"/>
          <w:i/>
          <w:iCs/>
        </w:rPr>
        <w:t>Journal of Financial Economics, 147</w:t>
      </w:r>
      <w:r w:rsidRPr="00CE37D8">
        <w:rPr>
          <w:rFonts w:ascii="Times New Roman" w:hAnsi="Times New Roman" w:cs="Times New Roman"/>
        </w:rPr>
        <w:t>(2), 525–547.</w:t>
      </w:r>
    </w:p>
    <w:p w14:paraId="4CCBA387"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Habtoor, O. S. (2024). Board independence, ownership structure and firm performance: Evidence from Middle East financial institutions. </w:t>
      </w:r>
      <w:r w:rsidRPr="00CF1C11">
        <w:rPr>
          <w:rFonts w:ascii="Times New Roman" w:hAnsi="Times New Roman" w:cs="Times New Roman"/>
          <w:i/>
          <w:iCs/>
        </w:rPr>
        <w:t>Corporate Governance: The International Journal of Business in Society, 24</w:t>
      </w:r>
      <w:r w:rsidRPr="00CF1C11">
        <w:rPr>
          <w:rFonts w:ascii="Times New Roman" w:hAnsi="Times New Roman" w:cs="Times New Roman"/>
        </w:rPr>
        <w:t>(3), 612–629. https://doi.org/10.1108/CG-08-2023-0316</w:t>
      </w:r>
    </w:p>
    <w:p w14:paraId="099FCE60" w14:textId="68E9860F" w:rsidR="00E9411D" w:rsidRPr="00FB0A5C"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Ibrahim, S. A. (2025). Ownership attributes and firm value of listed non</w:t>
      </w:r>
      <w:r w:rsidR="00424CFB">
        <w:rPr>
          <w:rFonts w:ascii="Times New Roman" w:hAnsi="Times New Roman" w:cs="Times New Roman"/>
        </w:rPr>
        <w:t>-</w:t>
      </w:r>
      <w:r w:rsidRPr="00FB0A5C">
        <w:rPr>
          <w:rFonts w:ascii="Times New Roman" w:hAnsi="Times New Roman" w:cs="Times New Roman"/>
        </w:rPr>
        <w:t xml:space="preserve">financial firms in Nigeria. </w:t>
      </w:r>
      <w:r w:rsidRPr="00FB0A5C">
        <w:rPr>
          <w:rFonts w:ascii="Times New Roman" w:hAnsi="Times New Roman" w:cs="Times New Roman"/>
          <w:i/>
          <w:iCs/>
        </w:rPr>
        <w:t>Gusau Journal of Accounting and Finance, 6</w:t>
      </w:r>
      <w:r w:rsidRPr="00FB0A5C">
        <w:rPr>
          <w:rFonts w:ascii="Times New Roman" w:hAnsi="Times New Roman" w:cs="Times New Roman"/>
        </w:rPr>
        <w:t>(1), 150–170.</w:t>
      </w:r>
    </w:p>
    <w:p w14:paraId="324E86B1" w14:textId="77777777" w:rsidR="00E9411D" w:rsidRPr="005C40E1" w:rsidRDefault="00E9411D" w:rsidP="0012786E">
      <w:pPr>
        <w:spacing w:line="240" w:lineRule="auto"/>
        <w:ind w:left="709" w:hanging="709"/>
        <w:jc w:val="both"/>
        <w:rPr>
          <w:rFonts w:ascii="Times New Roman" w:hAnsi="Times New Roman" w:cs="Times New Roman"/>
        </w:rPr>
      </w:pPr>
      <w:r w:rsidRPr="005C40E1">
        <w:rPr>
          <w:rFonts w:ascii="Times New Roman" w:hAnsi="Times New Roman" w:cs="Times New Roman"/>
        </w:rPr>
        <w:t xml:space="preserve">Institute for Fiscal Studies. (2023). </w:t>
      </w:r>
      <w:r w:rsidRPr="005C40E1">
        <w:rPr>
          <w:rFonts w:ascii="Times New Roman" w:hAnsi="Times New Roman" w:cs="Times New Roman"/>
          <w:i/>
          <w:iCs/>
        </w:rPr>
        <w:t>Investment in training and skills: Trends and challenges</w:t>
      </w:r>
      <w:r w:rsidRPr="005C40E1">
        <w:rPr>
          <w:rFonts w:ascii="Times New Roman" w:hAnsi="Times New Roman" w:cs="Times New Roman"/>
        </w:rPr>
        <w:t>. IFS. https://doi.org/10.1920/re.ifs.2023.0243</w:t>
      </w:r>
    </w:p>
    <w:p w14:paraId="0991FB7C" w14:textId="77777777" w:rsidR="00E9411D" w:rsidRPr="00CF1C11" w:rsidRDefault="00E9411D" w:rsidP="00CF1C11">
      <w:pPr>
        <w:spacing w:line="240" w:lineRule="auto"/>
        <w:ind w:left="709" w:hanging="709"/>
        <w:jc w:val="both"/>
        <w:rPr>
          <w:rFonts w:ascii="Times New Roman" w:hAnsi="Times New Roman" w:cs="Times New Roman"/>
        </w:rPr>
      </w:pPr>
      <w:proofErr w:type="spellStart"/>
      <w:r w:rsidRPr="00CF1C11">
        <w:rPr>
          <w:rFonts w:ascii="Times New Roman" w:hAnsi="Times New Roman" w:cs="Times New Roman"/>
        </w:rPr>
        <w:t>Intara</w:t>
      </w:r>
      <w:proofErr w:type="spellEnd"/>
      <w:r w:rsidRPr="00CF1C11">
        <w:rPr>
          <w:rFonts w:ascii="Times New Roman" w:hAnsi="Times New Roman" w:cs="Times New Roman"/>
        </w:rPr>
        <w:t xml:space="preserve">, P. (2024). Intangible investment, corporate governance and firm value: International evidence using Tobin’s Q. </w:t>
      </w:r>
      <w:r w:rsidRPr="00CF1C11">
        <w:rPr>
          <w:rFonts w:ascii="Times New Roman" w:hAnsi="Times New Roman" w:cs="Times New Roman"/>
          <w:i/>
          <w:iCs/>
        </w:rPr>
        <w:t>Journal of International Accounting, Auditing and Taxation, 54</w:t>
      </w:r>
      <w:r w:rsidRPr="00CF1C11">
        <w:rPr>
          <w:rFonts w:ascii="Times New Roman" w:hAnsi="Times New Roman" w:cs="Times New Roman"/>
        </w:rPr>
        <w:t>, 100570. https://doi.org/10.1016/j.intaccaudtax.2023.100570</w:t>
      </w:r>
    </w:p>
    <w:p w14:paraId="50F668A1" w14:textId="77777777" w:rsidR="00E9411D" w:rsidRPr="008C30AD" w:rsidRDefault="00E9411D" w:rsidP="008C30AD">
      <w:pPr>
        <w:spacing w:line="240" w:lineRule="auto"/>
        <w:ind w:left="720" w:hanging="720"/>
        <w:jc w:val="both"/>
        <w:rPr>
          <w:rFonts w:ascii="Times New Roman" w:hAnsi="Times New Roman" w:cs="Times New Roman"/>
        </w:rPr>
      </w:pPr>
      <w:r w:rsidRPr="008C30AD">
        <w:rPr>
          <w:rFonts w:ascii="Times New Roman" w:hAnsi="Times New Roman" w:cs="Times New Roman"/>
        </w:rPr>
        <w:t xml:space="preserve">Kessler, A. S. (2022). The theory of human capital revisited. </w:t>
      </w:r>
      <w:proofErr w:type="spellStart"/>
      <w:r w:rsidRPr="008C30AD">
        <w:rPr>
          <w:rFonts w:ascii="Times New Roman" w:hAnsi="Times New Roman" w:cs="Times New Roman"/>
          <w:i/>
          <w:iCs/>
        </w:rPr>
        <w:t>CESifo</w:t>
      </w:r>
      <w:proofErr w:type="spellEnd"/>
      <w:r w:rsidRPr="008C30AD">
        <w:rPr>
          <w:rFonts w:ascii="Times New Roman" w:hAnsi="Times New Roman" w:cs="Times New Roman"/>
          <w:i/>
          <w:iCs/>
        </w:rPr>
        <w:t xml:space="preserve"> Working Paper Series</w:t>
      </w:r>
      <w:r w:rsidRPr="008C30AD">
        <w:rPr>
          <w:rFonts w:ascii="Times New Roman" w:hAnsi="Times New Roman" w:cs="Times New Roman"/>
        </w:rPr>
        <w:t>.</w:t>
      </w:r>
    </w:p>
    <w:p w14:paraId="090C2061" w14:textId="77777777" w:rsidR="00E9411D" w:rsidRPr="005A3AF9" w:rsidRDefault="00E9411D" w:rsidP="0012786E">
      <w:pPr>
        <w:spacing w:line="240" w:lineRule="auto"/>
        <w:ind w:left="709" w:hanging="709"/>
        <w:jc w:val="both"/>
        <w:rPr>
          <w:rFonts w:ascii="Times New Roman" w:hAnsi="Times New Roman" w:cs="Times New Roman"/>
        </w:rPr>
      </w:pPr>
      <w:r w:rsidRPr="005A3AF9">
        <w:rPr>
          <w:rFonts w:ascii="Times New Roman" w:hAnsi="Times New Roman" w:cs="Times New Roman"/>
        </w:rPr>
        <w:t xml:space="preserve">Kiani, A. (2024). Technological and training contributions to employee performance in the healthcare sector. </w:t>
      </w:r>
      <w:r w:rsidRPr="005A3AF9">
        <w:rPr>
          <w:rFonts w:ascii="Times New Roman" w:hAnsi="Times New Roman" w:cs="Times New Roman"/>
          <w:i/>
          <w:iCs/>
        </w:rPr>
        <w:t>Journal of Resource Management and Decision Engineering, 2</w:t>
      </w:r>
      <w:r w:rsidRPr="005A3AF9">
        <w:rPr>
          <w:rFonts w:ascii="Times New Roman" w:hAnsi="Times New Roman" w:cs="Times New Roman"/>
        </w:rPr>
        <w:t>(1), 4–9.</w:t>
      </w:r>
    </w:p>
    <w:p w14:paraId="3142EF4C" w14:textId="77777777" w:rsidR="00E9411D" w:rsidRPr="0001237A" w:rsidRDefault="00E9411D" w:rsidP="006C0A99">
      <w:pPr>
        <w:spacing w:line="240" w:lineRule="auto"/>
        <w:ind w:left="720" w:hanging="720"/>
        <w:jc w:val="both"/>
        <w:rPr>
          <w:rFonts w:ascii="Times New Roman" w:hAnsi="Times New Roman" w:cs="Times New Roman"/>
        </w:rPr>
      </w:pPr>
      <w:r w:rsidRPr="0001237A">
        <w:rPr>
          <w:rFonts w:ascii="Times New Roman" w:hAnsi="Times New Roman" w:cs="Times New Roman"/>
        </w:rPr>
        <w:t xml:space="preserve">Lawal, A. I., &amp; </w:t>
      </w:r>
      <w:proofErr w:type="spellStart"/>
      <w:r w:rsidRPr="0001237A">
        <w:rPr>
          <w:rFonts w:ascii="Times New Roman" w:hAnsi="Times New Roman" w:cs="Times New Roman"/>
        </w:rPr>
        <w:t>Nwanji</w:t>
      </w:r>
      <w:proofErr w:type="spellEnd"/>
      <w:r w:rsidRPr="0001237A">
        <w:rPr>
          <w:rFonts w:ascii="Times New Roman" w:hAnsi="Times New Roman" w:cs="Times New Roman"/>
        </w:rPr>
        <w:t xml:space="preserve">, T. I. (2024). Workforce development and organizational performance: Evidence from developing economies. </w:t>
      </w:r>
      <w:r w:rsidRPr="0001237A">
        <w:rPr>
          <w:rFonts w:ascii="Times New Roman" w:hAnsi="Times New Roman" w:cs="Times New Roman"/>
          <w:i/>
          <w:iCs/>
        </w:rPr>
        <w:t>International Journal of Human Resource Studies, 14</w:t>
      </w:r>
      <w:r w:rsidRPr="0001237A">
        <w:rPr>
          <w:rFonts w:ascii="Times New Roman" w:hAnsi="Times New Roman" w:cs="Times New Roman"/>
        </w:rPr>
        <w:t>(1), 120–135.</w:t>
      </w:r>
    </w:p>
    <w:p w14:paraId="6FE30A14" w14:textId="77777777" w:rsidR="00E9411D"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Lev, B., &amp; Gu, F. (2022). </w:t>
      </w:r>
      <w:r w:rsidRPr="00CE37D8">
        <w:rPr>
          <w:rFonts w:ascii="Times New Roman" w:hAnsi="Times New Roman" w:cs="Times New Roman"/>
          <w:i/>
          <w:iCs/>
        </w:rPr>
        <w:t>The end of accounting and the path forward for investors and managers</w:t>
      </w:r>
      <w:r w:rsidRPr="00CE37D8">
        <w:rPr>
          <w:rFonts w:ascii="Times New Roman" w:hAnsi="Times New Roman" w:cs="Times New Roman"/>
        </w:rPr>
        <w:t>. John Wiley &amp; Sons.</w:t>
      </w:r>
    </w:p>
    <w:p w14:paraId="74068870"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Li, X., Sun, Y., &amp; Zhou, L. (2024). Board capital, independence and open innovation: Evidence from listed firms in China. </w:t>
      </w:r>
      <w:r w:rsidRPr="00CF1C11">
        <w:rPr>
          <w:rFonts w:ascii="Times New Roman" w:hAnsi="Times New Roman" w:cs="Times New Roman"/>
          <w:i/>
          <w:iCs/>
        </w:rPr>
        <w:t>Journal of Business Research, 171</w:t>
      </w:r>
      <w:r w:rsidRPr="00CF1C11">
        <w:rPr>
          <w:rFonts w:ascii="Times New Roman" w:hAnsi="Times New Roman" w:cs="Times New Roman"/>
        </w:rPr>
        <w:t>, 114391.</w:t>
      </w:r>
    </w:p>
    <w:p w14:paraId="39AD3589" w14:textId="77777777" w:rsidR="00E9411D" w:rsidRPr="004D7572" w:rsidRDefault="00E9411D" w:rsidP="0012786E">
      <w:pPr>
        <w:spacing w:line="240" w:lineRule="auto"/>
        <w:ind w:left="709" w:hanging="709"/>
        <w:jc w:val="both"/>
        <w:rPr>
          <w:rFonts w:ascii="Times New Roman" w:hAnsi="Times New Roman" w:cs="Times New Roman"/>
        </w:rPr>
      </w:pPr>
      <w:proofErr w:type="spellStart"/>
      <w:r w:rsidRPr="004D7572">
        <w:rPr>
          <w:rFonts w:ascii="Times New Roman" w:hAnsi="Times New Roman" w:cs="Times New Roman"/>
        </w:rPr>
        <w:t>Liodaki</w:t>
      </w:r>
      <w:proofErr w:type="spellEnd"/>
      <w:r w:rsidRPr="004D7572">
        <w:rPr>
          <w:rFonts w:ascii="Times New Roman" w:hAnsi="Times New Roman" w:cs="Times New Roman"/>
        </w:rPr>
        <w:t xml:space="preserve">, N., &amp; Karalis, T. (2024). Barriers of employees’ participation in continuing professional education programs in Greece. </w:t>
      </w:r>
      <w:r w:rsidRPr="004D7572">
        <w:rPr>
          <w:rFonts w:ascii="Times New Roman" w:hAnsi="Times New Roman" w:cs="Times New Roman"/>
          <w:i/>
          <w:iCs/>
        </w:rPr>
        <w:t>European Journal of Education and Pedagogy, 5</w:t>
      </w:r>
      <w:r w:rsidRPr="004D7572">
        <w:rPr>
          <w:rFonts w:ascii="Times New Roman" w:hAnsi="Times New Roman" w:cs="Times New Roman"/>
        </w:rPr>
        <w:t xml:space="preserve">(3), 36–43. https://doi.org/10.24018/ejedu.2024.5.3.819 </w:t>
      </w:r>
    </w:p>
    <w:p w14:paraId="44EBA48F"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Liu, Y., Wei, Z., &amp; Xie, F. (2023). Board independence, entrepreneurial orientation and firm innovation: Evidence from emerging markets. </w:t>
      </w:r>
      <w:r w:rsidRPr="00CF1C11">
        <w:rPr>
          <w:rFonts w:ascii="Times New Roman" w:hAnsi="Times New Roman" w:cs="Times New Roman"/>
          <w:i/>
          <w:iCs/>
        </w:rPr>
        <w:t>Management Decision, 61</w:t>
      </w:r>
      <w:r w:rsidRPr="00CF1C11">
        <w:rPr>
          <w:rFonts w:ascii="Times New Roman" w:hAnsi="Times New Roman" w:cs="Times New Roman"/>
        </w:rPr>
        <w:t xml:space="preserve">(9), 2401–2420. </w:t>
      </w:r>
    </w:p>
    <w:p w14:paraId="7B6F2683" w14:textId="77777777" w:rsidR="00E9411D" w:rsidRPr="0001237A" w:rsidRDefault="00E9411D" w:rsidP="006C0A99">
      <w:pPr>
        <w:spacing w:line="240" w:lineRule="auto"/>
        <w:ind w:left="720" w:hanging="720"/>
        <w:jc w:val="both"/>
        <w:rPr>
          <w:rFonts w:ascii="Times New Roman" w:hAnsi="Times New Roman" w:cs="Times New Roman"/>
        </w:rPr>
      </w:pPr>
      <w:r w:rsidRPr="0001237A">
        <w:rPr>
          <w:rFonts w:ascii="Times New Roman" w:hAnsi="Times New Roman" w:cs="Times New Roman"/>
        </w:rPr>
        <w:t xml:space="preserve">Mensah, H. K., &amp; Agyapong, A. (2022). Human capital and firm performance nexus in Africa. </w:t>
      </w:r>
      <w:r w:rsidRPr="0001237A">
        <w:rPr>
          <w:rFonts w:ascii="Times New Roman" w:hAnsi="Times New Roman" w:cs="Times New Roman"/>
          <w:i/>
          <w:iCs/>
        </w:rPr>
        <w:t>Journal of African Business, 23</w:t>
      </w:r>
      <w:r w:rsidRPr="0001237A">
        <w:rPr>
          <w:rFonts w:ascii="Times New Roman" w:hAnsi="Times New Roman" w:cs="Times New Roman"/>
        </w:rPr>
        <w:t>(1), 1–20.</w:t>
      </w:r>
    </w:p>
    <w:p w14:paraId="72256DEB"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Mensah, H. K., Agyapong, A., &amp; </w:t>
      </w:r>
      <w:proofErr w:type="spellStart"/>
      <w:r w:rsidRPr="004A4249">
        <w:rPr>
          <w:rFonts w:ascii="Times New Roman" w:hAnsi="Times New Roman" w:cs="Times New Roman"/>
        </w:rPr>
        <w:t>Nuertey</w:t>
      </w:r>
      <w:proofErr w:type="spellEnd"/>
      <w:r w:rsidRPr="004A4249">
        <w:rPr>
          <w:rFonts w:ascii="Times New Roman" w:hAnsi="Times New Roman" w:cs="Times New Roman"/>
        </w:rPr>
        <w:t xml:space="preserve">, D. (2022). Human capital development and firm performance: The moderating role of innovation. </w:t>
      </w:r>
      <w:r w:rsidRPr="004A4249">
        <w:rPr>
          <w:rFonts w:ascii="Times New Roman" w:hAnsi="Times New Roman" w:cs="Times New Roman"/>
          <w:i/>
          <w:iCs/>
        </w:rPr>
        <w:t>Journal of African Business, 23</w:t>
      </w:r>
      <w:r w:rsidRPr="004A4249">
        <w:rPr>
          <w:rFonts w:ascii="Times New Roman" w:hAnsi="Times New Roman" w:cs="Times New Roman"/>
        </w:rPr>
        <w:t>(2), 210–228. https://doi.org/10.1080/15228916.2021.1924578</w:t>
      </w:r>
    </w:p>
    <w:p w14:paraId="20F6B3CE" w14:textId="77777777" w:rsidR="00E9411D" w:rsidRPr="008C30AD" w:rsidRDefault="00E9411D" w:rsidP="008C30AD">
      <w:pPr>
        <w:spacing w:line="240" w:lineRule="auto"/>
        <w:ind w:left="720" w:hanging="720"/>
        <w:jc w:val="both"/>
        <w:rPr>
          <w:rFonts w:ascii="Times New Roman" w:hAnsi="Times New Roman" w:cs="Times New Roman"/>
        </w:rPr>
      </w:pPr>
      <w:r w:rsidRPr="008C30AD">
        <w:rPr>
          <w:rFonts w:ascii="Times New Roman" w:hAnsi="Times New Roman" w:cs="Times New Roman"/>
        </w:rPr>
        <w:t xml:space="preserve">Mensah, H. K., Agyapong, A., &amp; </w:t>
      </w:r>
      <w:proofErr w:type="spellStart"/>
      <w:r w:rsidRPr="008C30AD">
        <w:rPr>
          <w:rFonts w:ascii="Times New Roman" w:hAnsi="Times New Roman" w:cs="Times New Roman"/>
        </w:rPr>
        <w:t>Nuertey</w:t>
      </w:r>
      <w:proofErr w:type="spellEnd"/>
      <w:r w:rsidRPr="008C30AD">
        <w:rPr>
          <w:rFonts w:ascii="Times New Roman" w:hAnsi="Times New Roman" w:cs="Times New Roman"/>
        </w:rPr>
        <w:t xml:space="preserve">, D. (2022). Human capital development and firm performance: The moderating role of innovation. </w:t>
      </w:r>
      <w:r w:rsidRPr="008C30AD">
        <w:rPr>
          <w:rFonts w:ascii="Times New Roman" w:hAnsi="Times New Roman" w:cs="Times New Roman"/>
          <w:i/>
          <w:iCs/>
        </w:rPr>
        <w:t>Journal of African Business, 23</w:t>
      </w:r>
      <w:r w:rsidRPr="008C30AD">
        <w:rPr>
          <w:rFonts w:ascii="Times New Roman" w:hAnsi="Times New Roman" w:cs="Times New Roman"/>
        </w:rPr>
        <w:t>(2), 210–228.</w:t>
      </w:r>
    </w:p>
    <w:p w14:paraId="335C9AD0" w14:textId="77777777" w:rsidR="00E9411D" w:rsidRPr="00FB0A5C"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 xml:space="preserve">Moses, A. O. (2023). Capital structure and the market value of manufacturing firms in Nigeria. </w:t>
      </w:r>
      <w:r w:rsidRPr="00FB0A5C">
        <w:rPr>
          <w:rFonts w:ascii="Times New Roman" w:hAnsi="Times New Roman" w:cs="Times New Roman"/>
          <w:i/>
          <w:iCs/>
        </w:rPr>
        <w:t>International Journal of Social Science and Management Research, 9</w:t>
      </w:r>
      <w:r w:rsidRPr="00FB0A5C">
        <w:rPr>
          <w:rFonts w:ascii="Times New Roman" w:hAnsi="Times New Roman" w:cs="Times New Roman"/>
        </w:rPr>
        <w:t>(1), 1–15.</w:t>
      </w:r>
    </w:p>
    <w:p w14:paraId="02ABE127" w14:textId="77777777" w:rsidR="00E9411D" w:rsidRPr="005A796A" w:rsidRDefault="00E9411D" w:rsidP="005A796A">
      <w:pPr>
        <w:spacing w:line="240" w:lineRule="auto"/>
        <w:ind w:left="709" w:hanging="709"/>
        <w:jc w:val="both"/>
        <w:rPr>
          <w:rFonts w:ascii="Times New Roman" w:hAnsi="Times New Roman" w:cs="Times New Roman"/>
        </w:rPr>
      </w:pPr>
      <w:r w:rsidRPr="005A796A">
        <w:rPr>
          <w:rFonts w:ascii="Times New Roman" w:hAnsi="Times New Roman" w:cs="Times New Roman"/>
        </w:rPr>
        <w:lastRenderedPageBreak/>
        <w:t xml:space="preserve">Musa, M. K., &amp; Modibbo, A. (2025). Board attributes and financial reporting quality of listed oil and gas firms in Nigeria. </w:t>
      </w:r>
      <w:r w:rsidRPr="005A796A">
        <w:rPr>
          <w:rFonts w:ascii="Times New Roman" w:hAnsi="Times New Roman" w:cs="Times New Roman"/>
          <w:i/>
          <w:iCs/>
        </w:rPr>
        <w:t>International Journal of Research and Innovation in Social Science, 9</w:t>
      </w:r>
      <w:r w:rsidRPr="005A796A">
        <w:rPr>
          <w:rFonts w:ascii="Times New Roman" w:hAnsi="Times New Roman" w:cs="Times New Roman"/>
        </w:rPr>
        <w:t>, 2255–2280. https://doi.org/10.47772/IJRISS.2025.906000114</w:t>
      </w:r>
    </w:p>
    <w:p w14:paraId="16E94281" w14:textId="77777777" w:rsidR="00E9411D" w:rsidRPr="005A3AF9" w:rsidRDefault="00E9411D" w:rsidP="0012786E">
      <w:pPr>
        <w:spacing w:line="240" w:lineRule="auto"/>
        <w:ind w:left="709" w:hanging="709"/>
        <w:jc w:val="both"/>
        <w:rPr>
          <w:rFonts w:ascii="Times New Roman" w:hAnsi="Times New Roman" w:cs="Times New Roman"/>
        </w:rPr>
      </w:pPr>
      <w:r w:rsidRPr="005A3AF9">
        <w:rPr>
          <w:rFonts w:ascii="Times New Roman" w:hAnsi="Times New Roman" w:cs="Times New Roman"/>
        </w:rPr>
        <w:t xml:space="preserve">Neycheva, M. (2024). Exploring the factors of firm-provided continuing education and training: A systematic literature review. </w:t>
      </w:r>
      <w:r w:rsidRPr="005A3AF9">
        <w:rPr>
          <w:rFonts w:ascii="Times New Roman" w:hAnsi="Times New Roman" w:cs="Times New Roman"/>
          <w:i/>
          <w:iCs/>
        </w:rPr>
        <w:t>European Journal of Educational Research, 13</w:t>
      </w:r>
      <w:r w:rsidRPr="005A3AF9">
        <w:rPr>
          <w:rFonts w:ascii="Times New Roman" w:hAnsi="Times New Roman" w:cs="Times New Roman"/>
        </w:rPr>
        <w:t xml:space="preserve">(3), 1185–1197. https://doi.org/10.12973/eu-jer.13.3.1185 </w:t>
      </w:r>
    </w:p>
    <w:p w14:paraId="272D9365" w14:textId="77777777" w:rsidR="00E9411D" w:rsidRPr="007D01D7" w:rsidRDefault="00E9411D" w:rsidP="006C0A99">
      <w:pPr>
        <w:spacing w:line="240" w:lineRule="auto"/>
        <w:ind w:left="720" w:hanging="720"/>
        <w:jc w:val="both"/>
        <w:rPr>
          <w:rFonts w:ascii="Times New Roman" w:hAnsi="Times New Roman" w:cs="Times New Roman"/>
        </w:rPr>
      </w:pPr>
      <w:r w:rsidRPr="007D01D7">
        <w:rPr>
          <w:rFonts w:ascii="Times New Roman" w:hAnsi="Times New Roman" w:cs="Times New Roman"/>
        </w:rPr>
        <w:t xml:space="preserve">Ntim, C. G., Lindop, S., &amp; Thomas, D. A. (2022). Corporate governance and risk management in emerging markets. </w:t>
      </w:r>
      <w:r w:rsidRPr="007D01D7">
        <w:rPr>
          <w:rFonts w:ascii="Times New Roman" w:hAnsi="Times New Roman" w:cs="Times New Roman"/>
          <w:i/>
          <w:iCs/>
        </w:rPr>
        <w:t>Accounting Forum, 46</w:t>
      </w:r>
      <w:r w:rsidRPr="007D01D7">
        <w:rPr>
          <w:rFonts w:ascii="Times New Roman" w:hAnsi="Times New Roman" w:cs="Times New Roman"/>
        </w:rPr>
        <w:t>(3), 245–267.</w:t>
      </w:r>
    </w:p>
    <w:p w14:paraId="2F0F0095" w14:textId="77777777" w:rsidR="00E9411D" w:rsidRPr="005C40E1" w:rsidRDefault="00E9411D" w:rsidP="0012786E">
      <w:pPr>
        <w:spacing w:line="240" w:lineRule="auto"/>
        <w:ind w:left="709" w:hanging="709"/>
        <w:jc w:val="both"/>
        <w:rPr>
          <w:rFonts w:ascii="Times New Roman" w:hAnsi="Times New Roman" w:cs="Times New Roman"/>
        </w:rPr>
      </w:pPr>
      <w:r w:rsidRPr="005C40E1">
        <w:rPr>
          <w:rFonts w:ascii="Times New Roman" w:hAnsi="Times New Roman" w:cs="Times New Roman"/>
        </w:rPr>
        <w:t xml:space="preserve">OECD. (2023). </w:t>
      </w:r>
      <w:r w:rsidRPr="005C40E1">
        <w:rPr>
          <w:rFonts w:ascii="Times New Roman" w:hAnsi="Times New Roman" w:cs="Times New Roman"/>
          <w:i/>
          <w:iCs/>
        </w:rPr>
        <w:t>OECD skills outlook 2023: People, productivity and prosperity</w:t>
      </w:r>
      <w:r w:rsidRPr="005C40E1">
        <w:rPr>
          <w:rFonts w:ascii="Times New Roman" w:hAnsi="Times New Roman" w:cs="Times New Roman"/>
        </w:rPr>
        <w:t>. OECD Publishing. https://doi.org/10.1787/9f5f1d9e-en</w:t>
      </w:r>
    </w:p>
    <w:p w14:paraId="6D9621AD" w14:textId="77777777" w:rsidR="00E9411D" w:rsidRPr="00FB0A5C"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 xml:space="preserve">Okafor, R. G., &amp; Ezeani, E. (2022). Corporate governance and firm value: Evidence from listed firms in Nigeria. </w:t>
      </w:r>
      <w:r w:rsidRPr="00FB0A5C">
        <w:rPr>
          <w:rFonts w:ascii="Times New Roman" w:hAnsi="Times New Roman" w:cs="Times New Roman"/>
          <w:i/>
          <w:iCs/>
        </w:rPr>
        <w:t>Journal of African Business, 23</w:t>
      </w:r>
      <w:r w:rsidRPr="00FB0A5C">
        <w:rPr>
          <w:rFonts w:ascii="Times New Roman" w:hAnsi="Times New Roman" w:cs="Times New Roman"/>
        </w:rPr>
        <w:t>(4), 512–530.</w:t>
      </w:r>
    </w:p>
    <w:p w14:paraId="3396E9FA" w14:textId="77777777" w:rsidR="00E9411D" w:rsidRPr="0053192E" w:rsidRDefault="00E9411D" w:rsidP="0053192E">
      <w:pPr>
        <w:spacing w:line="240" w:lineRule="auto"/>
        <w:ind w:left="709" w:hanging="709"/>
        <w:jc w:val="both"/>
        <w:rPr>
          <w:rFonts w:ascii="Times New Roman" w:hAnsi="Times New Roman" w:cs="Times New Roman"/>
        </w:rPr>
      </w:pPr>
      <w:r w:rsidRPr="0053192E">
        <w:rPr>
          <w:rFonts w:ascii="Times New Roman" w:hAnsi="Times New Roman" w:cs="Times New Roman"/>
        </w:rPr>
        <w:t xml:space="preserve">Okafor, R. G., &amp; </w:t>
      </w:r>
      <w:proofErr w:type="spellStart"/>
      <w:r w:rsidRPr="0053192E">
        <w:rPr>
          <w:rFonts w:ascii="Times New Roman" w:hAnsi="Times New Roman" w:cs="Times New Roman"/>
        </w:rPr>
        <w:t>Ibadin</w:t>
      </w:r>
      <w:proofErr w:type="spellEnd"/>
      <w:r w:rsidRPr="0053192E">
        <w:rPr>
          <w:rFonts w:ascii="Times New Roman" w:hAnsi="Times New Roman" w:cs="Times New Roman"/>
        </w:rPr>
        <w:t xml:space="preserve">, P. O. (2025). Board characteristics and firm value in Nigeria. </w:t>
      </w:r>
      <w:r w:rsidRPr="0053192E">
        <w:rPr>
          <w:rFonts w:ascii="Times New Roman" w:hAnsi="Times New Roman" w:cs="Times New Roman"/>
          <w:i/>
          <w:iCs/>
        </w:rPr>
        <w:t>Cogent Economics &amp; Finance, 13</w:t>
      </w:r>
      <w:r w:rsidRPr="0053192E">
        <w:rPr>
          <w:rFonts w:ascii="Times New Roman" w:hAnsi="Times New Roman" w:cs="Times New Roman"/>
        </w:rPr>
        <w:t>(1), 2389012.</w:t>
      </w:r>
    </w:p>
    <w:p w14:paraId="3F9AE6AD" w14:textId="77777777" w:rsidR="00E9411D" w:rsidRPr="00F759F4" w:rsidRDefault="00E9411D" w:rsidP="006C0A99">
      <w:pPr>
        <w:spacing w:line="240" w:lineRule="auto"/>
        <w:ind w:left="720" w:hanging="720"/>
        <w:jc w:val="both"/>
        <w:rPr>
          <w:rFonts w:ascii="Times New Roman" w:hAnsi="Times New Roman" w:cs="Times New Roman"/>
        </w:rPr>
      </w:pPr>
      <w:r w:rsidRPr="00F759F4">
        <w:rPr>
          <w:rFonts w:ascii="Times New Roman" w:hAnsi="Times New Roman" w:cs="Times New Roman"/>
        </w:rPr>
        <w:t xml:space="preserve">Okoye, P. V. C., &amp; Eze, K. T. (2023). Training investment and organizational performance in Nigeria. </w:t>
      </w:r>
      <w:r w:rsidRPr="00F759F4">
        <w:rPr>
          <w:rFonts w:ascii="Times New Roman" w:hAnsi="Times New Roman" w:cs="Times New Roman"/>
          <w:i/>
          <w:iCs/>
        </w:rPr>
        <w:t>International Journal of Business and Management Review, 11</w:t>
      </w:r>
      <w:r w:rsidRPr="00F759F4">
        <w:rPr>
          <w:rFonts w:ascii="Times New Roman" w:hAnsi="Times New Roman" w:cs="Times New Roman"/>
        </w:rPr>
        <w:t>(4), 55–70.</w:t>
      </w:r>
    </w:p>
    <w:p w14:paraId="34903FEF" w14:textId="77777777" w:rsidR="00E9411D" w:rsidRPr="00E3318A" w:rsidRDefault="00E9411D" w:rsidP="00E3318A">
      <w:pPr>
        <w:spacing w:line="240" w:lineRule="auto"/>
        <w:ind w:left="720" w:hanging="720"/>
        <w:jc w:val="both"/>
        <w:rPr>
          <w:rFonts w:ascii="Times New Roman" w:hAnsi="Times New Roman" w:cs="Times New Roman"/>
        </w:rPr>
      </w:pPr>
      <w:r w:rsidRPr="00E3318A">
        <w:rPr>
          <w:rFonts w:ascii="Times New Roman" w:hAnsi="Times New Roman" w:cs="Times New Roman"/>
        </w:rPr>
        <w:t xml:space="preserve">Olabode, O., &amp; </w:t>
      </w:r>
      <w:proofErr w:type="spellStart"/>
      <w:r w:rsidRPr="00E3318A">
        <w:rPr>
          <w:rFonts w:ascii="Times New Roman" w:hAnsi="Times New Roman" w:cs="Times New Roman"/>
        </w:rPr>
        <w:t>Ayoboye</w:t>
      </w:r>
      <w:proofErr w:type="spellEnd"/>
      <w:r w:rsidRPr="00E3318A">
        <w:rPr>
          <w:rFonts w:ascii="Times New Roman" w:hAnsi="Times New Roman" w:cs="Times New Roman"/>
        </w:rPr>
        <w:t xml:space="preserve">, S. (2023). Human capital expenditure and financial performance of manufacturing firms. </w:t>
      </w:r>
      <w:r w:rsidRPr="00E3318A">
        <w:rPr>
          <w:rFonts w:ascii="Times New Roman" w:hAnsi="Times New Roman" w:cs="Times New Roman"/>
          <w:i/>
          <w:iCs/>
        </w:rPr>
        <w:t>African Journal of Accounting, Finance and Marketing, 6</w:t>
      </w:r>
      <w:r w:rsidRPr="00E3318A">
        <w:rPr>
          <w:rFonts w:ascii="Times New Roman" w:hAnsi="Times New Roman" w:cs="Times New Roman"/>
        </w:rPr>
        <w:t>(2), 55–70.</w:t>
      </w:r>
    </w:p>
    <w:p w14:paraId="1CF1796F" w14:textId="77777777" w:rsidR="00E9411D" w:rsidRDefault="00E9411D" w:rsidP="006C0A99">
      <w:pPr>
        <w:spacing w:line="240" w:lineRule="auto"/>
        <w:ind w:left="720" w:hanging="720"/>
        <w:jc w:val="both"/>
        <w:rPr>
          <w:rFonts w:ascii="Times New Roman" w:hAnsi="Times New Roman" w:cs="Times New Roman"/>
        </w:rPr>
      </w:pPr>
      <w:proofErr w:type="spellStart"/>
      <w:r w:rsidRPr="001059B3">
        <w:rPr>
          <w:rFonts w:ascii="Times New Roman" w:hAnsi="Times New Roman" w:cs="Times New Roman"/>
        </w:rPr>
        <w:t>Onipe</w:t>
      </w:r>
      <w:proofErr w:type="spellEnd"/>
      <w:r w:rsidRPr="001059B3">
        <w:rPr>
          <w:rFonts w:ascii="Times New Roman" w:hAnsi="Times New Roman" w:cs="Times New Roman"/>
        </w:rPr>
        <w:t xml:space="preserve">, A. Y. (2024). Corporate governance mechanisms and firm value in Nigeria. </w:t>
      </w:r>
      <w:r w:rsidRPr="001059B3">
        <w:rPr>
          <w:rFonts w:ascii="Times New Roman" w:hAnsi="Times New Roman" w:cs="Times New Roman"/>
          <w:i/>
          <w:iCs/>
        </w:rPr>
        <w:t>International Journal of Accounting and Finance, 13</w:t>
      </w:r>
      <w:r w:rsidRPr="001059B3">
        <w:rPr>
          <w:rFonts w:ascii="Times New Roman" w:hAnsi="Times New Roman" w:cs="Times New Roman"/>
        </w:rPr>
        <w:t>(1), 65–82.</w:t>
      </w:r>
    </w:p>
    <w:p w14:paraId="76CC6758"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Rodríguez Valencia, L. (2025). Financial performance and corporate governance on firm value: Evidence from SMEs. </w:t>
      </w:r>
      <w:r w:rsidRPr="004A4249">
        <w:rPr>
          <w:rFonts w:ascii="Times New Roman" w:hAnsi="Times New Roman" w:cs="Times New Roman"/>
          <w:i/>
          <w:iCs/>
        </w:rPr>
        <w:t>Journal of Risk and Financial Management, 13</w:t>
      </w:r>
      <w:r w:rsidRPr="004A4249">
        <w:rPr>
          <w:rFonts w:ascii="Times New Roman" w:hAnsi="Times New Roman" w:cs="Times New Roman"/>
        </w:rPr>
        <w:t>(3), 123. https://doi.org/10.3390/jrfm13030123</w:t>
      </w:r>
    </w:p>
    <w:p w14:paraId="1AA59AE0"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Salisu, A. A., &amp; Mohammed, S. (2024). Workforce training and firm value: Evidence from listed firms in Nigeria. </w:t>
      </w:r>
      <w:r w:rsidRPr="004A4249">
        <w:rPr>
          <w:rFonts w:ascii="Times New Roman" w:hAnsi="Times New Roman" w:cs="Times New Roman"/>
          <w:i/>
          <w:iCs/>
        </w:rPr>
        <w:t>Nigerian Journal of Management Sciences, 25</w:t>
      </w:r>
      <w:r w:rsidRPr="004A4249">
        <w:rPr>
          <w:rFonts w:ascii="Times New Roman" w:hAnsi="Times New Roman" w:cs="Times New Roman"/>
        </w:rPr>
        <w:t>(1), 112–125.</w:t>
      </w:r>
    </w:p>
    <w:p w14:paraId="6E2816BA" w14:textId="77777777" w:rsidR="00E9411D" w:rsidRPr="007E328C" w:rsidRDefault="00E9411D" w:rsidP="006C0A99">
      <w:pPr>
        <w:spacing w:line="240" w:lineRule="auto"/>
        <w:ind w:left="720" w:hanging="720"/>
        <w:jc w:val="both"/>
        <w:rPr>
          <w:rFonts w:ascii="Times New Roman" w:hAnsi="Times New Roman" w:cs="Times New Roman"/>
        </w:rPr>
      </w:pPr>
      <w:r w:rsidRPr="007E328C">
        <w:rPr>
          <w:rFonts w:ascii="Times New Roman" w:hAnsi="Times New Roman" w:cs="Times New Roman"/>
        </w:rPr>
        <w:t xml:space="preserve">Scientific Research Publishing. (2025). Corporate governance and ESG principles as strategic drivers of firm value. </w:t>
      </w:r>
      <w:r w:rsidRPr="007E328C">
        <w:rPr>
          <w:rFonts w:ascii="Times New Roman" w:hAnsi="Times New Roman" w:cs="Times New Roman"/>
          <w:i/>
          <w:iCs/>
        </w:rPr>
        <w:t>Open Journal of Business and Management, 13</w:t>
      </w:r>
      <w:r w:rsidRPr="007E328C">
        <w:rPr>
          <w:rFonts w:ascii="Times New Roman" w:hAnsi="Times New Roman" w:cs="Times New Roman"/>
        </w:rPr>
        <w:t>(1), 85–102.</w:t>
      </w:r>
    </w:p>
    <w:p w14:paraId="12FCCC8B" w14:textId="77777777" w:rsidR="00E9411D" w:rsidRPr="004A4249" w:rsidRDefault="00E9411D" w:rsidP="004A4249">
      <w:pPr>
        <w:spacing w:line="240" w:lineRule="auto"/>
        <w:ind w:left="709" w:hanging="709"/>
        <w:jc w:val="both"/>
        <w:rPr>
          <w:rFonts w:ascii="Times New Roman" w:hAnsi="Times New Roman" w:cs="Times New Roman"/>
        </w:rPr>
      </w:pPr>
      <w:proofErr w:type="spellStart"/>
      <w:r w:rsidRPr="004A4249">
        <w:rPr>
          <w:rFonts w:ascii="Times New Roman" w:hAnsi="Times New Roman" w:cs="Times New Roman"/>
        </w:rPr>
        <w:t>Sinebe</w:t>
      </w:r>
      <w:proofErr w:type="spellEnd"/>
      <w:r w:rsidRPr="004A4249">
        <w:rPr>
          <w:rFonts w:ascii="Times New Roman" w:hAnsi="Times New Roman" w:cs="Times New Roman"/>
        </w:rPr>
        <w:t xml:space="preserve">, M. T. (2026). Board shared traits and integrated financial disclosure information in listed industrial goods firms in Nigeria. </w:t>
      </w:r>
      <w:r w:rsidRPr="004A4249">
        <w:rPr>
          <w:rFonts w:ascii="Times New Roman" w:hAnsi="Times New Roman" w:cs="Times New Roman"/>
          <w:i/>
          <w:iCs/>
        </w:rPr>
        <w:t>Journal of Accounting and Financial Management, 12</w:t>
      </w:r>
      <w:r w:rsidRPr="004A4249">
        <w:rPr>
          <w:rFonts w:ascii="Times New Roman" w:hAnsi="Times New Roman" w:cs="Times New Roman"/>
        </w:rPr>
        <w:t>(2), 202–217.</w:t>
      </w:r>
    </w:p>
    <w:p w14:paraId="073FA46D"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Soomro, R. M. (2026). Corporate governance and firm value: The role of board independence in PSX firms. </w:t>
      </w:r>
      <w:r w:rsidRPr="004A4249">
        <w:rPr>
          <w:rFonts w:ascii="Times New Roman" w:hAnsi="Times New Roman" w:cs="Times New Roman"/>
          <w:i/>
          <w:iCs/>
        </w:rPr>
        <w:t>ResearchGate</w:t>
      </w:r>
      <w:r w:rsidRPr="004A4249">
        <w:rPr>
          <w:rFonts w:ascii="Times New Roman" w:hAnsi="Times New Roman" w:cs="Times New Roman"/>
        </w:rPr>
        <w:t>.</w:t>
      </w:r>
    </w:p>
    <w:p w14:paraId="2F93985B" w14:textId="77777777" w:rsidR="00E9411D" w:rsidRPr="00B24D60" w:rsidRDefault="00E9411D" w:rsidP="00B24D60">
      <w:pPr>
        <w:spacing w:line="240" w:lineRule="auto"/>
        <w:ind w:left="709" w:hanging="709"/>
        <w:jc w:val="both"/>
        <w:rPr>
          <w:rFonts w:ascii="Times New Roman" w:hAnsi="Times New Roman" w:cs="Times New Roman"/>
        </w:rPr>
      </w:pPr>
      <w:r w:rsidRPr="00B24D60">
        <w:rPr>
          <w:rFonts w:ascii="Times New Roman" w:hAnsi="Times New Roman" w:cs="Times New Roman"/>
        </w:rPr>
        <w:t xml:space="preserve">Spence, M. (1973). Job market signaling. </w:t>
      </w:r>
      <w:r w:rsidRPr="00B24D60">
        <w:rPr>
          <w:rFonts w:ascii="Times New Roman" w:hAnsi="Times New Roman" w:cs="Times New Roman"/>
          <w:i/>
          <w:iCs/>
        </w:rPr>
        <w:t>Quarterly Journal of Economics, 87</w:t>
      </w:r>
      <w:r w:rsidRPr="00B24D60">
        <w:rPr>
          <w:rFonts w:ascii="Times New Roman" w:hAnsi="Times New Roman" w:cs="Times New Roman"/>
        </w:rPr>
        <w:t>(3), 355–374.</w:t>
      </w:r>
    </w:p>
    <w:p w14:paraId="21A76833" w14:textId="77777777" w:rsidR="00E9411D" w:rsidRPr="00F2692F" w:rsidRDefault="00E9411D" w:rsidP="00F2692F">
      <w:pPr>
        <w:spacing w:line="240" w:lineRule="auto"/>
        <w:ind w:left="709" w:hanging="709"/>
        <w:jc w:val="both"/>
        <w:rPr>
          <w:rFonts w:ascii="Times New Roman" w:hAnsi="Times New Roman" w:cs="Times New Roman"/>
        </w:rPr>
      </w:pPr>
      <w:proofErr w:type="spellStart"/>
      <w:r w:rsidRPr="00F2692F">
        <w:rPr>
          <w:rFonts w:ascii="Times New Roman" w:hAnsi="Times New Roman" w:cs="Times New Roman"/>
        </w:rPr>
        <w:t>Svetek</w:t>
      </w:r>
      <w:proofErr w:type="spellEnd"/>
      <w:r w:rsidRPr="00F2692F">
        <w:rPr>
          <w:rFonts w:ascii="Times New Roman" w:hAnsi="Times New Roman" w:cs="Times New Roman"/>
        </w:rPr>
        <w:t xml:space="preserve">, M. (2022). Signaling in early-stage equity financing. </w:t>
      </w:r>
      <w:r w:rsidRPr="00F2692F">
        <w:rPr>
          <w:rFonts w:ascii="Times New Roman" w:hAnsi="Times New Roman" w:cs="Times New Roman"/>
          <w:i/>
          <w:iCs/>
        </w:rPr>
        <w:t>Venture Capital, 24</w:t>
      </w:r>
      <w:r w:rsidRPr="00F2692F">
        <w:rPr>
          <w:rFonts w:ascii="Times New Roman" w:hAnsi="Times New Roman" w:cs="Times New Roman"/>
        </w:rPr>
        <w:t xml:space="preserve">(3), 1–20. </w:t>
      </w:r>
      <w:hyperlink r:id="rId10" w:tgtFrame="_new" w:history="1">
        <w:r w:rsidRPr="00F2692F">
          <w:rPr>
            <w:rStyle w:val="Hyperlink"/>
            <w:rFonts w:ascii="Times New Roman" w:hAnsi="Times New Roman" w:cs="Times New Roman"/>
          </w:rPr>
          <w:t>https://doi.org/10.1080/13691066.2022.2063092</w:t>
        </w:r>
      </w:hyperlink>
    </w:p>
    <w:p w14:paraId="2E552FF7"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lastRenderedPageBreak/>
        <w:t xml:space="preserve">Tanveer, B., </w:t>
      </w:r>
      <w:proofErr w:type="spellStart"/>
      <w:r w:rsidRPr="004A4249">
        <w:rPr>
          <w:rFonts w:ascii="Times New Roman" w:hAnsi="Times New Roman" w:cs="Times New Roman"/>
        </w:rPr>
        <w:t>Hunjra</w:t>
      </w:r>
      <w:proofErr w:type="spellEnd"/>
      <w:r w:rsidRPr="004A4249">
        <w:rPr>
          <w:rFonts w:ascii="Times New Roman" w:hAnsi="Times New Roman" w:cs="Times New Roman"/>
        </w:rPr>
        <w:t xml:space="preserve">, A. I., &amp; Corbet, S. (2025). The impact of corporate governance on firm value: Understanding the role of strategic change. </w:t>
      </w:r>
      <w:r w:rsidRPr="004A4249">
        <w:rPr>
          <w:rFonts w:ascii="Times New Roman" w:hAnsi="Times New Roman" w:cs="Times New Roman"/>
          <w:i/>
          <w:iCs/>
        </w:rPr>
        <w:t>International Review of Economics &amp; Finance</w:t>
      </w:r>
      <w:r w:rsidRPr="004A4249">
        <w:rPr>
          <w:rFonts w:ascii="Times New Roman" w:hAnsi="Times New Roman" w:cs="Times New Roman"/>
        </w:rPr>
        <w:t>. Advance online publication. https://doi.org/10.1016/j.iref.2025.03.012</w:t>
      </w:r>
    </w:p>
    <w:p w14:paraId="35A0855F" w14:textId="77777777" w:rsidR="00E9411D" w:rsidRPr="00E3318A" w:rsidRDefault="00E9411D" w:rsidP="00E3318A">
      <w:pPr>
        <w:spacing w:line="240" w:lineRule="auto"/>
        <w:ind w:left="720" w:hanging="720"/>
        <w:jc w:val="both"/>
        <w:rPr>
          <w:rFonts w:ascii="Times New Roman" w:hAnsi="Times New Roman" w:cs="Times New Roman"/>
        </w:rPr>
      </w:pPr>
      <w:proofErr w:type="spellStart"/>
      <w:r w:rsidRPr="00E3318A">
        <w:rPr>
          <w:rFonts w:ascii="Times New Roman" w:hAnsi="Times New Roman" w:cs="Times New Roman"/>
        </w:rPr>
        <w:t>Tuamyil</w:t>
      </w:r>
      <w:proofErr w:type="spellEnd"/>
      <w:r w:rsidRPr="00E3318A">
        <w:rPr>
          <w:rFonts w:ascii="Times New Roman" w:hAnsi="Times New Roman" w:cs="Times New Roman"/>
        </w:rPr>
        <w:t xml:space="preserve">, R. B. (2024). Role of human capital development on firm performance and innovation. </w:t>
      </w:r>
      <w:r w:rsidRPr="00E3318A">
        <w:rPr>
          <w:rFonts w:ascii="Times New Roman" w:hAnsi="Times New Roman" w:cs="Times New Roman"/>
          <w:i/>
          <w:iCs/>
        </w:rPr>
        <w:t>Journal of African Business, 25</w:t>
      </w:r>
      <w:r w:rsidRPr="00E3318A">
        <w:rPr>
          <w:rFonts w:ascii="Times New Roman" w:hAnsi="Times New Roman" w:cs="Times New Roman"/>
        </w:rPr>
        <w:t>(1), 89–105.</w:t>
      </w:r>
    </w:p>
    <w:p w14:paraId="5027081C" w14:textId="77777777" w:rsidR="00E9411D" w:rsidRPr="004A4249" w:rsidRDefault="00E9411D" w:rsidP="004A4249">
      <w:pPr>
        <w:spacing w:line="240" w:lineRule="auto"/>
        <w:ind w:left="709" w:hanging="709"/>
        <w:jc w:val="both"/>
        <w:rPr>
          <w:rFonts w:ascii="Times New Roman" w:hAnsi="Times New Roman" w:cs="Times New Roman"/>
        </w:rPr>
      </w:pPr>
      <w:proofErr w:type="spellStart"/>
      <w:r w:rsidRPr="004A4249">
        <w:rPr>
          <w:rFonts w:ascii="Times New Roman" w:hAnsi="Times New Roman" w:cs="Times New Roman"/>
        </w:rPr>
        <w:t>Uwuigbe</w:t>
      </w:r>
      <w:proofErr w:type="spellEnd"/>
      <w:r w:rsidRPr="004A4249">
        <w:rPr>
          <w:rFonts w:ascii="Times New Roman" w:hAnsi="Times New Roman" w:cs="Times New Roman"/>
        </w:rPr>
        <w:t xml:space="preserve">, U., </w:t>
      </w:r>
      <w:proofErr w:type="spellStart"/>
      <w:r w:rsidRPr="004A4249">
        <w:rPr>
          <w:rFonts w:ascii="Times New Roman" w:hAnsi="Times New Roman" w:cs="Times New Roman"/>
        </w:rPr>
        <w:t>Uwuigbe</w:t>
      </w:r>
      <w:proofErr w:type="spellEnd"/>
      <w:r w:rsidRPr="004A4249">
        <w:rPr>
          <w:rFonts w:ascii="Times New Roman" w:hAnsi="Times New Roman" w:cs="Times New Roman"/>
        </w:rPr>
        <w:t xml:space="preserve">, O. R., &amp; Oyeniyi, A. (2023). Board independence and financial performance of listed firms in Nigeria. </w:t>
      </w:r>
      <w:r w:rsidRPr="004A4249">
        <w:rPr>
          <w:rFonts w:ascii="Times New Roman" w:hAnsi="Times New Roman" w:cs="Times New Roman"/>
          <w:i/>
          <w:iCs/>
        </w:rPr>
        <w:t>Journal of Accounting and Taxation, 15</w:t>
      </w:r>
      <w:r w:rsidRPr="004A4249">
        <w:rPr>
          <w:rFonts w:ascii="Times New Roman" w:hAnsi="Times New Roman" w:cs="Times New Roman"/>
        </w:rPr>
        <w:t>(1), 12–25.</w:t>
      </w:r>
    </w:p>
    <w:p w14:paraId="046EFD02"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Valero-Gil, J. N. (2024). Information asymmetry and signaling in corporate investments. </w:t>
      </w:r>
      <w:r w:rsidRPr="00F2692F">
        <w:rPr>
          <w:rFonts w:ascii="Times New Roman" w:hAnsi="Times New Roman" w:cs="Times New Roman"/>
          <w:i/>
          <w:iCs/>
        </w:rPr>
        <w:t>Journal of Financial Economics, 152</w:t>
      </w:r>
      <w:r w:rsidRPr="00F2692F">
        <w:rPr>
          <w:rFonts w:ascii="Times New Roman" w:hAnsi="Times New Roman" w:cs="Times New Roman"/>
        </w:rPr>
        <w:t>(1), 89–107. https://doi.org/10.1016/j.jfineco.2023.10.005</w:t>
      </w:r>
    </w:p>
    <w:p w14:paraId="485BAE6D" w14:textId="77777777" w:rsidR="00E9411D" w:rsidRPr="007F335E" w:rsidRDefault="00E9411D" w:rsidP="0012786E">
      <w:pPr>
        <w:spacing w:line="240" w:lineRule="auto"/>
        <w:ind w:left="709" w:hanging="709"/>
        <w:jc w:val="both"/>
        <w:rPr>
          <w:rFonts w:ascii="Times New Roman" w:hAnsi="Times New Roman" w:cs="Times New Roman"/>
        </w:rPr>
      </w:pPr>
      <w:r w:rsidRPr="007F335E">
        <w:rPr>
          <w:rFonts w:ascii="Times New Roman" w:hAnsi="Times New Roman" w:cs="Times New Roman"/>
        </w:rPr>
        <w:t xml:space="preserve">World Bank. (2023). </w:t>
      </w:r>
      <w:r w:rsidRPr="007F335E">
        <w:rPr>
          <w:rFonts w:ascii="Times New Roman" w:hAnsi="Times New Roman" w:cs="Times New Roman"/>
          <w:i/>
          <w:iCs/>
        </w:rPr>
        <w:t>Innovation for development: Evidence, policy, and measurement</w:t>
      </w:r>
      <w:r w:rsidRPr="007F335E">
        <w:rPr>
          <w:rFonts w:ascii="Times New Roman" w:hAnsi="Times New Roman" w:cs="Times New Roman"/>
        </w:rPr>
        <w:t>. World Bank Publications. https://doi.org/10.1596/978-1-4648-1974-0</w:t>
      </w:r>
    </w:p>
    <w:p w14:paraId="1C345F13" w14:textId="77777777" w:rsidR="00E9411D" w:rsidRPr="0053192E" w:rsidRDefault="00E9411D" w:rsidP="0053192E">
      <w:pPr>
        <w:spacing w:line="240" w:lineRule="auto"/>
        <w:ind w:left="709" w:hanging="709"/>
        <w:jc w:val="both"/>
        <w:rPr>
          <w:rFonts w:ascii="Times New Roman" w:hAnsi="Times New Roman" w:cs="Times New Roman"/>
        </w:rPr>
      </w:pPr>
      <w:r w:rsidRPr="0053192E">
        <w:rPr>
          <w:rFonts w:ascii="Times New Roman" w:hAnsi="Times New Roman" w:cs="Times New Roman"/>
        </w:rPr>
        <w:t xml:space="preserve">Yahaya, O. A. (2024). Corporate governance mechanisms and firm value in Nigeria. </w:t>
      </w:r>
      <w:r w:rsidRPr="0053192E">
        <w:rPr>
          <w:rFonts w:ascii="Times New Roman" w:hAnsi="Times New Roman" w:cs="Times New Roman"/>
          <w:i/>
          <w:iCs/>
        </w:rPr>
        <w:t>International Journal of Accounting and Finance, 13</w:t>
      </w:r>
      <w:r w:rsidRPr="0053192E">
        <w:rPr>
          <w:rFonts w:ascii="Times New Roman" w:hAnsi="Times New Roman" w:cs="Times New Roman"/>
        </w:rPr>
        <w:t>(1), 65–82.</w:t>
      </w:r>
    </w:p>
    <w:p w14:paraId="734B886F" w14:textId="77777777" w:rsidR="00E9411D" w:rsidRPr="00F759F4" w:rsidRDefault="00E9411D" w:rsidP="006C0A99">
      <w:pPr>
        <w:spacing w:line="240" w:lineRule="auto"/>
        <w:ind w:left="720" w:hanging="720"/>
        <w:jc w:val="both"/>
        <w:rPr>
          <w:rFonts w:ascii="Times New Roman" w:hAnsi="Times New Roman" w:cs="Times New Roman"/>
        </w:rPr>
      </w:pPr>
      <w:r w:rsidRPr="00F759F4">
        <w:rPr>
          <w:rFonts w:ascii="Times New Roman" w:hAnsi="Times New Roman" w:cs="Times New Roman"/>
        </w:rPr>
        <w:t xml:space="preserve">Yahaya, O. A., &amp; Bello, A. (2026). Human capital efficiency and firm value in Sub Saharan Africa. </w:t>
      </w:r>
      <w:r w:rsidRPr="00F759F4">
        <w:rPr>
          <w:rFonts w:ascii="Times New Roman" w:hAnsi="Times New Roman" w:cs="Times New Roman"/>
          <w:i/>
          <w:iCs/>
        </w:rPr>
        <w:t>International Journal of Accounting and Finance, 15</w:t>
      </w:r>
      <w:r w:rsidRPr="00F759F4">
        <w:rPr>
          <w:rFonts w:ascii="Times New Roman" w:hAnsi="Times New Roman" w:cs="Times New Roman"/>
        </w:rPr>
        <w:t>(1), 88–104.</w:t>
      </w:r>
    </w:p>
    <w:p w14:paraId="33BE025C" w14:textId="77777777" w:rsidR="00E9411D" w:rsidRDefault="00E9411D" w:rsidP="006C0A99">
      <w:pPr>
        <w:spacing w:line="240" w:lineRule="auto"/>
        <w:ind w:left="720" w:hanging="720"/>
        <w:jc w:val="both"/>
        <w:rPr>
          <w:rFonts w:ascii="Times New Roman" w:hAnsi="Times New Roman" w:cs="Times New Roman"/>
        </w:rPr>
      </w:pPr>
      <w:r w:rsidRPr="00E9391F">
        <w:rPr>
          <w:rFonts w:ascii="Times New Roman" w:hAnsi="Times New Roman" w:cs="Times New Roman"/>
        </w:rPr>
        <w:t xml:space="preserve">Yahaya, O. A., &amp; Yusuf, A. (2026). Sustainability reporting and firm value: Evidence from listed firms in Nigeria. </w:t>
      </w:r>
      <w:r w:rsidRPr="00E9391F">
        <w:rPr>
          <w:rFonts w:ascii="Times New Roman" w:hAnsi="Times New Roman" w:cs="Times New Roman"/>
          <w:i/>
          <w:iCs/>
        </w:rPr>
        <w:t>International Journal of Sustainability in Business and Economics, 21</w:t>
      </w:r>
      <w:r w:rsidRPr="00E9391F">
        <w:rPr>
          <w:rFonts w:ascii="Times New Roman" w:hAnsi="Times New Roman" w:cs="Times New Roman"/>
        </w:rPr>
        <w:t xml:space="preserve">(2), 171–204. </w:t>
      </w:r>
    </w:p>
    <w:p w14:paraId="4D942587" w14:textId="77777777" w:rsidR="00E9411D" w:rsidRPr="00F759F4" w:rsidRDefault="00E9411D" w:rsidP="006C0A99">
      <w:pPr>
        <w:spacing w:line="240" w:lineRule="auto"/>
        <w:ind w:left="720" w:hanging="720"/>
        <w:jc w:val="both"/>
        <w:rPr>
          <w:rFonts w:ascii="Times New Roman" w:hAnsi="Times New Roman" w:cs="Times New Roman"/>
        </w:rPr>
      </w:pPr>
      <w:r w:rsidRPr="00F759F4">
        <w:rPr>
          <w:rFonts w:ascii="Times New Roman" w:hAnsi="Times New Roman" w:cs="Times New Roman"/>
        </w:rPr>
        <w:t xml:space="preserve">Yusuf, A. (2025). Skill acquisition and firm performance in emerging markets. </w:t>
      </w:r>
      <w:r w:rsidRPr="00F759F4">
        <w:rPr>
          <w:rFonts w:ascii="Times New Roman" w:hAnsi="Times New Roman" w:cs="Times New Roman"/>
          <w:i/>
          <w:iCs/>
        </w:rPr>
        <w:t>Journal of Management and Sustainability, 13</w:t>
      </w:r>
      <w:r w:rsidRPr="00F759F4">
        <w:rPr>
          <w:rFonts w:ascii="Times New Roman" w:hAnsi="Times New Roman" w:cs="Times New Roman"/>
        </w:rPr>
        <w:t>(2), 140–155.</w:t>
      </w:r>
    </w:p>
    <w:p w14:paraId="57097468" w14:textId="77777777" w:rsidR="00E9411D" w:rsidRPr="00B9459D" w:rsidRDefault="00E9411D" w:rsidP="00B9459D">
      <w:pPr>
        <w:spacing w:line="240" w:lineRule="auto"/>
        <w:ind w:left="720" w:hanging="720"/>
        <w:jc w:val="both"/>
        <w:rPr>
          <w:rFonts w:ascii="Times New Roman" w:hAnsi="Times New Roman" w:cs="Times New Roman"/>
        </w:rPr>
      </w:pPr>
      <w:proofErr w:type="spellStart"/>
      <w:r w:rsidRPr="00B9459D">
        <w:rPr>
          <w:rFonts w:ascii="Times New Roman" w:hAnsi="Times New Roman" w:cs="Times New Roman"/>
        </w:rPr>
        <w:t>Zouari-Hadiji</w:t>
      </w:r>
      <w:proofErr w:type="spellEnd"/>
      <w:r w:rsidRPr="00B9459D">
        <w:rPr>
          <w:rFonts w:ascii="Times New Roman" w:hAnsi="Times New Roman" w:cs="Times New Roman"/>
        </w:rPr>
        <w:t xml:space="preserve"> R., R., &amp; </w:t>
      </w:r>
      <w:proofErr w:type="spellStart"/>
      <w:r w:rsidRPr="00B9459D">
        <w:rPr>
          <w:rFonts w:ascii="Times New Roman" w:hAnsi="Times New Roman" w:cs="Times New Roman"/>
        </w:rPr>
        <w:t>Khlif</w:t>
      </w:r>
      <w:proofErr w:type="spellEnd"/>
      <w:r w:rsidRPr="00B9459D">
        <w:rPr>
          <w:rFonts w:ascii="Times New Roman" w:hAnsi="Times New Roman" w:cs="Times New Roman"/>
        </w:rPr>
        <w:t xml:space="preserve"> H., H. (2022). Human capital investment, corporate governance and market valuation: Evidence from listed firms. </w:t>
      </w:r>
      <w:r w:rsidRPr="00B9459D">
        <w:rPr>
          <w:rFonts w:ascii="Times New Roman" w:hAnsi="Times New Roman" w:cs="Times New Roman"/>
          <w:i/>
          <w:iCs/>
        </w:rPr>
        <w:t>Journal of Intellectual Capital, 23</w:t>
      </w:r>
      <w:r w:rsidRPr="00B9459D">
        <w:rPr>
          <w:rFonts w:ascii="Times New Roman" w:hAnsi="Times New Roman" w:cs="Times New Roman"/>
        </w:rPr>
        <w:t xml:space="preserve">(4), 889–908. </w:t>
      </w:r>
      <w:hyperlink r:id="rId11" w:tgtFrame="_new" w:history="1">
        <w:r w:rsidRPr="00B9459D">
          <w:rPr>
            <w:rStyle w:val="Hyperlink"/>
            <w:rFonts w:ascii="Times New Roman" w:hAnsi="Times New Roman" w:cs="Times New Roman"/>
          </w:rPr>
          <w:t>https://doi.org/10.1108/JIC-06-2021-0159</w:t>
        </w:r>
      </w:hyperlink>
    </w:p>
    <w:sectPr w:rsidR="00E9411D" w:rsidRPr="00B9459D" w:rsidSect="00335C39">
      <w:headerReference w:type="even" r:id="rId12"/>
      <w:headerReference w:type="default" r:id="rId13"/>
      <w:footerReference w:type="even" r:id="rId14"/>
      <w:footerReference w:type="default" r:id="rId15"/>
      <w:headerReference w:type="first" r:id="rId16"/>
      <w:footerReference w:type="first" r:id="rId17"/>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31848" w14:textId="77777777" w:rsidR="001B7A07" w:rsidRDefault="001B7A07" w:rsidP="00900013">
      <w:pPr>
        <w:spacing w:after="0" w:line="240" w:lineRule="auto"/>
      </w:pPr>
      <w:r>
        <w:separator/>
      </w:r>
    </w:p>
  </w:endnote>
  <w:endnote w:type="continuationSeparator" w:id="0">
    <w:p w14:paraId="0053BD05" w14:textId="77777777" w:rsidR="001B7A07" w:rsidRDefault="001B7A07" w:rsidP="009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CEAB" w14:textId="77777777" w:rsidR="00D2041B" w:rsidRDefault="00D20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7BDA" w14:textId="77777777" w:rsidR="00D2041B" w:rsidRDefault="00D20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D091" w14:textId="77777777" w:rsidR="00D2041B" w:rsidRDefault="00D2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A4E80" w14:textId="77777777" w:rsidR="001B7A07" w:rsidRDefault="001B7A07" w:rsidP="00900013">
      <w:pPr>
        <w:spacing w:after="0" w:line="240" w:lineRule="auto"/>
      </w:pPr>
      <w:r>
        <w:separator/>
      </w:r>
    </w:p>
  </w:footnote>
  <w:footnote w:type="continuationSeparator" w:id="0">
    <w:p w14:paraId="6AD5A1DD" w14:textId="77777777" w:rsidR="001B7A07" w:rsidRDefault="001B7A07" w:rsidP="009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057A" w14:textId="432D15ED" w:rsidR="00D2041B" w:rsidRDefault="00D2041B">
    <w:pPr>
      <w:pStyle w:val="Header"/>
    </w:pPr>
    <w:r>
      <w:rPr>
        <w:noProof/>
      </w:rPr>
      <w:pict w14:anchorId="08B5D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47" o:spid="_x0000_s2050" type="#_x0000_t136" style="position:absolute;margin-left:0;margin-top:0;width:561.9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C969" w14:textId="1C65894D" w:rsidR="00D2041B" w:rsidRDefault="00D2041B">
    <w:pPr>
      <w:pStyle w:val="Header"/>
    </w:pPr>
    <w:r>
      <w:rPr>
        <w:noProof/>
      </w:rPr>
      <w:pict w14:anchorId="3792F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48" o:spid="_x0000_s2051" type="#_x0000_t136" style="position:absolute;margin-left:0;margin-top:0;width:561.9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0C5" w14:textId="3DD9F1D4" w:rsidR="00D2041B" w:rsidRDefault="00D2041B">
    <w:pPr>
      <w:pStyle w:val="Header"/>
    </w:pPr>
    <w:r>
      <w:rPr>
        <w:noProof/>
      </w:rPr>
      <w:pict w14:anchorId="4037F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46" o:spid="_x0000_s2049" type="#_x0000_t136" style="position:absolute;margin-left:0;margin-top:0;width:561.9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4B86"/>
    <w:multiLevelType w:val="hybridMultilevel"/>
    <w:tmpl w:val="C2F2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05EF"/>
    <w:multiLevelType w:val="hybridMultilevel"/>
    <w:tmpl w:val="5B52E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815F4"/>
    <w:multiLevelType w:val="multilevel"/>
    <w:tmpl w:val="BBC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97FA4"/>
    <w:multiLevelType w:val="multilevel"/>
    <w:tmpl w:val="09CC5B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705DA9"/>
    <w:multiLevelType w:val="multilevel"/>
    <w:tmpl w:val="DD4A1B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AF3549"/>
    <w:multiLevelType w:val="multilevel"/>
    <w:tmpl w:val="523AD38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BA15B5"/>
    <w:multiLevelType w:val="multilevel"/>
    <w:tmpl w:val="8E9A5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0D5C90"/>
    <w:multiLevelType w:val="multilevel"/>
    <w:tmpl w:val="A6B634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3E34EC"/>
    <w:multiLevelType w:val="multilevel"/>
    <w:tmpl w:val="F45607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A87057B"/>
    <w:multiLevelType w:val="multilevel"/>
    <w:tmpl w:val="E9D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D5D2B"/>
    <w:multiLevelType w:val="hybridMultilevel"/>
    <w:tmpl w:val="DB143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5"/>
  </w:num>
  <w:num w:numId="5">
    <w:abstractNumId w:val="1"/>
  </w:num>
  <w:num w:numId="6">
    <w:abstractNumId w:val="4"/>
  </w:num>
  <w:num w:numId="7">
    <w:abstractNumId w:val="8"/>
  </w:num>
  <w:num w:numId="8">
    <w:abstractNumId w:val="3"/>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94"/>
    <w:rsid w:val="000061C5"/>
    <w:rsid w:val="00006F9A"/>
    <w:rsid w:val="00021D1D"/>
    <w:rsid w:val="00023A18"/>
    <w:rsid w:val="000332AB"/>
    <w:rsid w:val="00041650"/>
    <w:rsid w:val="00042486"/>
    <w:rsid w:val="00045F1C"/>
    <w:rsid w:val="00074750"/>
    <w:rsid w:val="00076B0B"/>
    <w:rsid w:val="00076D51"/>
    <w:rsid w:val="00084683"/>
    <w:rsid w:val="00090B70"/>
    <w:rsid w:val="000A580A"/>
    <w:rsid w:val="000A791E"/>
    <w:rsid w:val="000B533C"/>
    <w:rsid w:val="000C10EE"/>
    <w:rsid w:val="000C3B42"/>
    <w:rsid w:val="000E426F"/>
    <w:rsid w:val="000E7655"/>
    <w:rsid w:val="000F1B8A"/>
    <w:rsid w:val="001160AB"/>
    <w:rsid w:val="0012786E"/>
    <w:rsid w:val="00127904"/>
    <w:rsid w:val="00127BA5"/>
    <w:rsid w:val="00132111"/>
    <w:rsid w:val="00134574"/>
    <w:rsid w:val="0013518A"/>
    <w:rsid w:val="00144045"/>
    <w:rsid w:val="001443B0"/>
    <w:rsid w:val="001458A7"/>
    <w:rsid w:val="00160745"/>
    <w:rsid w:val="001655E1"/>
    <w:rsid w:val="00166419"/>
    <w:rsid w:val="00170320"/>
    <w:rsid w:val="00183AAA"/>
    <w:rsid w:val="001910A9"/>
    <w:rsid w:val="0019341A"/>
    <w:rsid w:val="00197993"/>
    <w:rsid w:val="001B132A"/>
    <w:rsid w:val="001B1470"/>
    <w:rsid w:val="001B16C4"/>
    <w:rsid w:val="001B5FC8"/>
    <w:rsid w:val="001B77C3"/>
    <w:rsid w:val="001B7A07"/>
    <w:rsid w:val="001C00D2"/>
    <w:rsid w:val="001C3694"/>
    <w:rsid w:val="001C69E5"/>
    <w:rsid w:val="001D7C91"/>
    <w:rsid w:val="001E55B9"/>
    <w:rsid w:val="001F39F9"/>
    <w:rsid w:val="002079D7"/>
    <w:rsid w:val="0021527B"/>
    <w:rsid w:val="00216B01"/>
    <w:rsid w:val="002246EB"/>
    <w:rsid w:val="002322A6"/>
    <w:rsid w:val="0024257D"/>
    <w:rsid w:val="00246496"/>
    <w:rsid w:val="0024694C"/>
    <w:rsid w:val="0024799A"/>
    <w:rsid w:val="00250586"/>
    <w:rsid w:val="00251B8A"/>
    <w:rsid w:val="00252926"/>
    <w:rsid w:val="00254CC0"/>
    <w:rsid w:val="0025519F"/>
    <w:rsid w:val="00256EA2"/>
    <w:rsid w:val="00261DAF"/>
    <w:rsid w:val="0029610A"/>
    <w:rsid w:val="002A3EDF"/>
    <w:rsid w:val="002A54DE"/>
    <w:rsid w:val="002C5C73"/>
    <w:rsid w:val="002C5EA9"/>
    <w:rsid w:val="002D6639"/>
    <w:rsid w:val="002E43C0"/>
    <w:rsid w:val="002E4C28"/>
    <w:rsid w:val="002E727E"/>
    <w:rsid w:val="00303686"/>
    <w:rsid w:val="00303EE1"/>
    <w:rsid w:val="003166DC"/>
    <w:rsid w:val="00317B71"/>
    <w:rsid w:val="0032011C"/>
    <w:rsid w:val="003220E4"/>
    <w:rsid w:val="00335C39"/>
    <w:rsid w:val="00341B77"/>
    <w:rsid w:val="003422F2"/>
    <w:rsid w:val="003515FA"/>
    <w:rsid w:val="00352D3A"/>
    <w:rsid w:val="003705A8"/>
    <w:rsid w:val="00370610"/>
    <w:rsid w:val="00377275"/>
    <w:rsid w:val="00381E8B"/>
    <w:rsid w:val="003A54F8"/>
    <w:rsid w:val="003C0704"/>
    <w:rsid w:val="003C0CC7"/>
    <w:rsid w:val="003D7DB2"/>
    <w:rsid w:val="003F2E9B"/>
    <w:rsid w:val="003F352A"/>
    <w:rsid w:val="004040D3"/>
    <w:rsid w:val="004102D8"/>
    <w:rsid w:val="00417A7E"/>
    <w:rsid w:val="00424CFB"/>
    <w:rsid w:val="00426A14"/>
    <w:rsid w:val="0043734C"/>
    <w:rsid w:val="00450492"/>
    <w:rsid w:val="00453237"/>
    <w:rsid w:val="00456DAF"/>
    <w:rsid w:val="0046093B"/>
    <w:rsid w:val="00471B52"/>
    <w:rsid w:val="00491374"/>
    <w:rsid w:val="004A4249"/>
    <w:rsid w:val="004B4575"/>
    <w:rsid w:val="004C2961"/>
    <w:rsid w:val="004C60EF"/>
    <w:rsid w:val="004D7572"/>
    <w:rsid w:val="004F407A"/>
    <w:rsid w:val="004F49B2"/>
    <w:rsid w:val="004F641D"/>
    <w:rsid w:val="00513195"/>
    <w:rsid w:val="00525893"/>
    <w:rsid w:val="0053192E"/>
    <w:rsid w:val="00542CCC"/>
    <w:rsid w:val="00544ED4"/>
    <w:rsid w:val="005543E4"/>
    <w:rsid w:val="005567DF"/>
    <w:rsid w:val="005629D8"/>
    <w:rsid w:val="00563D6C"/>
    <w:rsid w:val="00564CCE"/>
    <w:rsid w:val="00574296"/>
    <w:rsid w:val="00575543"/>
    <w:rsid w:val="0057632B"/>
    <w:rsid w:val="0057724C"/>
    <w:rsid w:val="00577F47"/>
    <w:rsid w:val="0058447B"/>
    <w:rsid w:val="00585B43"/>
    <w:rsid w:val="005A3AF9"/>
    <w:rsid w:val="005A796A"/>
    <w:rsid w:val="005B688E"/>
    <w:rsid w:val="005C00A0"/>
    <w:rsid w:val="005C1847"/>
    <w:rsid w:val="005C40E1"/>
    <w:rsid w:val="005D488F"/>
    <w:rsid w:val="005E3F68"/>
    <w:rsid w:val="005E6846"/>
    <w:rsid w:val="005F06B5"/>
    <w:rsid w:val="005F09EA"/>
    <w:rsid w:val="0060226D"/>
    <w:rsid w:val="00606482"/>
    <w:rsid w:val="00606509"/>
    <w:rsid w:val="0061231C"/>
    <w:rsid w:val="00615DEC"/>
    <w:rsid w:val="00625AAA"/>
    <w:rsid w:val="00633BA7"/>
    <w:rsid w:val="0064765F"/>
    <w:rsid w:val="006525CC"/>
    <w:rsid w:val="0065400A"/>
    <w:rsid w:val="00660F58"/>
    <w:rsid w:val="00665900"/>
    <w:rsid w:val="00675CE5"/>
    <w:rsid w:val="00686025"/>
    <w:rsid w:val="00693232"/>
    <w:rsid w:val="00695A68"/>
    <w:rsid w:val="00696CD1"/>
    <w:rsid w:val="006A21F2"/>
    <w:rsid w:val="006A35D7"/>
    <w:rsid w:val="006A7F4E"/>
    <w:rsid w:val="006B4DD6"/>
    <w:rsid w:val="006C04CE"/>
    <w:rsid w:val="006C0A99"/>
    <w:rsid w:val="006C537D"/>
    <w:rsid w:val="006D2C71"/>
    <w:rsid w:val="006E10D7"/>
    <w:rsid w:val="006E28EF"/>
    <w:rsid w:val="006E66CE"/>
    <w:rsid w:val="006F4203"/>
    <w:rsid w:val="00704AF0"/>
    <w:rsid w:val="00706850"/>
    <w:rsid w:val="00710EA2"/>
    <w:rsid w:val="00713266"/>
    <w:rsid w:val="007359FB"/>
    <w:rsid w:val="00735AA4"/>
    <w:rsid w:val="0073725A"/>
    <w:rsid w:val="0075156C"/>
    <w:rsid w:val="00773252"/>
    <w:rsid w:val="00781068"/>
    <w:rsid w:val="00782D0E"/>
    <w:rsid w:val="00790F4E"/>
    <w:rsid w:val="007A23A7"/>
    <w:rsid w:val="007A2832"/>
    <w:rsid w:val="007B2AFD"/>
    <w:rsid w:val="007C50FC"/>
    <w:rsid w:val="007D08FC"/>
    <w:rsid w:val="007D243B"/>
    <w:rsid w:val="007D27BA"/>
    <w:rsid w:val="007E1135"/>
    <w:rsid w:val="007E7F60"/>
    <w:rsid w:val="007F2668"/>
    <w:rsid w:val="007F335E"/>
    <w:rsid w:val="0080214F"/>
    <w:rsid w:val="00833792"/>
    <w:rsid w:val="00845282"/>
    <w:rsid w:val="00862B85"/>
    <w:rsid w:val="00881173"/>
    <w:rsid w:val="00881733"/>
    <w:rsid w:val="00883A60"/>
    <w:rsid w:val="008840FC"/>
    <w:rsid w:val="00887E1A"/>
    <w:rsid w:val="00894F0A"/>
    <w:rsid w:val="00895663"/>
    <w:rsid w:val="008A3564"/>
    <w:rsid w:val="008B1362"/>
    <w:rsid w:val="008C30AD"/>
    <w:rsid w:val="008C52F1"/>
    <w:rsid w:val="008D10F1"/>
    <w:rsid w:val="008E2D06"/>
    <w:rsid w:val="008F066C"/>
    <w:rsid w:val="00900013"/>
    <w:rsid w:val="00912E40"/>
    <w:rsid w:val="00914130"/>
    <w:rsid w:val="009143F0"/>
    <w:rsid w:val="0092246D"/>
    <w:rsid w:val="00923129"/>
    <w:rsid w:val="009313AD"/>
    <w:rsid w:val="0093288F"/>
    <w:rsid w:val="009450C5"/>
    <w:rsid w:val="00951D1E"/>
    <w:rsid w:val="0095284A"/>
    <w:rsid w:val="00953C66"/>
    <w:rsid w:val="0096751F"/>
    <w:rsid w:val="0097004B"/>
    <w:rsid w:val="00973F22"/>
    <w:rsid w:val="00975BBA"/>
    <w:rsid w:val="0098076B"/>
    <w:rsid w:val="009811D2"/>
    <w:rsid w:val="00990D21"/>
    <w:rsid w:val="009975F5"/>
    <w:rsid w:val="009A32E1"/>
    <w:rsid w:val="009A7EA1"/>
    <w:rsid w:val="009B2045"/>
    <w:rsid w:val="00A06B9D"/>
    <w:rsid w:val="00A1772B"/>
    <w:rsid w:val="00A31B0B"/>
    <w:rsid w:val="00A375FC"/>
    <w:rsid w:val="00A37A5F"/>
    <w:rsid w:val="00A52D66"/>
    <w:rsid w:val="00A566B1"/>
    <w:rsid w:val="00A656A2"/>
    <w:rsid w:val="00A65B7D"/>
    <w:rsid w:val="00A77055"/>
    <w:rsid w:val="00A92128"/>
    <w:rsid w:val="00AA12E6"/>
    <w:rsid w:val="00AA13DE"/>
    <w:rsid w:val="00AD0F11"/>
    <w:rsid w:val="00AD7164"/>
    <w:rsid w:val="00AF7395"/>
    <w:rsid w:val="00B06CFC"/>
    <w:rsid w:val="00B16793"/>
    <w:rsid w:val="00B2430B"/>
    <w:rsid w:val="00B24D60"/>
    <w:rsid w:val="00B25C3F"/>
    <w:rsid w:val="00B27191"/>
    <w:rsid w:val="00B366E1"/>
    <w:rsid w:val="00B42671"/>
    <w:rsid w:val="00B42B61"/>
    <w:rsid w:val="00B47E99"/>
    <w:rsid w:val="00B609EF"/>
    <w:rsid w:val="00B707C8"/>
    <w:rsid w:val="00B93858"/>
    <w:rsid w:val="00B93FD3"/>
    <w:rsid w:val="00B9459D"/>
    <w:rsid w:val="00B95BA9"/>
    <w:rsid w:val="00B97995"/>
    <w:rsid w:val="00BB000C"/>
    <w:rsid w:val="00BB0DEE"/>
    <w:rsid w:val="00BB1241"/>
    <w:rsid w:val="00BB6FDC"/>
    <w:rsid w:val="00BC26A8"/>
    <w:rsid w:val="00BC6E94"/>
    <w:rsid w:val="00BD6D07"/>
    <w:rsid w:val="00BE2E0B"/>
    <w:rsid w:val="00BF7D93"/>
    <w:rsid w:val="00C10E3B"/>
    <w:rsid w:val="00C250CB"/>
    <w:rsid w:val="00C251DA"/>
    <w:rsid w:val="00C263EA"/>
    <w:rsid w:val="00C3289B"/>
    <w:rsid w:val="00C376B8"/>
    <w:rsid w:val="00C37ABB"/>
    <w:rsid w:val="00C464F8"/>
    <w:rsid w:val="00C66F64"/>
    <w:rsid w:val="00CA0F1C"/>
    <w:rsid w:val="00CA3725"/>
    <w:rsid w:val="00CA5C0C"/>
    <w:rsid w:val="00CB03BD"/>
    <w:rsid w:val="00CB0B9C"/>
    <w:rsid w:val="00CC065D"/>
    <w:rsid w:val="00CC1BCB"/>
    <w:rsid w:val="00CC4DCF"/>
    <w:rsid w:val="00CD6C08"/>
    <w:rsid w:val="00CE36CA"/>
    <w:rsid w:val="00CE6322"/>
    <w:rsid w:val="00CF1C11"/>
    <w:rsid w:val="00CF1ED3"/>
    <w:rsid w:val="00CF272B"/>
    <w:rsid w:val="00D019F6"/>
    <w:rsid w:val="00D05A4A"/>
    <w:rsid w:val="00D12431"/>
    <w:rsid w:val="00D2041B"/>
    <w:rsid w:val="00D22772"/>
    <w:rsid w:val="00D26741"/>
    <w:rsid w:val="00D33503"/>
    <w:rsid w:val="00D519FD"/>
    <w:rsid w:val="00D533FD"/>
    <w:rsid w:val="00D5684B"/>
    <w:rsid w:val="00D6043E"/>
    <w:rsid w:val="00D700AE"/>
    <w:rsid w:val="00D70D09"/>
    <w:rsid w:val="00D7596B"/>
    <w:rsid w:val="00D75FF6"/>
    <w:rsid w:val="00D80DD5"/>
    <w:rsid w:val="00D8143B"/>
    <w:rsid w:val="00D8696D"/>
    <w:rsid w:val="00D86E88"/>
    <w:rsid w:val="00D93FF5"/>
    <w:rsid w:val="00DB5B93"/>
    <w:rsid w:val="00DB5C8E"/>
    <w:rsid w:val="00DC5D91"/>
    <w:rsid w:val="00DE1F87"/>
    <w:rsid w:val="00DE7CB3"/>
    <w:rsid w:val="00DF3D2D"/>
    <w:rsid w:val="00DF5450"/>
    <w:rsid w:val="00E149BE"/>
    <w:rsid w:val="00E31BEA"/>
    <w:rsid w:val="00E3318A"/>
    <w:rsid w:val="00E34F38"/>
    <w:rsid w:val="00E361B7"/>
    <w:rsid w:val="00E417F6"/>
    <w:rsid w:val="00E62496"/>
    <w:rsid w:val="00E64CF5"/>
    <w:rsid w:val="00E81409"/>
    <w:rsid w:val="00E85567"/>
    <w:rsid w:val="00E9411D"/>
    <w:rsid w:val="00EA6AE8"/>
    <w:rsid w:val="00EA769E"/>
    <w:rsid w:val="00EB096B"/>
    <w:rsid w:val="00EB2511"/>
    <w:rsid w:val="00EC5687"/>
    <w:rsid w:val="00EE097B"/>
    <w:rsid w:val="00F10DD6"/>
    <w:rsid w:val="00F11978"/>
    <w:rsid w:val="00F132CD"/>
    <w:rsid w:val="00F215E9"/>
    <w:rsid w:val="00F21ACF"/>
    <w:rsid w:val="00F2692F"/>
    <w:rsid w:val="00F3035D"/>
    <w:rsid w:val="00F30E35"/>
    <w:rsid w:val="00F31389"/>
    <w:rsid w:val="00F32D64"/>
    <w:rsid w:val="00F502FE"/>
    <w:rsid w:val="00F779F1"/>
    <w:rsid w:val="00F86A85"/>
    <w:rsid w:val="00F9057D"/>
    <w:rsid w:val="00F968DB"/>
    <w:rsid w:val="00F96F46"/>
    <w:rsid w:val="00FA0B88"/>
    <w:rsid w:val="00FB0A5C"/>
    <w:rsid w:val="00FC3FF3"/>
    <w:rsid w:val="00FC4309"/>
    <w:rsid w:val="00FF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5813C"/>
  <w15:chartTrackingRefBased/>
  <w15:docId w15:val="{9AB62DBF-11D2-4BA9-82A2-503A2A5B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94"/>
    <w:rPr>
      <w:rFonts w:eastAsiaTheme="majorEastAsia" w:cstheme="majorBidi"/>
      <w:color w:val="272727" w:themeColor="text1" w:themeTint="D8"/>
    </w:rPr>
  </w:style>
  <w:style w:type="paragraph" w:styleId="Title">
    <w:name w:val="Title"/>
    <w:basedOn w:val="Normal"/>
    <w:next w:val="Normal"/>
    <w:link w:val="TitleChar"/>
    <w:uiPriority w:val="10"/>
    <w:qFormat/>
    <w:rsid w:val="00BC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94"/>
    <w:pPr>
      <w:spacing w:before="160"/>
      <w:jc w:val="center"/>
    </w:pPr>
    <w:rPr>
      <w:i/>
      <w:iCs/>
      <w:color w:val="404040" w:themeColor="text1" w:themeTint="BF"/>
    </w:rPr>
  </w:style>
  <w:style w:type="character" w:customStyle="1" w:styleId="QuoteChar">
    <w:name w:val="Quote Char"/>
    <w:basedOn w:val="DefaultParagraphFont"/>
    <w:link w:val="Quote"/>
    <w:uiPriority w:val="29"/>
    <w:rsid w:val="00BC6E94"/>
    <w:rPr>
      <w:i/>
      <w:iCs/>
      <w:color w:val="404040" w:themeColor="text1" w:themeTint="BF"/>
    </w:rPr>
  </w:style>
  <w:style w:type="paragraph" w:styleId="ListParagraph">
    <w:name w:val="List Paragraph"/>
    <w:basedOn w:val="Normal"/>
    <w:uiPriority w:val="34"/>
    <w:qFormat/>
    <w:rsid w:val="00BC6E94"/>
    <w:pPr>
      <w:ind w:left="720"/>
      <w:contextualSpacing/>
    </w:pPr>
  </w:style>
  <w:style w:type="character" w:styleId="IntenseEmphasis">
    <w:name w:val="Intense Emphasis"/>
    <w:basedOn w:val="DefaultParagraphFont"/>
    <w:uiPriority w:val="21"/>
    <w:qFormat/>
    <w:rsid w:val="00BC6E94"/>
    <w:rPr>
      <w:i/>
      <w:iCs/>
      <w:color w:val="2F5496" w:themeColor="accent1" w:themeShade="BF"/>
    </w:rPr>
  </w:style>
  <w:style w:type="paragraph" w:styleId="IntenseQuote">
    <w:name w:val="Intense Quote"/>
    <w:basedOn w:val="Normal"/>
    <w:next w:val="Normal"/>
    <w:link w:val="IntenseQuoteChar"/>
    <w:uiPriority w:val="30"/>
    <w:qFormat/>
    <w:rsid w:val="00BC6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E94"/>
    <w:rPr>
      <w:i/>
      <w:iCs/>
      <w:color w:val="2F5496" w:themeColor="accent1" w:themeShade="BF"/>
    </w:rPr>
  </w:style>
  <w:style w:type="character" w:styleId="IntenseReference">
    <w:name w:val="Intense Reference"/>
    <w:basedOn w:val="DefaultParagraphFont"/>
    <w:uiPriority w:val="32"/>
    <w:qFormat/>
    <w:rsid w:val="00BC6E94"/>
    <w:rPr>
      <w:b/>
      <w:bCs/>
      <w:smallCaps/>
      <w:color w:val="2F5496" w:themeColor="accent1" w:themeShade="BF"/>
      <w:spacing w:val="5"/>
    </w:rPr>
  </w:style>
  <w:style w:type="character" w:styleId="Hyperlink">
    <w:name w:val="Hyperlink"/>
    <w:basedOn w:val="DefaultParagraphFont"/>
    <w:uiPriority w:val="99"/>
    <w:unhideWhenUsed/>
    <w:rsid w:val="00D22772"/>
    <w:rPr>
      <w:color w:val="0563C1" w:themeColor="hyperlink"/>
      <w:u w:val="single"/>
    </w:rPr>
  </w:style>
  <w:style w:type="character" w:styleId="UnresolvedMention">
    <w:name w:val="Unresolved Mention"/>
    <w:basedOn w:val="DefaultParagraphFont"/>
    <w:uiPriority w:val="99"/>
    <w:semiHidden/>
    <w:unhideWhenUsed/>
    <w:rsid w:val="00D22772"/>
    <w:rPr>
      <w:color w:val="605E5C"/>
      <w:shd w:val="clear" w:color="auto" w:fill="E1DFDD"/>
    </w:rPr>
  </w:style>
  <w:style w:type="paragraph" w:styleId="Header">
    <w:name w:val="header"/>
    <w:basedOn w:val="Normal"/>
    <w:link w:val="HeaderChar"/>
    <w:uiPriority w:val="99"/>
    <w:unhideWhenUsed/>
    <w:rsid w:val="00900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013"/>
  </w:style>
  <w:style w:type="paragraph" w:styleId="Footer">
    <w:name w:val="footer"/>
    <w:basedOn w:val="Normal"/>
    <w:link w:val="FooterChar"/>
    <w:uiPriority w:val="99"/>
    <w:unhideWhenUsed/>
    <w:rsid w:val="00900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013"/>
  </w:style>
  <w:style w:type="table" w:styleId="PlainTable2">
    <w:name w:val="Plain Table 2"/>
    <w:basedOn w:val="TableNormal"/>
    <w:uiPriority w:val="42"/>
    <w:rsid w:val="00E149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345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3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IC-06-2021-01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80/13691066.2022.2063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techfore.2024.1237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9C25-6141-4524-A43F-D4B10D3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25</Pages>
  <Words>9302</Words>
  <Characters>53023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78</cp:revision>
  <dcterms:created xsi:type="dcterms:W3CDTF">2026-04-08T06:35:00Z</dcterms:created>
  <dcterms:modified xsi:type="dcterms:W3CDTF">2026-05-20T13:19:00Z</dcterms:modified>
</cp:coreProperties>
</file>