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02A4" w14:textId="77777777" w:rsidR="00CE7E5A" w:rsidRDefault="00CE7E5A" w:rsidP="00CE7E5A">
      <w:pPr>
        <w:spacing w:before="44"/>
        <w:ind w:left="306"/>
        <w:rPr>
          <w:b/>
          <w:i/>
          <w:sz w:val="20"/>
        </w:rPr>
      </w:pPr>
      <w:r>
        <w:rPr>
          <w:b/>
          <w:i/>
          <w:sz w:val="20"/>
        </w:rPr>
        <w:t xml:space="preserve">Original Research </w:t>
      </w:r>
      <w:r>
        <w:rPr>
          <w:b/>
          <w:i/>
          <w:spacing w:val="-2"/>
          <w:sz w:val="20"/>
        </w:rPr>
        <w:t>Article</w:t>
      </w:r>
    </w:p>
    <w:p w14:paraId="539DBE56" w14:textId="77777777" w:rsidR="00EE7253" w:rsidRPr="00900ABC" w:rsidRDefault="00EE7253" w:rsidP="00EE7253">
      <w:pPr>
        <w:spacing w:before="422"/>
        <w:ind w:right="18"/>
        <w:jc w:val="right"/>
        <w:rPr>
          <w:rFonts w:asciiTheme="minorHAnsi" w:hAnsiTheme="minorHAnsi" w:cstheme="minorHAnsi"/>
          <w:b/>
          <w:bCs/>
          <w:sz w:val="40"/>
          <w:szCs w:val="40"/>
        </w:rPr>
      </w:pPr>
      <w:r w:rsidRPr="00900ABC">
        <w:rPr>
          <w:rFonts w:asciiTheme="minorHAnsi" w:hAnsiTheme="minorHAnsi" w:cstheme="minorHAnsi"/>
          <w:b/>
          <w:bCs/>
          <w:sz w:val="40"/>
          <w:szCs w:val="40"/>
        </w:rPr>
        <w:t>The Effect of Work Stress on Quiet Quitting, Mediated by Affective Commitment, Among Millennial Employees in Indonesia</w:t>
      </w:r>
    </w:p>
    <w:p w14:paraId="2E9437F5" w14:textId="77777777" w:rsidR="00EE7253" w:rsidRPr="006A419B" w:rsidRDefault="00EE7253" w:rsidP="00EE7253">
      <w:pPr>
        <w:pStyle w:val="BodyText"/>
        <w:ind w:left="0"/>
        <w:rPr>
          <w:rFonts w:asciiTheme="minorHAnsi" w:hAnsiTheme="minorHAnsi" w:cstheme="minorHAnsi"/>
        </w:rPr>
      </w:pPr>
      <w:bookmarkStart w:id="0" w:name="_GoBack"/>
      <w:bookmarkEnd w:id="0"/>
    </w:p>
    <w:p w14:paraId="07338720" w14:textId="77777777" w:rsidR="00EE7253" w:rsidRPr="006A419B" w:rsidRDefault="00EE7253" w:rsidP="00EE7253">
      <w:pPr>
        <w:pStyle w:val="BodyText"/>
        <w:spacing w:before="92"/>
        <w:ind w:left="0"/>
        <w:rPr>
          <w:rFonts w:asciiTheme="minorHAnsi" w:hAnsiTheme="minorHAnsi" w:cstheme="minorHAnsi"/>
        </w:rPr>
      </w:pPr>
    </w:p>
    <w:p w14:paraId="5ED39749" w14:textId="068CB5D3" w:rsidR="00EE7253" w:rsidRPr="006A419B" w:rsidRDefault="00EE7253" w:rsidP="00EE7253">
      <w:pPr>
        <w:ind w:left="7344" w:right="19" w:firstLine="88"/>
        <w:jc w:val="right"/>
        <w:rPr>
          <w:rFonts w:asciiTheme="minorHAnsi" w:hAnsiTheme="minorHAnsi" w:cstheme="minorHAnsi"/>
          <w:b/>
          <w:i/>
          <w:sz w:val="20"/>
          <w:szCs w:val="20"/>
        </w:rPr>
      </w:pPr>
    </w:p>
    <w:p w14:paraId="765FC25A" w14:textId="77777777" w:rsidR="00EE7253" w:rsidRPr="006A419B" w:rsidRDefault="00EE7253" w:rsidP="00EE7253">
      <w:pPr>
        <w:pStyle w:val="BodyText"/>
        <w:spacing w:before="17"/>
        <w:ind w:left="0"/>
        <w:rPr>
          <w:rFonts w:asciiTheme="minorHAnsi" w:hAnsiTheme="minorHAnsi" w:cstheme="minorHAnsi"/>
          <w:b/>
          <w:i/>
        </w:rPr>
      </w:pPr>
      <w:r w:rsidRPr="006A419B">
        <w:rPr>
          <w:rFonts w:asciiTheme="minorHAnsi" w:hAnsiTheme="minorHAnsi" w:cstheme="minorHAnsi"/>
          <w:b/>
          <w:i/>
          <w:noProof/>
          <w:lang w:val="en-IN" w:eastAsia="en-IN"/>
        </w:rPr>
        <mc:AlternateContent>
          <mc:Choice Requires="wps">
            <w:drawing>
              <wp:anchor distT="0" distB="0" distL="0" distR="0" simplePos="0" relativeHeight="251660288" behindDoc="1" locked="0" layoutInCell="1" allowOverlap="1" wp14:anchorId="706AC31B" wp14:editId="4ACBD107">
                <wp:simplePos x="0" y="0"/>
                <wp:positionH relativeFrom="page">
                  <wp:posOffset>923925</wp:posOffset>
                </wp:positionH>
                <wp:positionV relativeFrom="paragraph">
                  <wp:posOffset>172526</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7C160" id="Graphic 4" o:spid="_x0000_s1026" style="position:absolute;margin-left:72.75pt;margin-top:13.6pt;width:450.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" path="m,l5723890,e" filled="f" strokeweight="1.5pt">
                <v:path arrowok="t"/>
                <w10:wrap type="topAndBottom" anchorx="page"/>
              </v:shape>
            </w:pict>
          </mc:Fallback>
        </mc:AlternateContent>
      </w:r>
    </w:p>
    <w:p w14:paraId="52AFFA0B" w14:textId="77777777" w:rsidR="00EE7253" w:rsidRPr="006A419B" w:rsidRDefault="00EE7253" w:rsidP="00EE7253">
      <w:pPr>
        <w:rPr>
          <w:rFonts w:asciiTheme="minorHAnsi" w:hAnsiTheme="minorHAnsi" w:cstheme="minorHAnsi"/>
        </w:rPr>
      </w:pPr>
    </w:p>
    <w:p w14:paraId="441861DF" w14:textId="77777777" w:rsidR="00EE7253" w:rsidRPr="00900ABC" w:rsidRDefault="00EE7253" w:rsidP="00EE7253">
      <w:pPr>
        <w:jc w:val="center"/>
        <w:rPr>
          <w:rFonts w:asciiTheme="minorHAnsi" w:hAnsiTheme="minorHAnsi" w:cstheme="minorHAnsi"/>
          <w:b/>
          <w:bCs/>
        </w:rPr>
      </w:pPr>
      <w:r w:rsidRPr="00900ABC">
        <w:rPr>
          <w:rFonts w:asciiTheme="minorHAnsi" w:hAnsiTheme="minorHAnsi" w:cstheme="minorHAnsi"/>
          <w:b/>
          <w:bCs/>
        </w:rPr>
        <w:t>ABSTRACT</w:t>
      </w:r>
    </w:p>
    <w:p w14:paraId="766F74BC" w14:textId="77777777" w:rsidR="00EE7253" w:rsidRPr="00014A28" w:rsidRDefault="00EE7253" w:rsidP="00EE7253">
      <w:pPr>
        <w:jc w:val="both"/>
        <w:rPr>
          <w:rFonts w:asciiTheme="minorHAnsi" w:hAnsiTheme="minorHAnsi" w:cstheme="minorHAnsi"/>
        </w:rPr>
      </w:pPr>
    </w:p>
    <w:p w14:paraId="2CDE5080" w14:textId="77777777" w:rsidR="00EE7253" w:rsidRPr="00014A28" w:rsidRDefault="00EE7253" w:rsidP="00EE7253">
      <w:pPr>
        <w:jc w:val="both"/>
        <w:rPr>
          <w:rFonts w:asciiTheme="minorHAnsi" w:hAnsiTheme="minorHAnsi" w:cstheme="minorHAnsi"/>
        </w:rPr>
      </w:pPr>
      <w:r w:rsidRPr="00014A28">
        <w:rPr>
          <w:rFonts w:asciiTheme="minorHAnsi" w:hAnsiTheme="minorHAnsi" w:cstheme="minorHAnsi"/>
        </w:rPr>
        <w:t xml:space="preserve">This study aims to analyze the effect of work stress on quiet quitting, with affective commitment as a mediating variable, among Millennials in Indonesia. The phenomenon of quiet quitting has become a significant issue in the modern workplace because employees do not always express a desire to leave the organization directly but begin to limit their contributions to only the minimum required tasks. This condition can be influenced by work stress arising from workload, time pressure, job anxiety, and role ambiguity. On the other hand, affective commitment is viewed as a psychological factor that can explain the relationship between work stress and the tendency toward quiet quitting. This study employs a quantitative approach with an explanatory research design. The study population consists of Millennials in Indonesia currently employed as workers, specifically individuals born between 1981 and 1996. The sampling technique utilized non-probability sampling via purposive sampling, with a sample size of 385 respondents. Data were collected through an online questionnaire using a five-point Likert scale. Data analysis was conducted using the Structural Equation Modeling-Partial Least Squares (SEM-PLS) method with the assistance of </w:t>
      </w:r>
      <w:proofErr w:type="spellStart"/>
      <w:r w:rsidRPr="00014A28">
        <w:rPr>
          <w:rFonts w:asciiTheme="minorHAnsi" w:hAnsiTheme="minorHAnsi" w:cstheme="minorHAnsi"/>
        </w:rPr>
        <w:t>SmartPLS</w:t>
      </w:r>
      <w:proofErr w:type="spellEnd"/>
      <w:r w:rsidRPr="00014A28">
        <w:rPr>
          <w:rFonts w:asciiTheme="minorHAnsi" w:hAnsiTheme="minorHAnsi" w:cstheme="minorHAnsi"/>
        </w:rPr>
        <w:t xml:space="preserve"> software. The results indicate that work stress has a positive effect on quiet quitting and a negative effect on affective commitment. Furthermore, affective commitment has a negative effect on quiet quitting and mediates the relationship between work stress and quiet quitting. These findings suggest that high work stress can weaken employees’ emotional attachment to the organization, thereby increasing their tendency to passively withdraw from their work. </w:t>
      </w:r>
    </w:p>
    <w:p w14:paraId="67C3103F" w14:textId="77777777" w:rsidR="00EE7253" w:rsidRPr="00014A28" w:rsidRDefault="00EE7253" w:rsidP="00EE7253">
      <w:pPr>
        <w:jc w:val="both"/>
        <w:rPr>
          <w:rFonts w:asciiTheme="minorHAnsi" w:hAnsiTheme="minorHAnsi" w:cstheme="minorHAnsi"/>
        </w:rPr>
      </w:pPr>
    </w:p>
    <w:p w14:paraId="4153213F" w14:textId="77777777" w:rsidR="00EE7253" w:rsidRPr="00900ABC" w:rsidRDefault="00EE7253" w:rsidP="00EE7253">
      <w:pPr>
        <w:jc w:val="both"/>
        <w:rPr>
          <w:rFonts w:asciiTheme="minorHAnsi" w:hAnsiTheme="minorHAnsi" w:cstheme="minorHAnsi"/>
          <w:b/>
          <w:bCs/>
        </w:rPr>
      </w:pPr>
      <w:r w:rsidRPr="00900ABC">
        <w:rPr>
          <w:rFonts w:asciiTheme="minorHAnsi" w:hAnsiTheme="minorHAnsi" w:cstheme="minorHAnsi"/>
          <w:b/>
          <w:bCs/>
        </w:rPr>
        <w:t>Keywords: Work Stress, Quiet Quitting, Affective Commitment, Millennials</w:t>
      </w:r>
    </w:p>
    <w:p w14:paraId="2D2F37FE" w14:textId="77777777" w:rsidR="00EE7253" w:rsidRDefault="00EE7253" w:rsidP="00EE7253">
      <w:pPr>
        <w:rPr>
          <w:rFonts w:asciiTheme="minorHAnsi" w:hAnsiTheme="minorHAnsi" w:cstheme="minorHAnsi"/>
        </w:rPr>
      </w:pPr>
    </w:p>
    <w:p w14:paraId="0783D768" w14:textId="77777777" w:rsidR="00EE7253" w:rsidRPr="00900ABC" w:rsidRDefault="00EE7253" w:rsidP="00EE7253">
      <w:pPr>
        <w:rPr>
          <w:rFonts w:asciiTheme="minorHAnsi" w:hAnsiTheme="minorHAnsi" w:cstheme="minorHAnsi"/>
          <w:b/>
          <w:bCs/>
        </w:rPr>
      </w:pPr>
      <w:r w:rsidRPr="00900ABC">
        <w:rPr>
          <w:rFonts w:asciiTheme="minorHAnsi" w:hAnsiTheme="minorHAnsi" w:cstheme="minorHAnsi"/>
          <w:b/>
          <w:bCs/>
        </w:rPr>
        <w:t>INTRODUCTION</w:t>
      </w:r>
    </w:p>
    <w:p w14:paraId="67EB52D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Post-pandemic developments in the Indonesian workplace have brought about major changes in how organizations manage their employees. The acceleration of digitalization, shifts in work systems, and the growing need for organizations to adapt have left employees facing increasingly complex work demands. These conditions have made workplace stress a critical issue in organizational behavior </w:t>
      </w:r>
      <w:r>
        <w:rPr>
          <w:rFonts w:asciiTheme="minorHAnsi" w:hAnsiTheme="minorHAnsi" w:cstheme="minorHAnsi"/>
        </w:rPr>
        <w:t>(</w:t>
      </w:r>
      <w:proofErr w:type="spellStart"/>
      <w:r>
        <w:rPr>
          <w:rFonts w:asciiTheme="minorHAnsi" w:hAnsiTheme="minorHAnsi" w:cstheme="minorHAnsi"/>
        </w:rPr>
        <w:t>Aruldoss</w:t>
      </w:r>
      <w:proofErr w:type="spellEnd"/>
      <w:r>
        <w:rPr>
          <w:rFonts w:asciiTheme="minorHAnsi" w:hAnsiTheme="minorHAnsi" w:cstheme="minorHAnsi"/>
        </w:rPr>
        <w:t xml:space="preserve"> and </w:t>
      </w:r>
      <w:proofErr w:type="spellStart"/>
      <w:r>
        <w:rPr>
          <w:rFonts w:asciiTheme="minorHAnsi" w:hAnsiTheme="minorHAnsi" w:cstheme="minorHAnsi"/>
        </w:rPr>
        <w:t>Parayitam</w:t>
      </w:r>
      <w:proofErr w:type="spellEnd"/>
      <w:r>
        <w:rPr>
          <w:rFonts w:asciiTheme="minorHAnsi" w:hAnsiTheme="minorHAnsi" w:cstheme="minorHAnsi"/>
        </w:rPr>
        <w:t>, 2021)</w:t>
      </w:r>
      <w:r w:rsidRPr="006A419B">
        <w:rPr>
          <w:rFonts w:asciiTheme="minorHAnsi" w:hAnsiTheme="minorHAnsi" w:cstheme="minorHAnsi"/>
        </w:rPr>
        <w:t xml:space="preserve">. According to PwC (2024), the report "Indonesia Key Findings: Global Hopes and Fears Survey 2025" reveals that Indonesian workers have experienced significant changes, both in job roles, technology use, and work responsibilities. </w:t>
      </w:r>
    </w:p>
    <w:p w14:paraId="49D727A7" w14:textId="77777777" w:rsidR="00EE7253" w:rsidRPr="006A419B" w:rsidRDefault="00EE7253" w:rsidP="00EE7253">
      <w:pPr>
        <w:jc w:val="both"/>
        <w:rPr>
          <w:rFonts w:asciiTheme="minorHAnsi" w:hAnsiTheme="minorHAnsi" w:cstheme="minorHAnsi"/>
        </w:rPr>
      </w:pPr>
    </w:p>
    <w:p w14:paraId="5E19080F" w14:textId="379772A0"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 picture of workplace stress is also evident in global reports. Gallup (2025), in its State of the Global Workplace 2025, indicates that global employee engagement rates declined from 23% to 21% in 2024. This decline is estimated to result in a loss of global productivity worth US$438 billion. In the Southeast Asian region, Gallup (2025) notes that Indonesia has an employee engagement rate of 27%, which is </w:t>
      </w:r>
      <w:r w:rsidRPr="006A419B">
        <w:rPr>
          <w:rFonts w:asciiTheme="minorHAnsi" w:hAnsiTheme="minorHAnsi" w:cstheme="minorHAnsi"/>
        </w:rPr>
        <w:lastRenderedPageBreak/>
        <w:t xml:space="preserve">relatively higher than several other countries in the region. However, the daily stress level among Indonesian workers remains at 15%. </w:t>
      </w:r>
    </w:p>
    <w:p w14:paraId="015711DA" w14:textId="77777777" w:rsidR="00EE7253" w:rsidRPr="006A419B" w:rsidRDefault="00EE7253" w:rsidP="00EE7253">
      <w:pPr>
        <w:jc w:val="both"/>
        <w:rPr>
          <w:rFonts w:asciiTheme="minorHAnsi" w:hAnsiTheme="minorHAnsi" w:cstheme="minorHAnsi"/>
        </w:rPr>
      </w:pPr>
    </w:p>
    <w:p w14:paraId="045488FA" w14:textId="5125657B"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issue of work-related stress becomes increasingly relevant when considered in relation to Millennials. By 2026, this group will be in the 30–45 age range, placing them in their productive years and generally having accumulated significant work experience. About 34% of Millennials experience high work-related stress, often triggered by excessive workloads, long working hours, and long-term financial anxiety</w:t>
      </w:r>
      <w:r w:rsidR="00D465CE">
        <w:rPr>
          <w:rFonts w:asciiTheme="minorHAnsi" w:hAnsiTheme="minorHAnsi" w:cstheme="minorHAnsi"/>
        </w:rPr>
        <w:t xml:space="preserve"> (</w:t>
      </w:r>
      <w:proofErr w:type="spellStart"/>
      <w:r w:rsidR="00D465CE">
        <w:rPr>
          <w:rFonts w:asciiTheme="minorHAnsi" w:hAnsiTheme="minorHAnsi" w:cstheme="minorHAnsi"/>
        </w:rPr>
        <w:t>Achmadi</w:t>
      </w:r>
      <w:proofErr w:type="spellEnd"/>
      <w:r w:rsidR="00D465CE">
        <w:rPr>
          <w:rFonts w:asciiTheme="minorHAnsi" w:hAnsiTheme="minorHAnsi" w:cstheme="minorHAnsi"/>
        </w:rPr>
        <w:t>, 2021)</w:t>
      </w:r>
      <w:r w:rsidRPr="006A419B">
        <w:rPr>
          <w:rFonts w:asciiTheme="minorHAnsi" w:hAnsiTheme="minorHAnsi" w:cstheme="minorHAnsi"/>
        </w:rPr>
        <w:t>. Deloitte (2025) explains in its research that Millennials do not only consider income when working, but also pay attention to the meaning of work, well-being, learning opportunities, and work-life balance. Deloitte (2025) also found that Millennials are known as a group that is tech-savvy and relatively open to changes in work methods. The advancement of digitalization makes it easier for them to adapt to the use of technology, digital communication, and flexible work arrangements. However, openness to change does not always mean that Millennial employees can accept all work demands without feeling pressured.</w:t>
      </w:r>
    </w:p>
    <w:p w14:paraId="3A179BD0" w14:textId="77777777" w:rsidR="00EE7253" w:rsidRPr="006A419B" w:rsidRDefault="00EE7253" w:rsidP="00EE7253">
      <w:pPr>
        <w:jc w:val="both"/>
        <w:rPr>
          <w:rFonts w:asciiTheme="minorHAnsi" w:hAnsiTheme="minorHAnsi" w:cstheme="minorHAnsi"/>
        </w:rPr>
      </w:pPr>
    </w:p>
    <w:p w14:paraId="36C15A5B" w14:textId="25F49C95" w:rsidR="00EE7253" w:rsidRPr="006A419B" w:rsidRDefault="00EE7253" w:rsidP="00EE7253">
      <w:pPr>
        <w:jc w:val="both"/>
        <w:rPr>
          <w:rFonts w:asciiTheme="minorHAnsi" w:hAnsiTheme="minorHAnsi" w:cstheme="minorHAnsi"/>
        </w:rPr>
      </w:pPr>
      <w:r w:rsidRPr="006A419B">
        <w:rPr>
          <w:rFonts w:asciiTheme="minorHAnsi" w:hAnsiTheme="minorHAnsi" w:cstheme="minorHAnsi"/>
        </w:rPr>
        <w:t>One work behavior that can arise as a result of work-related stress and low employee engagement is quiet quitting. Quiet quitting is a behavior in which employees continue to work and do not officially resign</w:t>
      </w:r>
      <w:r>
        <w:rPr>
          <w:rFonts w:asciiTheme="minorHAnsi" w:hAnsiTheme="minorHAnsi" w:cstheme="minorHAnsi"/>
        </w:rPr>
        <w:t xml:space="preserve"> </w:t>
      </w:r>
      <w:r w:rsidRPr="006A419B">
        <w:rPr>
          <w:rFonts w:asciiTheme="minorHAnsi" w:hAnsiTheme="minorHAnsi" w:cstheme="minorHAnsi"/>
        </w:rPr>
        <w:t>but begin to limit their contributions to only the minimum tasks within their responsibilities. Employees experiencing quiet quitting typically remain present at the workplace and complete their core duties, yet no longer demonstrate enthusiasm, initiative, or strong emotional engagement with their work (</w:t>
      </w: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w:t>
      </w:r>
    </w:p>
    <w:p w14:paraId="32B41CD7" w14:textId="77777777" w:rsidR="00EE7253" w:rsidRPr="006A419B" w:rsidRDefault="00EE7253" w:rsidP="00EE7253">
      <w:pPr>
        <w:jc w:val="both"/>
        <w:rPr>
          <w:rFonts w:asciiTheme="minorHAnsi" w:hAnsiTheme="minorHAnsi" w:cstheme="minorHAnsi"/>
        </w:rPr>
      </w:pPr>
    </w:p>
    <w:p w14:paraId="42C33E6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Based on the results of an initial survey conducted by the researchers, the majority of respondents fell into the moderate category regarding the level of quiet quitting. This suggests that quiet quitting can occur when workers feel the need to limit their involvement in their work so as not to disrupt their personal lives. This situation can occur particularly when workers face additional workloads, an unhealthy work culture, and increasingly blurred boundaries between work and personal life (Efendi, </w:t>
      </w:r>
      <w:proofErr w:type="spellStart"/>
      <w:r w:rsidRPr="006A419B">
        <w:rPr>
          <w:rFonts w:asciiTheme="minorHAnsi" w:hAnsiTheme="minorHAnsi" w:cstheme="minorHAnsi"/>
        </w:rPr>
        <w:t>Hawabi</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Purwaningtyas</w:t>
      </w:r>
      <w:proofErr w:type="spellEnd"/>
      <w:r w:rsidRPr="006A419B">
        <w:rPr>
          <w:rFonts w:asciiTheme="minorHAnsi" w:hAnsiTheme="minorHAnsi" w:cstheme="minorHAnsi"/>
        </w:rPr>
        <w:t xml:space="preserve">, 2023). </w:t>
      </w:r>
    </w:p>
    <w:p w14:paraId="573D7DCF" w14:textId="77777777" w:rsidR="00EE7253" w:rsidRPr="006A419B" w:rsidRDefault="00EE7253" w:rsidP="00EE7253">
      <w:pPr>
        <w:jc w:val="both"/>
        <w:rPr>
          <w:rFonts w:asciiTheme="minorHAnsi" w:hAnsiTheme="minorHAnsi" w:cstheme="minorHAnsi"/>
        </w:rPr>
      </w:pPr>
    </w:p>
    <w:p w14:paraId="6D105539" w14:textId="77777777" w:rsidR="00EE7253" w:rsidRPr="00996BCE" w:rsidRDefault="00EE7253" w:rsidP="00EE7253">
      <w:pPr>
        <w:jc w:val="both"/>
        <w:rPr>
          <w:rFonts w:asciiTheme="minorHAnsi" w:hAnsiTheme="minorHAnsi" w:cstheme="minorHAnsi"/>
        </w:rPr>
      </w:pPr>
      <w:r w:rsidRPr="00996BCE">
        <w:rPr>
          <w:rFonts w:asciiTheme="minorHAnsi" w:hAnsiTheme="minorHAnsi" w:cstheme="minorHAnsi"/>
        </w:rPr>
        <w:t xml:space="preserve">In explaining the relationship between work stress and quiet quitting, affective commitment is one variable that can serve as a mediator. Affective commitment describes an employee’s emotional attachment to the organization, including a sense of belonging, pride, and the desire to remain part of the organization. </w:t>
      </w:r>
      <w:proofErr w:type="spellStart"/>
      <w:r w:rsidRPr="00996BCE">
        <w:rPr>
          <w:rFonts w:asciiTheme="minorHAnsi" w:hAnsiTheme="minorHAnsi" w:cstheme="minorHAnsi"/>
        </w:rPr>
        <w:t>Attamimi</w:t>
      </w:r>
      <w:proofErr w:type="spellEnd"/>
      <w:r w:rsidRPr="00996BCE">
        <w:rPr>
          <w:rFonts w:asciiTheme="minorHAnsi" w:hAnsiTheme="minorHAnsi" w:cstheme="minorHAnsi"/>
        </w:rPr>
        <w:t xml:space="preserve"> and </w:t>
      </w:r>
      <w:proofErr w:type="spellStart"/>
      <w:r w:rsidRPr="00996BCE">
        <w:rPr>
          <w:rFonts w:asciiTheme="minorHAnsi" w:hAnsiTheme="minorHAnsi" w:cstheme="minorHAnsi"/>
        </w:rPr>
        <w:t>Palupi</w:t>
      </w:r>
      <w:proofErr w:type="spellEnd"/>
      <w:r w:rsidRPr="00996BCE">
        <w:rPr>
          <w:rFonts w:asciiTheme="minorHAnsi" w:hAnsiTheme="minorHAnsi" w:cstheme="minorHAnsi"/>
        </w:rPr>
        <w:t xml:space="preserve"> (2025) explain that work-related stress does not always directly lead to quiet quitting, but can first weaken emotional bonds, reduce a sense of belonging and interest, and diminish employees’ commitment to the organization.</w:t>
      </w:r>
    </w:p>
    <w:p w14:paraId="26A2628C" w14:textId="77777777" w:rsidR="00EE7253" w:rsidRDefault="00EE7253" w:rsidP="00EE7253">
      <w:pPr>
        <w:jc w:val="both"/>
        <w:rPr>
          <w:rFonts w:asciiTheme="minorHAnsi" w:hAnsiTheme="minorHAnsi" w:cstheme="minorHAnsi"/>
        </w:rPr>
      </w:pPr>
    </w:p>
    <w:p w14:paraId="3EAB4BA2"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Kim and Sohn (2024) found that quiet quitting can reduce job satisfaction and affective commitment, which in turn leads to increased turnover intentions. Research conducted by </w:t>
      </w:r>
      <w:proofErr w:type="spellStart"/>
      <w:r w:rsidRPr="006A419B">
        <w:rPr>
          <w:rFonts w:asciiTheme="minorHAnsi" w:hAnsiTheme="minorHAnsi" w:cstheme="minorHAnsi"/>
        </w:rPr>
        <w:t>Veren</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Zamralita</w:t>
      </w:r>
      <w:proofErr w:type="spellEnd"/>
      <w:r w:rsidRPr="006A419B">
        <w:rPr>
          <w:rFonts w:asciiTheme="minorHAnsi" w:hAnsiTheme="minorHAnsi" w:cstheme="minorHAnsi"/>
        </w:rPr>
        <w:t xml:space="preserve">, and Putra (2026) also found that hindrance stress has a positive relationship with quiet quitting, whereas challenge stress has a negative relationship with quiet quitting. Furthermore, </w:t>
      </w:r>
      <w:proofErr w:type="spellStart"/>
      <w:r w:rsidRPr="006A419B">
        <w:rPr>
          <w:rFonts w:asciiTheme="minorHAnsi" w:hAnsiTheme="minorHAnsi" w:cstheme="minorHAnsi"/>
        </w:rPr>
        <w:t>Fazira</w:t>
      </w:r>
      <w:proofErr w:type="spellEnd"/>
      <w:r w:rsidRPr="006A419B">
        <w:rPr>
          <w:rFonts w:asciiTheme="minorHAnsi" w:hAnsiTheme="minorHAnsi" w:cstheme="minorHAnsi"/>
        </w:rPr>
        <w:t xml:space="preserve"> et al. (2026) found that affective organizational commitment significantly influences quiet quitting intentions among employees. The study indicates that employees who possess emotional attachment, pride, and a sense of belonging toward the organization tend to exhibit lower tendencies toward quiet quitting. </w:t>
      </w:r>
    </w:p>
    <w:p w14:paraId="4C815739" w14:textId="77777777" w:rsidR="00EE7253" w:rsidRPr="006A419B" w:rsidRDefault="00EE7253" w:rsidP="00EE7253">
      <w:pPr>
        <w:jc w:val="both"/>
        <w:rPr>
          <w:rFonts w:asciiTheme="minorHAnsi" w:hAnsiTheme="minorHAnsi" w:cstheme="minorHAnsi"/>
        </w:rPr>
      </w:pPr>
    </w:p>
    <w:p w14:paraId="18FC0997"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Based on the description of this phenomenon and the results of previous studies, research on “The Effect of Work Stress on Quiet Quitting, with Affective Commitment as a Mediator, Among Millennials in Indonesia” is relevant to conduct. Several previous studies have indeed discussed quiet quitting among Millennials and Generation Z in Indonesia. However, </w:t>
      </w:r>
      <w:r>
        <w:rPr>
          <w:rFonts w:asciiTheme="minorHAnsi" w:hAnsiTheme="minorHAnsi" w:cstheme="minorHAnsi"/>
        </w:rPr>
        <w:t xml:space="preserve">research </w:t>
      </w:r>
      <w:r w:rsidRPr="006A419B">
        <w:rPr>
          <w:rFonts w:asciiTheme="minorHAnsi" w:hAnsiTheme="minorHAnsi" w:cstheme="minorHAnsi"/>
        </w:rPr>
        <w:t xml:space="preserve">that specifically explains the psychological </w:t>
      </w:r>
      <w:r w:rsidRPr="006A419B">
        <w:rPr>
          <w:rFonts w:asciiTheme="minorHAnsi" w:hAnsiTheme="minorHAnsi" w:cstheme="minorHAnsi"/>
        </w:rPr>
        <w:lastRenderedPageBreak/>
        <w:t>mechanisms of how work stress can influence quiet quitting through affective commitment remains relatively limited, particularly regarding the Millennial generation in Indonesia. Therefore, this study is expected to provide a theoretical contribution to the development of organizational behavior, particularly regarding work stress, affective commitment, and quiet quitting. Practically, this study is also expected to provide insights for organizations in designing work-related stress management strategies, strengthening employees’ emotional bonds, and preventing the emergence of quiet quitting behavior among Millennial employees in Indonesia.</w:t>
      </w:r>
    </w:p>
    <w:p w14:paraId="18089E34" w14:textId="77777777" w:rsidR="00EE7253" w:rsidRPr="006A419B" w:rsidRDefault="00EE7253" w:rsidP="00EE7253">
      <w:pPr>
        <w:jc w:val="both"/>
        <w:rPr>
          <w:rFonts w:asciiTheme="minorHAnsi" w:hAnsiTheme="minorHAnsi" w:cstheme="minorHAnsi"/>
        </w:rPr>
      </w:pPr>
    </w:p>
    <w:p w14:paraId="1DA9FB26"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Literature Review</w:t>
      </w:r>
    </w:p>
    <w:p w14:paraId="1D149482"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Work-Related Stress</w:t>
      </w:r>
    </w:p>
    <w:p w14:paraId="3991FF7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Work-related stress is a psychological condition experienced by employees when job demands are perceived to exceed their capabilities, time, energy, or available resources. In an increasingly dynamic work environment, work-related stress has become a critical issue because employees are not only required to complete routine tasks but must also adapt to changes in technology, work systems, organizational goals, and job roles. In this study, work-related stress is understood as the psychological pressure felt by Millennial employees due to high job demands, time constraints, anxiety at work, and role pressures arising in the work environment. </w:t>
      </w:r>
      <w:proofErr w:type="spellStart"/>
      <w:r w:rsidRPr="006A419B">
        <w:rPr>
          <w:rFonts w:asciiTheme="minorHAnsi" w:hAnsiTheme="minorHAnsi" w:cstheme="minorHAnsi"/>
        </w:rPr>
        <w:t>Kayati</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Nazilah</w:t>
      </w:r>
      <w:proofErr w:type="spellEnd"/>
      <w:r w:rsidRPr="006A419B">
        <w:rPr>
          <w:rFonts w:asciiTheme="minorHAnsi" w:hAnsiTheme="minorHAnsi" w:cstheme="minorHAnsi"/>
        </w:rPr>
        <w:t xml:space="preserve">, and Raja Ibrahim (2025) explain that work-related stress can be measured through two main sub-variables: time stress and anxiety stress. </w:t>
      </w:r>
    </w:p>
    <w:p w14:paraId="31015F14" w14:textId="77777777" w:rsidR="00EE7253" w:rsidRPr="006A419B" w:rsidRDefault="00EE7253" w:rsidP="00EE7253">
      <w:pPr>
        <w:jc w:val="both"/>
        <w:rPr>
          <w:rFonts w:asciiTheme="minorHAnsi" w:hAnsiTheme="minorHAnsi" w:cstheme="minorHAnsi"/>
        </w:rPr>
      </w:pPr>
    </w:p>
    <w:p w14:paraId="1CA9519E"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Quiet Quitting</w:t>
      </w:r>
    </w:p>
    <w:p w14:paraId="26ACDB97" w14:textId="77777777" w:rsidR="00EE7253" w:rsidRPr="006A419B" w:rsidRDefault="00EE7253" w:rsidP="00EE7253">
      <w:pPr>
        <w:jc w:val="both"/>
        <w:rPr>
          <w:rFonts w:asciiTheme="minorHAnsi" w:hAnsiTheme="minorHAnsi" w:cstheme="minorHAnsi"/>
        </w:rPr>
      </w:pP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 explain that quiet quitting is a condition in which employees remain in the organization and perform their jobs, but begin to show psychological withdrawal through low motivation, reduced initiative, and decreased commitment to their work. </w:t>
      </w:r>
      <w:proofErr w:type="spellStart"/>
      <w:r w:rsidRPr="006A419B">
        <w:rPr>
          <w:rFonts w:asciiTheme="minorHAnsi" w:hAnsiTheme="minorHAnsi" w:cstheme="minorHAnsi"/>
        </w:rPr>
        <w:t>Galanis</w:t>
      </w:r>
      <w:proofErr w:type="spellEnd"/>
      <w:r w:rsidRPr="006A419B">
        <w:rPr>
          <w:rFonts w:asciiTheme="minorHAnsi" w:hAnsiTheme="minorHAnsi" w:cstheme="minorHAnsi"/>
        </w:rPr>
        <w:t xml:space="preserve"> et al. (2023) identify three main sub-variables in quiet quitting: detachment, lack of initiative, and lack of motivation.</w:t>
      </w:r>
    </w:p>
    <w:p w14:paraId="5070E461" w14:textId="77777777" w:rsidR="00EE7253" w:rsidRPr="006A419B" w:rsidRDefault="00EE7253" w:rsidP="00EE7253">
      <w:pPr>
        <w:jc w:val="both"/>
        <w:rPr>
          <w:rFonts w:asciiTheme="minorHAnsi" w:hAnsiTheme="minorHAnsi" w:cstheme="minorHAnsi"/>
        </w:rPr>
      </w:pPr>
    </w:p>
    <w:p w14:paraId="15F643BE"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Affective Commitment</w:t>
      </w:r>
    </w:p>
    <w:p w14:paraId="2391961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Affective commitment is a form of emotional attachment that employees feel toward an organization. Employees with high affective commitment tend to feel proud to be part of the organization, have a sense of belonging, embrace the organization’s values, and have a desire to continue contributing. Affective commitment differs from commitment based on economic needs or moral obligations, as it places greater emphasis on the emotional bond between employees and the organization. Affective commitment can be explained through several sub-variables, namely emotional attachment, identification, and involvement. </w:t>
      </w:r>
    </w:p>
    <w:p w14:paraId="2337771A" w14:textId="77777777" w:rsidR="00EE7253" w:rsidRPr="006A419B" w:rsidRDefault="00EE7253" w:rsidP="00EE7253">
      <w:pPr>
        <w:jc w:val="both"/>
        <w:rPr>
          <w:rFonts w:asciiTheme="minorHAnsi" w:hAnsiTheme="minorHAnsi" w:cstheme="minorHAnsi"/>
        </w:rPr>
      </w:pPr>
    </w:p>
    <w:p w14:paraId="4B2E7F63" w14:textId="3427B854" w:rsidR="00EE7253" w:rsidRPr="00EE7253" w:rsidRDefault="00EE7253" w:rsidP="00EE7253">
      <w:pPr>
        <w:jc w:val="both"/>
        <w:rPr>
          <w:rFonts w:asciiTheme="minorHAnsi" w:hAnsiTheme="minorHAnsi" w:cstheme="minorHAnsi"/>
          <w:b/>
          <w:bCs/>
        </w:rPr>
      </w:pPr>
      <w:r w:rsidRPr="006A419B">
        <w:rPr>
          <w:rFonts w:asciiTheme="minorHAnsi" w:hAnsiTheme="minorHAnsi" w:cstheme="minorHAnsi"/>
          <w:b/>
          <w:bCs/>
        </w:rPr>
        <w:t>Research Hypotheses</w:t>
      </w:r>
    </w:p>
    <w:p w14:paraId="51D9CDB5"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H1: Work stress has a positive effect on quiet quitting.</w:t>
      </w:r>
    </w:p>
    <w:p w14:paraId="2BB5834E"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H2: Work stress has a negative effect on affective commitment.</w:t>
      </w:r>
    </w:p>
    <w:p w14:paraId="6D7B060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H3: Affective commitment has a negative effect on quiet quitting.</w:t>
      </w:r>
    </w:p>
    <w:p w14:paraId="23A3FBD6"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H4: Affective commitment mediates the effect of work stress on quiet quitting.</w:t>
      </w:r>
    </w:p>
    <w:p w14:paraId="650115C9" w14:textId="77777777" w:rsidR="00EE7253" w:rsidRPr="006A419B" w:rsidRDefault="00EE7253" w:rsidP="00EE7253">
      <w:pPr>
        <w:jc w:val="both"/>
        <w:rPr>
          <w:rFonts w:asciiTheme="minorHAnsi" w:hAnsiTheme="minorHAnsi" w:cstheme="minorHAnsi"/>
        </w:rPr>
      </w:pPr>
    </w:p>
    <w:p w14:paraId="75ADA013"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Methodology</w:t>
      </w:r>
    </w:p>
    <w:p w14:paraId="20E2F3DD"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Research Design</w:t>
      </w:r>
    </w:p>
    <w:p w14:paraId="3DB21B9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This study employs a quantitative approach with an explanatory research design. The quantitative approach was chosen because this study aims to examine the relationships among variables based on data collected from respondents via a questionnaire. Creswell and Creswell (2023) explain that a quantitative approach is appropriate when research is aimed at testing hypotheses, measuring variables, and statistically analyzing relationships among variables. In this study, the variables tested are work stress as the independent variable, quiet quitting as the dependent variable, and affective commitment as the </w:t>
      </w:r>
      <w:r w:rsidRPr="006A419B">
        <w:rPr>
          <w:rFonts w:asciiTheme="minorHAnsi" w:hAnsiTheme="minorHAnsi" w:cstheme="minorHAnsi"/>
        </w:rPr>
        <w:lastRenderedPageBreak/>
        <w:t xml:space="preserve">mediating variable. </w:t>
      </w:r>
    </w:p>
    <w:p w14:paraId="74D9FD98" w14:textId="77777777" w:rsidR="00EE7253" w:rsidRDefault="00EE7253" w:rsidP="00EE7253">
      <w:pPr>
        <w:jc w:val="both"/>
        <w:rPr>
          <w:rFonts w:asciiTheme="minorHAnsi" w:hAnsiTheme="minorHAnsi" w:cstheme="minorHAnsi"/>
        </w:rPr>
      </w:pPr>
    </w:p>
    <w:p w14:paraId="69E2ACD3" w14:textId="77777777" w:rsidR="00EE7253" w:rsidRPr="006A419B" w:rsidRDefault="00EE7253" w:rsidP="00EE7253">
      <w:pPr>
        <w:jc w:val="both"/>
        <w:rPr>
          <w:rFonts w:asciiTheme="minorHAnsi" w:hAnsiTheme="minorHAnsi" w:cstheme="minorHAnsi"/>
          <w:b/>
          <w:bCs/>
        </w:rPr>
      </w:pPr>
      <w:r w:rsidRPr="006A419B">
        <w:rPr>
          <w:rFonts w:asciiTheme="minorHAnsi" w:hAnsiTheme="minorHAnsi" w:cstheme="minorHAnsi"/>
          <w:b/>
          <w:bCs/>
        </w:rPr>
        <w:t>Population and Sample</w:t>
      </w:r>
    </w:p>
    <w:p w14:paraId="380CF73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population in this study consists of Millennials in Indonesia who are currently employed. In this study, Millennials refer to individuals born between 1981 and 1996. The Central Statistics Agency (BPS) (2020) classifies Millennials as individuals born between 1981 and 1996. Thus, by 2026, this group will be around 30 to 45 years old, placing them within the productive age range and generally having sufficient work experience to assess job conditions, work stress, relationships with the organization, and daily work behavior</w:t>
      </w:r>
      <w:r>
        <w:rPr>
          <w:rFonts w:asciiTheme="minorHAnsi" w:hAnsiTheme="minorHAnsi" w:cstheme="minorHAnsi"/>
        </w:rPr>
        <w:t xml:space="preserve">. </w:t>
      </w:r>
      <w:r w:rsidRPr="006A419B">
        <w:rPr>
          <w:rFonts w:asciiTheme="minorHAnsi" w:hAnsiTheme="minorHAnsi" w:cstheme="minorHAnsi"/>
        </w:rPr>
        <w:t xml:space="preserve">Millennials were selected as the research subjects because this group possesses characteristics relevant to the issues of work-related stress and quiet quitting. </w:t>
      </w:r>
    </w:p>
    <w:p w14:paraId="6473D2CA" w14:textId="77777777" w:rsidR="00EE7253" w:rsidRPr="006A419B" w:rsidRDefault="00EE7253" w:rsidP="00EE7253">
      <w:pPr>
        <w:jc w:val="both"/>
        <w:rPr>
          <w:rFonts w:asciiTheme="minorHAnsi" w:hAnsiTheme="minorHAnsi" w:cstheme="minorHAnsi"/>
        </w:rPr>
      </w:pPr>
    </w:p>
    <w:p w14:paraId="4A6A6DDE"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sample in this study consists of a subset of the Millennial population in Indonesia that meets the research </w:t>
      </w:r>
      <w:proofErr w:type="gramStart"/>
      <w:r w:rsidRPr="006A419B">
        <w:rPr>
          <w:rFonts w:asciiTheme="minorHAnsi" w:hAnsiTheme="minorHAnsi" w:cstheme="minorHAnsi"/>
        </w:rPr>
        <w:t>criteria .</w:t>
      </w:r>
      <w:proofErr w:type="gramEnd"/>
      <w:r w:rsidRPr="006A419B">
        <w:rPr>
          <w:rFonts w:asciiTheme="minorHAnsi" w:hAnsiTheme="minorHAnsi" w:cstheme="minorHAnsi"/>
        </w:rPr>
        <w:t xml:space="preserve"> The criteria for respondents in this study are individuals born between 1981 and 1996, currently employed in Indonesia, with at least one year of work experience, working for a specific organization, company, agency, or institution, and willing to complete the research questionnaire in full. </w:t>
      </w:r>
    </w:p>
    <w:p w14:paraId="7005B95C" w14:textId="77777777" w:rsidR="00EE7253" w:rsidRPr="006A419B" w:rsidRDefault="00EE7253" w:rsidP="00EE7253">
      <w:pPr>
        <w:jc w:val="both"/>
        <w:rPr>
          <w:rFonts w:asciiTheme="minorHAnsi" w:hAnsiTheme="minorHAnsi" w:cstheme="minorHAnsi"/>
        </w:rPr>
      </w:pPr>
    </w:p>
    <w:p w14:paraId="26A4E4DA"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Since the exact number of Millennials currently employed as workers in Indonesia is difficult to determine precisely, this study uses an unknown population approach. Therefore, the minimum sample size was determined using Cochran’s formula. With a 95% confidence level, a Z-value of 1.96, a success rate of 0.5, a failure rate of 0.5, and a margin of error of 5%, the minimum sample size obtained was 384.16 respondents, rounded up to 385 respondents. </w:t>
      </w:r>
    </w:p>
    <w:p w14:paraId="1EEC3E5D" w14:textId="77777777" w:rsidR="00EE7253" w:rsidRPr="006A419B" w:rsidRDefault="00EE7253" w:rsidP="00EE7253">
      <w:pPr>
        <w:jc w:val="both"/>
        <w:rPr>
          <w:rFonts w:asciiTheme="minorHAnsi" w:hAnsiTheme="minorHAnsi" w:cstheme="minorHAnsi"/>
        </w:rPr>
      </w:pPr>
    </w:p>
    <w:p w14:paraId="68212DFB"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Data Collection and Research Ethics</w:t>
      </w:r>
    </w:p>
    <w:p w14:paraId="5BEDD8DD" w14:textId="77777777" w:rsidR="00EE7253" w:rsidRPr="006A419B" w:rsidRDefault="00EE7253" w:rsidP="00EE7253">
      <w:pPr>
        <w:jc w:val="both"/>
        <w:rPr>
          <w:rFonts w:asciiTheme="minorHAnsi" w:hAnsiTheme="minorHAnsi" w:cstheme="minorHAnsi"/>
        </w:rPr>
      </w:pPr>
    </w:p>
    <w:p w14:paraId="4EA57897"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data for this study were collected using a structured questionnaire distributed online via Google Forms. The online distribution method was chosen because the study’s respondents were spread across various regions of Indonesia; thus, this method was deemed more efficient and capable of reaching a wider range of respondents. </w:t>
      </w:r>
    </w:p>
    <w:p w14:paraId="3D101EAF" w14:textId="77777777" w:rsidR="00EE7253" w:rsidRPr="006A419B" w:rsidRDefault="00EE7253" w:rsidP="00EE7253">
      <w:pPr>
        <w:jc w:val="both"/>
        <w:rPr>
          <w:rFonts w:asciiTheme="minorHAnsi" w:hAnsiTheme="minorHAnsi" w:cstheme="minorHAnsi"/>
        </w:rPr>
      </w:pPr>
    </w:p>
    <w:p w14:paraId="2E75F3A5" w14:textId="77777777" w:rsidR="00EE7253" w:rsidRDefault="00EE7253" w:rsidP="00EE7253">
      <w:pPr>
        <w:jc w:val="both"/>
        <w:rPr>
          <w:rFonts w:asciiTheme="minorHAnsi" w:hAnsiTheme="minorHAnsi" w:cstheme="minorHAnsi"/>
        </w:rPr>
      </w:pPr>
      <w:r w:rsidRPr="006A419B">
        <w:rPr>
          <w:rFonts w:asciiTheme="minorHAnsi" w:hAnsiTheme="minorHAnsi" w:cstheme="minorHAnsi"/>
        </w:rPr>
        <w:t xml:space="preserve">The research questionnaire consisted of two main sections. The first section contained questions regarding respondent characteristics, such as age, gender, highest level of education, length of employment, field of work, employment status, and place of residence. The second section contained statements measuring the variables of work-related stress, affective commitment, and quiet quitting. </w:t>
      </w:r>
    </w:p>
    <w:p w14:paraId="7E10D322" w14:textId="77777777" w:rsidR="00EE7253" w:rsidRPr="006A419B" w:rsidRDefault="00EE7253" w:rsidP="00EE7253">
      <w:pPr>
        <w:jc w:val="both"/>
        <w:rPr>
          <w:rFonts w:asciiTheme="minorHAnsi" w:hAnsiTheme="minorHAnsi" w:cstheme="minorHAnsi"/>
        </w:rPr>
      </w:pPr>
    </w:p>
    <w:p w14:paraId="6680C984"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All items in this study were measured using a five-point Likert scale. A score of 1 indicates “strongly disagree,” a score of 2 indicates “disagree,” a score of 3 indicates “neutral,” a score of 4 indicates “agree,” and a score of 5 indicates “strongly agree.” </w:t>
      </w:r>
    </w:p>
    <w:p w14:paraId="75BFCB0E" w14:textId="77777777" w:rsidR="00EE7253" w:rsidRPr="006A419B" w:rsidRDefault="00EE7253" w:rsidP="00EE7253">
      <w:pPr>
        <w:jc w:val="both"/>
        <w:rPr>
          <w:rFonts w:asciiTheme="minorHAnsi" w:hAnsiTheme="minorHAnsi" w:cstheme="minorHAnsi"/>
        </w:rPr>
      </w:pPr>
    </w:p>
    <w:p w14:paraId="59DDCCD3"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Ethical considerations in this research were addressed by informing respondents that completing the questionnaire was voluntary. Respondents were also informed that the data provided would be used solely for academic purposes and that their confidentiality would be maintained. Respondent identities were not used for any purposes outside the scope of this research. Thus, this study upholds the principles of voluntariness, confidentiality, and responsible use of data.</w:t>
      </w:r>
    </w:p>
    <w:p w14:paraId="2D07947E" w14:textId="77777777" w:rsidR="00EE7253" w:rsidRPr="006A419B" w:rsidRDefault="00EE7253" w:rsidP="00EE7253">
      <w:pPr>
        <w:jc w:val="both"/>
        <w:rPr>
          <w:rFonts w:asciiTheme="minorHAnsi" w:hAnsiTheme="minorHAnsi" w:cstheme="minorHAnsi"/>
        </w:rPr>
      </w:pPr>
    </w:p>
    <w:p w14:paraId="16D87773" w14:textId="77777777" w:rsidR="00EE7253" w:rsidRPr="00412ACA" w:rsidRDefault="00EE7253" w:rsidP="00EE7253">
      <w:pPr>
        <w:jc w:val="both"/>
        <w:rPr>
          <w:rFonts w:asciiTheme="minorHAnsi" w:hAnsiTheme="minorHAnsi" w:cstheme="minorHAnsi"/>
          <w:b/>
          <w:bCs/>
        </w:rPr>
      </w:pPr>
      <w:r w:rsidRPr="006A419B">
        <w:rPr>
          <w:rFonts w:asciiTheme="minorHAnsi" w:hAnsiTheme="minorHAnsi" w:cstheme="minorHAnsi"/>
          <w:b/>
          <w:bCs/>
        </w:rPr>
        <w:t>Data Analysis Technique</w:t>
      </w:r>
    </w:p>
    <w:p w14:paraId="096B29C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The data analysis technique used in this study is Partial Least Squares-based Structural Equation Modeling (SEM-PLS) using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software. SEM-PLS was chosen because this study involves latent variables measured through several indicators and tests both direct and indirect relationships among variables. </w:t>
      </w:r>
      <w:r w:rsidRPr="006A419B">
        <w:rPr>
          <w:rFonts w:asciiTheme="minorHAnsi" w:hAnsiTheme="minorHAnsi" w:cstheme="minorHAnsi"/>
        </w:rPr>
        <w:lastRenderedPageBreak/>
        <w:t xml:space="preserve">Hair, </w:t>
      </w:r>
      <w:proofErr w:type="spellStart"/>
      <w:r w:rsidRPr="006A419B">
        <w:rPr>
          <w:rFonts w:asciiTheme="minorHAnsi" w:hAnsiTheme="minorHAnsi" w:cstheme="minorHAnsi"/>
        </w:rPr>
        <w:t>Hult</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Ringle</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Sarstedt</w:t>
      </w:r>
      <w:proofErr w:type="spellEnd"/>
      <w:r w:rsidRPr="006A419B">
        <w:rPr>
          <w:rFonts w:asciiTheme="minorHAnsi" w:hAnsiTheme="minorHAnsi" w:cstheme="minorHAnsi"/>
        </w:rPr>
        <w:t xml:space="preserve"> (2022) explain that PLS-SEM is a suitable method for analyzing research models oriented toward prediction, involving latent constructs, and can be used to test complex structural models. </w:t>
      </w:r>
    </w:p>
    <w:p w14:paraId="6F2F920F" w14:textId="77777777" w:rsidR="00EE7253" w:rsidRPr="006A419B" w:rsidRDefault="00EE7253" w:rsidP="00EE7253">
      <w:pPr>
        <w:jc w:val="both"/>
        <w:rPr>
          <w:rFonts w:asciiTheme="minorHAnsi" w:hAnsiTheme="minorHAnsi" w:cstheme="minorHAnsi"/>
        </w:rPr>
      </w:pPr>
    </w:p>
    <w:p w14:paraId="0F033B91"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Data analysis was conducted in two main stages: testing the measurement model (outer model) and testing the structural model (inner model). The outer model was tested to ensure that the indicators used could measure the research construct validly and reliably. In this stage, the study examined outer loadings, Cronbach’s Alpha, composite reliability, average variance extracted (AVE), and discriminant validity. Hair et al. (2022) explain that the outer loading value should ideally be greater than 0.70, the Composite Reliability and Cronbach’s Alpha values should be greater than 0.70, and the AVE value should be greater than 0.50. If an indicator has a low loading value, it may be considered for removal provided that such removal improves model quality and remains consistent with the theoretical framework.</w:t>
      </w:r>
    </w:p>
    <w:p w14:paraId="0A10F5BB" w14:textId="77777777" w:rsidR="00EE7253" w:rsidRPr="006A419B" w:rsidRDefault="00EE7253" w:rsidP="00EE7253">
      <w:pPr>
        <w:jc w:val="both"/>
        <w:rPr>
          <w:rFonts w:asciiTheme="minorHAnsi" w:hAnsiTheme="minorHAnsi" w:cstheme="minorHAnsi"/>
        </w:rPr>
      </w:pPr>
    </w:p>
    <w:p w14:paraId="47AFC86C"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Discriminant validity in this study was tested using the </w:t>
      </w:r>
      <w:proofErr w:type="spellStart"/>
      <w:r w:rsidRPr="006A419B">
        <w:rPr>
          <w:rFonts w:asciiTheme="minorHAnsi" w:hAnsiTheme="minorHAnsi" w:cstheme="minorHAnsi"/>
        </w:rPr>
        <w:t>Fornell-Larcker</w:t>
      </w:r>
      <w:proofErr w:type="spellEnd"/>
      <w:r w:rsidRPr="006A419B">
        <w:rPr>
          <w:rFonts w:asciiTheme="minorHAnsi" w:hAnsiTheme="minorHAnsi" w:cstheme="minorHAnsi"/>
        </w:rPr>
        <w:t xml:space="preserve"> criterion, cross-loading, and the </w:t>
      </w:r>
      <w:proofErr w:type="spellStart"/>
      <w:r w:rsidRPr="006A419B">
        <w:rPr>
          <w:rFonts w:asciiTheme="minorHAnsi" w:hAnsiTheme="minorHAnsi" w:cstheme="minorHAnsi"/>
        </w:rPr>
        <w:t>Heterotrait-Monotrait</w:t>
      </w:r>
      <w:proofErr w:type="spellEnd"/>
      <w:r w:rsidRPr="006A419B">
        <w:rPr>
          <w:rFonts w:asciiTheme="minorHAnsi" w:hAnsiTheme="minorHAnsi" w:cstheme="minorHAnsi"/>
        </w:rPr>
        <w:t xml:space="preserve"> Ratio (HTMT).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documentation explains that the HTMT is used to ensure that a construct is truly distinct from other constructs in the research model. </w:t>
      </w:r>
      <w:proofErr w:type="spellStart"/>
      <w:r w:rsidRPr="006A419B">
        <w:rPr>
          <w:rFonts w:asciiTheme="minorHAnsi" w:hAnsiTheme="minorHAnsi" w:cstheme="minorHAnsi"/>
        </w:rPr>
        <w:t>Ringle</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Sarstedt</w:t>
      </w:r>
      <w:proofErr w:type="spellEnd"/>
      <w:r w:rsidRPr="006A419B">
        <w:rPr>
          <w:rFonts w:asciiTheme="minorHAnsi" w:hAnsiTheme="minorHAnsi" w:cstheme="minorHAnsi"/>
        </w:rPr>
        <w:t xml:space="preserve">, </w:t>
      </w:r>
      <w:proofErr w:type="spellStart"/>
      <w:r w:rsidRPr="006A419B">
        <w:rPr>
          <w:rFonts w:asciiTheme="minorHAnsi" w:hAnsiTheme="minorHAnsi" w:cstheme="minorHAnsi"/>
        </w:rPr>
        <w:t>Sinkovics</w:t>
      </w:r>
      <w:proofErr w:type="spellEnd"/>
      <w:r w:rsidRPr="006A419B">
        <w:rPr>
          <w:rFonts w:asciiTheme="minorHAnsi" w:hAnsiTheme="minorHAnsi" w:cstheme="minorHAnsi"/>
        </w:rPr>
        <w:t xml:space="preserve">, and </w:t>
      </w:r>
      <w:proofErr w:type="spellStart"/>
      <w:r w:rsidRPr="006A419B">
        <w:rPr>
          <w:rFonts w:asciiTheme="minorHAnsi" w:hAnsiTheme="minorHAnsi" w:cstheme="minorHAnsi"/>
        </w:rPr>
        <w:t>Sinkovics</w:t>
      </w:r>
      <w:proofErr w:type="spellEnd"/>
      <w:r w:rsidRPr="006A419B">
        <w:rPr>
          <w:rFonts w:asciiTheme="minorHAnsi" w:hAnsiTheme="minorHAnsi" w:cstheme="minorHAnsi"/>
        </w:rPr>
        <w:t xml:space="preserve"> (2023) also emphasize the importance of the proper use of PLS-SEM, including in the assessment of measurement model quality. In this study, discriminant validity is considered met if the HTMT value is below the recommended threshold, which is generally less than 0.90.</w:t>
      </w:r>
    </w:p>
    <w:p w14:paraId="3DA8A7A2" w14:textId="77777777" w:rsidR="00EE7253" w:rsidRPr="006A419B" w:rsidRDefault="00EE7253" w:rsidP="00EE7253">
      <w:pPr>
        <w:jc w:val="both"/>
        <w:rPr>
          <w:rFonts w:asciiTheme="minorHAnsi" w:hAnsiTheme="minorHAnsi" w:cstheme="minorHAnsi"/>
        </w:rPr>
      </w:pPr>
    </w:p>
    <w:p w14:paraId="0A33C7D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Once the measurement model meets the criteria for validity and reliability, the next step is to test the inner model. This testing is conducted to determine the strength and direction of the relationships among latent variables. Hair et al. (2022) explain that the evaluation of structural models in PLS-SEM can be performed by examining path coefficients, t-statistics, p-values, R-Square, F-Square, Q-Square, and collinearity statistics. In this study, relationships between variables were considered significant if the t-statistic was greater than 1.96 and the p-value was less than 0.05 at a 5% significance level.</w:t>
      </w:r>
    </w:p>
    <w:p w14:paraId="7F877D91" w14:textId="77777777" w:rsidR="00EE7253" w:rsidRPr="006A419B" w:rsidRDefault="00EE7253" w:rsidP="00EE7253">
      <w:pPr>
        <w:jc w:val="both"/>
        <w:rPr>
          <w:rFonts w:asciiTheme="minorHAnsi" w:hAnsiTheme="minorHAnsi" w:cstheme="minorHAnsi"/>
        </w:rPr>
      </w:pPr>
    </w:p>
    <w:p w14:paraId="0BE90F6D"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The R-Square value is used to determine the extent to which independent variables can explain the dependent variable. In this study, R-Square was used to examine the ability of work stress to explain affective commitment, as well as the combined ability of work stress and affective commitment to explain quiet quitting. The F-Square value was used to assess the magnitude of the influence of each exogenous variable on the endogenous variable. Meanwhile, Q-Square is used to assess the model’s predictive ability. If the Q-Square value is greater than zero, the model is considered to have predictive relevance. Hair et al. (2024) explain that evaluating structural models in PLS-SEM involves not only examining the significance of relationships but also considering the model’s explanatory power and predictive capability.</w:t>
      </w:r>
    </w:p>
    <w:p w14:paraId="070183DF" w14:textId="77777777" w:rsidR="00EE7253" w:rsidRPr="006A419B" w:rsidRDefault="00EE7253" w:rsidP="00EE7253">
      <w:pPr>
        <w:jc w:val="both"/>
        <w:rPr>
          <w:rFonts w:asciiTheme="minorHAnsi" w:hAnsiTheme="minorHAnsi" w:cstheme="minorHAnsi"/>
        </w:rPr>
      </w:pPr>
    </w:p>
    <w:p w14:paraId="602CA91F"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Hypothesis testing was conducted using the bootstrapping procedure in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Bootstrapping was used to obtain the t-statistic, p-value, and confidence intervals for the relationships between variables. The </w:t>
      </w:r>
      <w:proofErr w:type="spellStart"/>
      <w:r w:rsidRPr="006A419B">
        <w:rPr>
          <w:rFonts w:asciiTheme="minorHAnsi" w:hAnsiTheme="minorHAnsi" w:cstheme="minorHAnsi"/>
        </w:rPr>
        <w:t>SmartPLS</w:t>
      </w:r>
      <w:proofErr w:type="spellEnd"/>
      <w:r w:rsidRPr="006A419B">
        <w:rPr>
          <w:rFonts w:asciiTheme="minorHAnsi" w:hAnsiTheme="minorHAnsi" w:cstheme="minorHAnsi"/>
        </w:rPr>
        <w:t xml:space="preserve"> Documentation explains that in mediation analysis, PLS-SEM and bootstrapping results can display the direct effect, total indirect effect, specific indirect effect, and total effect. In this study, the number of bootstrapping subsamples used was 5,000 with a 95% confidence level. A direct relationship was considered significant if the p-value was less than 0.05 or the t-statistic was greater than 1.96.</w:t>
      </w:r>
    </w:p>
    <w:p w14:paraId="2C61036C" w14:textId="77777777" w:rsidR="00EE7253" w:rsidRPr="006A419B" w:rsidRDefault="00EE7253" w:rsidP="00EE7253">
      <w:pPr>
        <w:jc w:val="both"/>
        <w:rPr>
          <w:rFonts w:asciiTheme="minorHAnsi" w:hAnsiTheme="minorHAnsi" w:cstheme="minorHAnsi"/>
        </w:rPr>
      </w:pPr>
    </w:p>
    <w:p w14:paraId="20CD1510" w14:textId="77777777" w:rsidR="00EE7253" w:rsidRPr="006A419B" w:rsidRDefault="00EE7253" w:rsidP="00EE7253">
      <w:pPr>
        <w:jc w:val="both"/>
        <w:rPr>
          <w:rFonts w:asciiTheme="minorHAnsi" w:hAnsiTheme="minorHAnsi" w:cstheme="minorHAnsi"/>
        </w:rPr>
      </w:pPr>
      <w:r w:rsidRPr="006A419B">
        <w:rPr>
          <w:rFonts w:asciiTheme="minorHAnsi" w:hAnsiTheme="minorHAnsi" w:cstheme="minorHAnsi"/>
        </w:rPr>
        <w:t xml:space="preserve">The mediation analysis in this study was conducted by examining the specific indirect effect of the work stress-to-quiet quitting pathway through affective commitment. Affective commitment was found to mediate the effect of work stress on quiet quitting if the specific indirect effect was significant, defined as a p-value less than 0.05 or a t-statistic greater than 1.96. </w:t>
      </w:r>
    </w:p>
    <w:p w14:paraId="1DDC0B71" w14:textId="77777777" w:rsidR="00EE7253" w:rsidRPr="006A419B" w:rsidRDefault="00EE7253" w:rsidP="00EE7253">
      <w:pPr>
        <w:jc w:val="both"/>
        <w:rPr>
          <w:rFonts w:asciiTheme="minorHAnsi" w:hAnsiTheme="minorHAnsi" w:cstheme="minorHAnsi"/>
        </w:rPr>
      </w:pPr>
    </w:p>
    <w:p w14:paraId="1DAFB828"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lastRenderedPageBreak/>
        <w:t xml:space="preserve">Results </w:t>
      </w:r>
    </w:p>
    <w:p w14:paraId="7938A2A8"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rPr>
        <w:t>Measurement Model Validation</w:t>
      </w:r>
    </w:p>
    <w:p w14:paraId="0CC4F5DB" w14:textId="77777777" w:rsidR="00EE7253" w:rsidRPr="00412ACA" w:rsidRDefault="00EE7253" w:rsidP="00EE7253">
      <w:pPr>
        <w:jc w:val="both"/>
        <w:rPr>
          <w:rFonts w:asciiTheme="minorHAnsi" w:hAnsiTheme="minorHAnsi" w:cstheme="minorHAnsi"/>
        </w:rPr>
      </w:pPr>
      <w:r w:rsidRPr="00412ACA">
        <w:rPr>
          <w:rFonts w:asciiTheme="minorHAnsi" w:hAnsiTheme="minorHAnsi" w:cstheme="minorHAnsi"/>
        </w:rPr>
        <w:t xml:space="preserve">Model validation was conducted to ensure that each indicator accurately reflects the construct being measured (Hair et al., 2022). </w:t>
      </w:r>
      <w:r>
        <w:rPr>
          <w:rFonts w:asciiTheme="minorHAnsi" w:hAnsiTheme="minorHAnsi" w:cstheme="minorHAnsi"/>
        </w:rPr>
        <w:t>Based on the test results</w:t>
      </w:r>
      <w:r w:rsidRPr="00412ACA">
        <w:rPr>
          <w:rFonts w:asciiTheme="minorHAnsi" w:hAnsiTheme="minorHAnsi" w:cstheme="minorHAnsi"/>
        </w:rPr>
        <w:t xml:space="preserve">, the outer loading values for the affective commitment indicator ranged from 0.816 to 0.850, the quiet quitting indicator ranged from 0.867 to 0.883, while the work stress indicator ranged from 0.836 to 0.856. These results indicate that all indicators have a strong correlation with their respective constructs. </w:t>
      </w:r>
    </w:p>
    <w:p w14:paraId="7B18788B" w14:textId="77777777" w:rsidR="00EE7253" w:rsidRPr="00412ACA" w:rsidRDefault="00EE7253" w:rsidP="00EE7253">
      <w:pPr>
        <w:jc w:val="both"/>
        <w:rPr>
          <w:rFonts w:asciiTheme="minorHAnsi" w:hAnsiTheme="minorHAnsi" w:cstheme="minorHAnsi"/>
        </w:rPr>
      </w:pPr>
    </w:p>
    <w:p w14:paraId="74D57038" w14:textId="77777777" w:rsidR="00EE7253" w:rsidRPr="00E776A5" w:rsidRDefault="00EE7253" w:rsidP="00EE7253">
      <w:pPr>
        <w:rPr>
          <w:rFonts w:asciiTheme="minorHAnsi" w:hAnsiTheme="minorHAnsi" w:cstheme="minorHAnsi"/>
          <w:b/>
          <w:bCs/>
        </w:rPr>
      </w:pPr>
      <w:r w:rsidRPr="00E776A5">
        <w:rPr>
          <w:rFonts w:asciiTheme="minorHAnsi" w:hAnsiTheme="minorHAnsi" w:cstheme="minorHAnsi"/>
          <w:b/>
          <w:bCs/>
        </w:rPr>
        <w:t>Construct Reliability and Convergent Validity</w:t>
      </w:r>
    </w:p>
    <w:p w14:paraId="3B3EFAC5" w14:textId="77777777" w:rsidR="00EE7253" w:rsidRPr="006A419B" w:rsidRDefault="00EE7253" w:rsidP="00EE7253">
      <w:pPr>
        <w:rPr>
          <w:rFonts w:asciiTheme="minorHAnsi" w:hAnsiTheme="minorHAnsi" w:cstheme="minorHAnsi"/>
        </w:rPr>
      </w:pPr>
    </w:p>
    <w:p w14:paraId="7A273D17" w14:textId="77777777" w:rsidR="00EE7253" w:rsidRPr="00E776A5" w:rsidRDefault="00EE7253" w:rsidP="00EE7253">
      <w:pPr>
        <w:jc w:val="center"/>
        <w:rPr>
          <w:rFonts w:asciiTheme="minorHAnsi" w:hAnsiTheme="minorHAnsi" w:cstheme="minorHAnsi"/>
          <w:b/>
          <w:bCs/>
        </w:rPr>
      </w:pPr>
      <w:r w:rsidRPr="00E776A5">
        <w:rPr>
          <w:rFonts w:asciiTheme="minorHAnsi" w:hAnsiTheme="minorHAnsi" w:cstheme="minorHAnsi"/>
          <w:b/>
          <w:bCs/>
        </w:rPr>
        <w:t>Table 1. Construct Reliability and Validity</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57"/>
        <w:gridCol w:w="1157"/>
        <w:gridCol w:w="1157"/>
        <w:gridCol w:w="1157"/>
        <w:gridCol w:w="1157"/>
        <w:gridCol w:w="1445"/>
      </w:tblGrid>
      <w:tr w:rsidR="00EE7253" w:rsidRPr="00E776A5" w14:paraId="1006A2A6" w14:textId="77777777" w:rsidTr="00D12CEF">
        <w:trPr>
          <w:trHeight w:val="257"/>
          <w:jc w:val="center"/>
        </w:trPr>
        <w:tc>
          <w:tcPr>
            <w:tcW w:w="1157" w:type="dxa"/>
            <w:tcBorders>
              <w:top w:val="single" w:sz="4" w:space="0" w:color="auto"/>
              <w:bottom w:val="single" w:sz="4" w:space="0" w:color="auto"/>
            </w:tcBorders>
            <w:shd w:val="clear" w:color="auto" w:fill="auto"/>
            <w:vAlign w:val="center"/>
          </w:tcPr>
          <w:p w14:paraId="4E5FA047"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Construct</w:t>
            </w:r>
          </w:p>
        </w:tc>
        <w:tc>
          <w:tcPr>
            <w:tcW w:w="1157" w:type="dxa"/>
            <w:tcBorders>
              <w:top w:val="single" w:sz="4" w:space="0" w:color="auto"/>
              <w:bottom w:val="single" w:sz="4" w:space="0" w:color="auto"/>
            </w:tcBorders>
            <w:shd w:val="clear" w:color="auto" w:fill="auto"/>
            <w:vAlign w:val="center"/>
          </w:tcPr>
          <w:p w14:paraId="4594A6A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Cronbach’s Alpha</w:t>
            </w:r>
          </w:p>
        </w:tc>
        <w:tc>
          <w:tcPr>
            <w:tcW w:w="1157" w:type="dxa"/>
            <w:tcBorders>
              <w:top w:val="single" w:sz="4" w:space="0" w:color="auto"/>
              <w:bottom w:val="single" w:sz="4" w:space="0" w:color="auto"/>
            </w:tcBorders>
            <w:shd w:val="clear" w:color="auto" w:fill="auto"/>
            <w:vAlign w:val="center"/>
          </w:tcPr>
          <w:p w14:paraId="72C91200" w14:textId="77777777" w:rsidR="00EE7253" w:rsidRPr="00E776A5" w:rsidRDefault="00EE7253" w:rsidP="00D12CEF">
            <w:pPr>
              <w:rPr>
                <w:rFonts w:asciiTheme="minorHAnsi" w:hAnsiTheme="minorHAnsi" w:cstheme="minorHAnsi"/>
                <w:sz w:val="16"/>
                <w:szCs w:val="20"/>
              </w:rPr>
            </w:pPr>
            <w:proofErr w:type="spellStart"/>
            <w:r w:rsidRPr="00E776A5">
              <w:rPr>
                <w:rFonts w:asciiTheme="minorHAnsi" w:hAnsiTheme="minorHAnsi" w:cstheme="minorHAnsi"/>
                <w:sz w:val="16"/>
                <w:szCs w:val="20"/>
              </w:rPr>
              <w:t>rho_a</w:t>
            </w:r>
            <w:proofErr w:type="spellEnd"/>
          </w:p>
        </w:tc>
        <w:tc>
          <w:tcPr>
            <w:tcW w:w="1157" w:type="dxa"/>
            <w:tcBorders>
              <w:top w:val="single" w:sz="4" w:space="0" w:color="auto"/>
              <w:bottom w:val="single" w:sz="4" w:space="0" w:color="auto"/>
            </w:tcBorders>
            <w:shd w:val="clear" w:color="auto" w:fill="auto"/>
            <w:vAlign w:val="center"/>
          </w:tcPr>
          <w:p w14:paraId="26C48DF3" w14:textId="77777777" w:rsidR="00EE7253" w:rsidRPr="00E776A5" w:rsidRDefault="00EE7253" w:rsidP="00D12CEF">
            <w:pPr>
              <w:rPr>
                <w:rFonts w:asciiTheme="minorHAnsi" w:hAnsiTheme="minorHAnsi" w:cstheme="minorHAnsi"/>
                <w:sz w:val="16"/>
                <w:szCs w:val="20"/>
              </w:rPr>
            </w:pPr>
            <w:proofErr w:type="spellStart"/>
            <w:r w:rsidRPr="00E776A5">
              <w:rPr>
                <w:rFonts w:asciiTheme="minorHAnsi" w:hAnsiTheme="minorHAnsi" w:cstheme="minorHAnsi"/>
                <w:sz w:val="16"/>
                <w:szCs w:val="20"/>
              </w:rPr>
              <w:t>rho_c</w:t>
            </w:r>
            <w:proofErr w:type="spellEnd"/>
          </w:p>
        </w:tc>
        <w:tc>
          <w:tcPr>
            <w:tcW w:w="1157" w:type="dxa"/>
            <w:tcBorders>
              <w:top w:val="single" w:sz="4" w:space="0" w:color="auto"/>
              <w:bottom w:val="single" w:sz="4" w:space="0" w:color="auto"/>
            </w:tcBorders>
            <w:shd w:val="clear" w:color="auto" w:fill="auto"/>
            <w:vAlign w:val="center"/>
          </w:tcPr>
          <w:p w14:paraId="5D86782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AVE</w:t>
            </w:r>
          </w:p>
        </w:tc>
        <w:tc>
          <w:tcPr>
            <w:tcW w:w="1445" w:type="dxa"/>
            <w:tcBorders>
              <w:top w:val="single" w:sz="4" w:space="0" w:color="auto"/>
              <w:bottom w:val="single" w:sz="4" w:space="0" w:color="auto"/>
            </w:tcBorders>
            <w:shd w:val="clear" w:color="auto" w:fill="auto"/>
            <w:vAlign w:val="center"/>
          </w:tcPr>
          <w:p w14:paraId="0ABD021C"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Decision</w:t>
            </w:r>
          </w:p>
        </w:tc>
      </w:tr>
      <w:tr w:rsidR="00EE7253" w:rsidRPr="00E776A5" w14:paraId="593284F2" w14:textId="77777777" w:rsidTr="00D12CEF">
        <w:trPr>
          <w:trHeight w:val="257"/>
          <w:jc w:val="center"/>
        </w:trPr>
        <w:tc>
          <w:tcPr>
            <w:tcW w:w="1157" w:type="dxa"/>
            <w:tcBorders>
              <w:top w:val="single" w:sz="4" w:space="0" w:color="auto"/>
            </w:tcBorders>
            <w:shd w:val="clear" w:color="auto" w:fill="auto"/>
          </w:tcPr>
          <w:p w14:paraId="699A6FCD"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Affective Commitment</w:t>
            </w:r>
          </w:p>
        </w:tc>
        <w:tc>
          <w:tcPr>
            <w:tcW w:w="1157" w:type="dxa"/>
            <w:tcBorders>
              <w:top w:val="single" w:sz="4" w:space="0" w:color="auto"/>
            </w:tcBorders>
            <w:shd w:val="clear" w:color="auto" w:fill="auto"/>
          </w:tcPr>
          <w:p w14:paraId="64BFFFD6"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0.945</w:t>
            </w:r>
          </w:p>
        </w:tc>
        <w:tc>
          <w:tcPr>
            <w:tcW w:w="1157" w:type="dxa"/>
            <w:tcBorders>
              <w:top w:val="single" w:sz="4" w:space="0" w:color="auto"/>
            </w:tcBorders>
            <w:shd w:val="clear" w:color="auto" w:fill="auto"/>
          </w:tcPr>
          <w:p w14:paraId="34C691F4"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0.945</w:t>
            </w:r>
          </w:p>
        </w:tc>
        <w:tc>
          <w:tcPr>
            <w:tcW w:w="1157" w:type="dxa"/>
            <w:tcBorders>
              <w:top w:val="single" w:sz="4" w:space="0" w:color="auto"/>
            </w:tcBorders>
            <w:shd w:val="clear" w:color="auto" w:fill="auto"/>
          </w:tcPr>
          <w:p w14:paraId="40DA15F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0.953</w:t>
            </w:r>
          </w:p>
        </w:tc>
        <w:tc>
          <w:tcPr>
            <w:tcW w:w="1157" w:type="dxa"/>
            <w:tcBorders>
              <w:top w:val="single" w:sz="4" w:space="0" w:color="auto"/>
            </w:tcBorders>
            <w:shd w:val="clear" w:color="auto" w:fill="auto"/>
          </w:tcPr>
          <w:p w14:paraId="098A1DF2"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0.695</w:t>
            </w:r>
          </w:p>
        </w:tc>
        <w:tc>
          <w:tcPr>
            <w:tcW w:w="1445" w:type="dxa"/>
            <w:tcBorders>
              <w:top w:val="single" w:sz="4" w:space="0" w:color="auto"/>
            </w:tcBorders>
            <w:shd w:val="clear" w:color="auto" w:fill="auto"/>
          </w:tcPr>
          <w:p w14:paraId="12AB85A3"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r w:rsidR="00EE7253" w:rsidRPr="00E776A5" w14:paraId="3CE9E76A" w14:textId="77777777" w:rsidTr="00D12CEF">
        <w:trPr>
          <w:trHeight w:val="257"/>
          <w:jc w:val="center"/>
        </w:trPr>
        <w:tc>
          <w:tcPr>
            <w:tcW w:w="1157" w:type="dxa"/>
            <w:shd w:val="clear" w:color="auto" w:fill="auto"/>
          </w:tcPr>
          <w:p w14:paraId="022323BD"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Quiet Quitting</w:t>
            </w:r>
          </w:p>
        </w:tc>
        <w:tc>
          <w:tcPr>
            <w:tcW w:w="1157" w:type="dxa"/>
            <w:shd w:val="clear" w:color="auto" w:fill="auto"/>
          </w:tcPr>
          <w:p w14:paraId="191ECBC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0.962</w:t>
            </w:r>
          </w:p>
        </w:tc>
        <w:tc>
          <w:tcPr>
            <w:tcW w:w="1157" w:type="dxa"/>
            <w:shd w:val="clear" w:color="auto" w:fill="auto"/>
          </w:tcPr>
          <w:p w14:paraId="4D7B402C"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0.962</w:t>
            </w:r>
          </w:p>
        </w:tc>
        <w:tc>
          <w:tcPr>
            <w:tcW w:w="1157" w:type="dxa"/>
            <w:shd w:val="clear" w:color="auto" w:fill="auto"/>
          </w:tcPr>
          <w:p w14:paraId="0C59A40A"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0.967</w:t>
            </w:r>
          </w:p>
        </w:tc>
        <w:tc>
          <w:tcPr>
            <w:tcW w:w="1157" w:type="dxa"/>
            <w:shd w:val="clear" w:color="auto" w:fill="auto"/>
          </w:tcPr>
          <w:p w14:paraId="65F6D51E"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0.765</w:t>
            </w:r>
          </w:p>
        </w:tc>
        <w:tc>
          <w:tcPr>
            <w:tcW w:w="1445" w:type="dxa"/>
            <w:shd w:val="clear" w:color="auto" w:fill="auto"/>
          </w:tcPr>
          <w:p w14:paraId="495AD6A9"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r w:rsidR="00EE7253" w:rsidRPr="00E776A5" w14:paraId="5BDA38FC" w14:textId="77777777" w:rsidTr="00D12CEF">
        <w:trPr>
          <w:trHeight w:val="243"/>
          <w:jc w:val="center"/>
        </w:trPr>
        <w:tc>
          <w:tcPr>
            <w:tcW w:w="1157" w:type="dxa"/>
            <w:shd w:val="clear" w:color="auto" w:fill="auto"/>
          </w:tcPr>
          <w:p w14:paraId="745F951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Work Stress</w:t>
            </w:r>
          </w:p>
        </w:tc>
        <w:tc>
          <w:tcPr>
            <w:tcW w:w="1157" w:type="dxa"/>
            <w:shd w:val="clear" w:color="auto" w:fill="auto"/>
          </w:tcPr>
          <w:p w14:paraId="11E67290"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0.963</w:t>
            </w:r>
          </w:p>
        </w:tc>
        <w:tc>
          <w:tcPr>
            <w:tcW w:w="1157" w:type="dxa"/>
            <w:shd w:val="clear" w:color="auto" w:fill="auto"/>
          </w:tcPr>
          <w:p w14:paraId="50C5B995"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0.963</w:t>
            </w:r>
          </w:p>
        </w:tc>
        <w:tc>
          <w:tcPr>
            <w:tcW w:w="1157" w:type="dxa"/>
            <w:shd w:val="clear" w:color="auto" w:fill="auto"/>
          </w:tcPr>
          <w:p w14:paraId="4C6D569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0.967</w:t>
            </w:r>
          </w:p>
        </w:tc>
        <w:tc>
          <w:tcPr>
            <w:tcW w:w="1157" w:type="dxa"/>
            <w:shd w:val="clear" w:color="auto" w:fill="auto"/>
          </w:tcPr>
          <w:p w14:paraId="19A04B1B"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0.711</w:t>
            </w:r>
          </w:p>
        </w:tc>
        <w:tc>
          <w:tcPr>
            <w:tcW w:w="1445" w:type="dxa"/>
            <w:shd w:val="clear" w:color="auto" w:fill="auto"/>
          </w:tcPr>
          <w:p w14:paraId="356E19A2" w14:textId="77777777" w:rsidR="00EE7253" w:rsidRPr="00E776A5" w:rsidRDefault="00EE7253" w:rsidP="00D12CEF">
            <w:pPr>
              <w:rPr>
                <w:rFonts w:asciiTheme="minorHAnsi" w:hAnsiTheme="minorHAnsi" w:cstheme="minorHAnsi"/>
                <w:sz w:val="16"/>
                <w:szCs w:val="20"/>
              </w:rPr>
            </w:pPr>
            <w:r w:rsidRPr="00E776A5">
              <w:rPr>
                <w:rFonts w:asciiTheme="minorHAnsi" w:hAnsiTheme="minorHAnsi" w:cstheme="minorHAnsi"/>
                <w:sz w:val="16"/>
                <w:szCs w:val="20"/>
              </w:rPr>
              <w:t>Reliable and valid</w:t>
            </w:r>
          </w:p>
        </w:tc>
      </w:tr>
    </w:tbl>
    <w:p w14:paraId="5DC91348" w14:textId="77777777" w:rsidR="00EE7253" w:rsidRPr="006A419B" w:rsidRDefault="00EE7253" w:rsidP="00EE7253">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 Reliability criteria and AVE from Hair et al. (2022).</w:t>
      </w:r>
    </w:p>
    <w:p w14:paraId="05F5950A" w14:textId="77777777" w:rsidR="00EE7253" w:rsidRPr="006A419B" w:rsidRDefault="00EE7253" w:rsidP="00EE7253">
      <w:pPr>
        <w:rPr>
          <w:rFonts w:asciiTheme="minorHAnsi" w:hAnsiTheme="minorHAnsi" w:cstheme="minorHAnsi"/>
        </w:rPr>
      </w:pPr>
    </w:p>
    <w:p w14:paraId="396358FB" w14:textId="77777777" w:rsidR="00EE7253" w:rsidRPr="00412ACA" w:rsidRDefault="00EE7253" w:rsidP="00EE7253">
      <w:pPr>
        <w:jc w:val="both"/>
        <w:rPr>
          <w:rFonts w:asciiTheme="minorHAnsi" w:hAnsiTheme="minorHAnsi" w:cstheme="minorHAnsi"/>
          <w:sz w:val="20"/>
          <w:szCs w:val="20"/>
        </w:rPr>
      </w:pPr>
      <w:r w:rsidRPr="00412ACA">
        <w:rPr>
          <w:rFonts w:asciiTheme="minorHAnsi" w:hAnsiTheme="minorHAnsi" w:cstheme="minorHAnsi"/>
          <w:sz w:val="20"/>
          <w:szCs w:val="20"/>
        </w:rPr>
        <w:t xml:space="preserve">Reliability and convergent validity were evaluated using Cronbach’s Alpha, Composite Reliability, and Average Variance Extracted (AVE). The table shows that the Cronbach’s Alpha values for all constructs were above 0.90, specifically 0.945 for affective commitment, 0.962 for quiet quitting, and 0.963 for work stress. The Composite Reliability values were also above 0.70, while the AVE values for each construct were above 0.50. These results indicate that the items within each construct possess excellent internal consistency and are capable of adequately explaining the variance of the indicators. </w:t>
      </w:r>
    </w:p>
    <w:p w14:paraId="33595F70" w14:textId="77777777" w:rsidR="00EE7253" w:rsidRPr="00412ACA" w:rsidRDefault="00EE7253" w:rsidP="00EE7253">
      <w:pPr>
        <w:rPr>
          <w:rFonts w:asciiTheme="minorHAnsi" w:hAnsiTheme="minorHAnsi" w:cstheme="minorHAnsi"/>
          <w:sz w:val="20"/>
          <w:szCs w:val="20"/>
        </w:rPr>
      </w:pPr>
    </w:p>
    <w:p w14:paraId="06AF25C1" w14:textId="77777777" w:rsidR="00EE7253" w:rsidRPr="00412ACA" w:rsidRDefault="00EE7253" w:rsidP="00EE7253">
      <w:pPr>
        <w:rPr>
          <w:rFonts w:asciiTheme="minorHAnsi" w:hAnsiTheme="minorHAnsi" w:cstheme="minorHAnsi"/>
          <w:b/>
          <w:bCs/>
          <w:sz w:val="20"/>
          <w:szCs w:val="20"/>
        </w:rPr>
      </w:pPr>
      <w:r w:rsidRPr="00412ACA">
        <w:rPr>
          <w:rFonts w:asciiTheme="minorHAnsi" w:hAnsiTheme="minorHAnsi" w:cstheme="minorHAnsi"/>
          <w:b/>
          <w:bCs/>
          <w:sz w:val="20"/>
          <w:szCs w:val="20"/>
        </w:rPr>
        <w:t>Discriminant Validity</w:t>
      </w:r>
    </w:p>
    <w:p w14:paraId="08481D55" w14:textId="77777777" w:rsidR="00EE7253" w:rsidRPr="00412ACA" w:rsidRDefault="00EE7253" w:rsidP="00EE7253">
      <w:pPr>
        <w:jc w:val="center"/>
        <w:rPr>
          <w:rFonts w:asciiTheme="minorHAnsi" w:hAnsiTheme="minorHAnsi" w:cstheme="minorHAnsi"/>
          <w:sz w:val="20"/>
          <w:szCs w:val="20"/>
        </w:rPr>
      </w:pPr>
      <w:r w:rsidRPr="00412ACA">
        <w:rPr>
          <w:rFonts w:asciiTheme="minorHAnsi" w:hAnsiTheme="minorHAnsi" w:cstheme="minorHAnsi"/>
          <w:sz w:val="20"/>
          <w:szCs w:val="20"/>
        </w:rPr>
        <w:t xml:space="preserve">Table 2. </w:t>
      </w:r>
      <w:proofErr w:type="spellStart"/>
      <w:r w:rsidRPr="00412ACA">
        <w:rPr>
          <w:rFonts w:asciiTheme="minorHAnsi" w:hAnsiTheme="minorHAnsi" w:cstheme="minorHAnsi"/>
          <w:sz w:val="20"/>
          <w:szCs w:val="20"/>
        </w:rPr>
        <w:t>Heterotrait-Monotrait</w:t>
      </w:r>
      <w:proofErr w:type="spellEnd"/>
      <w:r w:rsidRPr="00412ACA">
        <w:rPr>
          <w:rFonts w:asciiTheme="minorHAnsi" w:hAnsiTheme="minorHAnsi" w:cstheme="minorHAnsi"/>
          <w:sz w:val="20"/>
          <w:szCs w:val="20"/>
        </w:rPr>
        <w:t xml:space="preserve"> Ratio (HTMT)</w:t>
      </w:r>
    </w:p>
    <w:p w14:paraId="5199EC8B" w14:textId="77777777" w:rsidR="00EE7253" w:rsidRPr="00412ACA" w:rsidRDefault="00EE7253" w:rsidP="00EE7253">
      <w:pPr>
        <w:jc w:val="center"/>
        <w:rPr>
          <w:rFonts w:asciiTheme="minorHAnsi" w:hAnsiTheme="minorHAnsi" w:cstheme="minorHAns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9"/>
        <w:gridCol w:w="1749"/>
        <w:gridCol w:w="1701"/>
      </w:tblGrid>
      <w:tr w:rsidR="00EE7253" w:rsidRPr="00412ACA" w14:paraId="25CCA2E5" w14:textId="77777777" w:rsidTr="00D12CEF">
        <w:trPr>
          <w:jc w:val="center"/>
        </w:trPr>
        <w:tc>
          <w:tcPr>
            <w:tcW w:w="2929" w:type="dxa"/>
            <w:tcBorders>
              <w:top w:val="single" w:sz="4" w:space="0" w:color="auto"/>
              <w:bottom w:val="single" w:sz="4" w:space="0" w:color="auto"/>
            </w:tcBorders>
            <w:shd w:val="clear" w:color="auto" w:fill="auto"/>
            <w:vAlign w:val="center"/>
          </w:tcPr>
          <w:p w14:paraId="19145FD9"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Construct Relationship</w:t>
            </w:r>
          </w:p>
        </w:tc>
        <w:tc>
          <w:tcPr>
            <w:tcW w:w="1749" w:type="dxa"/>
            <w:tcBorders>
              <w:top w:val="single" w:sz="4" w:space="0" w:color="auto"/>
              <w:bottom w:val="single" w:sz="4" w:space="0" w:color="auto"/>
            </w:tcBorders>
            <w:shd w:val="clear" w:color="auto" w:fill="auto"/>
            <w:vAlign w:val="center"/>
          </w:tcPr>
          <w:p w14:paraId="3DADC905"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HTMT Value</w:t>
            </w:r>
          </w:p>
        </w:tc>
        <w:tc>
          <w:tcPr>
            <w:tcW w:w="1701" w:type="dxa"/>
            <w:tcBorders>
              <w:top w:val="single" w:sz="4" w:space="0" w:color="auto"/>
              <w:bottom w:val="single" w:sz="4" w:space="0" w:color="auto"/>
            </w:tcBorders>
            <w:shd w:val="clear" w:color="auto" w:fill="auto"/>
            <w:vAlign w:val="center"/>
          </w:tcPr>
          <w:p w14:paraId="4F059FB4"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Decision</w:t>
            </w:r>
          </w:p>
        </w:tc>
      </w:tr>
      <w:tr w:rsidR="00EE7253" w:rsidRPr="00412ACA" w14:paraId="19DADF3B" w14:textId="77777777" w:rsidTr="00D12CEF">
        <w:trPr>
          <w:jc w:val="center"/>
        </w:trPr>
        <w:tc>
          <w:tcPr>
            <w:tcW w:w="2929" w:type="dxa"/>
            <w:tcBorders>
              <w:top w:val="single" w:sz="4" w:space="0" w:color="auto"/>
            </w:tcBorders>
            <w:shd w:val="clear" w:color="auto" w:fill="auto"/>
          </w:tcPr>
          <w:p w14:paraId="3691F140"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Quiet Quitting &lt;-&gt; Affective Commitment</w:t>
            </w:r>
          </w:p>
        </w:tc>
        <w:tc>
          <w:tcPr>
            <w:tcW w:w="1749" w:type="dxa"/>
            <w:tcBorders>
              <w:top w:val="single" w:sz="4" w:space="0" w:color="auto"/>
            </w:tcBorders>
            <w:shd w:val="clear" w:color="auto" w:fill="auto"/>
          </w:tcPr>
          <w:p w14:paraId="17E0F7B9"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0.840</w:t>
            </w:r>
          </w:p>
        </w:tc>
        <w:tc>
          <w:tcPr>
            <w:tcW w:w="1701" w:type="dxa"/>
            <w:tcBorders>
              <w:top w:val="single" w:sz="4" w:space="0" w:color="auto"/>
            </w:tcBorders>
            <w:shd w:val="clear" w:color="auto" w:fill="auto"/>
          </w:tcPr>
          <w:p w14:paraId="2C8C3506"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Fulfillment</w:t>
            </w:r>
          </w:p>
        </w:tc>
      </w:tr>
      <w:tr w:rsidR="00EE7253" w:rsidRPr="00412ACA" w14:paraId="47537B1B" w14:textId="77777777" w:rsidTr="00D12CEF">
        <w:trPr>
          <w:jc w:val="center"/>
        </w:trPr>
        <w:tc>
          <w:tcPr>
            <w:tcW w:w="2929" w:type="dxa"/>
            <w:shd w:val="clear" w:color="auto" w:fill="auto"/>
          </w:tcPr>
          <w:p w14:paraId="7CB288D0"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Work Stress &lt;-&gt; Affective Commitment</w:t>
            </w:r>
          </w:p>
        </w:tc>
        <w:tc>
          <w:tcPr>
            <w:tcW w:w="1749" w:type="dxa"/>
            <w:shd w:val="clear" w:color="auto" w:fill="auto"/>
          </w:tcPr>
          <w:p w14:paraId="68377E1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0.806</w:t>
            </w:r>
          </w:p>
        </w:tc>
        <w:tc>
          <w:tcPr>
            <w:tcW w:w="1701" w:type="dxa"/>
            <w:shd w:val="clear" w:color="auto" w:fill="auto"/>
          </w:tcPr>
          <w:p w14:paraId="33EDDD67"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Meet</w:t>
            </w:r>
          </w:p>
        </w:tc>
      </w:tr>
      <w:tr w:rsidR="00EE7253" w:rsidRPr="00412ACA" w14:paraId="14834F90" w14:textId="77777777" w:rsidTr="00D12CEF">
        <w:trPr>
          <w:jc w:val="center"/>
        </w:trPr>
        <w:tc>
          <w:tcPr>
            <w:tcW w:w="2929" w:type="dxa"/>
            <w:shd w:val="clear" w:color="auto" w:fill="auto"/>
          </w:tcPr>
          <w:p w14:paraId="68A6879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Work Stress &lt;-&gt; Quiet Quitting</w:t>
            </w:r>
          </w:p>
        </w:tc>
        <w:tc>
          <w:tcPr>
            <w:tcW w:w="1749" w:type="dxa"/>
            <w:shd w:val="clear" w:color="auto" w:fill="auto"/>
          </w:tcPr>
          <w:p w14:paraId="57AD4C7A"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0.856</w:t>
            </w:r>
          </w:p>
        </w:tc>
        <w:tc>
          <w:tcPr>
            <w:tcW w:w="1701" w:type="dxa"/>
            <w:shd w:val="clear" w:color="auto" w:fill="auto"/>
          </w:tcPr>
          <w:p w14:paraId="2E5BD83C" w14:textId="77777777" w:rsidR="00EE7253" w:rsidRPr="00412ACA" w:rsidRDefault="00EE7253" w:rsidP="00D12CEF">
            <w:pPr>
              <w:rPr>
                <w:rFonts w:asciiTheme="minorHAnsi" w:hAnsiTheme="minorHAnsi" w:cstheme="minorHAnsi"/>
                <w:sz w:val="20"/>
                <w:szCs w:val="20"/>
              </w:rPr>
            </w:pPr>
            <w:r w:rsidRPr="00412ACA">
              <w:rPr>
                <w:rFonts w:asciiTheme="minorHAnsi" w:hAnsiTheme="minorHAnsi" w:cstheme="minorHAnsi"/>
                <w:sz w:val="20"/>
                <w:szCs w:val="20"/>
              </w:rPr>
              <w:t>Meets</w:t>
            </w:r>
          </w:p>
        </w:tc>
      </w:tr>
    </w:tbl>
    <w:p w14:paraId="0C901205" w14:textId="77777777" w:rsidR="00EE7253" w:rsidRPr="00412ACA" w:rsidRDefault="00EE7253" w:rsidP="00EE7253">
      <w:pPr>
        <w:rPr>
          <w:rFonts w:asciiTheme="minorHAnsi" w:hAnsiTheme="minorHAnsi" w:cstheme="minorHAnsi"/>
          <w:sz w:val="20"/>
          <w:szCs w:val="20"/>
        </w:rPr>
      </w:pPr>
      <w:r w:rsidRPr="00412ACA">
        <w:rPr>
          <w:rFonts w:asciiTheme="minorHAnsi" w:hAnsiTheme="minorHAnsi" w:cstheme="minorHAnsi"/>
          <w:i/>
          <w:sz w:val="20"/>
          <w:szCs w:val="20"/>
        </w:rPr>
        <w:t xml:space="preserve">Source: </w:t>
      </w:r>
      <w:proofErr w:type="spellStart"/>
      <w:r w:rsidRPr="00412ACA">
        <w:rPr>
          <w:rFonts w:asciiTheme="minorHAnsi" w:hAnsiTheme="minorHAnsi" w:cstheme="minorHAnsi"/>
          <w:i/>
          <w:sz w:val="20"/>
          <w:szCs w:val="20"/>
        </w:rPr>
        <w:t>SmartPLS</w:t>
      </w:r>
      <w:proofErr w:type="spellEnd"/>
      <w:r w:rsidRPr="00412ACA">
        <w:rPr>
          <w:rFonts w:asciiTheme="minorHAnsi" w:hAnsiTheme="minorHAnsi" w:cstheme="minorHAnsi"/>
          <w:i/>
          <w:sz w:val="20"/>
          <w:szCs w:val="20"/>
        </w:rPr>
        <w:t xml:space="preserve"> output, processed data (2026). HTMT criterion &lt; 0.90 (Hair et al. (2022).</w:t>
      </w:r>
    </w:p>
    <w:p w14:paraId="0E1000F8" w14:textId="77777777" w:rsidR="00EE7253" w:rsidRPr="00412ACA" w:rsidRDefault="00EE7253" w:rsidP="00EE7253">
      <w:pPr>
        <w:rPr>
          <w:rFonts w:asciiTheme="minorHAnsi" w:hAnsiTheme="minorHAnsi" w:cstheme="minorHAnsi"/>
          <w:sz w:val="20"/>
          <w:szCs w:val="20"/>
        </w:rPr>
      </w:pPr>
    </w:p>
    <w:p w14:paraId="1701D195" w14:textId="77777777" w:rsidR="00EE7253" w:rsidRPr="00412ACA" w:rsidRDefault="00EE7253" w:rsidP="00EE7253">
      <w:pPr>
        <w:jc w:val="both"/>
        <w:rPr>
          <w:rFonts w:asciiTheme="minorHAnsi" w:hAnsiTheme="minorHAnsi" w:cstheme="minorHAnsi"/>
          <w:sz w:val="20"/>
          <w:szCs w:val="20"/>
        </w:rPr>
      </w:pPr>
      <w:r w:rsidRPr="00412ACA">
        <w:rPr>
          <w:rFonts w:asciiTheme="minorHAnsi" w:hAnsiTheme="minorHAnsi" w:cstheme="minorHAnsi"/>
          <w:sz w:val="20"/>
          <w:szCs w:val="20"/>
        </w:rPr>
        <w:t>Based on the table, the HTMT value between quiet quitting and affective commitment is 0.840, the HTMT value between job stress and affective commitment is 0.806, and the HTMT value between job stress and quiet quitting is 0.856. All of these values remain below the 0.90 threshold. This indicates that although the three constructs are conceptually interrelated, each still possesses distinct measurement characteristics. Thus, the measurement model meets the criteria for discriminant validity and can proceed to structural model evaluation.</w:t>
      </w:r>
    </w:p>
    <w:p w14:paraId="3BD21067" w14:textId="23498BDB" w:rsidR="00EE7253" w:rsidRDefault="00EE7253" w:rsidP="00EE7253">
      <w:pPr>
        <w:rPr>
          <w:rFonts w:asciiTheme="minorHAnsi" w:hAnsiTheme="minorHAnsi" w:cstheme="minorHAnsi"/>
          <w:b/>
          <w:bCs/>
        </w:rPr>
      </w:pPr>
    </w:p>
    <w:p w14:paraId="5787200E" w14:textId="75E5AE92" w:rsidR="00EE7253" w:rsidRDefault="00EE7253" w:rsidP="00EE7253">
      <w:pPr>
        <w:rPr>
          <w:rFonts w:asciiTheme="minorHAnsi" w:hAnsiTheme="minorHAnsi" w:cstheme="minorHAnsi"/>
          <w:b/>
          <w:bCs/>
        </w:rPr>
      </w:pPr>
    </w:p>
    <w:p w14:paraId="0767100D" w14:textId="17DF83B0" w:rsidR="00EE7253" w:rsidRDefault="00EE7253" w:rsidP="00EE7253">
      <w:pPr>
        <w:rPr>
          <w:rFonts w:asciiTheme="minorHAnsi" w:hAnsiTheme="minorHAnsi" w:cstheme="minorHAnsi"/>
          <w:b/>
          <w:bCs/>
        </w:rPr>
      </w:pPr>
    </w:p>
    <w:p w14:paraId="74CBBCEB" w14:textId="77777777" w:rsidR="00EE7253" w:rsidRDefault="00EE7253" w:rsidP="00EE7253">
      <w:pPr>
        <w:rPr>
          <w:rFonts w:asciiTheme="minorHAnsi" w:hAnsiTheme="minorHAnsi" w:cstheme="minorHAnsi"/>
          <w:b/>
          <w:bCs/>
        </w:rPr>
      </w:pPr>
    </w:p>
    <w:p w14:paraId="04CC2001" w14:textId="77777777" w:rsidR="00EE7253" w:rsidRDefault="00EE7253" w:rsidP="00EE7253">
      <w:pPr>
        <w:rPr>
          <w:rFonts w:asciiTheme="minorHAnsi" w:hAnsiTheme="minorHAnsi" w:cstheme="minorHAnsi"/>
          <w:b/>
          <w:bCs/>
        </w:rPr>
      </w:pPr>
      <w:r w:rsidRPr="00E776A5">
        <w:rPr>
          <w:rFonts w:asciiTheme="minorHAnsi" w:hAnsiTheme="minorHAnsi" w:cstheme="minorHAnsi"/>
          <w:b/>
          <w:bCs/>
        </w:rPr>
        <w:t>Structural Model Evaluation</w:t>
      </w:r>
    </w:p>
    <w:p w14:paraId="25F47F03" w14:textId="77777777" w:rsidR="00EE7253" w:rsidRPr="00E776A5" w:rsidRDefault="00EE7253" w:rsidP="00EE7253">
      <w:pPr>
        <w:rPr>
          <w:rFonts w:asciiTheme="minorHAnsi" w:hAnsiTheme="minorHAnsi" w:cstheme="minorHAnsi"/>
          <w:b/>
          <w:bCs/>
        </w:rPr>
      </w:pPr>
    </w:p>
    <w:p w14:paraId="2FB955DB" w14:textId="77777777" w:rsidR="00EE7253" w:rsidRDefault="00EE7253" w:rsidP="00EE7253">
      <w:pPr>
        <w:jc w:val="center"/>
        <w:rPr>
          <w:rFonts w:asciiTheme="minorHAnsi" w:hAnsiTheme="minorHAnsi" w:cstheme="minorHAnsi"/>
        </w:rPr>
      </w:pPr>
      <w:r w:rsidRPr="006A419B">
        <w:rPr>
          <w:rFonts w:asciiTheme="minorHAnsi" w:hAnsiTheme="minorHAnsi" w:cstheme="minorHAnsi"/>
        </w:rPr>
        <w:t>Table</w:t>
      </w:r>
      <w:r>
        <w:rPr>
          <w:rFonts w:asciiTheme="minorHAnsi" w:hAnsiTheme="minorHAnsi" w:cstheme="minorHAnsi"/>
        </w:rPr>
        <w:t xml:space="preserve"> 3. </w:t>
      </w:r>
      <w:r w:rsidRPr="006A419B">
        <w:rPr>
          <w:rFonts w:asciiTheme="minorHAnsi" w:hAnsiTheme="minorHAnsi" w:cstheme="minorHAnsi"/>
        </w:rPr>
        <w:t>R-Square Values</w:t>
      </w:r>
    </w:p>
    <w:p w14:paraId="741F7C23" w14:textId="77777777" w:rsidR="00EE7253" w:rsidRPr="006A419B" w:rsidRDefault="00EE7253" w:rsidP="00EE7253">
      <w:pPr>
        <w:jc w:val="cente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2"/>
        <w:gridCol w:w="1632"/>
        <w:gridCol w:w="1632"/>
        <w:gridCol w:w="2009"/>
      </w:tblGrid>
      <w:tr w:rsidR="00EE7253" w:rsidRPr="00E776A5" w14:paraId="6FE3DAD4" w14:textId="77777777" w:rsidTr="00D12CEF">
        <w:trPr>
          <w:trHeight w:val="193"/>
          <w:jc w:val="center"/>
        </w:trPr>
        <w:tc>
          <w:tcPr>
            <w:tcW w:w="1632" w:type="dxa"/>
            <w:tcBorders>
              <w:top w:val="single" w:sz="4" w:space="0" w:color="auto"/>
              <w:bottom w:val="single" w:sz="4" w:space="0" w:color="auto"/>
            </w:tcBorders>
            <w:shd w:val="clear" w:color="auto" w:fill="auto"/>
            <w:vAlign w:val="center"/>
          </w:tcPr>
          <w:p w14:paraId="76EA32CA"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 xml:space="preserve">Endogenous </w:t>
            </w:r>
            <w:r w:rsidRPr="00E776A5">
              <w:rPr>
                <w:rFonts w:asciiTheme="minorHAnsi" w:hAnsiTheme="minorHAnsi" w:cstheme="minorHAnsi"/>
                <w:sz w:val="18"/>
              </w:rPr>
              <w:lastRenderedPageBreak/>
              <w:t>Variables</w:t>
            </w:r>
          </w:p>
        </w:tc>
        <w:tc>
          <w:tcPr>
            <w:tcW w:w="1632" w:type="dxa"/>
            <w:tcBorders>
              <w:top w:val="single" w:sz="4" w:space="0" w:color="auto"/>
              <w:bottom w:val="single" w:sz="4" w:space="0" w:color="auto"/>
            </w:tcBorders>
            <w:shd w:val="clear" w:color="auto" w:fill="auto"/>
            <w:vAlign w:val="center"/>
          </w:tcPr>
          <w:p w14:paraId="11AB54C4"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lastRenderedPageBreak/>
              <w:t>R-Square</w:t>
            </w:r>
          </w:p>
        </w:tc>
        <w:tc>
          <w:tcPr>
            <w:tcW w:w="1632" w:type="dxa"/>
            <w:tcBorders>
              <w:top w:val="single" w:sz="4" w:space="0" w:color="auto"/>
              <w:bottom w:val="single" w:sz="4" w:space="0" w:color="auto"/>
            </w:tcBorders>
            <w:shd w:val="clear" w:color="auto" w:fill="auto"/>
            <w:vAlign w:val="center"/>
          </w:tcPr>
          <w:p w14:paraId="74DF8D8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Adjusted R-Square</w:t>
            </w:r>
          </w:p>
        </w:tc>
        <w:tc>
          <w:tcPr>
            <w:tcW w:w="1632" w:type="dxa"/>
            <w:tcBorders>
              <w:top w:val="single" w:sz="4" w:space="0" w:color="auto"/>
              <w:bottom w:val="single" w:sz="4" w:space="0" w:color="auto"/>
            </w:tcBorders>
            <w:shd w:val="clear" w:color="auto" w:fill="auto"/>
            <w:vAlign w:val="center"/>
          </w:tcPr>
          <w:p w14:paraId="3F45B2A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Interpretation</w:t>
            </w:r>
          </w:p>
        </w:tc>
      </w:tr>
      <w:tr w:rsidR="00EE7253" w:rsidRPr="00E776A5" w14:paraId="65E77377" w14:textId="77777777" w:rsidTr="00D12CEF">
        <w:trPr>
          <w:trHeight w:val="193"/>
          <w:jc w:val="center"/>
        </w:trPr>
        <w:tc>
          <w:tcPr>
            <w:tcW w:w="1632" w:type="dxa"/>
            <w:tcBorders>
              <w:top w:val="single" w:sz="4" w:space="0" w:color="auto"/>
            </w:tcBorders>
            <w:shd w:val="clear" w:color="auto" w:fill="auto"/>
          </w:tcPr>
          <w:p w14:paraId="134EE444"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Affective Commitment</w:t>
            </w:r>
          </w:p>
        </w:tc>
        <w:tc>
          <w:tcPr>
            <w:tcW w:w="1632" w:type="dxa"/>
            <w:tcBorders>
              <w:top w:val="single" w:sz="4" w:space="0" w:color="auto"/>
            </w:tcBorders>
            <w:shd w:val="clear" w:color="auto" w:fill="auto"/>
          </w:tcPr>
          <w:p w14:paraId="5497B1E2"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0.593</w:t>
            </w:r>
          </w:p>
        </w:tc>
        <w:tc>
          <w:tcPr>
            <w:tcW w:w="1632" w:type="dxa"/>
            <w:tcBorders>
              <w:top w:val="single" w:sz="4" w:space="0" w:color="auto"/>
            </w:tcBorders>
            <w:shd w:val="clear" w:color="auto" w:fill="auto"/>
          </w:tcPr>
          <w:p w14:paraId="5A90193F"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0.592</w:t>
            </w:r>
          </w:p>
        </w:tc>
        <w:tc>
          <w:tcPr>
            <w:tcW w:w="1632" w:type="dxa"/>
            <w:tcBorders>
              <w:top w:val="single" w:sz="4" w:space="0" w:color="auto"/>
            </w:tcBorders>
            <w:shd w:val="clear" w:color="auto" w:fill="auto"/>
          </w:tcPr>
          <w:p w14:paraId="6525602C"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Moderate</w:t>
            </w:r>
          </w:p>
        </w:tc>
      </w:tr>
      <w:tr w:rsidR="00EE7253" w:rsidRPr="00E776A5" w14:paraId="1CEBD61F" w14:textId="77777777" w:rsidTr="00D12CEF">
        <w:trPr>
          <w:trHeight w:val="387"/>
          <w:jc w:val="center"/>
        </w:trPr>
        <w:tc>
          <w:tcPr>
            <w:tcW w:w="1632" w:type="dxa"/>
            <w:shd w:val="clear" w:color="auto" w:fill="auto"/>
          </w:tcPr>
          <w:p w14:paraId="7B458341"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Quiet Quitting</w:t>
            </w:r>
          </w:p>
        </w:tc>
        <w:tc>
          <w:tcPr>
            <w:tcW w:w="1632" w:type="dxa"/>
            <w:shd w:val="clear" w:color="auto" w:fill="auto"/>
          </w:tcPr>
          <w:p w14:paraId="34C94B73"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0.748</w:t>
            </w:r>
          </w:p>
        </w:tc>
        <w:tc>
          <w:tcPr>
            <w:tcW w:w="1632" w:type="dxa"/>
            <w:shd w:val="clear" w:color="auto" w:fill="auto"/>
          </w:tcPr>
          <w:p w14:paraId="296057EA"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0.746</w:t>
            </w:r>
          </w:p>
        </w:tc>
        <w:tc>
          <w:tcPr>
            <w:tcW w:w="1632" w:type="dxa"/>
            <w:shd w:val="clear" w:color="auto" w:fill="auto"/>
          </w:tcPr>
          <w:p w14:paraId="70197D61"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Substantial/approaching strong</w:t>
            </w:r>
          </w:p>
        </w:tc>
      </w:tr>
    </w:tbl>
    <w:p w14:paraId="1E821BAF" w14:textId="77777777" w:rsidR="00EE7253" w:rsidRDefault="00EE7253" w:rsidP="00EE7253">
      <w:pPr>
        <w:rPr>
          <w:rFonts w:asciiTheme="minorHAnsi" w:hAnsiTheme="minorHAnsi" w:cstheme="minorHAnsi"/>
          <w:i/>
          <w:sz w:val="18"/>
        </w:rPr>
      </w:pPr>
    </w:p>
    <w:p w14:paraId="006CD9CD" w14:textId="77777777" w:rsidR="00EE7253" w:rsidRDefault="00EE7253" w:rsidP="00EE7253">
      <w:pPr>
        <w:jc w:val="center"/>
        <w:rPr>
          <w:rFonts w:asciiTheme="minorHAnsi" w:hAnsiTheme="minorHAnsi" w:cstheme="minorHAnsi"/>
        </w:rPr>
      </w:pPr>
      <w:r w:rsidRPr="006A419B">
        <w:rPr>
          <w:rFonts w:asciiTheme="minorHAnsi" w:hAnsiTheme="minorHAnsi" w:cstheme="minorHAnsi"/>
        </w:rPr>
        <w:t>Table 4. F-Square Values</w:t>
      </w:r>
    </w:p>
    <w:p w14:paraId="6AEC3D0D" w14:textId="77777777" w:rsidR="00EE7253" w:rsidRPr="006A419B" w:rsidRDefault="00EE7253" w:rsidP="00EE7253">
      <w:pPr>
        <w:jc w:val="cente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26"/>
        <w:gridCol w:w="2426"/>
        <w:gridCol w:w="2426"/>
      </w:tblGrid>
      <w:tr w:rsidR="00EE7253" w:rsidRPr="00E776A5" w14:paraId="56E70E0F" w14:textId="77777777" w:rsidTr="00D12CEF">
        <w:trPr>
          <w:trHeight w:val="255"/>
          <w:jc w:val="center"/>
        </w:trPr>
        <w:tc>
          <w:tcPr>
            <w:tcW w:w="2426" w:type="dxa"/>
            <w:tcBorders>
              <w:top w:val="single" w:sz="4" w:space="0" w:color="auto"/>
              <w:bottom w:val="single" w:sz="4" w:space="0" w:color="auto"/>
            </w:tcBorders>
            <w:shd w:val="clear" w:color="auto" w:fill="auto"/>
            <w:vAlign w:val="center"/>
          </w:tcPr>
          <w:p w14:paraId="03EF02AE"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Relationship Between Variables</w:t>
            </w:r>
          </w:p>
        </w:tc>
        <w:tc>
          <w:tcPr>
            <w:tcW w:w="2426" w:type="dxa"/>
            <w:tcBorders>
              <w:top w:val="single" w:sz="4" w:space="0" w:color="auto"/>
              <w:bottom w:val="single" w:sz="4" w:space="0" w:color="auto"/>
            </w:tcBorders>
            <w:shd w:val="clear" w:color="auto" w:fill="auto"/>
            <w:vAlign w:val="center"/>
          </w:tcPr>
          <w:p w14:paraId="03467BE5"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F-Square</w:t>
            </w:r>
          </w:p>
        </w:tc>
        <w:tc>
          <w:tcPr>
            <w:tcW w:w="2426" w:type="dxa"/>
            <w:tcBorders>
              <w:top w:val="single" w:sz="4" w:space="0" w:color="auto"/>
              <w:bottom w:val="single" w:sz="4" w:space="0" w:color="auto"/>
            </w:tcBorders>
            <w:shd w:val="clear" w:color="auto" w:fill="auto"/>
            <w:vAlign w:val="center"/>
          </w:tcPr>
          <w:p w14:paraId="420BB9E3"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Interpretation</w:t>
            </w:r>
          </w:p>
        </w:tc>
      </w:tr>
      <w:tr w:rsidR="00EE7253" w:rsidRPr="00E776A5" w14:paraId="110E7D9E" w14:textId="77777777" w:rsidTr="00D12CEF">
        <w:trPr>
          <w:trHeight w:val="255"/>
          <w:jc w:val="center"/>
        </w:trPr>
        <w:tc>
          <w:tcPr>
            <w:tcW w:w="2426" w:type="dxa"/>
            <w:tcBorders>
              <w:top w:val="single" w:sz="4" w:space="0" w:color="auto"/>
            </w:tcBorders>
            <w:shd w:val="clear" w:color="auto" w:fill="auto"/>
          </w:tcPr>
          <w:p w14:paraId="7913490F"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Affective Commitment -&gt; Quiet Quitting</w:t>
            </w:r>
          </w:p>
        </w:tc>
        <w:tc>
          <w:tcPr>
            <w:tcW w:w="2426" w:type="dxa"/>
            <w:tcBorders>
              <w:top w:val="single" w:sz="4" w:space="0" w:color="auto"/>
            </w:tcBorders>
            <w:shd w:val="clear" w:color="auto" w:fill="auto"/>
          </w:tcPr>
          <w:p w14:paraId="73E6CF10"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0.269</w:t>
            </w:r>
          </w:p>
        </w:tc>
        <w:tc>
          <w:tcPr>
            <w:tcW w:w="2426" w:type="dxa"/>
            <w:tcBorders>
              <w:top w:val="single" w:sz="4" w:space="0" w:color="auto"/>
            </w:tcBorders>
            <w:shd w:val="clear" w:color="auto" w:fill="auto"/>
          </w:tcPr>
          <w:p w14:paraId="78A29A83"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Moderate</w:t>
            </w:r>
          </w:p>
        </w:tc>
      </w:tr>
      <w:tr w:rsidR="00EE7253" w:rsidRPr="00E776A5" w14:paraId="2AEAAF27" w14:textId="77777777" w:rsidTr="00D12CEF">
        <w:trPr>
          <w:trHeight w:val="255"/>
          <w:jc w:val="center"/>
        </w:trPr>
        <w:tc>
          <w:tcPr>
            <w:tcW w:w="2426" w:type="dxa"/>
            <w:shd w:val="clear" w:color="auto" w:fill="auto"/>
          </w:tcPr>
          <w:p w14:paraId="73F5CAC5"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Work Stress -&gt; Affective Commitment</w:t>
            </w:r>
          </w:p>
        </w:tc>
        <w:tc>
          <w:tcPr>
            <w:tcW w:w="2426" w:type="dxa"/>
            <w:shd w:val="clear" w:color="auto" w:fill="auto"/>
          </w:tcPr>
          <w:p w14:paraId="3770E67F"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1.454</w:t>
            </w:r>
          </w:p>
        </w:tc>
        <w:tc>
          <w:tcPr>
            <w:tcW w:w="2426" w:type="dxa"/>
            <w:shd w:val="clear" w:color="auto" w:fill="auto"/>
          </w:tcPr>
          <w:p w14:paraId="01476497"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High</w:t>
            </w:r>
          </w:p>
        </w:tc>
      </w:tr>
      <w:tr w:rsidR="00EE7253" w:rsidRPr="00E776A5" w14:paraId="3B26FBED" w14:textId="77777777" w:rsidTr="00D12CEF">
        <w:trPr>
          <w:trHeight w:val="255"/>
          <w:jc w:val="center"/>
        </w:trPr>
        <w:tc>
          <w:tcPr>
            <w:tcW w:w="2426" w:type="dxa"/>
            <w:shd w:val="clear" w:color="auto" w:fill="auto"/>
          </w:tcPr>
          <w:p w14:paraId="084E2AC9" w14:textId="77777777" w:rsidR="00EE7253" w:rsidRPr="00E776A5" w:rsidRDefault="00EE7253" w:rsidP="00D12CEF">
            <w:pPr>
              <w:rPr>
                <w:rFonts w:asciiTheme="minorHAnsi" w:hAnsiTheme="minorHAnsi" w:cstheme="minorHAnsi"/>
              </w:rPr>
            </w:pPr>
            <w:r w:rsidRPr="00E776A5">
              <w:rPr>
                <w:rFonts w:asciiTheme="minorHAnsi" w:hAnsiTheme="minorHAnsi" w:cstheme="minorHAnsi"/>
                <w:sz w:val="18"/>
              </w:rPr>
              <w:t>Work Stress -&gt; Quiet Quitting</w:t>
            </w:r>
          </w:p>
        </w:tc>
        <w:tc>
          <w:tcPr>
            <w:tcW w:w="2426" w:type="dxa"/>
            <w:shd w:val="clear" w:color="auto" w:fill="auto"/>
          </w:tcPr>
          <w:p w14:paraId="39CC282A"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0.420</w:t>
            </w:r>
          </w:p>
        </w:tc>
        <w:tc>
          <w:tcPr>
            <w:tcW w:w="2426" w:type="dxa"/>
            <w:shd w:val="clear" w:color="auto" w:fill="auto"/>
          </w:tcPr>
          <w:p w14:paraId="682DABDC" w14:textId="77777777" w:rsidR="00EE7253" w:rsidRPr="00E776A5" w:rsidRDefault="00EE7253" w:rsidP="00D12CEF">
            <w:pPr>
              <w:jc w:val="center"/>
              <w:rPr>
                <w:rFonts w:asciiTheme="minorHAnsi" w:hAnsiTheme="minorHAnsi" w:cstheme="minorHAnsi"/>
              </w:rPr>
            </w:pPr>
            <w:r w:rsidRPr="00E776A5">
              <w:rPr>
                <w:rFonts w:asciiTheme="minorHAnsi" w:hAnsiTheme="minorHAnsi" w:cstheme="minorHAnsi"/>
                <w:sz w:val="18"/>
              </w:rPr>
              <w:t>High</w:t>
            </w:r>
          </w:p>
        </w:tc>
      </w:tr>
    </w:tbl>
    <w:p w14:paraId="619B873E" w14:textId="77777777" w:rsidR="00EE7253" w:rsidRDefault="00EE7253" w:rsidP="00EE7253">
      <w:pPr>
        <w:rPr>
          <w:rFonts w:asciiTheme="minorHAnsi" w:hAnsiTheme="minorHAnsi" w:cstheme="minorHAnsi"/>
          <w:i/>
          <w:sz w:val="18"/>
        </w:rPr>
      </w:pPr>
    </w:p>
    <w:p w14:paraId="26A02EB1" w14:textId="77777777" w:rsidR="00EE7253" w:rsidRPr="006A419B" w:rsidRDefault="00EE7253" w:rsidP="00EE7253">
      <w:pPr>
        <w:rPr>
          <w:rFonts w:asciiTheme="minorHAnsi" w:hAnsiTheme="minorHAnsi" w:cstheme="minorHAnsi"/>
        </w:rPr>
      </w:pPr>
      <w:r w:rsidRPr="006A419B">
        <w:rPr>
          <w:rFonts w:asciiTheme="minorHAnsi" w:hAnsiTheme="minorHAnsi" w:cstheme="minorHAnsi"/>
          <w:i/>
          <w:sz w:val="18"/>
        </w:rPr>
        <w:t xml:space="preserve">Source: </w:t>
      </w:r>
      <w:proofErr w:type="spellStart"/>
      <w:r w:rsidRPr="006A419B">
        <w:rPr>
          <w:rFonts w:asciiTheme="minorHAnsi" w:hAnsiTheme="minorHAnsi" w:cstheme="minorHAnsi"/>
          <w:i/>
          <w:sz w:val="18"/>
        </w:rPr>
        <w:t>SmartPLS</w:t>
      </w:r>
      <w:proofErr w:type="spellEnd"/>
      <w:r w:rsidRPr="006A419B">
        <w:rPr>
          <w:rFonts w:asciiTheme="minorHAnsi" w:hAnsiTheme="minorHAnsi" w:cstheme="minorHAnsi"/>
          <w:i/>
          <w:sz w:val="18"/>
        </w:rPr>
        <w:t xml:space="preserve"> output, processed data (2026).</w:t>
      </w:r>
    </w:p>
    <w:p w14:paraId="6A2BF59E" w14:textId="77777777" w:rsidR="00EE7253" w:rsidRPr="006A419B" w:rsidRDefault="00EE7253" w:rsidP="00EE7253">
      <w:pPr>
        <w:rPr>
          <w:rFonts w:asciiTheme="minorHAnsi" w:hAnsiTheme="minorHAnsi" w:cstheme="minorHAnsi"/>
        </w:rPr>
      </w:pPr>
    </w:p>
    <w:p w14:paraId="337AACE1"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sz w:val="24"/>
        </w:rPr>
        <w:t>The table shows that affective commitment has an R-square value of 0.593. This means that work stress explains 59.3% of the variation in affective commitment, while the remainder is influenced by other variables outside the research model. Meanwhile, quiet quitting has an R-square value of 0.748, indicating that work stress and affective commitment together account for 74.8% of the variation in quiet quitting. This value indicates that the model has strong predictive power in forecasting quiet quitting among Millennial employees in Indonesia.</w:t>
      </w:r>
    </w:p>
    <w:p w14:paraId="0446FE98" w14:textId="77777777" w:rsidR="00EE7253" w:rsidRPr="002E422A" w:rsidRDefault="00EE7253" w:rsidP="00EE7253">
      <w:pPr>
        <w:jc w:val="both"/>
        <w:rPr>
          <w:rFonts w:asciiTheme="minorHAnsi" w:hAnsiTheme="minorHAnsi" w:cstheme="minorHAnsi"/>
        </w:rPr>
      </w:pPr>
    </w:p>
    <w:p w14:paraId="32A1D24E"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sz w:val="24"/>
        </w:rPr>
        <w:t>In addition to R-squared, this study also assessed the F-squared value to determine the magnitude of the influence of each structural relationship. Hair et al. (2022) explain that an F-squared value of 0.02 indicates a small effect, 0.15 indicates a moderate effect, and 0.35 indicates a large effect. The f-square results in this study show that work stress has a large effect on affective commitment and quiet quitting, while affective commitment has a moderate effect on quiet quitting.</w:t>
      </w:r>
    </w:p>
    <w:p w14:paraId="050DBFF3" w14:textId="77777777" w:rsidR="00EE7253" w:rsidRPr="002E422A" w:rsidRDefault="00EE7253" w:rsidP="00EE7253">
      <w:pPr>
        <w:jc w:val="both"/>
        <w:rPr>
          <w:rFonts w:asciiTheme="minorHAnsi" w:hAnsiTheme="minorHAnsi" w:cstheme="minorHAnsi"/>
        </w:rPr>
      </w:pPr>
    </w:p>
    <w:p w14:paraId="7B8976EF"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Hypothesis Testing</w:t>
      </w:r>
    </w:p>
    <w:p w14:paraId="63A4AEBA" w14:textId="77777777" w:rsidR="00EE7253" w:rsidRPr="002E422A" w:rsidRDefault="00EE7253" w:rsidP="00EE7253">
      <w:pPr>
        <w:jc w:val="center"/>
        <w:rPr>
          <w:rFonts w:asciiTheme="minorHAnsi" w:hAnsiTheme="minorHAnsi" w:cstheme="minorHAnsi"/>
        </w:rPr>
      </w:pPr>
      <w:r w:rsidRPr="002E422A">
        <w:rPr>
          <w:rFonts w:asciiTheme="minorHAnsi" w:hAnsiTheme="minorHAnsi" w:cstheme="minorHAnsi"/>
        </w:rPr>
        <w:t>Table 5 Results of Direct Hypothesis Testing</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1465"/>
        <w:gridCol w:w="1465"/>
        <w:gridCol w:w="1465"/>
        <w:gridCol w:w="1465"/>
        <w:gridCol w:w="1465"/>
      </w:tblGrid>
      <w:tr w:rsidR="00EE7253" w:rsidRPr="002E422A" w14:paraId="49CBBE71" w14:textId="77777777" w:rsidTr="00D12CEF">
        <w:trPr>
          <w:jc w:val="center"/>
        </w:trPr>
        <w:tc>
          <w:tcPr>
            <w:tcW w:w="1465" w:type="dxa"/>
            <w:tcBorders>
              <w:top w:val="single" w:sz="4" w:space="0" w:color="auto"/>
              <w:bottom w:val="single" w:sz="4" w:space="0" w:color="auto"/>
            </w:tcBorders>
            <w:shd w:val="clear" w:color="auto" w:fill="auto"/>
            <w:vAlign w:val="center"/>
          </w:tcPr>
          <w:p w14:paraId="3FCFF1C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Hypothesis</w:t>
            </w:r>
          </w:p>
        </w:tc>
        <w:tc>
          <w:tcPr>
            <w:tcW w:w="1465" w:type="dxa"/>
            <w:tcBorders>
              <w:top w:val="single" w:sz="4" w:space="0" w:color="auto"/>
              <w:bottom w:val="single" w:sz="4" w:space="0" w:color="auto"/>
            </w:tcBorders>
            <w:shd w:val="clear" w:color="auto" w:fill="auto"/>
            <w:vAlign w:val="center"/>
          </w:tcPr>
          <w:p w14:paraId="277C5CAE"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Variable Relationship</w:t>
            </w:r>
          </w:p>
        </w:tc>
        <w:tc>
          <w:tcPr>
            <w:tcW w:w="1465" w:type="dxa"/>
            <w:tcBorders>
              <w:top w:val="single" w:sz="4" w:space="0" w:color="auto"/>
              <w:bottom w:val="single" w:sz="4" w:space="0" w:color="auto"/>
            </w:tcBorders>
            <w:shd w:val="clear" w:color="auto" w:fill="auto"/>
            <w:vAlign w:val="center"/>
          </w:tcPr>
          <w:p w14:paraId="68FC47D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Coefficient</w:t>
            </w:r>
          </w:p>
        </w:tc>
        <w:tc>
          <w:tcPr>
            <w:tcW w:w="1465" w:type="dxa"/>
            <w:tcBorders>
              <w:top w:val="single" w:sz="4" w:space="0" w:color="auto"/>
              <w:bottom w:val="single" w:sz="4" w:space="0" w:color="auto"/>
            </w:tcBorders>
            <w:shd w:val="clear" w:color="auto" w:fill="auto"/>
            <w:vAlign w:val="center"/>
          </w:tcPr>
          <w:p w14:paraId="315BF724"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t-statistic</w:t>
            </w:r>
          </w:p>
        </w:tc>
        <w:tc>
          <w:tcPr>
            <w:tcW w:w="1465" w:type="dxa"/>
            <w:tcBorders>
              <w:top w:val="single" w:sz="4" w:space="0" w:color="auto"/>
              <w:bottom w:val="single" w:sz="4" w:space="0" w:color="auto"/>
            </w:tcBorders>
            <w:shd w:val="clear" w:color="auto" w:fill="auto"/>
            <w:vAlign w:val="center"/>
          </w:tcPr>
          <w:p w14:paraId="3024EE3B"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p-value</w:t>
            </w:r>
          </w:p>
        </w:tc>
        <w:tc>
          <w:tcPr>
            <w:tcW w:w="1465" w:type="dxa"/>
            <w:tcBorders>
              <w:top w:val="single" w:sz="4" w:space="0" w:color="auto"/>
              <w:bottom w:val="single" w:sz="4" w:space="0" w:color="auto"/>
            </w:tcBorders>
            <w:shd w:val="clear" w:color="auto" w:fill="auto"/>
            <w:vAlign w:val="center"/>
          </w:tcPr>
          <w:p w14:paraId="13D4123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Decision</w:t>
            </w:r>
          </w:p>
        </w:tc>
      </w:tr>
      <w:tr w:rsidR="00EE7253" w:rsidRPr="002E422A" w14:paraId="5349F8D3" w14:textId="77777777" w:rsidTr="00D12CEF">
        <w:trPr>
          <w:jc w:val="center"/>
        </w:trPr>
        <w:tc>
          <w:tcPr>
            <w:tcW w:w="1465" w:type="dxa"/>
            <w:tcBorders>
              <w:top w:val="single" w:sz="4" w:space="0" w:color="auto"/>
            </w:tcBorders>
            <w:shd w:val="clear" w:color="auto" w:fill="auto"/>
          </w:tcPr>
          <w:p w14:paraId="2855D58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H1</w:t>
            </w:r>
          </w:p>
        </w:tc>
        <w:tc>
          <w:tcPr>
            <w:tcW w:w="1465" w:type="dxa"/>
            <w:tcBorders>
              <w:top w:val="single" w:sz="4" w:space="0" w:color="auto"/>
            </w:tcBorders>
            <w:shd w:val="clear" w:color="auto" w:fill="auto"/>
          </w:tcPr>
          <w:p w14:paraId="7FEEA6F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Quiet Quitting</w:t>
            </w:r>
          </w:p>
        </w:tc>
        <w:tc>
          <w:tcPr>
            <w:tcW w:w="1465" w:type="dxa"/>
            <w:tcBorders>
              <w:top w:val="single" w:sz="4" w:space="0" w:color="auto"/>
            </w:tcBorders>
            <w:shd w:val="clear" w:color="auto" w:fill="auto"/>
          </w:tcPr>
          <w:p w14:paraId="0189222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0.510</w:t>
            </w:r>
          </w:p>
        </w:tc>
        <w:tc>
          <w:tcPr>
            <w:tcW w:w="1465" w:type="dxa"/>
            <w:tcBorders>
              <w:top w:val="single" w:sz="4" w:space="0" w:color="auto"/>
            </w:tcBorders>
            <w:shd w:val="clear" w:color="auto" w:fill="auto"/>
          </w:tcPr>
          <w:p w14:paraId="04F04841"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13.069</w:t>
            </w:r>
          </w:p>
        </w:tc>
        <w:tc>
          <w:tcPr>
            <w:tcW w:w="1465" w:type="dxa"/>
            <w:tcBorders>
              <w:top w:val="single" w:sz="4" w:space="0" w:color="auto"/>
            </w:tcBorders>
            <w:shd w:val="clear" w:color="auto" w:fill="auto"/>
          </w:tcPr>
          <w:p w14:paraId="1110926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tcBorders>
              <w:top w:val="single" w:sz="4" w:space="0" w:color="auto"/>
            </w:tcBorders>
            <w:shd w:val="clear" w:color="auto" w:fill="auto"/>
          </w:tcPr>
          <w:p w14:paraId="43CE100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r w:rsidR="00EE7253" w:rsidRPr="002E422A" w14:paraId="1095CD0C" w14:textId="77777777" w:rsidTr="00D12CEF">
        <w:trPr>
          <w:jc w:val="center"/>
        </w:trPr>
        <w:tc>
          <w:tcPr>
            <w:tcW w:w="1465" w:type="dxa"/>
            <w:shd w:val="clear" w:color="auto" w:fill="auto"/>
          </w:tcPr>
          <w:p w14:paraId="57DB949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H2</w:t>
            </w:r>
          </w:p>
        </w:tc>
        <w:tc>
          <w:tcPr>
            <w:tcW w:w="1465" w:type="dxa"/>
            <w:shd w:val="clear" w:color="auto" w:fill="auto"/>
          </w:tcPr>
          <w:p w14:paraId="1DE11C5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Affective Commitment</w:t>
            </w:r>
          </w:p>
        </w:tc>
        <w:tc>
          <w:tcPr>
            <w:tcW w:w="1465" w:type="dxa"/>
            <w:shd w:val="clear" w:color="auto" w:fill="auto"/>
          </w:tcPr>
          <w:p w14:paraId="6008C5C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-0.770</w:t>
            </w:r>
          </w:p>
        </w:tc>
        <w:tc>
          <w:tcPr>
            <w:tcW w:w="1465" w:type="dxa"/>
            <w:shd w:val="clear" w:color="auto" w:fill="auto"/>
          </w:tcPr>
          <w:p w14:paraId="4B98B93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38.779</w:t>
            </w:r>
          </w:p>
        </w:tc>
        <w:tc>
          <w:tcPr>
            <w:tcW w:w="1465" w:type="dxa"/>
            <w:shd w:val="clear" w:color="auto" w:fill="auto"/>
          </w:tcPr>
          <w:p w14:paraId="3D063CD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shd w:val="clear" w:color="auto" w:fill="auto"/>
          </w:tcPr>
          <w:p w14:paraId="3359A18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r w:rsidR="00EE7253" w:rsidRPr="002E422A" w14:paraId="0E7365F5" w14:textId="77777777" w:rsidTr="00D12CEF">
        <w:trPr>
          <w:jc w:val="center"/>
        </w:trPr>
        <w:tc>
          <w:tcPr>
            <w:tcW w:w="1465" w:type="dxa"/>
            <w:shd w:val="clear" w:color="auto" w:fill="auto"/>
          </w:tcPr>
          <w:p w14:paraId="5DE81083"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H3</w:t>
            </w:r>
          </w:p>
        </w:tc>
        <w:tc>
          <w:tcPr>
            <w:tcW w:w="1465" w:type="dxa"/>
            <w:shd w:val="clear" w:color="auto" w:fill="auto"/>
          </w:tcPr>
          <w:p w14:paraId="2ACE528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Affective Commitment -&gt; Quiet Quitting</w:t>
            </w:r>
          </w:p>
        </w:tc>
        <w:tc>
          <w:tcPr>
            <w:tcW w:w="1465" w:type="dxa"/>
            <w:shd w:val="clear" w:color="auto" w:fill="auto"/>
          </w:tcPr>
          <w:p w14:paraId="4841A05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-0.408</w:t>
            </w:r>
          </w:p>
        </w:tc>
        <w:tc>
          <w:tcPr>
            <w:tcW w:w="1465" w:type="dxa"/>
            <w:shd w:val="clear" w:color="auto" w:fill="auto"/>
          </w:tcPr>
          <w:p w14:paraId="18B147DB"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10.219</w:t>
            </w:r>
          </w:p>
        </w:tc>
        <w:tc>
          <w:tcPr>
            <w:tcW w:w="1465" w:type="dxa"/>
            <w:shd w:val="clear" w:color="auto" w:fill="auto"/>
          </w:tcPr>
          <w:p w14:paraId="641E680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465" w:type="dxa"/>
            <w:shd w:val="clear" w:color="auto" w:fill="auto"/>
          </w:tcPr>
          <w:p w14:paraId="7D89118E"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Accepted</w:t>
            </w:r>
          </w:p>
        </w:tc>
      </w:tr>
    </w:tbl>
    <w:p w14:paraId="7C1B14BC"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i/>
          <w:sz w:val="18"/>
        </w:rPr>
        <w:t xml:space="preserve">Source: </w:t>
      </w:r>
      <w:proofErr w:type="spellStart"/>
      <w:r w:rsidRPr="002E422A">
        <w:rPr>
          <w:rFonts w:asciiTheme="minorHAnsi" w:hAnsiTheme="minorHAnsi" w:cstheme="minorHAnsi"/>
          <w:i/>
          <w:sz w:val="18"/>
        </w:rPr>
        <w:t>SmartPLS</w:t>
      </w:r>
      <w:proofErr w:type="spellEnd"/>
      <w:r w:rsidRPr="002E422A">
        <w:rPr>
          <w:rFonts w:asciiTheme="minorHAnsi" w:hAnsiTheme="minorHAnsi" w:cstheme="minorHAnsi"/>
          <w:i/>
          <w:sz w:val="18"/>
        </w:rPr>
        <w:t xml:space="preserve"> bootstrapping output, processed data (2026).</w:t>
      </w:r>
    </w:p>
    <w:p w14:paraId="35F75AFF" w14:textId="77777777" w:rsidR="00EE7253" w:rsidRPr="002E422A" w:rsidRDefault="00EE7253" w:rsidP="00EE7253">
      <w:pPr>
        <w:jc w:val="both"/>
        <w:rPr>
          <w:rFonts w:asciiTheme="minorHAnsi" w:hAnsiTheme="minorHAnsi" w:cstheme="minorHAnsi"/>
        </w:rPr>
      </w:pPr>
    </w:p>
    <w:p w14:paraId="6D6AB54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 test results in Table 5 show that work stress has a positive and significant effect on quiet quitting with a coefficient of 0.510, a t-statistic of 13.069, and a p-value &lt; 0.001. These results indicate that the higher the work stress experienced by employees, the higher their tendency to engage in quiet quitting. </w:t>
      </w:r>
    </w:p>
    <w:p w14:paraId="31B9AAC1" w14:textId="77777777" w:rsidR="00EE7253" w:rsidRPr="002E422A" w:rsidRDefault="00EE7253" w:rsidP="00EE7253">
      <w:pPr>
        <w:jc w:val="both"/>
        <w:rPr>
          <w:rFonts w:asciiTheme="minorHAnsi" w:hAnsiTheme="minorHAnsi" w:cstheme="minorHAnsi"/>
        </w:rPr>
      </w:pPr>
    </w:p>
    <w:p w14:paraId="3AD8840F"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Job stress has a negative and significant effect on affective commitment with a coefficient of -0.770, a t-statistic of 38.779, and a p-value &lt; 0.001. The direction of the negative relationship indicates that the higher the job stress, the lower the employees’ affective commitment to the organization. </w:t>
      </w:r>
    </w:p>
    <w:p w14:paraId="1F4EF40A" w14:textId="77777777" w:rsidR="00EE7253" w:rsidRPr="002E422A" w:rsidRDefault="00EE7253" w:rsidP="00EE7253">
      <w:pPr>
        <w:jc w:val="both"/>
        <w:rPr>
          <w:rFonts w:asciiTheme="minorHAnsi" w:hAnsiTheme="minorHAnsi" w:cstheme="minorHAnsi"/>
        </w:rPr>
      </w:pPr>
    </w:p>
    <w:p w14:paraId="32F4ED23"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Affective commitment has a significant negative effect on quiet quitting, with a coefficient of -0.408, a t-statistic of 10.219, and a p-value of &lt; 0.001. These results indicate that the higher an employee’s emotional attachment to the organization, the lower their tendency to passively withdraw from their work. </w:t>
      </w:r>
    </w:p>
    <w:p w14:paraId="793A38D2" w14:textId="77777777" w:rsidR="00EE7253" w:rsidRPr="002E422A" w:rsidRDefault="00EE7253" w:rsidP="00EE7253">
      <w:pPr>
        <w:jc w:val="both"/>
        <w:rPr>
          <w:rFonts w:asciiTheme="minorHAnsi" w:hAnsiTheme="minorHAnsi" w:cstheme="minorHAnsi"/>
        </w:rPr>
      </w:pPr>
    </w:p>
    <w:p w14:paraId="49A2B9B7"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Mediation Analysis</w:t>
      </w:r>
    </w:p>
    <w:p w14:paraId="02BB6AD7" w14:textId="77777777" w:rsidR="00EE7253" w:rsidRPr="002E422A" w:rsidRDefault="00EE7253" w:rsidP="00EE7253">
      <w:pPr>
        <w:jc w:val="center"/>
        <w:rPr>
          <w:rFonts w:asciiTheme="minorHAnsi" w:hAnsiTheme="minorHAnsi" w:cstheme="minorHAnsi"/>
        </w:rPr>
      </w:pPr>
      <w:r w:rsidRPr="002E422A">
        <w:rPr>
          <w:rFonts w:asciiTheme="minorHAnsi" w:hAnsiTheme="minorHAnsi" w:cstheme="minorHAnsi"/>
        </w:rPr>
        <w:t>Table 6. Mediation Test Results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98"/>
        <w:gridCol w:w="1185"/>
        <w:gridCol w:w="1098"/>
        <w:gridCol w:w="1098"/>
        <w:gridCol w:w="1098"/>
        <w:gridCol w:w="1098"/>
        <w:gridCol w:w="1098"/>
        <w:gridCol w:w="1098"/>
      </w:tblGrid>
      <w:tr w:rsidR="00EE7253" w:rsidRPr="002E422A" w14:paraId="1E6B20CB" w14:textId="77777777" w:rsidTr="00D12CEF">
        <w:trPr>
          <w:jc w:val="center"/>
        </w:trPr>
        <w:tc>
          <w:tcPr>
            <w:tcW w:w="1098" w:type="dxa"/>
            <w:tcBorders>
              <w:top w:val="single" w:sz="4" w:space="0" w:color="auto"/>
              <w:bottom w:val="single" w:sz="4" w:space="0" w:color="auto"/>
            </w:tcBorders>
            <w:shd w:val="clear" w:color="auto" w:fill="auto"/>
            <w:vAlign w:val="center"/>
          </w:tcPr>
          <w:p w14:paraId="6AFE66E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Hypothesis</w:t>
            </w:r>
          </w:p>
        </w:tc>
        <w:tc>
          <w:tcPr>
            <w:tcW w:w="1098" w:type="dxa"/>
            <w:tcBorders>
              <w:top w:val="single" w:sz="4" w:space="0" w:color="auto"/>
              <w:bottom w:val="single" w:sz="4" w:space="0" w:color="auto"/>
            </w:tcBorders>
            <w:shd w:val="clear" w:color="auto" w:fill="auto"/>
            <w:vAlign w:val="center"/>
          </w:tcPr>
          <w:p w14:paraId="3CBEEA5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Mediation Path</w:t>
            </w:r>
          </w:p>
        </w:tc>
        <w:tc>
          <w:tcPr>
            <w:tcW w:w="1098" w:type="dxa"/>
            <w:tcBorders>
              <w:top w:val="single" w:sz="4" w:space="0" w:color="auto"/>
              <w:bottom w:val="single" w:sz="4" w:space="0" w:color="auto"/>
            </w:tcBorders>
            <w:shd w:val="clear" w:color="auto" w:fill="auto"/>
            <w:vAlign w:val="center"/>
          </w:tcPr>
          <w:p w14:paraId="032FDE9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Indirect Effect</w:t>
            </w:r>
          </w:p>
        </w:tc>
        <w:tc>
          <w:tcPr>
            <w:tcW w:w="1098" w:type="dxa"/>
            <w:tcBorders>
              <w:top w:val="single" w:sz="4" w:space="0" w:color="auto"/>
              <w:bottom w:val="single" w:sz="4" w:space="0" w:color="auto"/>
            </w:tcBorders>
            <w:shd w:val="clear" w:color="auto" w:fill="auto"/>
            <w:vAlign w:val="center"/>
          </w:tcPr>
          <w:p w14:paraId="5E7B5DC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t-statistic</w:t>
            </w:r>
          </w:p>
        </w:tc>
        <w:tc>
          <w:tcPr>
            <w:tcW w:w="1098" w:type="dxa"/>
            <w:tcBorders>
              <w:top w:val="single" w:sz="4" w:space="0" w:color="auto"/>
              <w:bottom w:val="single" w:sz="4" w:space="0" w:color="auto"/>
            </w:tcBorders>
            <w:shd w:val="clear" w:color="auto" w:fill="auto"/>
            <w:vAlign w:val="center"/>
          </w:tcPr>
          <w:p w14:paraId="3DC8D4F0"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p-value</w:t>
            </w:r>
          </w:p>
        </w:tc>
        <w:tc>
          <w:tcPr>
            <w:tcW w:w="1098" w:type="dxa"/>
            <w:tcBorders>
              <w:top w:val="single" w:sz="4" w:space="0" w:color="auto"/>
              <w:bottom w:val="single" w:sz="4" w:space="0" w:color="auto"/>
            </w:tcBorders>
            <w:shd w:val="clear" w:color="auto" w:fill="auto"/>
            <w:vAlign w:val="center"/>
          </w:tcPr>
          <w:p w14:paraId="5C9DD686"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LLCI</w:t>
            </w:r>
          </w:p>
        </w:tc>
        <w:tc>
          <w:tcPr>
            <w:tcW w:w="1098" w:type="dxa"/>
            <w:tcBorders>
              <w:top w:val="single" w:sz="4" w:space="0" w:color="auto"/>
              <w:bottom w:val="single" w:sz="4" w:space="0" w:color="auto"/>
            </w:tcBorders>
            <w:shd w:val="clear" w:color="auto" w:fill="auto"/>
            <w:vAlign w:val="center"/>
          </w:tcPr>
          <w:p w14:paraId="2E3BBCA1"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ULCI</w:t>
            </w:r>
          </w:p>
        </w:tc>
        <w:tc>
          <w:tcPr>
            <w:tcW w:w="1098" w:type="dxa"/>
            <w:tcBorders>
              <w:top w:val="single" w:sz="4" w:space="0" w:color="auto"/>
              <w:bottom w:val="single" w:sz="4" w:space="0" w:color="auto"/>
            </w:tcBorders>
            <w:shd w:val="clear" w:color="auto" w:fill="auto"/>
            <w:vAlign w:val="center"/>
          </w:tcPr>
          <w:p w14:paraId="44C0402F"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Decision</w:t>
            </w:r>
          </w:p>
        </w:tc>
      </w:tr>
      <w:tr w:rsidR="00EE7253" w:rsidRPr="002E422A" w14:paraId="51AF5CC9" w14:textId="77777777" w:rsidTr="00D12CEF">
        <w:trPr>
          <w:jc w:val="center"/>
        </w:trPr>
        <w:tc>
          <w:tcPr>
            <w:tcW w:w="1098" w:type="dxa"/>
            <w:tcBorders>
              <w:top w:val="single" w:sz="4" w:space="0" w:color="auto"/>
              <w:bottom w:val="single" w:sz="4" w:space="0" w:color="auto"/>
            </w:tcBorders>
            <w:shd w:val="clear" w:color="auto" w:fill="auto"/>
          </w:tcPr>
          <w:p w14:paraId="0ED5DDCC"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H4</w:t>
            </w:r>
          </w:p>
        </w:tc>
        <w:tc>
          <w:tcPr>
            <w:tcW w:w="1098" w:type="dxa"/>
            <w:tcBorders>
              <w:top w:val="single" w:sz="4" w:space="0" w:color="auto"/>
              <w:bottom w:val="single" w:sz="4" w:space="0" w:color="auto"/>
            </w:tcBorders>
            <w:shd w:val="clear" w:color="auto" w:fill="auto"/>
          </w:tcPr>
          <w:p w14:paraId="3DAA8A9D"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Work Stress -&gt; Affective Commitment -&gt; Quiet Quitting</w:t>
            </w:r>
          </w:p>
        </w:tc>
        <w:tc>
          <w:tcPr>
            <w:tcW w:w="1098" w:type="dxa"/>
            <w:tcBorders>
              <w:top w:val="single" w:sz="4" w:space="0" w:color="auto"/>
              <w:bottom w:val="single" w:sz="4" w:space="0" w:color="auto"/>
            </w:tcBorders>
            <w:shd w:val="clear" w:color="auto" w:fill="auto"/>
          </w:tcPr>
          <w:p w14:paraId="52948904"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0.314</w:t>
            </w:r>
          </w:p>
        </w:tc>
        <w:tc>
          <w:tcPr>
            <w:tcW w:w="1098" w:type="dxa"/>
            <w:tcBorders>
              <w:top w:val="single" w:sz="4" w:space="0" w:color="auto"/>
              <w:bottom w:val="single" w:sz="4" w:space="0" w:color="auto"/>
            </w:tcBorders>
            <w:shd w:val="clear" w:color="auto" w:fill="auto"/>
          </w:tcPr>
          <w:p w14:paraId="27595272"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10.236</w:t>
            </w:r>
          </w:p>
        </w:tc>
        <w:tc>
          <w:tcPr>
            <w:tcW w:w="1098" w:type="dxa"/>
            <w:tcBorders>
              <w:top w:val="single" w:sz="4" w:space="0" w:color="auto"/>
              <w:bottom w:val="single" w:sz="4" w:space="0" w:color="auto"/>
            </w:tcBorders>
            <w:shd w:val="clear" w:color="auto" w:fill="auto"/>
          </w:tcPr>
          <w:p w14:paraId="28BC99C9"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&lt;0.001</w:t>
            </w:r>
          </w:p>
        </w:tc>
        <w:tc>
          <w:tcPr>
            <w:tcW w:w="1098" w:type="dxa"/>
            <w:tcBorders>
              <w:top w:val="single" w:sz="4" w:space="0" w:color="auto"/>
              <w:bottom w:val="single" w:sz="4" w:space="0" w:color="auto"/>
            </w:tcBorders>
            <w:shd w:val="clear" w:color="auto" w:fill="auto"/>
          </w:tcPr>
          <w:p w14:paraId="66647A9A"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0.254</w:t>
            </w:r>
          </w:p>
        </w:tc>
        <w:tc>
          <w:tcPr>
            <w:tcW w:w="1098" w:type="dxa"/>
            <w:tcBorders>
              <w:top w:val="single" w:sz="4" w:space="0" w:color="auto"/>
              <w:bottom w:val="single" w:sz="4" w:space="0" w:color="auto"/>
            </w:tcBorders>
            <w:shd w:val="clear" w:color="auto" w:fill="auto"/>
          </w:tcPr>
          <w:p w14:paraId="37C043D5"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0.375</w:t>
            </w:r>
          </w:p>
        </w:tc>
        <w:tc>
          <w:tcPr>
            <w:tcW w:w="1098" w:type="dxa"/>
            <w:tcBorders>
              <w:top w:val="single" w:sz="4" w:space="0" w:color="auto"/>
              <w:bottom w:val="single" w:sz="4" w:space="0" w:color="auto"/>
            </w:tcBorders>
            <w:shd w:val="clear" w:color="auto" w:fill="auto"/>
          </w:tcPr>
          <w:p w14:paraId="65F70CB5" w14:textId="77777777" w:rsidR="00EE7253" w:rsidRPr="002E422A" w:rsidRDefault="00EE7253" w:rsidP="00D12CEF">
            <w:pPr>
              <w:jc w:val="both"/>
              <w:rPr>
                <w:rFonts w:asciiTheme="minorHAnsi" w:hAnsiTheme="minorHAnsi" w:cstheme="minorHAnsi"/>
              </w:rPr>
            </w:pPr>
            <w:r w:rsidRPr="002E422A">
              <w:rPr>
                <w:rFonts w:asciiTheme="minorHAnsi" w:hAnsiTheme="minorHAnsi" w:cstheme="minorHAnsi"/>
                <w:sz w:val="18"/>
              </w:rPr>
              <w:t>Partial mediation; accepted</w:t>
            </w:r>
          </w:p>
        </w:tc>
      </w:tr>
    </w:tbl>
    <w:p w14:paraId="4F876D7A"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i/>
          <w:sz w:val="18"/>
        </w:rPr>
        <w:t xml:space="preserve">Source: </w:t>
      </w:r>
      <w:proofErr w:type="spellStart"/>
      <w:r w:rsidRPr="002E422A">
        <w:rPr>
          <w:rFonts w:asciiTheme="minorHAnsi" w:hAnsiTheme="minorHAnsi" w:cstheme="minorHAnsi"/>
          <w:i/>
          <w:sz w:val="18"/>
        </w:rPr>
        <w:t>SmartPLS</w:t>
      </w:r>
      <w:proofErr w:type="spellEnd"/>
      <w:r w:rsidRPr="002E422A">
        <w:rPr>
          <w:rFonts w:asciiTheme="minorHAnsi" w:hAnsiTheme="minorHAnsi" w:cstheme="minorHAnsi"/>
          <w:i/>
          <w:sz w:val="18"/>
        </w:rPr>
        <w:t xml:space="preserve"> bootstrapping output, processed data (2026).</w:t>
      </w:r>
    </w:p>
    <w:p w14:paraId="197FAEB9" w14:textId="77777777" w:rsidR="00EE7253" w:rsidRPr="002E422A" w:rsidRDefault="00EE7253" w:rsidP="00EE7253">
      <w:pPr>
        <w:jc w:val="both"/>
        <w:rPr>
          <w:rFonts w:asciiTheme="minorHAnsi" w:hAnsiTheme="minorHAnsi" w:cstheme="minorHAnsi"/>
        </w:rPr>
      </w:pPr>
    </w:p>
    <w:p w14:paraId="525EBB0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Based on Table 6, the indirect effect of work stress on quiet quitting via affective commitment has an indirect effect value of 0.314, a t-statistic of 10.236, and a p-value of &lt; 0.001. The confidence interval ranges from 0.254 to 0.375, meaning it does not cross the zero line. Affective commitment was found to mediate the effect of work stress on quiet quitting. </w:t>
      </w:r>
    </w:p>
    <w:p w14:paraId="173A1B38" w14:textId="77777777" w:rsidR="00EE7253" w:rsidRPr="002E422A" w:rsidRDefault="00EE7253" w:rsidP="00EE7253">
      <w:pPr>
        <w:jc w:val="both"/>
        <w:rPr>
          <w:rFonts w:asciiTheme="minorHAnsi" w:hAnsiTheme="minorHAnsi" w:cstheme="minorHAnsi"/>
        </w:rPr>
      </w:pPr>
    </w:p>
    <w:p w14:paraId="2B32E9BE"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 xml:space="preserve">Discussion </w:t>
      </w:r>
    </w:p>
    <w:p w14:paraId="5B3DF2EA"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Effect of Work Stress on Quiet Quitting</w:t>
      </w:r>
    </w:p>
    <w:p w14:paraId="729CF37D"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sz w:val="24"/>
        </w:rPr>
        <w:t xml:space="preserve">The results of the study indicate that work-related stress has a positive and significant effect on quiet quitting among Millennial employees in Indonesia. These findings suggest that high work pressure can lead employees to limit their engagement, reduce their initiative, and perform only the minimum required tasks. </w:t>
      </w:r>
      <w:proofErr w:type="spellStart"/>
      <w:r w:rsidRPr="002E422A">
        <w:rPr>
          <w:rFonts w:asciiTheme="minorHAnsi" w:hAnsiTheme="minorHAnsi" w:cstheme="minorHAnsi"/>
          <w:sz w:val="24"/>
        </w:rPr>
        <w:t>Galanis</w:t>
      </w:r>
      <w:proofErr w:type="spellEnd"/>
      <w:r w:rsidRPr="002E422A">
        <w:rPr>
          <w:rFonts w:asciiTheme="minorHAnsi" w:hAnsiTheme="minorHAnsi" w:cstheme="minorHAnsi"/>
          <w:sz w:val="24"/>
        </w:rPr>
        <w:t xml:space="preserve"> et al. (2023) explain that quiet quitting is reflected through detachment, lack of initiative, and lack of motivation. When employees experience time pressure, work anxiety, and role pressure, they tend to maintain psychological distance from their work as a response to the perceived psychological burden.</w:t>
      </w:r>
    </w:p>
    <w:p w14:paraId="0A36059D" w14:textId="77777777" w:rsidR="00EE7253" w:rsidRPr="002E422A" w:rsidRDefault="00EE7253" w:rsidP="00EE7253">
      <w:pPr>
        <w:jc w:val="both"/>
        <w:rPr>
          <w:rFonts w:asciiTheme="minorHAnsi" w:hAnsiTheme="minorHAnsi" w:cstheme="minorHAnsi"/>
          <w:sz w:val="24"/>
        </w:rPr>
      </w:pPr>
    </w:p>
    <w:p w14:paraId="55820D9C"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In line with the research conducted by </w:t>
      </w:r>
      <w:proofErr w:type="spellStart"/>
      <w:r w:rsidRPr="002E422A">
        <w:rPr>
          <w:rFonts w:asciiTheme="minorHAnsi" w:hAnsiTheme="minorHAnsi" w:cstheme="minorHAnsi"/>
          <w:sz w:val="24"/>
        </w:rPr>
        <w:t>Taufik</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Rosyadi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Aliyuddin</w:t>
      </w:r>
      <w:proofErr w:type="spellEnd"/>
      <w:r w:rsidRPr="002E422A">
        <w:rPr>
          <w:rFonts w:asciiTheme="minorHAnsi" w:hAnsiTheme="minorHAnsi" w:cstheme="minorHAnsi"/>
          <w:sz w:val="24"/>
        </w:rPr>
        <w:t xml:space="preserve"> (2024), which found that quiet quitting is associated with work experiences that can reduce job satisfaction, including work overload. </w:t>
      </w:r>
      <w:proofErr w:type="spellStart"/>
      <w:r w:rsidRPr="002E422A">
        <w:rPr>
          <w:rFonts w:asciiTheme="minorHAnsi" w:hAnsiTheme="minorHAnsi" w:cstheme="minorHAnsi"/>
          <w:sz w:val="24"/>
        </w:rPr>
        <w:t>Veren</w:t>
      </w:r>
      <w:proofErr w:type="spellEnd"/>
      <w:r w:rsidRPr="002E422A">
        <w:rPr>
          <w:rFonts w:asciiTheme="minorHAnsi" w:hAnsiTheme="minorHAnsi" w:cstheme="minorHAnsi"/>
          <w:sz w:val="24"/>
        </w:rPr>
        <w:t xml:space="preserve"> et al. (2026) also demonstrated that hindrance stress is positively associated with quiet quitting, meaning that stress perceived as an obstacle can increase psychological withdrawal behavior. </w:t>
      </w:r>
    </w:p>
    <w:p w14:paraId="7950EEA3" w14:textId="77777777" w:rsidR="00EE7253" w:rsidRPr="002E422A" w:rsidRDefault="00EE7253" w:rsidP="00EE7253">
      <w:pPr>
        <w:jc w:val="both"/>
        <w:rPr>
          <w:rFonts w:asciiTheme="minorHAnsi" w:hAnsiTheme="minorHAnsi" w:cstheme="minorHAnsi"/>
        </w:rPr>
      </w:pPr>
    </w:p>
    <w:p w14:paraId="30DFE2AB"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Effect of Work Stress on Affective Commitment</w:t>
      </w:r>
    </w:p>
    <w:p w14:paraId="180792EA"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 results of the study indicate that job stress has a significant negative effect on affective commitment. This negative relationship indicates that the greater the work pressure employees feel, the weaker their emotional attachment to the organization becomes. Affective commitment </w:t>
      </w:r>
      <w:r w:rsidRPr="002E422A">
        <w:rPr>
          <w:rFonts w:asciiTheme="minorHAnsi" w:hAnsiTheme="minorHAnsi" w:cstheme="minorHAnsi"/>
          <w:sz w:val="24"/>
        </w:rPr>
        <w:lastRenderedPageBreak/>
        <w:t>is related to a sense of belonging, pride, identification with the organization, and involvement in the organization’s goals. When employees are constantly facing pressure, anxiety, and role ambiguity, these emotional bonds can weaken.</w:t>
      </w:r>
    </w:p>
    <w:p w14:paraId="759BD7D9" w14:textId="77777777" w:rsidR="00EE7253" w:rsidRPr="002E422A" w:rsidRDefault="00EE7253" w:rsidP="00EE7253">
      <w:pPr>
        <w:jc w:val="both"/>
        <w:rPr>
          <w:rFonts w:asciiTheme="minorHAnsi" w:hAnsiTheme="minorHAnsi" w:cstheme="minorHAnsi"/>
        </w:rPr>
      </w:pPr>
    </w:p>
    <w:p w14:paraId="76B48C8D" w14:textId="78A1E71B"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align with research conducted by </w:t>
      </w:r>
      <w:proofErr w:type="spellStart"/>
      <w:r w:rsidRPr="002E422A">
        <w:rPr>
          <w:rFonts w:asciiTheme="minorHAnsi" w:hAnsiTheme="minorHAnsi" w:cstheme="minorHAnsi"/>
          <w:sz w:val="24"/>
        </w:rPr>
        <w:t>Attamimi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Palupi</w:t>
      </w:r>
      <w:proofErr w:type="spellEnd"/>
      <w:r w:rsidRPr="002E422A">
        <w:rPr>
          <w:rFonts w:asciiTheme="minorHAnsi" w:hAnsiTheme="minorHAnsi" w:cstheme="minorHAnsi"/>
          <w:sz w:val="24"/>
        </w:rPr>
        <w:t xml:space="preserve"> (2025), which indicates that work-related stress has a negative relationship with affective commitment in the context of quiet quitting. For Millennials, this is particularly important because this group tends to evaluate work not only in terms of income but also in terms of the quality of the work experience, organizational support, the meaning of work, and work-life balance. If work-related stress is not managed effectively, Millennial employees may lose their emotional attachment to the organization</w:t>
      </w:r>
      <w:r w:rsidR="0063703F">
        <w:rPr>
          <w:rFonts w:asciiTheme="minorHAnsi" w:hAnsiTheme="minorHAnsi" w:cstheme="minorHAnsi"/>
          <w:sz w:val="24"/>
        </w:rPr>
        <w:t xml:space="preserve"> (Chavan et al., 2022)</w:t>
      </w:r>
      <w:r w:rsidRPr="002E422A">
        <w:rPr>
          <w:rFonts w:asciiTheme="minorHAnsi" w:hAnsiTheme="minorHAnsi" w:cstheme="minorHAnsi"/>
          <w:sz w:val="24"/>
        </w:rPr>
        <w:t>.</w:t>
      </w:r>
    </w:p>
    <w:p w14:paraId="0780ECA5" w14:textId="77777777" w:rsidR="00EE7253" w:rsidRPr="002E422A" w:rsidRDefault="00EE7253" w:rsidP="00EE7253">
      <w:pPr>
        <w:jc w:val="both"/>
        <w:rPr>
          <w:rFonts w:asciiTheme="minorHAnsi" w:hAnsiTheme="minorHAnsi" w:cstheme="minorHAnsi"/>
        </w:rPr>
      </w:pPr>
    </w:p>
    <w:p w14:paraId="78032D4F"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Influence of Affective Commitment on Quiet Quitting</w:t>
      </w:r>
    </w:p>
    <w:p w14:paraId="2CEE38D2" w14:textId="6557F1B0"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results of the study indicate that affective commitment has a significant negative effect on quiet quitting. This finding suggests that employees who have a strong emotional bond with the organization tend not only to go beyond the minimum requirements of their job but are also more willing to contribute, take initiative, and remain motivated in their work. Conversely, when affective commitment weakens, employees are more likely to exhibit quiet quitting behavior</w:t>
      </w:r>
      <w:r w:rsidR="0063703F">
        <w:rPr>
          <w:rFonts w:asciiTheme="minorHAnsi" w:hAnsiTheme="minorHAnsi" w:cstheme="minorHAnsi"/>
          <w:sz w:val="24"/>
        </w:rPr>
        <w:t xml:space="preserve"> (Leonardi and </w:t>
      </w:r>
      <w:proofErr w:type="spellStart"/>
      <w:r w:rsidR="0063703F">
        <w:rPr>
          <w:rFonts w:asciiTheme="minorHAnsi" w:hAnsiTheme="minorHAnsi" w:cstheme="minorHAnsi"/>
          <w:sz w:val="24"/>
        </w:rPr>
        <w:t>Asututi</w:t>
      </w:r>
      <w:proofErr w:type="spellEnd"/>
      <w:r w:rsidR="0063703F">
        <w:rPr>
          <w:rFonts w:asciiTheme="minorHAnsi" w:hAnsiTheme="minorHAnsi" w:cstheme="minorHAnsi"/>
          <w:sz w:val="24"/>
        </w:rPr>
        <w:t>, 2023)</w:t>
      </w:r>
      <w:r w:rsidRPr="002E422A">
        <w:rPr>
          <w:rFonts w:asciiTheme="minorHAnsi" w:hAnsiTheme="minorHAnsi" w:cstheme="minorHAnsi"/>
          <w:sz w:val="24"/>
        </w:rPr>
        <w:t>.</w:t>
      </w:r>
    </w:p>
    <w:p w14:paraId="4A069359" w14:textId="77777777" w:rsidR="00EE7253" w:rsidRPr="002E422A" w:rsidRDefault="00EE7253" w:rsidP="00EE7253">
      <w:pPr>
        <w:jc w:val="both"/>
        <w:rPr>
          <w:rFonts w:asciiTheme="minorHAnsi" w:hAnsiTheme="minorHAnsi" w:cstheme="minorHAnsi"/>
        </w:rPr>
      </w:pPr>
    </w:p>
    <w:p w14:paraId="794FACF9"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are consistent with those of Kim and Sohn (2024), who found that quiet quitting is associated with decreased job satisfaction and affective commitment, and can increase turnover intentions. </w:t>
      </w:r>
      <w:proofErr w:type="spellStart"/>
      <w:r w:rsidRPr="002E422A">
        <w:rPr>
          <w:rFonts w:asciiTheme="minorHAnsi" w:hAnsiTheme="minorHAnsi" w:cstheme="minorHAnsi"/>
          <w:sz w:val="24"/>
        </w:rPr>
        <w:t>Fazira</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Kustyadji</w:t>
      </w:r>
      <w:proofErr w:type="spellEnd"/>
      <w:r w:rsidRPr="002E422A">
        <w:rPr>
          <w:rFonts w:asciiTheme="minorHAnsi" w:hAnsiTheme="minorHAnsi" w:cstheme="minorHAnsi"/>
          <w:sz w:val="24"/>
        </w:rPr>
        <w:t xml:space="preserve">, </w:t>
      </w:r>
      <w:proofErr w:type="spellStart"/>
      <w:r w:rsidRPr="002E422A">
        <w:rPr>
          <w:rFonts w:asciiTheme="minorHAnsi" w:hAnsiTheme="minorHAnsi" w:cstheme="minorHAnsi"/>
          <w:sz w:val="24"/>
        </w:rPr>
        <w:t>Wardhana</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Tutuko</w:t>
      </w:r>
      <w:proofErr w:type="spellEnd"/>
      <w:r w:rsidRPr="002E422A">
        <w:rPr>
          <w:rFonts w:asciiTheme="minorHAnsi" w:hAnsiTheme="minorHAnsi" w:cstheme="minorHAnsi"/>
          <w:sz w:val="24"/>
        </w:rPr>
        <w:t xml:space="preserve"> (2026) also found that affective organizational commitment plays a role in explaining the tendency toward quiet quitting intentions among employees in Indonesia. </w:t>
      </w:r>
    </w:p>
    <w:p w14:paraId="00ABBF07" w14:textId="77777777" w:rsidR="00EE7253" w:rsidRPr="002E422A" w:rsidRDefault="00EE7253" w:rsidP="00EE7253">
      <w:pPr>
        <w:jc w:val="both"/>
        <w:rPr>
          <w:rFonts w:asciiTheme="minorHAnsi" w:hAnsiTheme="minorHAnsi" w:cstheme="minorHAnsi"/>
        </w:rPr>
      </w:pPr>
    </w:p>
    <w:p w14:paraId="57CC18AD" w14:textId="77777777" w:rsidR="00EE7253" w:rsidRPr="002E422A" w:rsidRDefault="00EE7253" w:rsidP="00EE7253">
      <w:pPr>
        <w:jc w:val="both"/>
        <w:rPr>
          <w:rFonts w:asciiTheme="minorHAnsi" w:hAnsiTheme="minorHAnsi" w:cstheme="minorHAnsi"/>
          <w:b/>
          <w:bCs/>
        </w:rPr>
      </w:pPr>
      <w:r w:rsidRPr="002E422A">
        <w:rPr>
          <w:rFonts w:asciiTheme="minorHAnsi" w:hAnsiTheme="minorHAnsi" w:cstheme="minorHAnsi"/>
          <w:b/>
          <w:bCs/>
        </w:rPr>
        <w:t>The Mediating Role of Affective Commitment</w:t>
      </w:r>
    </w:p>
    <w:p w14:paraId="4BDB9A56" w14:textId="77777777"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The mediation test results indicate that affective commitment mediates the effect of work stress on quiet quitting. In this study, work stress not only drives quiet quitting directly but also through the weakening of affective commitment.</w:t>
      </w:r>
    </w:p>
    <w:p w14:paraId="42BCB35A" w14:textId="77777777" w:rsidR="00EE7253" w:rsidRPr="002E422A" w:rsidRDefault="00EE7253" w:rsidP="00EE7253">
      <w:pPr>
        <w:jc w:val="both"/>
        <w:rPr>
          <w:rFonts w:asciiTheme="minorHAnsi" w:hAnsiTheme="minorHAnsi" w:cstheme="minorHAnsi"/>
        </w:rPr>
      </w:pPr>
    </w:p>
    <w:p w14:paraId="5C3962EE" w14:textId="430A6AA9" w:rsidR="00EE7253" w:rsidRPr="002E422A" w:rsidRDefault="00EE7253" w:rsidP="00EE7253">
      <w:pPr>
        <w:jc w:val="both"/>
        <w:rPr>
          <w:rFonts w:asciiTheme="minorHAnsi" w:hAnsiTheme="minorHAnsi" w:cstheme="minorHAnsi"/>
          <w:sz w:val="24"/>
        </w:rPr>
      </w:pPr>
      <w:r w:rsidRPr="002E422A">
        <w:rPr>
          <w:rFonts w:asciiTheme="minorHAnsi" w:hAnsiTheme="minorHAnsi" w:cstheme="minorHAnsi"/>
          <w:sz w:val="24"/>
        </w:rPr>
        <w:t xml:space="preserve">These findings on mediation support the results of </w:t>
      </w:r>
      <w:proofErr w:type="spellStart"/>
      <w:r w:rsidRPr="002E422A">
        <w:rPr>
          <w:rFonts w:asciiTheme="minorHAnsi" w:hAnsiTheme="minorHAnsi" w:cstheme="minorHAnsi"/>
          <w:sz w:val="24"/>
        </w:rPr>
        <w:t>Attamimi</w:t>
      </w:r>
      <w:proofErr w:type="spellEnd"/>
      <w:r w:rsidRPr="002E422A">
        <w:rPr>
          <w:rFonts w:asciiTheme="minorHAnsi" w:hAnsiTheme="minorHAnsi" w:cstheme="minorHAnsi"/>
          <w:sz w:val="24"/>
        </w:rPr>
        <w:t xml:space="preserve"> and </w:t>
      </w:r>
      <w:proofErr w:type="spellStart"/>
      <w:r w:rsidRPr="002E422A">
        <w:rPr>
          <w:rFonts w:asciiTheme="minorHAnsi" w:hAnsiTheme="minorHAnsi" w:cstheme="minorHAnsi"/>
          <w:sz w:val="24"/>
        </w:rPr>
        <w:t>Palupi</w:t>
      </w:r>
      <w:proofErr w:type="spellEnd"/>
      <w:r w:rsidRPr="002E422A">
        <w:rPr>
          <w:rFonts w:asciiTheme="minorHAnsi" w:hAnsiTheme="minorHAnsi" w:cstheme="minorHAnsi"/>
          <w:sz w:val="24"/>
        </w:rPr>
        <w:t xml:space="preserve"> (2025), who state that affective commitment can serve as a mediating mechanism in the relationship between work stress and quiet quitting. Work stress can deplete employees’ psychological energy and reduce their emotional attachment to the organization. When this emotional bond weakens, employees become more prone to limiting their contributions, refraining from taking additional initiatives, and losing motivation to grow within the organization</w:t>
      </w:r>
      <w:r w:rsidR="0063703F">
        <w:rPr>
          <w:rFonts w:asciiTheme="minorHAnsi" w:hAnsiTheme="minorHAnsi" w:cstheme="minorHAnsi"/>
          <w:sz w:val="24"/>
        </w:rPr>
        <w:t xml:space="preserve"> (</w:t>
      </w:r>
      <w:proofErr w:type="spellStart"/>
      <w:r w:rsidR="0063703F" w:rsidRPr="0063703F">
        <w:rPr>
          <w:rFonts w:asciiTheme="minorHAnsi" w:hAnsiTheme="minorHAnsi" w:cstheme="minorHAnsi"/>
          <w:sz w:val="24"/>
        </w:rPr>
        <w:t>Thaariq</w:t>
      </w:r>
      <w:proofErr w:type="spellEnd"/>
      <w:r w:rsidR="0063703F">
        <w:rPr>
          <w:rFonts w:asciiTheme="minorHAnsi" w:hAnsiTheme="minorHAnsi" w:cstheme="minorHAnsi"/>
          <w:sz w:val="24"/>
        </w:rPr>
        <w:t xml:space="preserve"> and </w:t>
      </w:r>
      <w:proofErr w:type="spellStart"/>
      <w:r w:rsidR="0063703F" w:rsidRPr="0063703F">
        <w:rPr>
          <w:rFonts w:asciiTheme="minorHAnsi" w:hAnsiTheme="minorHAnsi" w:cstheme="minorHAnsi"/>
          <w:sz w:val="24"/>
        </w:rPr>
        <w:t>Indrayanti</w:t>
      </w:r>
      <w:proofErr w:type="spellEnd"/>
      <w:r w:rsidR="0063703F" w:rsidRPr="0063703F">
        <w:rPr>
          <w:rFonts w:asciiTheme="minorHAnsi" w:hAnsiTheme="minorHAnsi" w:cstheme="minorHAnsi"/>
          <w:sz w:val="24"/>
        </w:rPr>
        <w:t>, 2021).</w:t>
      </w:r>
    </w:p>
    <w:p w14:paraId="20951922" w14:textId="1B70B9F7" w:rsidR="00EE7253" w:rsidRDefault="00EE7253" w:rsidP="00EE7253">
      <w:pPr>
        <w:jc w:val="both"/>
        <w:rPr>
          <w:rFonts w:asciiTheme="minorHAnsi" w:hAnsiTheme="minorHAnsi" w:cstheme="minorHAnsi"/>
        </w:rPr>
      </w:pPr>
    </w:p>
    <w:p w14:paraId="4E9AEB02" w14:textId="77777777" w:rsidR="0063703F" w:rsidRPr="002E422A" w:rsidRDefault="0063703F" w:rsidP="00EE7253">
      <w:pPr>
        <w:jc w:val="both"/>
        <w:rPr>
          <w:rFonts w:asciiTheme="minorHAnsi" w:hAnsiTheme="minorHAnsi" w:cstheme="minorHAnsi"/>
        </w:rPr>
      </w:pPr>
    </w:p>
    <w:p w14:paraId="12F1EA92" w14:textId="77777777" w:rsidR="00EE7253" w:rsidRPr="00412ACA" w:rsidRDefault="00EE7253" w:rsidP="00EE7253">
      <w:pPr>
        <w:jc w:val="both"/>
        <w:rPr>
          <w:rFonts w:asciiTheme="minorHAnsi" w:hAnsiTheme="minorHAnsi" w:cstheme="minorHAnsi"/>
          <w:b/>
          <w:bCs/>
        </w:rPr>
      </w:pPr>
      <w:r w:rsidRPr="00412ACA">
        <w:rPr>
          <w:rFonts w:asciiTheme="minorHAnsi" w:hAnsiTheme="minorHAnsi" w:cstheme="minorHAnsi"/>
          <w:b/>
          <w:bCs/>
          <w:sz w:val="24"/>
          <w:szCs w:val="24"/>
        </w:rPr>
        <w:t>Conclusion</w:t>
      </w:r>
    </w:p>
    <w:p w14:paraId="65C0A5E0" w14:textId="77777777" w:rsidR="00EE7253" w:rsidRPr="002E422A" w:rsidRDefault="00EE7253" w:rsidP="00EE7253">
      <w:pPr>
        <w:jc w:val="both"/>
        <w:rPr>
          <w:rFonts w:asciiTheme="minorHAnsi" w:hAnsiTheme="minorHAnsi" w:cstheme="minorHAnsi"/>
        </w:rPr>
      </w:pPr>
      <w:r w:rsidRPr="002E422A">
        <w:rPr>
          <w:rFonts w:asciiTheme="minorHAnsi" w:hAnsiTheme="minorHAnsi" w:cstheme="minorHAnsi"/>
          <w:sz w:val="24"/>
        </w:rPr>
        <w:t xml:space="preserve">Overall, the results of this study indicate that work-related stress is a significant factor that can increase quiet quitting among Millennial employees in Indonesia. Work-related stress was also found to reduce affective commitment, while affective commitment was found to reduce quiet quitting. Furthermore, affective commitment was found to act as a partial mediator in the </w:t>
      </w:r>
      <w:r w:rsidRPr="002E422A">
        <w:rPr>
          <w:rFonts w:asciiTheme="minorHAnsi" w:hAnsiTheme="minorHAnsi" w:cstheme="minorHAnsi"/>
          <w:sz w:val="24"/>
        </w:rPr>
        <w:lastRenderedPageBreak/>
        <w:t>relationship between work-related stress and quiet quitting. Thus, efforts to curb quiet quitting should not be limited to reducing workloads but must also involve strengthening employees’ emotional bonds with the organization.</w:t>
      </w:r>
    </w:p>
    <w:p w14:paraId="2AA85D1D" w14:textId="21190651" w:rsidR="00EE7253" w:rsidRDefault="00EE7253" w:rsidP="00EE7253">
      <w:pPr>
        <w:rPr>
          <w:rFonts w:asciiTheme="minorHAnsi" w:hAnsiTheme="minorHAnsi" w:cstheme="minorHAnsi"/>
        </w:rPr>
      </w:pPr>
    </w:p>
    <w:p w14:paraId="58142306" w14:textId="1B16394B" w:rsidR="00EE7253" w:rsidRPr="00EE7253" w:rsidRDefault="00EE7253" w:rsidP="00EE7253">
      <w:pPr>
        <w:rPr>
          <w:rFonts w:asciiTheme="minorHAnsi" w:hAnsiTheme="minorHAnsi" w:cstheme="minorHAnsi"/>
          <w:b/>
          <w:bCs/>
          <w:sz w:val="24"/>
          <w:szCs w:val="24"/>
        </w:rPr>
      </w:pPr>
      <w:r w:rsidRPr="00412ACA">
        <w:rPr>
          <w:rFonts w:asciiTheme="minorHAnsi" w:hAnsiTheme="minorHAnsi" w:cstheme="minorHAnsi"/>
          <w:b/>
          <w:bCs/>
          <w:sz w:val="24"/>
          <w:szCs w:val="24"/>
        </w:rPr>
        <w:t>References</w:t>
      </w:r>
    </w:p>
    <w:p w14:paraId="0C355042"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Achmadi</w:t>
      </w:r>
      <w:proofErr w:type="spellEnd"/>
      <w:r w:rsidRPr="0027161E">
        <w:rPr>
          <w:rFonts w:asciiTheme="minorHAnsi" w:hAnsiTheme="minorHAnsi" w:cstheme="minorHAnsi"/>
        </w:rPr>
        <w:t xml:space="preserve">. (2021). Work stress and </w:t>
      </w:r>
      <w:proofErr w:type="spellStart"/>
      <w:r w:rsidRPr="0027161E">
        <w:rPr>
          <w:rFonts w:asciiTheme="minorHAnsi" w:hAnsiTheme="minorHAnsi" w:cstheme="minorHAnsi"/>
        </w:rPr>
        <w:t>cyberloafing</w:t>
      </w:r>
      <w:proofErr w:type="spellEnd"/>
      <w:r w:rsidRPr="0027161E">
        <w:rPr>
          <w:rFonts w:asciiTheme="minorHAnsi" w:hAnsiTheme="minorHAnsi" w:cstheme="minorHAnsi"/>
        </w:rPr>
        <w:t xml:space="preserve"> among Generations Y and Z: The role of age and marital status as boundary conditions. *</w:t>
      </w:r>
      <w:proofErr w:type="spellStart"/>
      <w:r w:rsidRPr="0027161E">
        <w:rPr>
          <w:rFonts w:asciiTheme="minorHAnsi" w:hAnsiTheme="minorHAnsi" w:cstheme="minorHAnsi"/>
        </w:rPr>
        <w:t>Jurnal</w:t>
      </w:r>
      <w:proofErr w:type="spellEnd"/>
      <w:r w:rsidRPr="0027161E">
        <w:rPr>
          <w:rFonts w:asciiTheme="minorHAnsi" w:hAnsiTheme="minorHAnsi" w:cstheme="minorHAnsi"/>
        </w:rPr>
        <w:t xml:space="preserve"> </w:t>
      </w:r>
      <w:proofErr w:type="spellStart"/>
      <w:r w:rsidRPr="0027161E">
        <w:rPr>
          <w:rFonts w:asciiTheme="minorHAnsi" w:hAnsiTheme="minorHAnsi" w:cstheme="minorHAnsi"/>
        </w:rPr>
        <w:t>Manajemen</w:t>
      </w:r>
      <w:proofErr w:type="spellEnd"/>
      <w:r w:rsidRPr="0027161E">
        <w:rPr>
          <w:rFonts w:asciiTheme="minorHAnsi" w:hAnsiTheme="minorHAnsi" w:cstheme="minorHAnsi"/>
        </w:rPr>
        <w:t xml:space="preserve"> </w:t>
      </w:r>
      <w:proofErr w:type="spellStart"/>
      <w:r w:rsidRPr="0027161E">
        <w:rPr>
          <w:rFonts w:asciiTheme="minorHAnsi" w:hAnsiTheme="minorHAnsi" w:cstheme="minorHAnsi"/>
        </w:rPr>
        <w:t>Strategi</w:t>
      </w:r>
      <w:proofErr w:type="spellEnd"/>
      <w:r w:rsidRPr="0027161E">
        <w:rPr>
          <w:rFonts w:asciiTheme="minorHAnsi" w:hAnsiTheme="minorHAnsi" w:cstheme="minorHAnsi"/>
        </w:rPr>
        <w:t xml:space="preserve"> Dan </w:t>
      </w:r>
      <w:proofErr w:type="spellStart"/>
      <w:r w:rsidRPr="0027161E">
        <w:rPr>
          <w:rFonts w:asciiTheme="minorHAnsi" w:hAnsiTheme="minorHAnsi" w:cstheme="minorHAnsi"/>
        </w:rPr>
        <w:t>Aplikasi</w:t>
      </w:r>
      <w:proofErr w:type="spellEnd"/>
      <w:r w:rsidRPr="0027161E">
        <w:rPr>
          <w:rFonts w:asciiTheme="minorHAnsi" w:hAnsiTheme="minorHAnsi" w:cstheme="minorHAnsi"/>
        </w:rPr>
        <w:t xml:space="preserve"> </w:t>
      </w:r>
      <w:proofErr w:type="spellStart"/>
      <w:r w:rsidRPr="0027161E">
        <w:rPr>
          <w:rFonts w:asciiTheme="minorHAnsi" w:hAnsiTheme="minorHAnsi" w:cstheme="minorHAnsi"/>
        </w:rPr>
        <w:t>Bisnis</w:t>
      </w:r>
      <w:proofErr w:type="spellEnd"/>
      <w:r w:rsidRPr="0027161E">
        <w:rPr>
          <w:rFonts w:asciiTheme="minorHAnsi" w:hAnsiTheme="minorHAnsi" w:cstheme="minorHAnsi"/>
        </w:rPr>
        <w:t>*, 4(2), 461–470.</w:t>
      </w:r>
    </w:p>
    <w:p w14:paraId="7454B264"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Aruldoss</w:t>
      </w:r>
      <w:proofErr w:type="spellEnd"/>
      <w:r w:rsidRPr="0027161E">
        <w:rPr>
          <w:rFonts w:asciiTheme="minorHAnsi" w:hAnsiTheme="minorHAnsi" w:cstheme="minorHAnsi"/>
        </w:rPr>
        <w:t xml:space="preserve">, A., Kowalski, K.B., &amp; </w:t>
      </w:r>
      <w:proofErr w:type="spellStart"/>
      <w:r w:rsidRPr="0027161E">
        <w:rPr>
          <w:rFonts w:asciiTheme="minorHAnsi" w:hAnsiTheme="minorHAnsi" w:cstheme="minorHAnsi"/>
        </w:rPr>
        <w:t>Parayitam</w:t>
      </w:r>
      <w:proofErr w:type="spellEnd"/>
      <w:r w:rsidRPr="0027161E">
        <w:rPr>
          <w:rFonts w:asciiTheme="minorHAnsi" w:hAnsiTheme="minorHAnsi" w:cstheme="minorHAnsi"/>
        </w:rPr>
        <w:t>, S. (2021). The relationship between quality of work life and work-life balance—mediating role of job stress, job satisfaction, and job commitment: Evidence from India. *Journal of Advances in Management Research*, 18(1), 36–62. https://doi.org/10.1108/JAMR-05-2020-0082</w:t>
      </w:r>
    </w:p>
    <w:p w14:paraId="704C8BEE"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Attamimi</w:t>
      </w:r>
      <w:proofErr w:type="spellEnd"/>
      <w:r w:rsidRPr="0027161E">
        <w:rPr>
          <w:rFonts w:asciiTheme="minorHAnsi" w:hAnsiTheme="minorHAnsi" w:cstheme="minorHAnsi"/>
        </w:rPr>
        <w:t xml:space="preserve">, I., &amp; </w:t>
      </w:r>
      <w:proofErr w:type="spellStart"/>
      <w:r w:rsidRPr="0027161E">
        <w:rPr>
          <w:rFonts w:asciiTheme="minorHAnsi" w:hAnsiTheme="minorHAnsi" w:cstheme="minorHAnsi"/>
        </w:rPr>
        <w:t>Palupi</w:t>
      </w:r>
      <w:proofErr w:type="spellEnd"/>
      <w:r w:rsidRPr="0027161E">
        <w:rPr>
          <w:rFonts w:asciiTheme="minorHAnsi" w:hAnsiTheme="minorHAnsi" w:cstheme="minorHAnsi"/>
        </w:rPr>
        <w:t>, M. (2024). Quiet quitting due to work stress, mediated by job satisfaction and affective commitment. *Indonesian Interdisciplinary Journal of Sharia Economics (IIJSE)*, 8(1), 1301–1321. https://doi.org/10.31538/iijse.v8i1.5727</w:t>
      </w:r>
    </w:p>
    <w:p w14:paraId="43997EA0" w14:textId="19470D2E" w:rsidR="00AE767D" w:rsidRDefault="00AE767D" w:rsidP="0027161E">
      <w:pPr>
        <w:spacing w:before="240"/>
        <w:ind w:left="851" w:hanging="851"/>
        <w:jc w:val="both"/>
        <w:rPr>
          <w:rFonts w:asciiTheme="minorHAnsi" w:hAnsiTheme="minorHAnsi" w:cstheme="minorHAnsi"/>
        </w:rPr>
      </w:pPr>
      <w:r w:rsidRPr="00AE767D">
        <w:rPr>
          <w:rFonts w:asciiTheme="minorHAnsi" w:hAnsiTheme="minorHAnsi" w:cstheme="minorHAnsi"/>
        </w:rPr>
        <w:t xml:space="preserve">Statistics Indonesia. (2025). *The State of the Labor Force in Indonesia, August 2024*. Statistics Indonesia. </w:t>
      </w:r>
      <w:hyperlink r:id="rId6" w:history="1">
        <w:r w:rsidRPr="00A913BA">
          <w:rPr>
            <w:rStyle w:val="Hyperlink"/>
            <w:rFonts w:asciiTheme="minorHAnsi" w:hAnsiTheme="minorHAnsi" w:cstheme="minorHAnsi"/>
          </w:rPr>
          <w:t>https://www.bps.go.id/id/publication/2024/12/09/6f1fd1036968c8a28e4cfe26/keadaan-angkatan-kerja-di-indonesia-agustus-2024.html</w:t>
        </w:r>
      </w:hyperlink>
    </w:p>
    <w:p w14:paraId="14C8DE8C" w14:textId="729BA43B"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 xml:space="preserve">Chavan, M., Galperin, B. L., </w:t>
      </w:r>
      <w:proofErr w:type="spellStart"/>
      <w:r w:rsidRPr="0027161E">
        <w:rPr>
          <w:rFonts w:asciiTheme="minorHAnsi" w:hAnsiTheme="minorHAnsi" w:cstheme="minorHAnsi"/>
        </w:rPr>
        <w:t>Ostle</w:t>
      </w:r>
      <w:proofErr w:type="spellEnd"/>
      <w:r w:rsidRPr="0027161E">
        <w:rPr>
          <w:rFonts w:asciiTheme="minorHAnsi" w:hAnsiTheme="minorHAnsi" w:cstheme="minorHAnsi"/>
        </w:rPr>
        <w:t xml:space="preserve">, A., &amp; </w:t>
      </w:r>
      <w:proofErr w:type="spellStart"/>
      <w:r w:rsidRPr="0027161E">
        <w:rPr>
          <w:rFonts w:asciiTheme="minorHAnsi" w:hAnsiTheme="minorHAnsi" w:cstheme="minorHAnsi"/>
        </w:rPr>
        <w:t>Behl</w:t>
      </w:r>
      <w:proofErr w:type="spellEnd"/>
      <w:r w:rsidRPr="0027161E">
        <w:rPr>
          <w:rFonts w:asciiTheme="minorHAnsi" w:hAnsiTheme="minorHAnsi" w:cstheme="minorHAnsi"/>
        </w:rPr>
        <w:t xml:space="preserve">, A. (2022). Millennials’ perceptions of </w:t>
      </w:r>
      <w:proofErr w:type="spellStart"/>
      <w:r w:rsidRPr="0027161E">
        <w:rPr>
          <w:rFonts w:asciiTheme="minorHAnsi" w:hAnsiTheme="minorHAnsi" w:cstheme="minorHAnsi"/>
        </w:rPr>
        <w:t>cyberloafing</w:t>
      </w:r>
      <w:proofErr w:type="spellEnd"/>
      <w:r w:rsidRPr="0027161E">
        <w:rPr>
          <w:rFonts w:asciiTheme="minorHAnsi" w:hAnsiTheme="minorHAnsi" w:cstheme="minorHAnsi"/>
        </w:rPr>
        <w:t>: Workplace deviance or cultural norm? *</w:t>
      </w:r>
      <w:proofErr w:type="spellStart"/>
      <w:r w:rsidRPr="0027161E">
        <w:rPr>
          <w:rFonts w:asciiTheme="minorHAnsi" w:hAnsiTheme="minorHAnsi" w:cstheme="minorHAnsi"/>
        </w:rPr>
        <w:t>Behaviour</w:t>
      </w:r>
      <w:proofErr w:type="spellEnd"/>
      <w:r w:rsidRPr="0027161E">
        <w:rPr>
          <w:rFonts w:asciiTheme="minorHAnsi" w:hAnsiTheme="minorHAnsi" w:cstheme="minorHAnsi"/>
        </w:rPr>
        <w:t xml:space="preserve"> &amp; Information Technology*, 41(13), 2860–2877. https://doi.org/10.1080/0144929X.2021.1956588</w:t>
      </w:r>
    </w:p>
    <w:p w14:paraId="790E6424"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Deloitte. (2025). 2025 Gen Z and Millennial Survey: Growth and the pursuit of money, meaning, and well-being. Deloitte. https://www.deloitte.com/global/en/issues/work/genz-millennial-survey.html</w:t>
      </w:r>
    </w:p>
    <w:p w14:paraId="3824BDA1"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Demerouti</w:t>
      </w:r>
      <w:proofErr w:type="spellEnd"/>
      <w:r w:rsidRPr="0027161E">
        <w:rPr>
          <w:rFonts w:asciiTheme="minorHAnsi" w:hAnsiTheme="minorHAnsi" w:cstheme="minorHAnsi"/>
        </w:rPr>
        <w:t xml:space="preserve">, E., Bakker, A. B., </w:t>
      </w:r>
      <w:proofErr w:type="spellStart"/>
      <w:r w:rsidRPr="0027161E">
        <w:rPr>
          <w:rFonts w:asciiTheme="minorHAnsi" w:hAnsiTheme="minorHAnsi" w:cstheme="minorHAnsi"/>
        </w:rPr>
        <w:t>Nachreiner</w:t>
      </w:r>
      <w:proofErr w:type="spellEnd"/>
      <w:r w:rsidRPr="0027161E">
        <w:rPr>
          <w:rFonts w:asciiTheme="minorHAnsi" w:hAnsiTheme="minorHAnsi" w:cstheme="minorHAnsi"/>
        </w:rPr>
        <w:t>, F., &amp; Schaufeli, W. B. (2001). The job demands–resources model of burnout. Journal of Applied Psychology, 86(3), 499–512. https://doi.org/10.1037/0021-9010.86.3.499</w:t>
      </w:r>
    </w:p>
    <w:p w14:paraId="748B8966"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 xml:space="preserve">Efendi, M. A., </w:t>
      </w:r>
      <w:proofErr w:type="spellStart"/>
      <w:r w:rsidRPr="0027161E">
        <w:rPr>
          <w:rFonts w:asciiTheme="minorHAnsi" w:hAnsiTheme="minorHAnsi" w:cstheme="minorHAnsi"/>
        </w:rPr>
        <w:t>Hawabi</w:t>
      </w:r>
      <w:proofErr w:type="spellEnd"/>
      <w:r w:rsidRPr="0027161E">
        <w:rPr>
          <w:rFonts w:asciiTheme="minorHAnsi" w:hAnsiTheme="minorHAnsi" w:cstheme="minorHAnsi"/>
        </w:rPr>
        <w:t xml:space="preserve">, A. I., &amp; </w:t>
      </w:r>
      <w:proofErr w:type="spellStart"/>
      <w:r w:rsidRPr="0027161E">
        <w:rPr>
          <w:rFonts w:asciiTheme="minorHAnsi" w:hAnsiTheme="minorHAnsi" w:cstheme="minorHAnsi"/>
        </w:rPr>
        <w:t>Purwaningtyas</w:t>
      </w:r>
      <w:proofErr w:type="spellEnd"/>
      <w:r w:rsidRPr="0027161E">
        <w:rPr>
          <w:rFonts w:asciiTheme="minorHAnsi" w:hAnsiTheme="minorHAnsi" w:cstheme="minorHAnsi"/>
        </w:rPr>
        <w:t>, E. K. (2023). The effect of work-life balance on quiet quitting in millennial generation workers. In Proceedings of the Conference Psychology and Flourishing Humanity (PFH 2023) (pp. 47–53). Atlantis Press. https://doi.org/10.2991/978-2-38476-188-3_6</w:t>
      </w:r>
    </w:p>
    <w:p w14:paraId="28230BF0"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Fazira</w:t>
      </w:r>
      <w:proofErr w:type="spellEnd"/>
      <w:r w:rsidRPr="0027161E">
        <w:rPr>
          <w:rFonts w:asciiTheme="minorHAnsi" w:hAnsiTheme="minorHAnsi" w:cstheme="minorHAnsi"/>
        </w:rPr>
        <w:t xml:space="preserve">, E. B., </w:t>
      </w:r>
      <w:proofErr w:type="spellStart"/>
      <w:r w:rsidRPr="0027161E">
        <w:rPr>
          <w:rFonts w:asciiTheme="minorHAnsi" w:hAnsiTheme="minorHAnsi" w:cstheme="minorHAnsi"/>
        </w:rPr>
        <w:t>Kustyadji</w:t>
      </w:r>
      <w:proofErr w:type="spellEnd"/>
      <w:r w:rsidRPr="0027161E">
        <w:rPr>
          <w:rFonts w:asciiTheme="minorHAnsi" w:hAnsiTheme="minorHAnsi" w:cstheme="minorHAnsi"/>
        </w:rPr>
        <w:t xml:space="preserve">, G., </w:t>
      </w:r>
      <w:proofErr w:type="spellStart"/>
      <w:r w:rsidRPr="0027161E">
        <w:rPr>
          <w:rFonts w:asciiTheme="minorHAnsi" w:hAnsiTheme="minorHAnsi" w:cstheme="minorHAnsi"/>
        </w:rPr>
        <w:t>Wardhana</w:t>
      </w:r>
      <w:proofErr w:type="spellEnd"/>
      <w:r w:rsidRPr="0027161E">
        <w:rPr>
          <w:rFonts w:asciiTheme="minorHAnsi" w:hAnsiTheme="minorHAnsi" w:cstheme="minorHAnsi"/>
        </w:rPr>
        <w:t xml:space="preserve">, A. N., &amp; </w:t>
      </w:r>
      <w:proofErr w:type="spellStart"/>
      <w:r w:rsidRPr="0027161E">
        <w:rPr>
          <w:rFonts w:asciiTheme="minorHAnsi" w:hAnsiTheme="minorHAnsi" w:cstheme="minorHAnsi"/>
        </w:rPr>
        <w:t>Tutuko</w:t>
      </w:r>
      <w:proofErr w:type="spellEnd"/>
      <w:r w:rsidRPr="0027161E">
        <w:rPr>
          <w:rFonts w:asciiTheme="minorHAnsi" w:hAnsiTheme="minorHAnsi" w:cstheme="minorHAnsi"/>
        </w:rPr>
        <w:t>, B. (2026). The influence of job security and affective organizational commitment on quiet quitting intention with work engagement as a mediating variable for employees of PT Kuehne Nagel Indonesia. YUME: Journal of Management, 9(1), 1485–1495. https://journal.stieamkop.ac.id/index.php/yume/article/view/11311</w:t>
      </w:r>
    </w:p>
    <w:p w14:paraId="638DAFA8"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Galanis</w:t>
      </w:r>
      <w:proofErr w:type="spellEnd"/>
      <w:r w:rsidRPr="0027161E">
        <w:rPr>
          <w:rFonts w:asciiTheme="minorHAnsi" w:hAnsiTheme="minorHAnsi" w:cstheme="minorHAnsi"/>
        </w:rPr>
        <w:t xml:space="preserve">, P., </w:t>
      </w:r>
      <w:proofErr w:type="spellStart"/>
      <w:r w:rsidRPr="0027161E">
        <w:rPr>
          <w:rFonts w:asciiTheme="minorHAnsi" w:hAnsiTheme="minorHAnsi" w:cstheme="minorHAnsi"/>
        </w:rPr>
        <w:t>Katsiroumpa</w:t>
      </w:r>
      <w:proofErr w:type="spellEnd"/>
      <w:r w:rsidRPr="0027161E">
        <w:rPr>
          <w:rFonts w:asciiTheme="minorHAnsi" w:hAnsiTheme="minorHAnsi" w:cstheme="minorHAnsi"/>
        </w:rPr>
        <w:t xml:space="preserve">, A., Vraka, I., </w:t>
      </w:r>
      <w:proofErr w:type="spellStart"/>
      <w:r w:rsidRPr="0027161E">
        <w:rPr>
          <w:rFonts w:asciiTheme="minorHAnsi" w:hAnsiTheme="minorHAnsi" w:cstheme="minorHAnsi"/>
        </w:rPr>
        <w:t>Siskou</w:t>
      </w:r>
      <w:proofErr w:type="spellEnd"/>
      <w:r w:rsidRPr="0027161E">
        <w:rPr>
          <w:rFonts w:asciiTheme="minorHAnsi" w:hAnsiTheme="minorHAnsi" w:cstheme="minorHAnsi"/>
        </w:rPr>
        <w:t xml:space="preserve">, O., </w:t>
      </w:r>
      <w:proofErr w:type="spellStart"/>
      <w:r w:rsidRPr="0027161E">
        <w:rPr>
          <w:rFonts w:asciiTheme="minorHAnsi" w:hAnsiTheme="minorHAnsi" w:cstheme="minorHAnsi"/>
        </w:rPr>
        <w:t>Konstantakopoulou</w:t>
      </w:r>
      <w:proofErr w:type="spellEnd"/>
      <w:r w:rsidRPr="0027161E">
        <w:rPr>
          <w:rFonts w:asciiTheme="minorHAnsi" w:hAnsiTheme="minorHAnsi" w:cstheme="minorHAnsi"/>
        </w:rPr>
        <w:t xml:space="preserve">, O., </w:t>
      </w:r>
      <w:proofErr w:type="spellStart"/>
      <w:r w:rsidRPr="0027161E">
        <w:rPr>
          <w:rFonts w:asciiTheme="minorHAnsi" w:hAnsiTheme="minorHAnsi" w:cstheme="minorHAnsi"/>
        </w:rPr>
        <w:t>Moisoglou</w:t>
      </w:r>
      <w:proofErr w:type="spellEnd"/>
      <w:r w:rsidRPr="0027161E">
        <w:rPr>
          <w:rFonts w:asciiTheme="minorHAnsi" w:hAnsiTheme="minorHAnsi" w:cstheme="minorHAnsi"/>
        </w:rPr>
        <w:t xml:space="preserve">, I., </w:t>
      </w:r>
      <w:proofErr w:type="spellStart"/>
      <w:r w:rsidRPr="0027161E">
        <w:rPr>
          <w:rFonts w:asciiTheme="minorHAnsi" w:hAnsiTheme="minorHAnsi" w:cstheme="minorHAnsi"/>
        </w:rPr>
        <w:t>Gallos</w:t>
      </w:r>
      <w:proofErr w:type="spellEnd"/>
      <w:r w:rsidRPr="0027161E">
        <w:rPr>
          <w:rFonts w:asciiTheme="minorHAnsi" w:hAnsiTheme="minorHAnsi" w:cstheme="minorHAnsi"/>
        </w:rPr>
        <w:t xml:space="preserve">, P., &amp; </w:t>
      </w:r>
      <w:proofErr w:type="spellStart"/>
      <w:r w:rsidRPr="0027161E">
        <w:rPr>
          <w:rFonts w:asciiTheme="minorHAnsi" w:hAnsiTheme="minorHAnsi" w:cstheme="minorHAnsi"/>
        </w:rPr>
        <w:t>Kaitelidou</w:t>
      </w:r>
      <w:proofErr w:type="spellEnd"/>
      <w:r w:rsidRPr="0027161E">
        <w:rPr>
          <w:rFonts w:asciiTheme="minorHAnsi" w:hAnsiTheme="minorHAnsi" w:cstheme="minorHAnsi"/>
        </w:rPr>
        <w:t>, D. (2023). The quiet quitting scale: Development and initial validation. AIMS Public Health, 10(4), 828–848. https://doi.org/10.3934/publichealth.2023055</w:t>
      </w:r>
    </w:p>
    <w:p w14:paraId="4D98A615"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Gallup. (2024). State of the global workplace: 2024 report. Gallup. https://www.gallup.com/workplace/349484/state-of-the-global-workplace.aspx</w:t>
      </w:r>
    </w:p>
    <w:p w14:paraId="74285C9A"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lastRenderedPageBreak/>
        <w:t>Gallup. (2025). State of the global workplace: 2025 report. Gallup. https://www.gallup.com/workplace/654911/state-of-the-global-workplace.aspx</w:t>
      </w:r>
    </w:p>
    <w:p w14:paraId="4B756C24"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 xml:space="preserve">Hair, J. F., Jr., </w:t>
      </w:r>
      <w:proofErr w:type="spellStart"/>
      <w:r w:rsidRPr="0027161E">
        <w:rPr>
          <w:rFonts w:asciiTheme="minorHAnsi" w:hAnsiTheme="minorHAnsi" w:cstheme="minorHAnsi"/>
        </w:rPr>
        <w:t>Sarstedt</w:t>
      </w:r>
      <w:proofErr w:type="spellEnd"/>
      <w:r w:rsidRPr="0027161E">
        <w:rPr>
          <w:rFonts w:asciiTheme="minorHAnsi" w:hAnsiTheme="minorHAnsi" w:cstheme="minorHAnsi"/>
        </w:rPr>
        <w:t xml:space="preserve">, M., </w:t>
      </w:r>
      <w:proofErr w:type="spellStart"/>
      <w:r w:rsidRPr="0027161E">
        <w:rPr>
          <w:rFonts w:asciiTheme="minorHAnsi" w:hAnsiTheme="minorHAnsi" w:cstheme="minorHAnsi"/>
        </w:rPr>
        <w:t>Ringle</w:t>
      </w:r>
      <w:proofErr w:type="spellEnd"/>
      <w:r w:rsidRPr="0027161E">
        <w:rPr>
          <w:rFonts w:asciiTheme="minorHAnsi" w:hAnsiTheme="minorHAnsi" w:cstheme="minorHAnsi"/>
        </w:rPr>
        <w:t xml:space="preserve">, C. M., &amp; </w:t>
      </w:r>
      <w:proofErr w:type="spellStart"/>
      <w:r w:rsidRPr="0027161E">
        <w:rPr>
          <w:rFonts w:asciiTheme="minorHAnsi" w:hAnsiTheme="minorHAnsi" w:cstheme="minorHAnsi"/>
        </w:rPr>
        <w:t>Gudergan</w:t>
      </w:r>
      <w:proofErr w:type="spellEnd"/>
      <w:r w:rsidRPr="0027161E">
        <w:rPr>
          <w:rFonts w:asciiTheme="minorHAnsi" w:hAnsiTheme="minorHAnsi" w:cstheme="minorHAnsi"/>
        </w:rPr>
        <w:t>, S. P. (2024). Advanced issues in partial least squares structural equation modeling (2nd ed.). SAGE Publications.</w:t>
      </w:r>
    </w:p>
    <w:p w14:paraId="72C28601"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Kayati</w:t>
      </w:r>
      <w:proofErr w:type="spellEnd"/>
      <w:r w:rsidRPr="0027161E">
        <w:rPr>
          <w:rFonts w:asciiTheme="minorHAnsi" w:hAnsiTheme="minorHAnsi" w:cstheme="minorHAnsi"/>
        </w:rPr>
        <w:t xml:space="preserve">, R. S., </w:t>
      </w:r>
      <w:proofErr w:type="spellStart"/>
      <w:r w:rsidRPr="0027161E">
        <w:rPr>
          <w:rFonts w:asciiTheme="minorHAnsi" w:hAnsiTheme="minorHAnsi" w:cstheme="minorHAnsi"/>
        </w:rPr>
        <w:t>Nazilah</w:t>
      </w:r>
      <w:proofErr w:type="spellEnd"/>
      <w:r w:rsidRPr="0027161E">
        <w:rPr>
          <w:rFonts w:asciiTheme="minorHAnsi" w:hAnsiTheme="minorHAnsi" w:cstheme="minorHAnsi"/>
        </w:rPr>
        <w:t>, A., &amp; Raja Ibrahim, R. Z. A. (2025). Psychometric properties of Job Stress Scale among Malaysian seafarers. International Maritime Health, 76(2), 154–164. https://doi.org/10.5603/imh.100896</w:t>
      </w:r>
    </w:p>
    <w:p w14:paraId="2B9BC7E7"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Kim, K. T., &amp; Sohn, Y. W. (2024). The impact of quiet quitting on turnover intentions in the era of digital transformation: The mediating role of job satisfaction and affective commitment, and the moderating role of psychological safety. Systems, 12(11), Article 460. https://doi.org/10.3390/systems12110460</w:t>
      </w:r>
    </w:p>
    <w:p w14:paraId="1250C65B"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 xml:space="preserve">Leonardi, F. N., &amp; </w:t>
      </w:r>
      <w:proofErr w:type="spellStart"/>
      <w:r w:rsidRPr="0027161E">
        <w:rPr>
          <w:rFonts w:asciiTheme="minorHAnsi" w:hAnsiTheme="minorHAnsi" w:cstheme="minorHAnsi"/>
        </w:rPr>
        <w:t>Astuti</w:t>
      </w:r>
      <w:proofErr w:type="spellEnd"/>
      <w:r w:rsidRPr="0027161E">
        <w:rPr>
          <w:rFonts w:asciiTheme="minorHAnsi" w:hAnsiTheme="minorHAnsi" w:cstheme="minorHAnsi"/>
        </w:rPr>
        <w:t xml:space="preserve">, N. W. (2023). The relationship between work stress and teachers' psychological well-being. </w:t>
      </w:r>
      <w:proofErr w:type="spellStart"/>
      <w:r w:rsidRPr="0027161E">
        <w:rPr>
          <w:rFonts w:asciiTheme="minorHAnsi" w:hAnsiTheme="minorHAnsi" w:cstheme="minorHAnsi"/>
        </w:rPr>
        <w:t>Provitae</w:t>
      </w:r>
      <w:proofErr w:type="spellEnd"/>
      <w:r w:rsidRPr="0027161E">
        <w:rPr>
          <w:rFonts w:asciiTheme="minorHAnsi" w:hAnsiTheme="minorHAnsi" w:cstheme="minorHAnsi"/>
        </w:rPr>
        <w:t xml:space="preserve"> Journal of Educational Psychology, 16(2), 26–37.</w:t>
      </w:r>
    </w:p>
    <w:p w14:paraId="3FD657F1" w14:textId="77777777" w:rsidR="0027161E" w:rsidRPr="0027161E" w:rsidRDefault="0027161E" w:rsidP="0027161E">
      <w:pPr>
        <w:spacing w:before="240"/>
        <w:ind w:left="851" w:hanging="851"/>
        <w:jc w:val="both"/>
        <w:rPr>
          <w:rFonts w:asciiTheme="minorHAnsi" w:hAnsiTheme="minorHAnsi" w:cstheme="minorHAnsi"/>
        </w:rPr>
      </w:pPr>
      <w:r w:rsidRPr="0027161E">
        <w:rPr>
          <w:rFonts w:asciiTheme="minorHAnsi" w:hAnsiTheme="minorHAnsi" w:cstheme="minorHAnsi"/>
        </w:rPr>
        <w:t>PricewaterhouseCoopers. (2024). Indonesia Hopes and Fears Survey 2024: Workers are ready for change. Are leaders ready to engage them? PwC Indonesia. https://www.pwc.com/id/en/publications/consulting/hopes-and-fears-2024-indonesia.pdf</w:t>
      </w:r>
    </w:p>
    <w:p w14:paraId="1CF88BF3"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Suhendar</w:t>
      </w:r>
      <w:proofErr w:type="spellEnd"/>
      <w:r w:rsidRPr="0027161E">
        <w:rPr>
          <w:rFonts w:asciiTheme="minorHAnsi" w:hAnsiTheme="minorHAnsi" w:cstheme="minorHAnsi"/>
        </w:rPr>
        <w:t xml:space="preserve">, A., </w:t>
      </w:r>
      <w:proofErr w:type="spellStart"/>
      <w:r w:rsidRPr="0027161E">
        <w:rPr>
          <w:rFonts w:asciiTheme="minorHAnsi" w:hAnsiTheme="minorHAnsi" w:cstheme="minorHAnsi"/>
        </w:rPr>
        <w:t>Setiadi</w:t>
      </w:r>
      <w:proofErr w:type="spellEnd"/>
      <w:r w:rsidRPr="0027161E">
        <w:rPr>
          <w:rFonts w:asciiTheme="minorHAnsi" w:hAnsiTheme="minorHAnsi" w:cstheme="minorHAnsi"/>
        </w:rPr>
        <w:t xml:space="preserve">, R., </w:t>
      </w:r>
      <w:proofErr w:type="spellStart"/>
      <w:r w:rsidRPr="0027161E">
        <w:rPr>
          <w:rFonts w:asciiTheme="minorHAnsi" w:hAnsiTheme="minorHAnsi" w:cstheme="minorHAnsi"/>
        </w:rPr>
        <w:t>Artati</w:t>
      </w:r>
      <w:proofErr w:type="spellEnd"/>
      <w:r w:rsidRPr="0027161E">
        <w:rPr>
          <w:rFonts w:asciiTheme="minorHAnsi" w:hAnsiTheme="minorHAnsi" w:cstheme="minorHAnsi"/>
        </w:rPr>
        <w:t xml:space="preserve">, A., &amp; </w:t>
      </w:r>
      <w:proofErr w:type="spellStart"/>
      <w:r w:rsidRPr="0027161E">
        <w:rPr>
          <w:rFonts w:asciiTheme="minorHAnsi" w:hAnsiTheme="minorHAnsi" w:cstheme="minorHAnsi"/>
        </w:rPr>
        <w:t>Rohman</w:t>
      </w:r>
      <w:proofErr w:type="spellEnd"/>
      <w:r w:rsidRPr="0027161E">
        <w:rPr>
          <w:rFonts w:asciiTheme="minorHAnsi" w:hAnsiTheme="minorHAnsi" w:cstheme="minorHAnsi"/>
        </w:rPr>
        <w:t>, A. (2023). The new trend: Why Indonesian digital start-up employees are opting for quiet quitting? WSEAS Transactions on Computer Research, 11, 166–180. https://doi.org/10.37394/232018.2023.11.15</w:t>
      </w:r>
    </w:p>
    <w:p w14:paraId="061DA320"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Taufik</w:t>
      </w:r>
      <w:proofErr w:type="spellEnd"/>
      <w:r w:rsidRPr="0027161E">
        <w:rPr>
          <w:rFonts w:asciiTheme="minorHAnsi" w:hAnsiTheme="minorHAnsi" w:cstheme="minorHAnsi"/>
        </w:rPr>
        <w:t xml:space="preserve">, N., </w:t>
      </w:r>
      <w:proofErr w:type="spellStart"/>
      <w:r w:rsidRPr="0027161E">
        <w:rPr>
          <w:rFonts w:asciiTheme="minorHAnsi" w:hAnsiTheme="minorHAnsi" w:cstheme="minorHAnsi"/>
        </w:rPr>
        <w:t>Rosyadi</w:t>
      </w:r>
      <w:proofErr w:type="spellEnd"/>
      <w:r w:rsidRPr="0027161E">
        <w:rPr>
          <w:rFonts w:asciiTheme="minorHAnsi" w:hAnsiTheme="minorHAnsi" w:cstheme="minorHAnsi"/>
        </w:rPr>
        <w:t xml:space="preserve">, A., &amp; </w:t>
      </w:r>
      <w:proofErr w:type="spellStart"/>
      <w:r w:rsidRPr="0027161E">
        <w:rPr>
          <w:rFonts w:asciiTheme="minorHAnsi" w:hAnsiTheme="minorHAnsi" w:cstheme="minorHAnsi"/>
        </w:rPr>
        <w:t>Aliyuddin</w:t>
      </w:r>
      <w:proofErr w:type="spellEnd"/>
      <w:r w:rsidRPr="0027161E">
        <w:rPr>
          <w:rFonts w:asciiTheme="minorHAnsi" w:hAnsiTheme="minorHAnsi" w:cstheme="minorHAnsi"/>
        </w:rPr>
        <w:t>, M. (2024). Why are millennials and Gen Z silently leaving their jobs? Unraveling the quiet quitting trend. Asian Management and Business Review, 4(2), 276–292. https://doi.org/10.20885/AMBR.vol4.iss2.art7</w:t>
      </w:r>
    </w:p>
    <w:p w14:paraId="3A07BECB" w14:textId="77777777" w:rsidR="0027161E" w:rsidRPr="0027161E"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Thaariq</w:t>
      </w:r>
      <w:proofErr w:type="spellEnd"/>
      <w:r w:rsidRPr="0027161E">
        <w:rPr>
          <w:rFonts w:asciiTheme="minorHAnsi" w:hAnsiTheme="minorHAnsi" w:cstheme="minorHAnsi"/>
        </w:rPr>
        <w:t xml:space="preserve">, M. F., &amp; </w:t>
      </w:r>
      <w:proofErr w:type="spellStart"/>
      <w:r w:rsidRPr="0027161E">
        <w:rPr>
          <w:rFonts w:asciiTheme="minorHAnsi" w:hAnsiTheme="minorHAnsi" w:cstheme="minorHAnsi"/>
        </w:rPr>
        <w:t>Indrayanti</w:t>
      </w:r>
      <w:proofErr w:type="spellEnd"/>
      <w:r w:rsidRPr="0027161E">
        <w:rPr>
          <w:rFonts w:asciiTheme="minorHAnsi" w:hAnsiTheme="minorHAnsi" w:cstheme="minorHAnsi"/>
        </w:rPr>
        <w:t>, I. (2021). The job stress of millennial employees reviewed from the viewpoint of organizational climate with team-member exchange as a moderator. ANIMA Indonesian Psychological Journal, 36(2), 156–183. https://doi.org/10.24123/aipj.v36i2.305</w:t>
      </w:r>
    </w:p>
    <w:p w14:paraId="47FAEC76" w14:textId="6E3CF438" w:rsidR="00F86E11" w:rsidRPr="00F86E11" w:rsidRDefault="0027161E" w:rsidP="0027161E">
      <w:pPr>
        <w:spacing w:before="240"/>
        <w:ind w:left="851" w:hanging="851"/>
        <w:jc w:val="both"/>
        <w:rPr>
          <w:rFonts w:asciiTheme="minorHAnsi" w:hAnsiTheme="minorHAnsi" w:cstheme="minorHAnsi"/>
        </w:rPr>
      </w:pPr>
      <w:proofErr w:type="spellStart"/>
      <w:r w:rsidRPr="0027161E">
        <w:rPr>
          <w:rFonts w:asciiTheme="minorHAnsi" w:hAnsiTheme="minorHAnsi" w:cstheme="minorHAnsi"/>
        </w:rPr>
        <w:t>Veren</w:t>
      </w:r>
      <w:proofErr w:type="spellEnd"/>
      <w:r w:rsidRPr="0027161E">
        <w:rPr>
          <w:rFonts w:asciiTheme="minorHAnsi" w:hAnsiTheme="minorHAnsi" w:cstheme="minorHAnsi"/>
        </w:rPr>
        <w:t xml:space="preserve">, K., </w:t>
      </w:r>
      <w:proofErr w:type="spellStart"/>
      <w:r w:rsidRPr="0027161E">
        <w:rPr>
          <w:rFonts w:asciiTheme="minorHAnsi" w:hAnsiTheme="minorHAnsi" w:cstheme="minorHAnsi"/>
        </w:rPr>
        <w:t>Zamralita</w:t>
      </w:r>
      <w:proofErr w:type="spellEnd"/>
      <w:r w:rsidRPr="0027161E">
        <w:rPr>
          <w:rFonts w:asciiTheme="minorHAnsi" w:hAnsiTheme="minorHAnsi" w:cstheme="minorHAnsi"/>
        </w:rPr>
        <w:t>, Z., &amp; Putra, I. R. P. (2026). The relationship between work stress and quiet quitting among generation Z employees. Private</w:t>
      </w:r>
      <w:r w:rsidRPr="0027161E">
        <w:t xml:space="preserve"> </w:t>
      </w:r>
      <w:r w:rsidRPr="0027161E">
        <w:rPr>
          <w:rFonts w:asciiTheme="minorHAnsi" w:hAnsiTheme="minorHAnsi" w:cstheme="minorHAnsi"/>
        </w:rPr>
        <w:t>Social Sciences Journal, 6(1), 61–72. https://doi.org/10.55942/pssj.v6i1.1012</w:t>
      </w:r>
    </w:p>
    <w:sectPr w:rsidR="00F86E11" w:rsidRPr="00F86E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AA02" w14:textId="77777777" w:rsidR="00864C49" w:rsidRDefault="00864C49" w:rsidP="008B7A4F">
      <w:r>
        <w:separator/>
      </w:r>
    </w:p>
  </w:endnote>
  <w:endnote w:type="continuationSeparator" w:id="0">
    <w:p w14:paraId="0B47328F" w14:textId="77777777" w:rsidR="00864C49" w:rsidRDefault="00864C49" w:rsidP="008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4339" w14:textId="77777777" w:rsidR="008B7A4F" w:rsidRDefault="008B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2D82" w14:textId="77777777" w:rsidR="008B7A4F" w:rsidRDefault="008B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119F" w14:textId="77777777" w:rsidR="008B7A4F" w:rsidRDefault="008B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98E2E" w14:textId="77777777" w:rsidR="00864C49" w:rsidRDefault="00864C49" w:rsidP="008B7A4F">
      <w:r>
        <w:separator/>
      </w:r>
    </w:p>
  </w:footnote>
  <w:footnote w:type="continuationSeparator" w:id="0">
    <w:p w14:paraId="162BF881" w14:textId="77777777" w:rsidR="00864C49" w:rsidRDefault="00864C49" w:rsidP="008B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E0A9" w14:textId="637A13ED" w:rsidR="008B7A4F" w:rsidRDefault="008B7A4F">
    <w:pPr>
      <w:pStyle w:val="Header"/>
    </w:pPr>
    <w:r>
      <w:rPr>
        <w:noProof/>
      </w:rPr>
      <w:pict w14:anchorId="4AA62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2285" w14:textId="5C9C74B0" w:rsidR="008B7A4F" w:rsidRDefault="008B7A4F">
    <w:pPr>
      <w:pStyle w:val="Header"/>
    </w:pPr>
    <w:r>
      <w:rPr>
        <w:noProof/>
      </w:rPr>
      <w:pict w14:anchorId="0A619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B926" w14:textId="3F7295B9" w:rsidR="008B7A4F" w:rsidRDefault="008B7A4F">
    <w:pPr>
      <w:pStyle w:val="Header"/>
    </w:pPr>
    <w:r>
      <w:rPr>
        <w:noProof/>
      </w:rPr>
      <w:pict w14:anchorId="48535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76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53"/>
    <w:rsid w:val="001B50F1"/>
    <w:rsid w:val="00233C59"/>
    <w:rsid w:val="00240D0E"/>
    <w:rsid w:val="0027161E"/>
    <w:rsid w:val="0063703F"/>
    <w:rsid w:val="00864C49"/>
    <w:rsid w:val="008B7A4F"/>
    <w:rsid w:val="00AE767D"/>
    <w:rsid w:val="00B44E49"/>
    <w:rsid w:val="00B85EA5"/>
    <w:rsid w:val="00CE7E5A"/>
    <w:rsid w:val="00D465CE"/>
    <w:rsid w:val="00ED5846"/>
    <w:rsid w:val="00EE7253"/>
    <w:rsid w:val="00F8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E4191"/>
  <w15:chartTrackingRefBased/>
  <w15:docId w15:val="{73A3D4E9-F765-40B9-82DF-50528F05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25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7253"/>
    <w:pPr>
      <w:ind w:left="165"/>
    </w:pPr>
    <w:rPr>
      <w:sz w:val="20"/>
      <w:szCs w:val="20"/>
    </w:rPr>
  </w:style>
  <w:style w:type="character" w:customStyle="1" w:styleId="BodyTextChar">
    <w:name w:val="Body Text Char"/>
    <w:basedOn w:val="DefaultParagraphFont"/>
    <w:link w:val="BodyText"/>
    <w:uiPriority w:val="1"/>
    <w:rsid w:val="00EE7253"/>
    <w:rPr>
      <w:rFonts w:ascii="Times New Roman" w:eastAsia="Times New Roman" w:hAnsi="Times New Roman" w:cs="Times New Roman"/>
      <w:sz w:val="20"/>
      <w:szCs w:val="20"/>
    </w:rPr>
  </w:style>
  <w:style w:type="paragraph" w:customStyle="1" w:styleId="Author">
    <w:name w:val="Author"/>
    <w:basedOn w:val="Normal"/>
    <w:rsid w:val="00EE7253"/>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EE7253"/>
    <w:pPr>
      <w:widowControl/>
      <w:autoSpaceDE/>
      <w:autoSpaceDN/>
      <w:spacing w:after="240" w:line="240" w:lineRule="exact"/>
      <w:jc w:val="right"/>
    </w:pPr>
    <w:rPr>
      <w:rFonts w:ascii="Helvetica" w:hAnsi="Helvetica"/>
      <w:sz w:val="20"/>
      <w:szCs w:val="20"/>
    </w:rPr>
  </w:style>
  <w:style w:type="table" w:styleId="TableGrid">
    <w:name w:val="Table Grid"/>
    <w:basedOn w:val="TableNormal"/>
    <w:uiPriority w:val="59"/>
    <w:rsid w:val="00EE725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253"/>
    <w:rPr>
      <w:color w:val="0563C1" w:themeColor="hyperlink"/>
      <w:u w:val="single"/>
    </w:rPr>
  </w:style>
  <w:style w:type="character" w:customStyle="1" w:styleId="UnresolvedMention1">
    <w:name w:val="Unresolved Mention1"/>
    <w:basedOn w:val="DefaultParagraphFont"/>
    <w:uiPriority w:val="99"/>
    <w:semiHidden/>
    <w:unhideWhenUsed/>
    <w:rsid w:val="0063703F"/>
    <w:rPr>
      <w:color w:val="605E5C"/>
      <w:shd w:val="clear" w:color="auto" w:fill="E1DFDD"/>
    </w:rPr>
  </w:style>
  <w:style w:type="paragraph" w:styleId="ListParagraph">
    <w:name w:val="List Paragraph"/>
    <w:basedOn w:val="Normal"/>
    <w:uiPriority w:val="34"/>
    <w:qFormat/>
    <w:rsid w:val="0027161E"/>
    <w:pPr>
      <w:ind w:left="720"/>
      <w:contextualSpacing/>
    </w:pPr>
  </w:style>
  <w:style w:type="paragraph" w:styleId="Header">
    <w:name w:val="header"/>
    <w:basedOn w:val="Normal"/>
    <w:link w:val="HeaderChar"/>
    <w:uiPriority w:val="99"/>
    <w:unhideWhenUsed/>
    <w:rsid w:val="008B7A4F"/>
    <w:pPr>
      <w:tabs>
        <w:tab w:val="center" w:pos="4680"/>
        <w:tab w:val="right" w:pos="9360"/>
      </w:tabs>
    </w:pPr>
  </w:style>
  <w:style w:type="character" w:customStyle="1" w:styleId="HeaderChar">
    <w:name w:val="Header Char"/>
    <w:basedOn w:val="DefaultParagraphFont"/>
    <w:link w:val="Header"/>
    <w:uiPriority w:val="99"/>
    <w:rsid w:val="008B7A4F"/>
    <w:rPr>
      <w:rFonts w:ascii="Times New Roman" w:eastAsia="Times New Roman" w:hAnsi="Times New Roman" w:cs="Times New Roman"/>
    </w:rPr>
  </w:style>
  <w:style w:type="paragraph" w:styleId="Footer">
    <w:name w:val="footer"/>
    <w:basedOn w:val="Normal"/>
    <w:link w:val="FooterChar"/>
    <w:uiPriority w:val="99"/>
    <w:unhideWhenUsed/>
    <w:rsid w:val="008B7A4F"/>
    <w:pPr>
      <w:tabs>
        <w:tab w:val="center" w:pos="4680"/>
        <w:tab w:val="right" w:pos="9360"/>
      </w:tabs>
    </w:pPr>
  </w:style>
  <w:style w:type="character" w:customStyle="1" w:styleId="FooterChar">
    <w:name w:val="Footer Char"/>
    <w:basedOn w:val="DefaultParagraphFont"/>
    <w:link w:val="Footer"/>
    <w:uiPriority w:val="99"/>
    <w:rsid w:val="008B7A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ps.go.id/id/publication/2024/12/09/6f1fd1036968c8a28e4cfe26/keadaan-angkatan-kerja-di-indonesia-agustus-2024.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5042</Words>
  <Characters>28742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1084</cp:lastModifiedBy>
  <cp:revision>12</cp:revision>
  <dcterms:created xsi:type="dcterms:W3CDTF">2026-05-04T02:32:00Z</dcterms:created>
  <dcterms:modified xsi:type="dcterms:W3CDTF">2026-05-05T09:32:00Z</dcterms:modified>
</cp:coreProperties>
</file>