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716C" w14:textId="3D3B640A" w:rsidR="003A212C" w:rsidRDefault="00C40BC0" w:rsidP="00074633">
      <w:pPr>
        <w:spacing w:after="120" w:line="240" w:lineRule="auto"/>
        <w:jc w:val="center"/>
        <w:rPr>
          <w:rFonts w:ascii="Times New Roman" w:hAnsi="Times New Roman" w:cs="Times New Roman"/>
          <w:b/>
          <w:bCs/>
          <w:color w:val="000000" w:themeColor="text1"/>
        </w:rPr>
      </w:pPr>
      <w:r w:rsidRPr="00C40BC0">
        <w:rPr>
          <w:rFonts w:ascii="Times New Roman" w:hAnsi="Times New Roman" w:cs="Times New Roman"/>
          <w:b/>
          <w:bCs/>
          <w:color w:val="000000" w:themeColor="text1"/>
        </w:rPr>
        <w:t>Culturable Bacterial and Fungal Diversity in Hydrocarbon-Impacted Soils of Selected Communities in Bayelsa State, Nigeria</w:t>
      </w:r>
    </w:p>
    <w:p w14:paraId="2A79AFDF" w14:textId="77777777" w:rsidR="00E21379" w:rsidRDefault="00E21379" w:rsidP="00074633">
      <w:pPr>
        <w:spacing w:after="120" w:line="240" w:lineRule="auto"/>
        <w:jc w:val="center"/>
        <w:rPr>
          <w:rFonts w:ascii="Times New Roman" w:hAnsi="Times New Roman" w:cs="Times New Roman"/>
          <w:b/>
          <w:bCs/>
          <w:color w:val="000000" w:themeColor="text1"/>
        </w:rPr>
      </w:pPr>
    </w:p>
    <w:p w14:paraId="15B0BAA3" w14:textId="77777777" w:rsidR="00E21379" w:rsidRDefault="00E21379" w:rsidP="006E5204">
      <w:pPr>
        <w:spacing w:after="120" w:line="240" w:lineRule="auto"/>
        <w:jc w:val="center"/>
      </w:pPr>
    </w:p>
    <w:p w14:paraId="0D086A6B" w14:textId="5B65D0C7" w:rsidR="00BA52AA" w:rsidRPr="00BA52AA" w:rsidRDefault="00BA52AA" w:rsidP="000871FA">
      <w:pPr>
        <w:spacing w:after="120" w:line="240" w:lineRule="auto"/>
        <w:jc w:val="both"/>
        <w:rPr>
          <w:rFonts w:ascii="Times New Roman" w:hAnsi="Times New Roman" w:cs="Times New Roman"/>
          <w:b/>
          <w:bCs/>
          <w:color w:val="000000" w:themeColor="text1"/>
        </w:rPr>
      </w:pPr>
      <w:r w:rsidRPr="00BA52AA">
        <w:rPr>
          <w:rFonts w:ascii="Times New Roman" w:eastAsia="Times New Roman" w:hAnsi="Times New Roman" w:cs="Times New Roman"/>
          <w:b/>
          <w:bCs/>
          <w:color w:val="000000" w:themeColor="text1"/>
          <w:kern w:val="0"/>
          <w14:ligatures w14:val="none"/>
        </w:rPr>
        <w:t>Abstract</w:t>
      </w:r>
    </w:p>
    <w:p w14:paraId="6CDC55D0" w14:textId="77777777" w:rsidR="00D26691" w:rsidRPr="00D26691" w:rsidRDefault="00D26691" w:rsidP="000871FA">
      <w:pPr>
        <w:spacing w:after="120" w:line="240" w:lineRule="auto"/>
        <w:jc w:val="both"/>
        <w:rPr>
          <w:rFonts w:ascii="Times New Roman" w:eastAsia="Times New Roman" w:hAnsi="Times New Roman" w:cs="Times New Roman"/>
          <w:color w:val="000000" w:themeColor="text1"/>
          <w:kern w:val="0"/>
          <w14:ligatures w14:val="none"/>
        </w:rPr>
      </w:pPr>
      <w:r w:rsidRPr="00D26691">
        <w:rPr>
          <w:rFonts w:ascii="Times New Roman" w:hAnsi="Times New Roman" w:cs="Times New Roman"/>
          <w:color w:val="000000" w:themeColor="text1"/>
        </w:rPr>
        <w:t>This study assessed culturable bacterial and fungal communities in hydrocarbon-impacted soils from three oil-producing communities (</w:t>
      </w:r>
      <w:proofErr w:type="spellStart"/>
      <w:r w:rsidRPr="00D26691">
        <w:rPr>
          <w:rFonts w:ascii="Times New Roman" w:hAnsi="Times New Roman" w:cs="Times New Roman"/>
          <w:color w:val="000000" w:themeColor="text1"/>
        </w:rPr>
        <w:t>Otuan</w:t>
      </w:r>
      <w:proofErr w:type="spellEnd"/>
      <w:r w:rsidRPr="00D26691">
        <w:rPr>
          <w:rFonts w:ascii="Times New Roman" w:hAnsi="Times New Roman" w:cs="Times New Roman"/>
          <w:color w:val="000000" w:themeColor="text1"/>
        </w:rPr>
        <w:t xml:space="preserve">, </w:t>
      </w:r>
      <w:proofErr w:type="spellStart"/>
      <w:r w:rsidRPr="00D26691">
        <w:rPr>
          <w:rFonts w:ascii="Times New Roman" w:hAnsi="Times New Roman" w:cs="Times New Roman"/>
          <w:color w:val="000000" w:themeColor="text1"/>
        </w:rPr>
        <w:t>Imiringi</w:t>
      </w:r>
      <w:proofErr w:type="spellEnd"/>
      <w:r w:rsidRPr="00D26691">
        <w:rPr>
          <w:rFonts w:ascii="Times New Roman" w:hAnsi="Times New Roman" w:cs="Times New Roman"/>
          <w:color w:val="000000" w:themeColor="text1"/>
        </w:rPr>
        <w:t xml:space="preserve">, and </w:t>
      </w:r>
      <w:proofErr w:type="spellStart"/>
      <w:r w:rsidRPr="00D26691">
        <w:rPr>
          <w:rFonts w:ascii="Times New Roman" w:hAnsi="Times New Roman" w:cs="Times New Roman"/>
          <w:color w:val="000000" w:themeColor="text1"/>
        </w:rPr>
        <w:t>Obuna</w:t>
      </w:r>
      <w:proofErr w:type="spellEnd"/>
      <w:r w:rsidRPr="00D26691">
        <w:rPr>
          <w:rFonts w:ascii="Times New Roman" w:hAnsi="Times New Roman" w:cs="Times New Roman"/>
          <w:color w:val="000000" w:themeColor="text1"/>
        </w:rPr>
        <w:t xml:space="preserve">) in Bayelsa State, Nigeria. Composite soil samples were collected at 0–10 cm and 10–30 cm depths and analyzed using standard culture-based methods. Total heterotrophic bacterial counts (THBC) were higher in surface soils, ranging from 51.0 ± 2.65 to 69.0 ± 3.00 × 10⁴ CFU g⁻¹, compared with subsurface values of 23.3 ± 2.52 to 45.0 ± 3.00 × 10⁴ CFU g⁻¹, with significant spatial variation (p &lt; 0.001). Hydrocarbon-utilizing bacteria ranged from 18.3 ± 2.52 to 20.3 ± 2.52 × 10⁴ CFU g⁻¹ at 0–10 cm and 11.0 ± 2.00 to 17.0 ± 2.00 × 10⁴ CFU g⁻¹ at 10–30 cm. Total fungal counts ranged from 15.3 ± 2.52 to 21.0 ± 2.65 × 10⁴ CFU g⁻¹ at 0–10 cm and 10.0 ± 2.00 to 13.0 ± 2.00 × 10⁴ CFU g⁻¹ at 10–30 cm. Dominant isolates included </w:t>
      </w:r>
      <w:r w:rsidRPr="00846B9E">
        <w:rPr>
          <w:rFonts w:ascii="Times New Roman" w:hAnsi="Times New Roman" w:cs="Times New Roman"/>
          <w:i/>
          <w:iCs/>
          <w:color w:val="000000" w:themeColor="text1"/>
        </w:rPr>
        <w:t xml:space="preserve">Pseudomonas aeruginosa, Bacillus cereus, Aspergillus </w:t>
      </w:r>
      <w:proofErr w:type="spellStart"/>
      <w:r w:rsidRPr="00846B9E">
        <w:rPr>
          <w:rFonts w:ascii="Times New Roman" w:hAnsi="Times New Roman" w:cs="Times New Roman"/>
          <w:i/>
          <w:iCs/>
          <w:color w:val="000000" w:themeColor="text1"/>
        </w:rPr>
        <w:t>niger</w:t>
      </w:r>
      <w:proofErr w:type="spellEnd"/>
      <w:r w:rsidRPr="00846B9E">
        <w:rPr>
          <w:rFonts w:ascii="Times New Roman" w:hAnsi="Times New Roman" w:cs="Times New Roman"/>
          <w:i/>
          <w:iCs/>
          <w:color w:val="000000" w:themeColor="text1"/>
        </w:rPr>
        <w:t xml:space="preserve">, </w:t>
      </w:r>
      <w:r w:rsidRPr="00846B9E">
        <w:rPr>
          <w:rFonts w:ascii="Times New Roman" w:hAnsi="Times New Roman" w:cs="Times New Roman"/>
          <w:color w:val="000000" w:themeColor="text1"/>
        </w:rPr>
        <w:t>and</w:t>
      </w:r>
      <w:r w:rsidRPr="00846B9E">
        <w:rPr>
          <w:rFonts w:ascii="Times New Roman" w:hAnsi="Times New Roman" w:cs="Times New Roman"/>
          <w:i/>
          <w:iCs/>
          <w:color w:val="000000" w:themeColor="text1"/>
        </w:rPr>
        <w:t xml:space="preserve"> Penicillium sp.,</w:t>
      </w:r>
      <w:r w:rsidRPr="00D26691">
        <w:rPr>
          <w:rFonts w:ascii="Times New Roman" w:hAnsi="Times New Roman" w:cs="Times New Roman"/>
          <w:color w:val="000000" w:themeColor="text1"/>
        </w:rPr>
        <w:t xml:space="preserve"> indicating adaptation to petroleum contamination and bioremediation potential. However, the study was limited by culture-dependent methods, absence of physicochemical data, and small sample size. Future studies should integrate molecular sequencing and broader environmental assessment.</w:t>
      </w:r>
      <w:r w:rsidRPr="00D26691">
        <w:rPr>
          <w:rFonts w:ascii="Times New Roman" w:eastAsia="Times New Roman" w:hAnsi="Times New Roman" w:cs="Times New Roman"/>
          <w:color w:val="000000" w:themeColor="text1"/>
          <w:kern w:val="0"/>
          <w14:ligatures w14:val="none"/>
        </w:rPr>
        <w:t xml:space="preserve"> </w:t>
      </w:r>
    </w:p>
    <w:p w14:paraId="5C755C20" w14:textId="7477E176" w:rsidR="00C40BC0" w:rsidRPr="001A6333" w:rsidRDefault="00BA52AA" w:rsidP="000871FA">
      <w:pPr>
        <w:spacing w:after="120" w:line="240" w:lineRule="auto"/>
        <w:jc w:val="both"/>
        <w:rPr>
          <w:rFonts w:ascii="Times New Roman" w:hAnsi="Times New Roman" w:cs="Times New Roman"/>
        </w:rPr>
      </w:pPr>
      <w:r w:rsidRPr="001A6333">
        <w:rPr>
          <w:rStyle w:val="Strong"/>
          <w:rFonts w:ascii="Times New Roman" w:hAnsi="Times New Roman" w:cs="Times New Roman"/>
          <w:color w:val="000000" w:themeColor="text1"/>
        </w:rPr>
        <w:t>Keywords:</w:t>
      </w:r>
      <w:r w:rsidRPr="001A6333">
        <w:rPr>
          <w:rFonts w:ascii="Times New Roman" w:hAnsi="Times New Roman" w:cs="Times New Roman"/>
          <w:color w:val="000000" w:themeColor="text1"/>
        </w:rPr>
        <w:br/>
      </w:r>
      <w:r w:rsidR="00C40BC0" w:rsidRPr="001A6333">
        <w:rPr>
          <w:rFonts w:ascii="Times New Roman" w:hAnsi="Times New Roman" w:cs="Times New Roman"/>
        </w:rPr>
        <w:t>Hydrocarbon-contaminated soil; Soil microbiome; Hydrocarbon-utilizing bacteria; Fungal diversity; Niger Delta; Bioremediation</w:t>
      </w:r>
    </w:p>
    <w:p w14:paraId="0F3274ED" w14:textId="66B6F4D8" w:rsidR="00B47F6D" w:rsidRPr="00B47F6D" w:rsidRDefault="00B47F6D" w:rsidP="000871FA">
      <w:pPr>
        <w:spacing w:after="120" w:line="240" w:lineRule="auto"/>
        <w:jc w:val="both"/>
        <w:rPr>
          <w:rFonts w:ascii="Times New Roman" w:hAnsi="Times New Roman" w:cs="Times New Roman"/>
          <w:b/>
          <w:bCs/>
          <w:color w:val="000000" w:themeColor="text1"/>
        </w:rPr>
      </w:pPr>
      <w:r w:rsidRPr="00B47F6D">
        <w:rPr>
          <w:rFonts w:ascii="Times New Roman" w:eastAsia="Times New Roman" w:hAnsi="Times New Roman" w:cs="Times New Roman"/>
          <w:b/>
          <w:bCs/>
          <w:color w:val="000000" w:themeColor="text1"/>
          <w:kern w:val="0"/>
          <w14:ligatures w14:val="none"/>
        </w:rPr>
        <w:t>Introduction</w:t>
      </w:r>
    </w:p>
    <w:p w14:paraId="1DBC5249" w14:textId="34348E3B" w:rsidR="00B47F6D" w:rsidRPr="001A6333"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1A6333">
        <w:rPr>
          <w:rFonts w:ascii="Times New Roman" w:eastAsia="Times New Roman" w:hAnsi="Times New Roman" w:cs="Times New Roman"/>
          <w:color w:val="000000" w:themeColor="text1"/>
          <w:kern w:val="0"/>
          <w14:ligatures w14:val="none"/>
        </w:rPr>
        <w:t>Soil microbial communities are central to ecosystem functioning, driving nutrient cycling, organic matter turnover, soil structure formation, and the natural attenuation of contaminants. In petroleum-impacted environments, microorganisms play a particularly critical role by mediating the biodegradation of hydrocarbons, thereby influencing soil recovery and ecological resilience (Atlas &amp; Bartha, 1998; Pepper et al., 2015). The Niger Delta of Nigeria, one of the world’s most extensively oil-exploited regions, has experienced chronic hydrocarbon contamination due to oil spills, pipeline leakages, gas flaring, and artisanal refining, with profound consequences for soil quality, biodiversity, and public health (</w:t>
      </w:r>
      <w:proofErr w:type="spellStart"/>
      <w:r w:rsidRPr="001A6333">
        <w:rPr>
          <w:rFonts w:ascii="Times New Roman" w:eastAsia="Times New Roman" w:hAnsi="Times New Roman" w:cs="Times New Roman"/>
          <w:color w:val="000000" w:themeColor="text1"/>
          <w:kern w:val="0"/>
          <w14:ligatures w14:val="none"/>
        </w:rPr>
        <w:t>Nwankwoala</w:t>
      </w:r>
      <w:proofErr w:type="spellEnd"/>
      <w:r w:rsidRPr="001A6333">
        <w:rPr>
          <w:rFonts w:ascii="Times New Roman" w:eastAsia="Times New Roman" w:hAnsi="Times New Roman" w:cs="Times New Roman"/>
          <w:color w:val="000000" w:themeColor="text1"/>
          <w:kern w:val="0"/>
          <w14:ligatures w14:val="none"/>
        </w:rPr>
        <w:t xml:space="preserve"> &amp; </w:t>
      </w:r>
      <w:proofErr w:type="spellStart"/>
      <w:r w:rsidRPr="001A6333">
        <w:rPr>
          <w:rFonts w:ascii="Times New Roman" w:eastAsia="Times New Roman" w:hAnsi="Times New Roman" w:cs="Times New Roman"/>
          <w:color w:val="000000" w:themeColor="text1"/>
          <w:kern w:val="0"/>
          <w14:ligatures w14:val="none"/>
        </w:rPr>
        <w:t>Ememu</w:t>
      </w:r>
      <w:proofErr w:type="spellEnd"/>
      <w:r w:rsidRPr="001A6333">
        <w:rPr>
          <w:rFonts w:ascii="Times New Roman" w:eastAsia="Times New Roman" w:hAnsi="Times New Roman" w:cs="Times New Roman"/>
          <w:color w:val="000000" w:themeColor="text1"/>
          <w:kern w:val="0"/>
          <w14:ligatures w14:val="none"/>
        </w:rPr>
        <w:t>, 2018; Okoh et al., 2019</w:t>
      </w:r>
      <w:r w:rsidR="00086FDC" w:rsidRPr="001A6333">
        <w:rPr>
          <w:rFonts w:ascii="Times New Roman" w:eastAsia="Times New Roman" w:hAnsi="Times New Roman" w:cs="Times New Roman"/>
          <w:color w:val="000000" w:themeColor="text1"/>
          <w:kern w:val="0"/>
          <w14:ligatures w14:val="none"/>
        </w:rPr>
        <w:t xml:space="preserve">; </w:t>
      </w:r>
      <w:proofErr w:type="spellStart"/>
      <w:r w:rsidR="00086FDC" w:rsidRPr="001A6333">
        <w:rPr>
          <w:rFonts w:ascii="Times New Roman" w:hAnsi="Times New Roman" w:cs="Times New Roman"/>
          <w:color w:val="000000" w:themeColor="text1"/>
        </w:rPr>
        <w:t>Fenibo</w:t>
      </w:r>
      <w:proofErr w:type="spellEnd"/>
      <w:r w:rsidR="00086FDC" w:rsidRPr="001A6333">
        <w:rPr>
          <w:rFonts w:ascii="Times New Roman" w:hAnsi="Times New Roman" w:cs="Times New Roman"/>
          <w:color w:val="000000" w:themeColor="text1"/>
        </w:rPr>
        <w:t xml:space="preserve"> et al., 2024</w:t>
      </w:r>
      <w:r w:rsidRPr="001A6333">
        <w:rPr>
          <w:rFonts w:ascii="Times New Roman" w:eastAsia="Times New Roman" w:hAnsi="Times New Roman" w:cs="Times New Roman"/>
          <w:color w:val="000000" w:themeColor="text1"/>
          <w:kern w:val="0"/>
          <w14:ligatures w14:val="none"/>
        </w:rPr>
        <w:t>).</w:t>
      </w:r>
    </w:p>
    <w:p w14:paraId="5CAD781C" w14:textId="6BACA379" w:rsidR="00B47F6D" w:rsidRPr="001A6333"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1A6333">
        <w:rPr>
          <w:rFonts w:ascii="Times New Roman" w:eastAsia="Times New Roman" w:hAnsi="Times New Roman" w:cs="Times New Roman"/>
          <w:color w:val="000000" w:themeColor="text1"/>
          <w:kern w:val="0"/>
          <w14:ligatures w14:val="none"/>
        </w:rPr>
        <w:t>Hydrocarbon contamination alters soil physicochemical properties and selectively shapes microbial community structure by favoring hydrocarbon-</w:t>
      </w:r>
      <w:proofErr w:type="spellStart"/>
      <w:r w:rsidRPr="001A6333">
        <w:rPr>
          <w:rFonts w:ascii="Times New Roman" w:eastAsia="Times New Roman" w:hAnsi="Times New Roman" w:cs="Times New Roman"/>
          <w:color w:val="000000" w:themeColor="text1"/>
          <w:kern w:val="0"/>
          <w14:ligatures w14:val="none"/>
        </w:rPr>
        <w:t>utilising</w:t>
      </w:r>
      <w:proofErr w:type="spellEnd"/>
      <w:r w:rsidRPr="001A6333">
        <w:rPr>
          <w:rFonts w:ascii="Times New Roman" w:eastAsia="Times New Roman" w:hAnsi="Times New Roman" w:cs="Times New Roman"/>
          <w:color w:val="000000" w:themeColor="text1"/>
          <w:kern w:val="0"/>
          <w14:ligatures w14:val="none"/>
        </w:rPr>
        <w:t xml:space="preserve"> bacteria (HUB) and stress-tolerant taxa, while potentially suppressing sensitive heterotrophic and fungal populations. Studies have shown that oil-impacted soils often exhibit elevated proportions of genera such as </w:t>
      </w:r>
      <w:r w:rsidRPr="001A6333">
        <w:rPr>
          <w:rFonts w:ascii="Times New Roman" w:eastAsia="Times New Roman" w:hAnsi="Times New Roman" w:cs="Times New Roman"/>
          <w:i/>
          <w:iCs/>
          <w:color w:val="000000" w:themeColor="text1"/>
          <w:kern w:val="0"/>
          <w14:ligatures w14:val="none"/>
        </w:rPr>
        <w:t>Pseudomonas</w:t>
      </w:r>
      <w:r w:rsidRPr="001A6333">
        <w:rPr>
          <w:rFonts w:ascii="Times New Roman" w:eastAsia="Times New Roman" w:hAnsi="Times New Roman" w:cs="Times New Roman"/>
          <w:color w:val="000000" w:themeColor="text1"/>
          <w:kern w:val="0"/>
          <w14:ligatures w14:val="none"/>
        </w:rPr>
        <w:t xml:space="preserve">, </w:t>
      </w:r>
      <w:r w:rsidRPr="001A6333">
        <w:rPr>
          <w:rFonts w:ascii="Times New Roman" w:eastAsia="Times New Roman" w:hAnsi="Times New Roman" w:cs="Times New Roman"/>
          <w:i/>
          <w:iCs/>
          <w:color w:val="000000" w:themeColor="text1"/>
          <w:kern w:val="0"/>
          <w14:ligatures w14:val="none"/>
        </w:rPr>
        <w:t>Bacillus</w:t>
      </w:r>
      <w:r w:rsidRPr="001A6333">
        <w:rPr>
          <w:rFonts w:ascii="Times New Roman" w:eastAsia="Times New Roman" w:hAnsi="Times New Roman" w:cs="Times New Roman"/>
          <w:color w:val="000000" w:themeColor="text1"/>
          <w:kern w:val="0"/>
          <w14:ligatures w14:val="none"/>
        </w:rPr>
        <w:t xml:space="preserve">, </w:t>
      </w:r>
      <w:r w:rsidRPr="001A6333">
        <w:rPr>
          <w:rFonts w:ascii="Times New Roman" w:eastAsia="Times New Roman" w:hAnsi="Times New Roman" w:cs="Times New Roman"/>
          <w:i/>
          <w:iCs/>
          <w:color w:val="000000" w:themeColor="text1"/>
          <w:kern w:val="0"/>
          <w14:ligatures w14:val="none"/>
        </w:rPr>
        <w:t>Acinetobacter</w:t>
      </w:r>
      <w:r w:rsidRPr="001A6333">
        <w:rPr>
          <w:rFonts w:ascii="Times New Roman" w:eastAsia="Times New Roman" w:hAnsi="Times New Roman" w:cs="Times New Roman"/>
          <w:color w:val="000000" w:themeColor="text1"/>
          <w:kern w:val="0"/>
          <w14:ligatures w14:val="none"/>
        </w:rPr>
        <w:t xml:space="preserve">, and </w:t>
      </w:r>
      <w:r w:rsidRPr="001A6333">
        <w:rPr>
          <w:rFonts w:ascii="Times New Roman" w:eastAsia="Times New Roman" w:hAnsi="Times New Roman" w:cs="Times New Roman"/>
          <w:i/>
          <w:iCs/>
          <w:color w:val="000000" w:themeColor="text1"/>
          <w:kern w:val="0"/>
          <w14:ligatures w14:val="none"/>
        </w:rPr>
        <w:t>Enterobacter</w:t>
      </w:r>
      <w:r w:rsidRPr="001A6333">
        <w:rPr>
          <w:rFonts w:ascii="Times New Roman" w:eastAsia="Times New Roman" w:hAnsi="Times New Roman" w:cs="Times New Roman"/>
          <w:color w:val="000000" w:themeColor="text1"/>
          <w:kern w:val="0"/>
          <w14:ligatures w14:val="none"/>
        </w:rPr>
        <w:t>, which possess enzymatic systems capable of degrading aliphatic and aromatic hydrocarbons (Atlas, 2010; Adams et al., 2015</w:t>
      </w:r>
      <w:r w:rsidR="00460790" w:rsidRPr="001A6333">
        <w:rPr>
          <w:rFonts w:ascii="Times New Roman" w:eastAsia="Times New Roman" w:hAnsi="Times New Roman" w:cs="Times New Roman"/>
          <w:color w:val="000000" w:themeColor="text1"/>
          <w:kern w:val="0"/>
          <w14:ligatures w14:val="none"/>
        </w:rPr>
        <w:t xml:space="preserve">; </w:t>
      </w:r>
      <w:r w:rsidR="00460790" w:rsidRPr="001A6333">
        <w:rPr>
          <w:rFonts w:ascii="Times New Roman" w:hAnsi="Times New Roman" w:cs="Times New Roman"/>
          <w:color w:val="000000" w:themeColor="text1"/>
        </w:rPr>
        <w:t xml:space="preserve">Evans et al., </w:t>
      </w:r>
      <w:r w:rsidR="00086FDC" w:rsidRPr="001A6333">
        <w:rPr>
          <w:rFonts w:ascii="Times New Roman" w:hAnsi="Times New Roman" w:cs="Times New Roman"/>
          <w:color w:val="000000" w:themeColor="text1"/>
        </w:rPr>
        <w:t xml:space="preserve">2024; </w:t>
      </w:r>
      <w:proofErr w:type="spellStart"/>
      <w:r w:rsidR="00086FDC" w:rsidRPr="001A6333">
        <w:rPr>
          <w:rFonts w:ascii="Times New Roman" w:hAnsi="Times New Roman" w:cs="Times New Roman"/>
          <w:color w:val="000000" w:themeColor="text1"/>
        </w:rPr>
        <w:t>Onianwah</w:t>
      </w:r>
      <w:proofErr w:type="spellEnd"/>
      <w:r w:rsidR="00086FDC" w:rsidRPr="001A6333">
        <w:rPr>
          <w:rFonts w:ascii="Times New Roman" w:hAnsi="Times New Roman" w:cs="Times New Roman"/>
          <w:color w:val="000000" w:themeColor="text1"/>
        </w:rPr>
        <w:t xml:space="preserve"> et al., 2022</w:t>
      </w:r>
      <w:r w:rsidR="001A6333" w:rsidRPr="001A6333">
        <w:rPr>
          <w:rFonts w:ascii="Times New Roman" w:hAnsi="Times New Roman" w:cs="Times New Roman"/>
          <w:color w:val="000000" w:themeColor="text1"/>
        </w:rPr>
        <w:t xml:space="preserve">; </w:t>
      </w:r>
      <w:r w:rsidR="001A6333" w:rsidRPr="001A6333">
        <w:rPr>
          <w:rFonts w:ascii="Times New Roman" w:hAnsi="Times New Roman" w:cs="Times New Roman"/>
          <w:color w:val="000000" w:themeColor="text1"/>
          <w:lang w:val="en-GB"/>
        </w:rPr>
        <w:t>Bidja Abena et al., 2020</w:t>
      </w:r>
      <w:r w:rsidRPr="001A6333">
        <w:rPr>
          <w:rFonts w:ascii="Times New Roman" w:eastAsia="Times New Roman" w:hAnsi="Times New Roman" w:cs="Times New Roman"/>
          <w:color w:val="000000" w:themeColor="text1"/>
          <w:kern w:val="0"/>
          <w14:ligatures w14:val="none"/>
        </w:rPr>
        <w:t xml:space="preserve">). Fungal taxa, particularly </w:t>
      </w:r>
      <w:r w:rsidRPr="001A6333">
        <w:rPr>
          <w:rFonts w:ascii="Times New Roman" w:eastAsia="Times New Roman" w:hAnsi="Times New Roman" w:cs="Times New Roman"/>
          <w:i/>
          <w:iCs/>
          <w:color w:val="000000" w:themeColor="text1"/>
          <w:kern w:val="0"/>
          <w14:ligatures w14:val="none"/>
        </w:rPr>
        <w:t>Aspergillus</w:t>
      </w:r>
      <w:r w:rsidRPr="001A6333">
        <w:rPr>
          <w:rFonts w:ascii="Times New Roman" w:eastAsia="Times New Roman" w:hAnsi="Times New Roman" w:cs="Times New Roman"/>
          <w:color w:val="000000" w:themeColor="text1"/>
          <w:kern w:val="0"/>
          <w14:ligatures w14:val="none"/>
        </w:rPr>
        <w:t xml:space="preserve">, </w:t>
      </w:r>
      <w:r w:rsidRPr="001A6333">
        <w:rPr>
          <w:rFonts w:ascii="Times New Roman" w:eastAsia="Times New Roman" w:hAnsi="Times New Roman" w:cs="Times New Roman"/>
          <w:i/>
          <w:iCs/>
          <w:color w:val="000000" w:themeColor="text1"/>
          <w:kern w:val="0"/>
          <w14:ligatures w14:val="none"/>
        </w:rPr>
        <w:t>Penicillium</w:t>
      </w:r>
      <w:r w:rsidRPr="001A6333">
        <w:rPr>
          <w:rFonts w:ascii="Times New Roman" w:eastAsia="Times New Roman" w:hAnsi="Times New Roman" w:cs="Times New Roman"/>
          <w:color w:val="000000" w:themeColor="text1"/>
          <w:kern w:val="0"/>
          <w14:ligatures w14:val="none"/>
        </w:rPr>
        <w:t xml:space="preserve">, and </w:t>
      </w:r>
      <w:r w:rsidRPr="001A6333">
        <w:rPr>
          <w:rFonts w:ascii="Times New Roman" w:eastAsia="Times New Roman" w:hAnsi="Times New Roman" w:cs="Times New Roman"/>
          <w:i/>
          <w:iCs/>
          <w:color w:val="000000" w:themeColor="text1"/>
          <w:kern w:val="0"/>
          <w14:ligatures w14:val="none"/>
        </w:rPr>
        <w:t>Rhizopus</w:t>
      </w:r>
      <w:r w:rsidRPr="001A6333">
        <w:rPr>
          <w:rFonts w:ascii="Times New Roman" w:eastAsia="Times New Roman" w:hAnsi="Times New Roman" w:cs="Times New Roman"/>
          <w:color w:val="000000" w:themeColor="text1"/>
          <w:kern w:val="0"/>
          <w14:ligatures w14:val="none"/>
        </w:rPr>
        <w:t>, also contribute to hydrocarbon transformation through extracellular oxidative enzymes and hyphal penetration of soil matrices (Barnett &amp; Hunter, 1998; Quesada &amp; Lasker, 2019).</w:t>
      </w:r>
    </w:p>
    <w:p w14:paraId="05E5AFDA" w14:textId="77777777" w:rsidR="00B47F6D" w:rsidRPr="001A6333"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1A6333">
        <w:rPr>
          <w:rFonts w:ascii="Times New Roman" w:eastAsia="Times New Roman" w:hAnsi="Times New Roman" w:cs="Times New Roman"/>
          <w:color w:val="000000" w:themeColor="text1"/>
          <w:kern w:val="0"/>
          <w14:ligatures w14:val="none"/>
        </w:rPr>
        <w:lastRenderedPageBreak/>
        <w:t>Despite the ecological importance of soil microbiomes in oil-polluted environments, community-level data for many oil-producing communities in Bayelsa State remain sparse. Most existing studies focus on bulk contamination levels, with limited emphasis on depth-related patterns and spatial variation in culturable bacterial and fungal assemblages. Depth stratification is particularly important because surface soils (0–10 cm) are more directly exposed to contamination and oxygen availability, whereas subsurface soils (10–30 cm) experience reduced aeration and altered substrate diffusion, potentially shaping microbial abundance and functional potential (Pepper et al., 2015; Okoh et al., 2019).</w:t>
      </w:r>
    </w:p>
    <w:p w14:paraId="57980454" w14:textId="77777777" w:rsidR="00B47F6D" w:rsidRPr="001A6333"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1A6333">
        <w:rPr>
          <w:rFonts w:ascii="Times New Roman" w:eastAsia="Times New Roman" w:hAnsi="Times New Roman" w:cs="Times New Roman"/>
          <w:color w:val="000000" w:themeColor="text1"/>
          <w:kern w:val="0"/>
          <w14:ligatures w14:val="none"/>
        </w:rPr>
        <w:t>Therefore, this study assessed the abundance and composition of culturable total heterotrophic bacteria (THBC), hydrocarbon-</w:t>
      </w:r>
      <w:proofErr w:type="spellStart"/>
      <w:r w:rsidRPr="001A6333">
        <w:rPr>
          <w:rFonts w:ascii="Times New Roman" w:eastAsia="Times New Roman" w:hAnsi="Times New Roman" w:cs="Times New Roman"/>
          <w:color w:val="000000" w:themeColor="text1"/>
          <w:kern w:val="0"/>
          <w14:ligatures w14:val="none"/>
        </w:rPr>
        <w:t>utilising</w:t>
      </w:r>
      <w:proofErr w:type="spellEnd"/>
      <w:r w:rsidRPr="001A6333">
        <w:rPr>
          <w:rFonts w:ascii="Times New Roman" w:eastAsia="Times New Roman" w:hAnsi="Times New Roman" w:cs="Times New Roman"/>
          <w:color w:val="000000" w:themeColor="text1"/>
          <w:kern w:val="0"/>
          <w14:ligatures w14:val="none"/>
        </w:rPr>
        <w:t xml:space="preserve"> bacteria (HUB), and total fungal counts (TFC) in hydrocarbon-impacted soils from three oil-producing communities (</w:t>
      </w:r>
      <w:proofErr w:type="spellStart"/>
      <w:r w:rsidRPr="001A6333">
        <w:rPr>
          <w:rFonts w:ascii="Times New Roman" w:eastAsia="Times New Roman" w:hAnsi="Times New Roman" w:cs="Times New Roman"/>
          <w:color w:val="000000" w:themeColor="text1"/>
          <w:kern w:val="0"/>
          <w14:ligatures w14:val="none"/>
        </w:rPr>
        <w:t>Otuan</w:t>
      </w:r>
      <w:proofErr w:type="spellEnd"/>
      <w:r w:rsidRPr="001A6333">
        <w:rPr>
          <w:rFonts w:ascii="Times New Roman" w:eastAsia="Times New Roman" w:hAnsi="Times New Roman" w:cs="Times New Roman"/>
          <w:color w:val="000000" w:themeColor="text1"/>
          <w:kern w:val="0"/>
          <w14:ligatures w14:val="none"/>
        </w:rPr>
        <w:t xml:space="preserve">, </w:t>
      </w:r>
      <w:proofErr w:type="spellStart"/>
      <w:r w:rsidRPr="001A6333">
        <w:rPr>
          <w:rFonts w:ascii="Times New Roman" w:eastAsia="Times New Roman" w:hAnsi="Times New Roman" w:cs="Times New Roman"/>
          <w:color w:val="000000" w:themeColor="text1"/>
          <w:kern w:val="0"/>
          <w14:ligatures w14:val="none"/>
        </w:rPr>
        <w:t>Imiringi</w:t>
      </w:r>
      <w:proofErr w:type="spellEnd"/>
      <w:r w:rsidRPr="001A6333">
        <w:rPr>
          <w:rFonts w:ascii="Times New Roman" w:eastAsia="Times New Roman" w:hAnsi="Times New Roman" w:cs="Times New Roman"/>
          <w:color w:val="000000" w:themeColor="text1"/>
          <w:kern w:val="0"/>
          <w14:ligatures w14:val="none"/>
        </w:rPr>
        <w:t xml:space="preserve">, and </w:t>
      </w:r>
      <w:proofErr w:type="spellStart"/>
      <w:r w:rsidRPr="001A6333">
        <w:rPr>
          <w:rFonts w:ascii="Times New Roman" w:eastAsia="Times New Roman" w:hAnsi="Times New Roman" w:cs="Times New Roman"/>
          <w:color w:val="000000" w:themeColor="text1"/>
          <w:kern w:val="0"/>
          <w14:ligatures w14:val="none"/>
        </w:rPr>
        <w:t>Obuna</w:t>
      </w:r>
      <w:proofErr w:type="spellEnd"/>
      <w:r w:rsidRPr="001A6333">
        <w:rPr>
          <w:rFonts w:ascii="Times New Roman" w:eastAsia="Times New Roman" w:hAnsi="Times New Roman" w:cs="Times New Roman"/>
          <w:color w:val="000000" w:themeColor="text1"/>
          <w:kern w:val="0"/>
          <w14:ligatures w14:val="none"/>
        </w:rPr>
        <w:t>) in Bayelsa State, Nigeria. The study further compared spatial (between communities) and vertical (surface vs. subsurface) patterns in microbial populations and identified dominant bacterial and fungal taxa associated with petroleum-impacted soils. The findings provide baseline ecological data relevant to environmental monitoring, bioremediation planning, and risk assessment in the Niger Delta region.</w:t>
      </w:r>
    </w:p>
    <w:p w14:paraId="43CF46A6" w14:textId="4EF06BA1" w:rsidR="00B47F6D" w:rsidRPr="001A6333" w:rsidRDefault="00B47F6D" w:rsidP="000871FA">
      <w:pPr>
        <w:spacing w:after="120" w:line="240" w:lineRule="auto"/>
        <w:jc w:val="both"/>
        <w:rPr>
          <w:rFonts w:ascii="Times New Roman" w:eastAsia="Times New Roman" w:hAnsi="Times New Roman" w:cs="Times New Roman"/>
          <w:b/>
          <w:bCs/>
          <w:color w:val="000000" w:themeColor="text1"/>
          <w:kern w:val="36"/>
          <w14:ligatures w14:val="none"/>
        </w:rPr>
      </w:pPr>
      <w:r w:rsidRPr="001A6333">
        <w:rPr>
          <w:rFonts w:ascii="Times New Roman" w:eastAsia="Times New Roman" w:hAnsi="Times New Roman" w:cs="Times New Roman"/>
          <w:b/>
          <w:bCs/>
          <w:color w:val="000000" w:themeColor="text1"/>
          <w:kern w:val="36"/>
          <w14:ligatures w14:val="none"/>
        </w:rPr>
        <w:t>Materia</w:t>
      </w:r>
      <w:r w:rsidR="00C40BC0" w:rsidRPr="001A6333">
        <w:rPr>
          <w:rFonts w:ascii="Times New Roman" w:eastAsia="Times New Roman" w:hAnsi="Times New Roman" w:cs="Times New Roman"/>
          <w:b/>
          <w:bCs/>
          <w:color w:val="000000" w:themeColor="text1"/>
          <w:kern w:val="36"/>
          <w14:ligatures w14:val="none"/>
        </w:rPr>
        <w:t>ls</w:t>
      </w:r>
      <w:r w:rsidRPr="001A6333">
        <w:rPr>
          <w:rFonts w:ascii="Times New Roman" w:eastAsia="Times New Roman" w:hAnsi="Times New Roman" w:cs="Times New Roman"/>
          <w:b/>
          <w:bCs/>
          <w:color w:val="000000" w:themeColor="text1"/>
          <w:kern w:val="36"/>
          <w14:ligatures w14:val="none"/>
        </w:rPr>
        <w:t xml:space="preserve"> and method</w:t>
      </w:r>
      <w:r w:rsidR="00C40BC0" w:rsidRPr="001A6333">
        <w:rPr>
          <w:rFonts w:ascii="Times New Roman" w:eastAsia="Times New Roman" w:hAnsi="Times New Roman" w:cs="Times New Roman"/>
          <w:b/>
          <w:bCs/>
          <w:color w:val="000000" w:themeColor="text1"/>
          <w:kern w:val="36"/>
          <w14:ligatures w14:val="none"/>
        </w:rPr>
        <w:t>s</w:t>
      </w:r>
    </w:p>
    <w:p w14:paraId="0901704F" w14:textId="4C36EA51" w:rsidR="0082264F" w:rsidRPr="001A6333" w:rsidRDefault="0082264F" w:rsidP="000871FA">
      <w:pPr>
        <w:spacing w:after="120" w:line="240" w:lineRule="auto"/>
        <w:jc w:val="both"/>
        <w:rPr>
          <w:rFonts w:ascii="Times New Roman" w:hAnsi="Times New Roman" w:cs="Times New Roman"/>
          <w:b/>
          <w:bCs/>
          <w:color w:val="000000" w:themeColor="text1"/>
        </w:rPr>
      </w:pPr>
      <w:r w:rsidRPr="001A6333">
        <w:rPr>
          <w:rFonts w:ascii="Times New Roman" w:eastAsia="Times New Roman" w:hAnsi="Times New Roman" w:cs="Times New Roman"/>
          <w:b/>
          <w:bCs/>
          <w:color w:val="000000" w:themeColor="text1"/>
          <w:kern w:val="0"/>
          <w14:ligatures w14:val="none"/>
        </w:rPr>
        <w:t>Study Design</w:t>
      </w:r>
    </w:p>
    <w:p w14:paraId="532E6832" w14:textId="43BD794F" w:rsidR="0082264F" w:rsidRPr="001A6333"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1A6333">
        <w:rPr>
          <w:rFonts w:ascii="Times New Roman" w:eastAsia="Times New Roman" w:hAnsi="Times New Roman" w:cs="Times New Roman"/>
          <w:color w:val="000000" w:themeColor="text1"/>
          <w:kern w:val="0"/>
          <w14:ligatures w14:val="none"/>
        </w:rPr>
        <w:t xml:space="preserve">This study adopted a cross-sectional comparative design to determine the prevalence and diversity of soil microbiome in selected oil-producing communities of Bayelsa State, Nigeria. Soil samples were collected from one oil-impacted location in each community and </w:t>
      </w:r>
      <w:r w:rsidR="00C40BC0" w:rsidRPr="001A6333">
        <w:rPr>
          <w:rFonts w:ascii="Times New Roman" w:eastAsia="Times New Roman" w:hAnsi="Times New Roman" w:cs="Times New Roman"/>
          <w:color w:val="000000" w:themeColor="text1"/>
          <w:kern w:val="0"/>
          <w14:ligatures w14:val="none"/>
        </w:rPr>
        <w:t>analyzed</w:t>
      </w:r>
      <w:r w:rsidRPr="001A6333">
        <w:rPr>
          <w:rFonts w:ascii="Times New Roman" w:eastAsia="Times New Roman" w:hAnsi="Times New Roman" w:cs="Times New Roman"/>
          <w:color w:val="000000" w:themeColor="text1"/>
          <w:kern w:val="0"/>
          <w14:ligatures w14:val="none"/>
        </w:rPr>
        <w:t xml:space="preserve"> using physicochemical, culture-dependent, and molecular microbiological techniques, following standard procedures previously described for environmental microbiome studies (Pepper et al., 2015).</w:t>
      </w:r>
    </w:p>
    <w:p w14:paraId="0E04C6F7" w14:textId="7F0BD071" w:rsidR="0082264F" w:rsidRPr="001A6333"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1A6333">
        <w:rPr>
          <w:rFonts w:ascii="Times New Roman" w:eastAsia="Times New Roman" w:hAnsi="Times New Roman" w:cs="Times New Roman"/>
          <w:b/>
          <w:bCs/>
          <w:color w:val="000000" w:themeColor="text1"/>
          <w:kern w:val="0"/>
          <w14:ligatures w14:val="none"/>
        </w:rPr>
        <w:t>Study Area</w:t>
      </w:r>
    </w:p>
    <w:p w14:paraId="0D080B9C" w14:textId="568B9557" w:rsidR="0082264F" w:rsidRPr="001A6333"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1A6333">
        <w:rPr>
          <w:rFonts w:ascii="Times New Roman" w:eastAsia="Times New Roman" w:hAnsi="Times New Roman" w:cs="Times New Roman"/>
          <w:color w:val="000000" w:themeColor="text1"/>
          <w:kern w:val="0"/>
          <w14:ligatures w14:val="none"/>
        </w:rPr>
        <w:t xml:space="preserve">The study was conducted in Bayelsa State, situated in the Niger Delta region of southern Nigeria. The state lies between latitude 4°15′–5°23′ N and longitude 5°22′–6°45′ E and is </w:t>
      </w:r>
      <w:proofErr w:type="spellStart"/>
      <w:r w:rsidRPr="001A6333">
        <w:rPr>
          <w:rFonts w:ascii="Times New Roman" w:eastAsia="Times New Roman" w:hAnsi="Times New Roman" w:cs="Times New Roman"/>
          <w:color w:val="000000" w:themeColor="text1"/>
          <w:kern w:val="0"/>
          <w14:ligatures w14:val="none"/>
        </w:rPr>
        <w:t>characterised</w:t>
      </w:r>
      <w:proofErr w:type="spellEnd"/>
      <w:r w:rsidRPr="001A6333">
        <w:rPr>
          <w:rFonts w:ascii="Times New Roman" w:eastAsia="Times New Roman" w:hAnsi="Times New Roman" w:cs="Times New Roman"/>
          <w:color w:val="000000" w:themeColor="text1"/>
          <w:kern w:val="0"/>
          <w14:ligatures w14:val="none"/>
        </w:rPr>
        <w:t xml:space="preserve"> by mangrove swamps, freshwater wetlands, high annual rainfall, and extensive oil and gas exploration activities. The selected communities</w:t>
      </w:r>
      <w:r w:rsidR="00240981" w:rsidRPr="001A6333">
        <w:rPr>
          <w:rFonts w:ascii="Times New Roman" w:eastAsia="Times New Roman" w:hAnsi="Times New Roman" w:cs="Times New Roman"/>
          <w:color w:val="000000" w:themeColor="text1"/>
          <w:kern w:val="0"/>
          <w14:ligatures w14:val="none"/>
        </w:rPr>
        <w:t xml:space="preserve">; </w:t>
      </w:r>
      <w:proofErr w:type="spellStart"/>
      <w:r w:rsidRPr="001A6333">
        <w:rPr>
          <w:rFonts w:ascii="Times New Roman" w:eastAsia="Times New Roman" w:hAnsi="Times New Roman" w:cs="Times New Roman"/>
          <w:color w:val="000000" w:themeColor="text1"/>
          <w:kern w:val="0"/>
          <w14:ligatures w14:val="none"/>
        </w:rPr>
        <w:t>Otuan</w:t>
      </w:r>
      <w:proofErr w:type="spellEnd"/>
      <w:r w:rsidRPr="001A6333">
        <w:rPr>
          <w:rFonts w:ascii="Times New Roman" w:eastAsia="Times New Roman" w:hAnsi="Times New Roman" w:cs="Times New Roman"/>
          <w:color w:val="000000" w:themeColor="text1"/>
          <w:kern w:val="0"/>
          <w14:ligatures w14:val="none"/>
        </w:rPr>
        <w:t xml:space="preserve">, </w:t>
      </w:r>
      <w:proofErr w:type="spellStart"/>
      <w:r w:rsidRPr="001A6333">
        <w:rPr>
          <w:rFonts w:ascii="Times New Roman" w:eastAsia="Times New Roman" w:hAnsi="Times New Roman" w:cs="Times New Roman"/>
          <w:color w:val="000000" w:themeColor="text1"/>
          <w:kern w:val="0"/>
          <w14:ligatures w14:val="none"/>
        </w:rPr>
        <w:t>Imiringi</w:t>
      </w:r>
      <w:proofErr w:type="spellEnd"/>
      <w:r w:rsidRPr="001A6333">
        <w:rPr>
          <w:rFonts w:ascii="Times New Roman" w:eastAsia="Times New Roman" w:hAnsi="Times New Roman" w:cs="Times New Roman"/>
          <w:color w:val="000000" w:themeColor="text1"/>
          <w:kern w:val="0"/>
          <w14:ligatures w14:val="none"/>
        </w:rPr>
        <w:t xml:space="preserve">, and </w:t>
      </w:r>
      <w:proofErr w:type="spellStart"/>
      <w:r w:rsidRPr="001A6333">
        <w:rPr>
          <w:rFonts w:ascii="Times New Roman" w:eastAsia="Times New Roman" w:hAnsi="Times New Roman" w:cs="Times New Roman"/>
          <w:color w:val="000000" w:themeColor="text1"/>
          <w:kern w:val="0"/>
          <w14:ligatures w14:val="none"/>
        </w:rPr>
        <w:t>Obuna</w:t>
      </w:r>
      <w:proofErr w:type="spellEnd"/>
      <w:r w:rsidRPr="001A6333">
        <w:rPr>
          <w:rFonts w:ascii="Times New Roman" w:eastAsia="Times New Roman" w:hAnsi="Times New Roman" w:cs="Times New Roman"/>
          <w:color w:val="000000" w:themeColor="text1"/>
          <w:kern w:val="0"/>
          <w14:ligatures w14:val="none"/>
        </w:rPr>
        <w:t xml:space="preserve"> (NLG)</w:t>
      </w:r>
      <w:r w:rsidR="00240981" w:rsidRPr="001A6333">
        <w:rPr>
          <w:rFonts w:ascii="Times New Roman" w:eastAsia="Times New Roman" w:hAnsi="Times New Roman" w:cs="Times New Roman"/>
          <w:color w:val="000000" w:themeColor="text1"/>
          <w:kern w:val="0"/>
          <w14:ligatures w14:val="none"/>
        </w:rPr>
        <w:t xml:space="preserve"> </w:t>
      </w:r>
      <w:r w:rsidRPr="001A6333">
        <w:rPr>
          <w:rFonts w:ascii="Times New Roman" w:eastAsia="Times New Roman" w:hAnsi="Times New Roman" w:cs="Times New Roman"/>
          <w:color w:val="000000" w:themeColor="text1"/>
          <w:kern w:val="0"/>
          <w14:ligatures w14:val="none"/>
        </w:rPr>
        <w:t>are notable oil-producing areas with long-standing petroleum operations that influence soil characteristics and microbial ecology (</w:t>
      </w:r>
      <w:proofErr w:type="spellStart"/>
      <w:r w:rsidRPr="001A6333">
        <w:rPr>
          <w:rFonts w:ascii="Times New Roman" w:eastAsia="Times New Roman" w:hAnsi="Times New Roman" w:cs="Times New Roman"/>
          <w:color w:val="000000" w:themeColor="text1"/>
          <w:kern w:val="0"/>
          <w14:ligatures w14:val="none"/>
        </w:rPr>
        <w:t>Nwankwoala</w:t>
      </w:r>
      <w:proofErr w:type="spellEnd"/>
      <w:r w:rsidRPr="001A6333">
        <w:rPr>
          <w:rFonts w:ascii="Times New Roman" w:eastAsia="Times New Roman" w:hAnsi="Times New Roman" w:cs="Times New Roman"/>
          <w:color w:val="000000" w:themeColor="text1"/>
          <w:kern w:val="0"/>
          <w14:ligatures w14:val="none"/>
        </w:rPr>
        <w:t xml:space="preserve"> &amp; </w:t>
      </w:r>
      <w:proofErr w:type="spellStart"/>
      <w:r w:rsidRPr="001A6333">
        <w:rPr>
          <w:rFonts w:ascii="Times New Roman" w:eastAsia="Times New Roman" w:hAnsi="Times New Roman" w:cs="Times New Roman"/>
          <w:color w:val="000000" w:themeColor="text1"/>
          <w:kern w:val="0"/>
          <w14:ligatures w14:val="none"/>
        </w:rPr>
        <w:t>Ememu</w:t>
      </w:r>
      <w:proofErr w:type="spellEnd"/>
      <w:r w:rsidRPr="001A6333">
        <w:rPr>
          <w:rFonts w:ascii="Times New Roman" w:eastAsia="Times New Roman" w:hAnsi="Times New Roman" w:cs="Times New Roman"/>
          <w:color w:val="000000" w:themeColor="text1"/>
          <w:kern w:val="0"/>
          <w14:ligatures w14:val="none"/>
        </w:rPr>
        <w:t>, 2018).</w:t>
      </w:r>
    </w:p>
    <w:p w14:paraId="7A9F6D74" w14:textId="77777777" w:rsidR="00B47F6D" w:rsidRPr="001A6333"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1A6333">
        <w:rPr>
          <w:rFonts w:ascii="Times New Roman" w:eastAsia="Times New Roman" w:hAnsi="Times New Roman" w:cs="Times New Roman"/>
          <w:color w:val="000000" w:themeColor="text1"/>
          <w:kern w:val="0"/>
          <w14:ligatures w14:val="none"/>
        </w:rPr>
        <w:t xml:space="preserve">    </w:t>
      </w:r>
      <w:proofErr w:type="spellStart"/>
      <w:r w:rsidR="0082264F" w:rsidRPr="001A6333">
        <w:rPr>
          <w:rFonts w:ascii="Times New Roman" w:eastAsia="Times New Roman" w:hAnsi="Times New Roman" w:cs="Times New Roman"/>
          <w:b/>
          <w:bCs/>
          <w:color w:val="000000" w:themeColor="text1"/>
          <w:kern w:val="0"/>
          <w14:ligatures w14:val="none"/>
        </w:rPr>
        <w:t>Otuan</w:t>
      </w:r>
      <w:proofErr w:type="spellEnd"/>
      <w:r w:rsidR="0082264F" w:rsidRPr="001A6333">
        <w:rPr>
          <w:rFonts w:ascii="Times New Roman" w:eastAsia="Times New Roman" w:hAnsi="Times New Roman" w:cs="Times New Roman"/>
          <w:b/>
          <w:bCs/>
          <w:color w:val="000000" w:themeColor="text1"/>
          <w:kern w:val="0"/>
          <w14:ligatures w14:val="none"/>
        </w:rPr>
        <w:t xml:space="preserve"> Community</w:t>
      </w:r>
      <w:r w:rsidRPr="001A6333">
        <w:rPr>
          <w:rFonts w:ascii="Times New Roman" w:eastAsia="Times New Roman" w:hAnsi="Times New Roman" w:cs="Times New Roman"/>
          <w:color w:val="000000" w:themeColor="text1"/>
          <w:kern w:val="0"/>
          <w14:ligatures w14:val="none"/>
        </w:rPr>
        <w:t xml:space="preserve">; </w:t>
      </w:r>
      <w:proofErr w:type="spellStart"/>
      <w:r w:rsidR="0082264F" w:rsidRPr="001A6333">
        <w:rPr>
          <w:rFonts w:ascii="Times New Roman" w:eastAsia="Times New Roman" w:hAnsi="Times New Roman" w:cs="Times New Roman"/>
          <w:color w:val="000000" w:themeColor="text1"/>
          <w:kern w:val="0"/>
          <w14:ligatures w14:val="none"/>
        </w:rPr>
        <w:t>Otuan</w:t>
      </w:r>
      <w:proofErr w:type="spellEnd"/>
      <w:r w:rsidR="0082264F" w:rsidRPr="001A6333">
        <w:rPr>
          <w:rFonts w:ascii="Times New Roman" w:eastAsia="Times New Roman" w:hAnsi="Times New Roman" w:cs="Times New Roman"/>
          <w:color w:val="000000" w:themeColor="text1"/>
          <w:kern w:val="0"/>
          <w14:ligatures w14:val="none"/>
        </w:rPr>
        <w:t xml:space="preserve"> is located in Southern Ijaw Local Government Area, Bayelsa State. Soil samples were collected from an oil-impacted site within the community at coordinates 4.8421° N, 5.7224° E. The area is </w:t>
      </w:r>
      <w:proofErr w:type="spellStart"/>
      <w:r w:rsidR="0082264F" w:rsidRPr="001A6333">
        <w:rPr>
          <w:rFonts w:ascii="Times New Roman" w:eastAsia="Times New Roman" w:hAnsi="Times New Roman" w:cs="Times New Roman"/>
          <w:color w:val="000000" w:themeColor="text1"/>
          <w:kern w:val="0"/>
          <w14:ligatures w14:val="none"/>
        </w:rPr>
        <w:t>characterised</w:t>
      </w:r>
      <w:proofErr w:type="spellEnd"/>
      <w:r w:rsidR="0082264F" w:rsidRPr="001A6333">
        <w:rPr>
          <w:rFonts w:ascii="Times New Roman" w:eastAsia="Times New Roman" w:hAnsi="Times New Roman" w:cs="Times New Roman"/>
          <w:color w:val="000000" w:themeColor="text1"/>
          <w:kern w:val="0"/>
          <w14:ligatures w14:val="none"/>
        </w:rPr>
        <w:t xml:space="preserve"> by wetland soils with visible signs of hydrocarbon influence from nearby oil production activities.</w:t>
      </w:r>
    </w:p>
    <w:p w14:paraId="3EFCA76E" w14:textId="77777777" w:rsidR="00B47F6D" w:rsidRPr="001A6333"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1A6333">
        <w:rPr>
          <w:rFonts w:ascii="Times New Roman" w:eastAsia="Times New Roman" w:hAnsi="Times New Roman" w:cs="Times New Roman"/>
          <w:color w:val="000000" w:themeColor="text1"/>
          <w:kern w:val="0"/>
          <w14:ligatures w14:val="none"/>
        </w:rPr>
        <w:t xml:space="preserve">    </w:t>
      </w:r>
      <w:proofErr w:type="spellStart"/>
      <w:r w:rsidR="0082264F" w:rsidRPr="001A6333">
        <w:rPr>
          <w:rFonts w:ascii="Times New Roman" w:eastAsia="Times New Roman" w:hAnsi="Times New Roman" w:cs="Times New Roman"/>
          <w:b/>
          <w:bCs/>
          <w:color w:val="000000" w:themeColor="text1"/>
          <w:kern w:val="0"/>
          <w14:ligatures w14:val="none"/>
        </w:rPr>
        <w:t>Imiringi</w:t>
      </w:r>
      <w:proofErr w:type="spellEnd"/>
      <w:r w:rsidR="0082264F" w:rsidRPr="001A6333">
        <w:rPr>
          <w:rFonts w:ascii="Times New Roman" w:eastAsia="Times New Roman" w:hAnsi="Times New Roman" w:cs="Times New Roman"/>
          <w:b/>
          <w:bCs/>
          <w:color w:val="000000" w:themeColor="text1"/>
          <w:kern w:val="0"/>
          <w14:ligatures w14:val="none"/>
        </w:rPr>
        <w:t xml:space="preserve"> Communit</w:t>
      </w:r>
      <w:r w:rsidR="0082264F" w:rsidRPr="001A6333">
        <w:rPr>
          <w:rFonts w:ascii="Times New Roman" w:eastAsia="Times New Roman" w:hAnsi="Times New Roman" w:cs="Times New Roman"/>
          <w:color w:val="000000" w:themeColor="text1"/>
          <w:kern w:val="0"/>
          <w14:ligatures w14:val="none"/>
        </w:rPr>
        <w:t>y</w:t>
      </w:r>
      <w:r w:rsidRPr="001A6333">
        <w:rPr>
          <w:rFonts w:ascii="Times New Roman" w:eastAsia="Times New Roman" w:hAnsi="Times New Roman" w:cs="Times New Roman"/>
          <w:color w:val="000000" w:themeColor="text1"/>
          <w:kern w:val="0"/>
          <w14:ligatures w14:val="none"/>
        </w:rPr>
        <w:t xml:space="preserve">; </w:t>
      </w:r>
      <w:proofErr w:type="spellStart"/>
      <w:r w:rsidR="0082264F" w:rsidRPr="001A6333">
        <w:rPr>
          <w:rFonts w:ascii="Times New Roman" w:eastAsia="Times New Roman" w:hAnsi="Times New Roman" w:cs="Times New Roman"/>
          <w:color w:val="000000" w:themeColor="text1"/>
          <w:kern w:val="0"/>
          <w14:ligatures w14:val="none"/>
        </w:rPr>
        <w:t>Imiringi</w:t>
      </w:r>
      <w:proofErr w:type="spellEnd"/>
      <w:r w:rsidR="0082264F" w:rsidRPr="001A6333">
        <w:rPr>
          <w:rFonts w:ascii="Times New Roman" w:eastAsia="Times New Roman" w:hAnsi="Times New Roman" w:cs="Times New Roman"/>
          <w:color w:val="000000" w:themeColor="text1"/>
          <w:kern w:val="0"/>
          <w14:ligatures w14:val="none"/>
        </w:rPr>
        <w:t xml:space="preserve"> is located in </w:t>
      </w:r>
      <w:proofErr w:type="spellStart"/>
      <w:r w:rsidR="0082264F" w:rsidRPr="001A6333">
        <w:rPr>
          <w:rFonts w:ascii="Times New Roman" w:eastAsia="Times New Roman" w:hAnsi="Times New Roman" w:cs="Times New Roman"/>
          <w:color w:val="000000" w:themeColor="text1"/>
          <w:kern w:val="0"/>
          <w14:ligatures w14:val="none"/>
        </w:rPr>
        <w:t>Ogbia</w:t>
      </w:r>
      <w:proofErr w:type="spellEnd"/>
      <w:r w:rsidR="0082264F" w:rsidRPr="001A6333">
        <w:rPr>
          <w:rFonts w:ascii="Times New Roman" w:eastAsia="Times New Roman" w:hAnsi="Times New Roman" w:cs="Times New Roman"/>
          <w:color w:val="000000" w:themeColor="text1"/>
          <w:kern w:val="0"/>
          <w14:ligatures w14:val="none"/>
        </w:rPr>
        <w:t xml:space="preserve"> Local Government Area and is a major oil-producing community in Bayelsa State. Sampling was carried out at an oil facility environment located at 4.7456° N, 6.2989° E. The soil in this area has experienced prolonged exposure to petroleum hydrocarbons due to drilling, flow station operations, and pipeline networks.</w:t>
      </w:r>
    </w:p>
    <w:p w14:paraId="7B9A67AB" w14:textId="45BF8BB9" w:rsidR="0082264F" w:rsidRPr="001A6333"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1A6333">
        <w:rPr>
          <w:rFonts w:ascii="Times New Roman" w:eastAsia="Times New Roman" w:hAnsi="Times New Roman" w:cs="Times New Roman"/>
          <w:color w:val="000000" w:themeColor="text1"/>
          <w:kern w:val="0"/>
          <w14:ligatures w14:val="none"/>
        </w:rPr>
        <w:t xml:space="preserve">     </w:t>
      </w:r>
      <w:proofErr w:type="spellStart"/>
      <w:r w:rsidR="0082264F" w:rsidRPr="001A6333">
        <w:rPr>
          <w:rFonts w:ascii="Times New Roman" w:eastAsia="Times New Roman" w:hAnsi="Times New Roman" w:cs="Times New Roman"/>
          <w:b/>
          <w:bCs/>
          <w:color w:val="000000" w:themeColor="text1"/>
          <w:kern w:val="0"/>
          <w14:ligatures w14:val="none"/>
        </w:rPr>
        <w:t>Obuna</w:t>
      </w:r>
      <w:proofErr w:type="spellEnd"/>
      <w:r w:rsidR="0082264F" w:rsidRPr="001A6333">
        <w:rPr>
          <w:rFonts w:ascii="Times New Roman" w:eastAsia="Times New Roman" w:hAnsi="Times New Roman" w:cs="Times New Roman"/>
          <w:b/>
          <w:bCs/>
          <w:color w:val="000000" w:themeColor="text1"/>
          <w:kern w:val="0"/>
          <w14:ligatures w14:val="none"/>
        </w:rPr>
        <w:t xml:space="preserve"> (NLG) Community</w:t>
      </w:r>
      <w:r w:rsidRPr="001A6333">
        <w:rPr>
          <w:rFonts w:ascii="Times New Roman" w:eastAsia="Times New Roman" w:hAnsi="Times New Roman" w:cs="Times New Roman"/>
          <w:color w:val="000000" w:themeColor="text1"/>
          <w:kern w:val="0"/>
          <w14:ligatures w14:val="none"/>
        </w:rPr>
        <w:t xml:space="preserve">; </w:t>
      </w:r>
      <w:proofErr w:type="spellStart"/>
      <w:r w:rsidR="0082264F" w:rsidRPr="001A6333">
        <w:rPr>
          <w:rFonts w:ascii="Times New Roman" w:eastAsia="Times New Roman" w:hAnsi="Times New Roman" w:cs="Times New Roman"/>
          <w:color w:val="000000" w:themeColor="text1"/>
          <w:kern w:val="0"/>
          <w14:ligatures w14:val="none"/>
        </w:rPr>
        <w:t>Obuna</w:t>
      </w:r>
      <w:proofErr w:type="spellEnd"/>
      <w:r w:rsidR="0082264F" w:rsidRPr="001A6333">
        <w:rPr>
          <w:rFonts w:ascii="Times New Roman" w:eastAsia="Times New Roman" w:hAnsi="Times New Roman" w:cs="Times New Roman"/>
          <w:color w:val="000000" w:themeColor="text1"/>
          <w:kern w:val="0"/>
          <w14:ligatures w14:val="none"/>
        </w:rPr>
        <w:t xml:space="preserve"> is situated in </w:t>
      </w:r>
      <w:proofErr w:type="spellStart"/>
      <w:r w:rsidR="0082264F" w:rsidRPr="001A6333">
        <w:rPr>
          <w:rFonts w:ascii="Times New Roman" w:eastAsia="Times New Roman" w:hAnsi="Times New Roman" w:cs="Times New Roman"/>
          <w:color w:val="000000" w:themeColor="text1"/>
          <w:kern w:val="0"/>
          <w14:ligatures w14:val="none"/>
        </w:rPr>
        <w:t>Nembe</w:t>
      </w:r>
      <w:proofErr w:type="spellEnd"/>
      <w:r w:rsidR="0082264F" w:rsidRPr="001A6333">
        <w:rPr>
          <w:rFonts w:ascii="Times New Roman" w:eastAsia="Times New Roman" w:hAnsi="Times New Roman" w:cs="Times New Roman"/>
          <w:color w:val="000000" w:themeColor="text1"/>
          <w:kern w:val="0"/>
          <w14:ligatures w14:val="none"/>
        </w:rPr>
        <w:t xml:space="preserve"> Local Government Area (NLG) of Bayelsa State. Soil samples were collected from an oil production site located at 4.5368° N, 6.4397° E. The area is </w:t>
      </w:r>
      <w:proofErr w:type="spellStart"/>
      <w:r w:rsidR="0082264F" w:rsidRPr="001A6333">
        <w:rPr>
          <w:rFonts w:ascii="Times New Roman" w:eastAsia="Times New Roman" w:hAnsi="Times New Roman" w:cs="Times New Roman"/>
          <w:color w:val="000000" w:themeColor="text1"/>
          <w:kern w:val="0"/>
          <w14:ligatures w14:val="none"/>
        </w:rPr>
        <w:t>characterised</w:t>
      </w:r>
      <w:proofErr w:type="spellEnd"/>
      <w:r w:rsidR="0082264F" w:rsidRPr="001A6333">
        <w:rPr>
          <w:rFonts w:ascii="Times New Roman" w:eastAsia="Times New Roman" w:hAnsi="Times New Roman" w:cs="Times New Roman"/>
          <w:color w:val="000000" w:themeColor="text1"/>
          <w:kern w:val="0"/>
          <w14:ligatures w14:val="none"/>
        </w:rPr>
        <w:t xml:space="preserve"> by sparse vegetation cover, periodic flooding, and hydrocarbon-impacted soils typical of oil-producing zones in the Niger Delta (Ite et al., 2013).</w:t>
      </w:r>
    </w:p>
    <w:p w14:paraId="34759610" w14:textId="6CDBD977"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lastRenderedPageBreak/>
        <w:t>Sampling Dates</w:t>
      </w:r>
    </w:p>
    <w:p w14:paraId="55465595" w14:textId="77777777" w:rsidR="003B563C" w:rsidRPr="003B563C" w:rsidRDefault="003B563C" w:rsidP="001A6333">
      <w:pPr>
        <w:spacing w:after="0" w:line="240" w:lineRule="auto"/>
        <w:jc w:val="both"/>
        <w:rPr>
          <w:rFonts w:ascii="Times New Roman" w:eastAsia="Times New Roman" w:hAnsi="Times New Roman" w:cs="Times New Roman"/>
          <w:kern w:val="0"/>
          <w14:ligatures w14:val="none"/>
        </w:rPr>
      </w:pPr>
      <w:r w:rsidRPr="003B563C">
        <w:rPr>
          <w:rFonts w:ascii="Times New Roman" w:eastAsia="Times New Roman" w:hAnsi="Times New Roman" w:cs="Times New Roman"/>
          <w:kern w:val="0"/>
          <w14:ligatures w14:val="none"/>
        </w:rPr>
        <w:t>Soil sampling was conducted during the month of January 2025 to minimize dilution effects of rainfall on soil properties. Samples were collected on the following date:</w:t>
      </w:r>
    </w:p>
    <w:p w14:paraId="064E27FF" w14:textId="77777777" w:rsidR="003B563C" w:rsidRPr="003B563C" w:rsidRDefault="003B563C" w:rsidP="001A6333">
      <w:pPr>
        <w:spacing w:after="120" w:line="240" w:lineRule="auto"/>
        <w:jc w:val="both"/>
        <w:rPr>
          <w:rFonts w:ascii="Times New Roman" w:eastAsia="Times New Roman" w:hAnsi="Times New Roman" w:cs="Times New Roman"/>
          <w:kern w:val="0"/>
          <w14:ligatures w14:val="none"/>
        </w:rPr>
      </w:pPr>
      <w:proofErr w:type="spellStart"/>
      <w:r w:rsidRPr="003B563C">
        <w:rPr>
          <w:rFonts w:ascii="Times New Roman" w:eastAsia="Times New Roman" w:hAnsi="Times New Roman" w:cs="Times New Roman"/>
          <w:kern w:val="0"/>
          <w14:ligatures w14:val="none"/>
        </w:rPr>
        <w:t>Otuan</w:t>
      </w:r>
      <w:proofErr w:type="spellEnd"/>
      <w:r w:rsidRPr="003B563C">
        <w:rPr>
          <w:rFonts w:ascii="Times New Roman" w:eastAsia="Times New Roman" w:hAnsi="Times New Roman" w:cs="Times New Roman"/>
          <w:kern w:val="0"/>
          <w14:ligatures w14:val="none"/>
        </w:rPr>
        <w:t>: 18 January 2025</w:t>
      </w:r>
    </w:p>
    <w:p w14:paraId="7F612691" w14:textId="77777777" w:rsidR="003B563C" w:rsidRPr="003B563C" w:rsidRDefault="003B563C" w:rsidP="001A6333">
      <w:pPr>
        <w:spacing w:after="120" w:line="240" w:lineRule="auto"/>
        <w:jc w:val="both"/>
        <w:rPr>
          <w:rFonts w:ascii="Times New Roman" w:eastAsia="Times New Roman" w:hAnsi="Times New Roman" w:cs="Times New Roman"/>
          <w:kern w:val="0"/>
          <w14:ligatures w14:val="none"/>
        </w:rPr>
      </w:pPr>
      <w:proofErr w:type="spellStart"/>
      <w:r w:rsidRPr="003B563C">
        <w:rPr>
          <w:rFonts w:ascii="Times New Roman" w:eastAsia="Times New Roman" w:hAnsi="Times New Roman" w:cs="Times New Roman"/>
          <w:kern w:val="0"/>
          <w14:ligatures w14:val="none"/>
        </w:rPr>
        <w:t>Imiringi</w:t>
      </w:r>
      <w:proofErr w:type="spellEnd"/>
      <w:r w:rsidRPr="003B563C">
        <w:rPr>
          <w:rFonts w:ascii="Times New Roman" w:eastAsia="Times New Roman" w:hAnsi="Times New Roman" w:cs="Times New Roman"/>
          <w:kern w:val="0"/>
          <w14:ligatures w14:val="none"/>
        </w:rPr>
        <w:t>: 18 January 2025</w:t>
      </w:r>
    </w:p>
    <w:p w14:paraId="4D118D13" w14:textId="77777777" w:rsidR="003B563C" w:rsidRPr="003B563C" w:rsidRDefault="003B563C" w:rsidP="001A6333">
      <w:pPr>
        <w:spacing w:after="120" w:line="240" w:lineRule="auto"/>
        <w:jc w:val="both"/>
        <w:rPr>
          <w:rFonts w:ascii="Times New Roman" w:eastAsia="Times New Roman" w:hAnsi="Times New Roman" w:cs="Times New Roman"/>
          <w:kern w:val="0"/>
          <w14:ligatures w14:val="none"/>
        </w:rPr>
      </w:pPr>
      <w:proofErr w:type="spellStart"/>
      <w:r w:rsidRPr="003B563C">
        <w:rPr>
          <w:rFonts w:ascii="Times New Roman" w:eastAsia="Times New Roman" w:hAnsi="Times New Roman" w:cs="Times New Roman"/>
          <w:kern w:val="0"/>
          <w14:ligatures w14:val="none"/>
        </w:rPr>
        <w:t>Obuna</w:t>
      </w:r>
      <w:proofErr w:type="spellEnd"/>
      <w:r w:rsidRPr="003B563C">
        <w:rPr>
          <w:rFonts w:ascii="Times New Roman" w:eastAsia="Times New Roman" w:hAnsi="Times New Roman" w:cs="Times New Roman"/>
          <w:kern w:val="0"/>
          <w14:ligatures w14:val="none"/>
        </w:rPr>
        <w:t xml:space="preserve"> (NLG): 18 January 2025</w:t>
      </w:r>
    </w:p>
    <w:p w14:paraId="355DEA3E" w14:textId="682E5672" w:rsidR="003B563C" w:rsidRPr="003B563C" w:rsidRDefault="003B563C" w:rsidP="001A6333">
      <w:pPr>
        <w:spacing w:after="120" w:line="240" w:lineRule="auto"/>
        <w:jc w:val="both"/>
        <w:rPr>
          <w:rFonts w:ascii="Times New Roman" w:eastAsia="Times New Roman" w:hAnsi="Times New Roman" w:cs="Times New Roman"/>
          <w:kern w:val="0"/>
          <w14:ligatures w14:val="none"/>
        </w:rPr>
      </w:pPr>
      <w:r w:rsidRPr="003B563C">
        <w:rPr>
          <w:rFonts w:ascii="Times New Roman" w:eastAsia="Times New Roman" w:hAnsi="Times New Roman" w:cs="Times New Roman"/>
          <w:kern w:val="0"/>
          <w14:ligatures w14:val="none"/>
        </w:rPr>
        <w:t>Sampling during the same season ensured comparability across locations (Okoh et al., 2019</w:t>
      </w:r>
      <w:r w:rsidR="00D26691">
        <w:rPr>
          <w:rFonts w:ascii="Times New Roman" w:eastAsia="Times New Roman" w:hAnsi="Times New Roman" w:cs="Times New Roman"/>
          <w:kern w:val="0"/>
          <w14:ligatures w14:val="none"/>
        </w:rPr>
        <w:t>; Emmanuel et al., 2025</w:t>
      </w:r>
      <w:r w:rsidRPr="003B563C">
        <w:rPr>
          <w:rFonts w:ascii="Times New Roman" w:eastAsia="Times New Roman" w:hAnsi="Times New Roman" w:cs="Times New Roman"/>
          <w:kern w:val="0"/>
          <w14:ligatures w14:val="none"/>
        </w:rPr>
        <w:t>).</w:t>
      </w:r>
    </w:p>
    <w:p w14:paraId="64043218" w14:textId="5333FBDD" w:rsidR="0082264F" w:rsidRPr="006E5204"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6E5204">
        <w:rPr>
          <w:rFonts w:ascii="Times New Roman" w:eastAsia="Times New Roman" w:hAnsi="Times New Roman" w:cs="Times New Roman"/>
          <w:b/>
          <w:bCs/>
          <w:color w:val="000000" w:themeColor="text1"/>
          <w:kern w:val="0"/>
          <w14:ligatures w14:val="none"/>
        </w:rPr>
        <w:t>Soil Sample Collection</w:t>
      </w:r>
      <w:r w:rsidR="00240981" w:rsidRPr="006E5204">
        <w:rPr>
          <w:rFonts w:ascii="Times New Roman" w:eastAsia="Times New Roman" w:hAnsi="Times New Roman" w:cs="Times New Roman"/>
          <w:b/>
          <w:bCs/>
          <w:color w:val="000000" w:themeColor="text1"/>
          <w:kern w:val="0"/>
          <w14:ligatures w14:val="none"/>
        </w:rPr>
        <w:t xml:space="preserve"> and Preparation </w:t>
      </w:r>
    </w:p>
    <w:p w14:paraId="6F1488CA" w14:textId="77777777" w:rsidR="00B72656" w:rsidRDefault="0082264F" w:rsidP="00B72656">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Soil samples were collected using a composite sampling technique as recommended by standard soil microbiological protocols (ISO 10381-6, 2009). </w:t>
      </w:r>
      <w:r w:rsidR="00C40BC0" w:rsidRPr="00C40BC0">
        <w:rPr>
          <w:rFonts w:ascii="Times New Roman" w:hAnsi="Times New Roman" w:cs="Times New Roman"/>
        </w:rPr>
        <w:t>At each location, five subsamples per depth were pooled to form one composite sample per depth, and microbial counts were performed in triplicate</w:t>
      </w:r>
      <w:r w:rsidR="00C40BC0">
        <w:rPr>
          <w:rFonts w:ascii="Times New Roman" w:hAnsi="Times New Roman" w:cs="Times New Roman"/>
        </w:rPr>
        <w:t>.</w:t>
      </w:r>
    </w:p>
    <w:p w14:paraId="51ACAF8E" w14:textId="1F03C7CB" w:rsidR="0082264F" w:rsidRPr="00DB4290" w:rsidRDefault="0082264F" w:rsidP="00B72656">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 (surface soil)</w:t>
      </w:r>
    </w:p>
    <w:p w14:paraId="68D7CE6C" w14:textId="77777777" w:rsidR="0082264F" w:rsidRPr="00DB4290" w:rsidRDefault="0082264F" w:rsidP="00B72656">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 (subsurface soil)</w:t>
      </w:r>
    </w:p>
    <w:p w14:paraId="6D72F78F" w14:textId="3D07CC2B"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The five subsamples from each depth were </w:t>
      </w:r>
      <w:r w:rsidR="00B72656" w:rsidRPr="00DB4290">
        <w:rPr>
          <w:rFonts w:ascii="Times New Roman" w:eastAsia="Times New Roman" w:hAnsi="Times New Roman" w:cs="Times New Roman"/>
          <w:color w:val="000000" w:themeColor="text1"/>
          <w:kern w:val="0"/>
          <w14:ligatures w14:val="none"/>
        </w:rPr>
        <w:t>homogenized</w:t>
      </w:r>
      <w:r w:rsidRPr="00DB4290">
        <w:rPr>
          <w:rFonts w:ascii="Times New Roman" w:eastAsia="Times New Roman" w:hAnsi="Times New Roman" w:cs="Times New Roman"/>
          <w:color w:val="000000" w:themeColor="text1"/>
          <w:kern w:val="0"/>
          <w14:ligatures w14:val="none"/>
        </w:rPr>
        <w:t xml:space="preserve"> to form a composite sample. Samples were placed in sterile polyethylene bags, labelled appropriately, and transported in ice-packed coolers to the laboratory for analysis.</w:t>
      </w:r>
      <w:r w:rsidR="00240981"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color w:val="000000" w:themeColor="text1"/>
          <w:kern w:val="0"/>
          <w14:ligatures w14:val="none"/>
        </w:rPr>
        <w:t xml:space="preserve">Soil samples were stored at 4 °C and </w:t>
      </w:r>
      <w:proofErr w:type="spellStart"/>
      <w:r w:rsidRPr="00DB4290">
        <w:rPr>
          <w:rFonts w:ascii="Times New Roman" w:eastAsia="Times New Roman" w:hAnsi="Times New Roman" w:cs="Times New Roman"/>
          <w:color w:val="000000" w:themeColor="text1"/>
          <w:kern w:val="0"/>
          <w14:ligatures w14:val="none"/>
        </w:rPr>
        <w:t>analysed</w:t>
      </w:r>
      <w:proofErr w:type="spellEnd"/>
      <w:r w:rsidRPr="00DB4290">
        <w:rPr>
          <w:rFonts w:ascii="Times New Roman" w:eastAsia="Times New Roman" w:hAnsi="Times New Roman" w:cs="Times New Roman"/>
          <w:color w:val="000000" w:themeColor="text1"/>
          <w:kern w:val="0"/>
          <w14:ligatures w14:val="none"/>
        </w:rPr>
        <w:t xml:space="preserve"> within 24 hours, (Pepper et al., 2015).</w:t>
      </w:r>
    </w:p>
    <w:p w14:paraId="5D8CE6E7" w14:textId="3749730B" w:rsidR="00240981"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Enumeration of Soil Microorganisms</w:t>
      </w:r>
    </w:p>
    <w:p w14:paraId="5945FE2B" w14:textId="2AF0E184"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Total Heterotrophic Bacterial Count (THBC)</w:t>
      </w:r>
    </w:p>
    <w:p w14:paraId="4F449980" w14:textId="77777777"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Ten-fold serial dilutions of soil samples were prepared using sterile normal saline. Aliquots (0.1 mL) were plated on Nutrient Agar using the spread plate technique and incubated at 30 °C for 24–48 hours. Colonies were counted and expressed as CFU/g of soil (Atlas, 2010).</w:t>
      </w:r>
    </w:p>
    <w:p w14:paraId="7F8E5623" w14:textId="15B16815"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Hydrocarbon-</w:t>
      </w:r>
      <w:proofErr w:type="spellStart"/>
      <w:r w:rsidRPr="00DB4290">
        <w:rPr>
          <w:rFonts w:ascii="Times New Roman" w:eastAsia="Times New Roman" w:hAnsi="Times New Roman" w:cs="Times New Roman"/>
          <w:b/>
          <w:bCs/>
          <w:color w:val="000000" w:themeColor="text1"/>
          <w:kern w:val="0"/>
          <w14:ligatures w14:val="none"/>
        </w:rPr>
        <w:t>Utilising</w:t>
      </w:r>
      <w:proofErr w:type="spellEnd"/>
      <w:r w:rsidRPr="00DB4290">
        <w:rPr>
          <w:rFonts w:ascii="Times New Roman" w:eastAsia="Times New Roman" w:hAnsi="Times New Roman" w:cs="Times New Roman"/>
          <w:b/>
          <w:bCs/>
          <w:color w:val="000000" w:themeColor="text1"/>
          <w:kern w:val="0"/>
          <w14:ligatures w14:val="none"/>
        </w:rPr>
        <w:t xml:space="preserve"> Bacteria (HUB)</w:t>
      </w:r>
    </w:p>
    <w:p w14:paraId="2492B483" w14:textId="77777777"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Hydrocarbon-</w:t>
      </w:r>
      <w:proofErr w:type="spellStart"/>
      <w:r w:rsidRPr="00DB4290">
        <w:rPr>
          <w:rFonts w:ascii="Times New Roman" w:eastAsia="Times New Roman" w:hAnsi="Times New Roman" w:cs="Times New Roman"/>
          <w:color w:val="000000" w:themeColor="text1"/>
          <w:kern w:val="0"/>
          <w14:ligatures w14:val="none"/>
        </w:rPr>
        <w:t>utilising</w:t>
      </w:r>
      <w:proofErr w:type="spellEnd"/>
      <w:r w:rsidRPr="00DB4290">
        <w:rPr>
          <w:rFonts w:ascii="Times New Roman" w:eastAsia="Times New Roman" w:hAnsi="Times New Roman" w:cs="Times New Roman"/>
          <w:color w:val="000000" w:themeColor="text1"/>
          <w:kern w:val="0"/>
          <w14:ligatures w14:val="none"/>
        </w:rPr>
        <w:t xml:space="preserve"> bacteria were enumerated on Bushnell-Haas agar supplemented with crude oil as the sole carbon source. Plates were incubated at 30 °C for 5–7 days, and colonies were counted as described by </w:t>
      </w:r>
      <w:proofErr w:type="spellStart"/>
      <w:r w:rsidRPr="00DB4290">
        <w:rPr>
          <w:rFonts w:ascii="Times New Roman" w:eastAsia="Times New Roman" w:hAnsi="Times New Roman" w:cs="Times New Roman"/>
          <w:color w:val="000000" w:themeColor="text1"/>
          <w:kern w:val="0"/>
          <w14:ligatures w14:val="none"/>
        </w:rPr>
        <w:t>Okpokwasili</w:t>
      </w:r>
      <w:proofErr w:type="spellEnd"/>
      <w:r w:rsidRPr="00DB4290">
        <w:rPr>
          <w:rFonts w:ascii="Times New Roman" w:eastAsia="Times New Roman" w:hAnsi="Times New Roman" w:cs="Times New Roman"/>
          <w:color w:val="000000" w:themeColor="text1"/>
          <w:kern w:val="0"/>
          <w14:ligatures w14:val="none"/>
        </w:rPr>
        <w:t xml:space="preserve"> and </w:t>
      </w:r>
      <w:proofErr w:type="spellStart"/>
      <w:r w:rsidRPr="00DB4290">
        <w:rPr>
          <w:rFonts w:ascii="Times New Roman" w:eastAsia="Times New Roman" w:hAnsi="Times New Roman" w:cs="Times New Roman"/>
          <w:color w:val="000000" w:themeColor="text1"/>
          <w:kern w:val="0"/>
          <w14:ligatures w14:val="none"/>
        </w:rPr>
        <w:t>Amanchukwu</w:t>
      </w:r>
      <w:proofErr w:type="spellEnd"/>
      <w:r w:rsidRPr="00DB4290">
        <w:rPr>
          <w:rFonts w:ascii="Times New Roman" w:eastAsia="Times New Roman" w:hAnsi="Times New Roman" w:cs="Times New Roman"/>
          <w:color w:val="000000" w:themeColor="text1"/>
          <w:kern w:val="0"/>
          <w14:ligatures w14:val="none"/>
        </w:rPr>
        <w:t xml:space="preserve"> (1988).</w:t>
      </w:r>
    </w:p>
    <w:p w14:paraId="65C98EE7" w14:textId="0EAF5505"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Total Fungal Count (TFC)</w:t>
      </w:r>
    </w:p>
    <w:p w14:paraId="04977A25" w14:textId="77777777"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Fungal populations were determined using Potato Dextrose Agar supplemented with chloramphenicol to suppress bacterial growth. Plates were incubated at 28 °C for 5–7 days, and colonies were counted and expressed as CFU/g (Barnett &amp; Hunter, 1998).</w:t>
      </w:r>
    </w:p>
    <w:p w14:paraId="574E64B2" w14:textId="06952F27"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Isolation and Identification of Microorganisms</w:t>
      </w:r>
    </w:p>
    <w:p w14:paraId="768B06E0" w14:textId="0B6F6E8F"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Bacterial Identification</w:t>
      </w:r>
    </w:p>
    <w:p w14:paraId="2BBDD5C0" w14:textId="77777777"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Bacterial isolates were identified based on colony morphology, Gram reaction, and biochemical tests including catalase, oxidase, citrate, indole, and sugar fermentation tests following standard microbiological procedures (Cheesbrough, 2010).</w:t>
      </w:r>
    </w:p>
    <w:p w14:paraId="120D266A" w14:textId="6BC25473"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Fungal Identification</w:t>
      </w:r>
    </w:p>
    <w:p w14:paraId="2AA69E5C" w14:textId="77777777" w:rsidR="00D26691" w:rsidRDefault="0082264F" w:rsidP="00D26691">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lastRenderedPageBreak/>
        <w:t>Fungal isolates were identified using macroscopic and microscopic characteristics with lactophenol cotton blue staining and standard identification manuals (Barnett &amp; Hunter, 1998).</w:t>
      </w:r>
    </w:p>
    <w:p w14:paraId="5FCA6786" w14:textId="77777777" w:rsidR="00D26691" w:rsidRDefault="00D26691" w:rsidP="00D26691">
      <w:pPr>
        <w:spacing w:after="120" w:line="240" w:lineRule="auto"/>
        <w:jc w:val="both"/>
        <w:rPr>
          <w:rFonts w:ascii="Times New Roman" w:eastAsia="Times New Roman" w:hAnsi="Times New Roman" w:cs="Times New Roman"/>
          <w:color w:val="000000" w:themeColor="text1"/>
          <w:kern w:val="0"/>
          <w14:ligatures w14:val="none"/>
        </w:rPr>
      </w:pPr>
      <w:r w:rsidRPr="00D26691">
        <w:rPr>
          <w:rFonts w:ascii="Times New Roman" w:eastAsia="Times New Roman" w:hAnsi="Times New Roman" w:cs="Times New Roman"/>
          <w:b/>
          <w:bCs/>
          <w:kern w:val="0"/>
          <w14:ligatures w14:val="none"/>
        </w:rPr>
        <w:t>Quality Control and Negative Controls</w:t>
      </w:r>
    </w:p>
    <w:p w14:paraId="13E2562F" w14:textId="1E453336" w:rsidR="00D26691" w:rsidRPr="00D26691" w:rsidRDefault="00D26691" w:rsidP="00D26691">
      <w:pPr>
        <w:spacing w:after="120" w:line="240" w:lineRule="auto"/>
        <w:jc w:val="both"/>
        <w:rPr>
          <w:rFonts w:ascii="Times New Roman" w:eastAsia="Times New Roman" w:hAnsi="Times New Roman" w:cs="Times New Roman"/>
          <w:color w:val="000000" w:themeColor="text1"/>
          <w:kern w:val="0"/>
          <w14:ligatures w14:val="none"/>
        </w:rPr>
      </w:pPr>
      <w:r w:rsidRPr="00D26691">
        <w:rPr>
          <w:rFonts w:ascii="Times New Roman" w:eastAsia="Times New Roman" w:hAnsi="Times New Roman" w:cs="Times New Roman"/>
          <w:kern w:val="0"/>
          <w14:ligatures w14:val="none"/>
        </w:rPr>
        <w:t>To ensure reliability of microbiological analyses and minimize contamination during culturing procedures, sterile distilled water blanks and exposed control plates were included as negative controls during microbial enumeration. Culture media sterility was confirmed prior to inoculation, and all glassware and materials were sterilized according to standard microbiological procedures. Control plates showed no microbial growth after incubation, confirming aseptic handling throughout the analysis.</w:t>
      </w:r>
    </w:p>
    <w:p w14:paraId="15A4B4E0" w14:textId="54B737BE"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Data Analysis</w:t>
      </w:r>
    </w:p>
    <w:p w14:paraId="538199EA" w14:textId="1BDB3C5C" w:rsidR="001E3661" w:rsidRDefault="00C40BC0" w:rsidP="000871FA">
      <w:pPr>
        <w:spacing w:after="120" w:line="240" w:lineRule="auto"/>
        <w:jc w:val="both"/>
        <w:rPr>
          <w:rFonts w:ascii="Times New Roman" w:eastAsia="Times New Roman" w:hAnsi="Times New Roman" w:cs="Times New Roman"/>
          <w:color w:val="000000" w:themeColor="text1"/>
          <w:kern w:val="0"/>
          <w14:ligatures w14:val="none"/>
        </w:rPr>
      </w:pPr>
      <w:r>
        <w:t>Microbial counts were determined in triplicate and expressed as mean ± standard deviation (SD)</w:t>
      </w:r>
      <w:r w:rsidR="0082264F" w:rsidRPr="00DB4290">
        <w:rPr>
          <w:rFonts w:ascii="Times New Roman" w:eastAsia="Times New Roman" w:hAnsi="Times New Roman" w:cs="Times New Roman"/>
          <w:color w:val="000000" w:themeColor="text1"/>
          <w:kern w:val="0"/>
          <w14:ligatures w14:val="none"/>
        </w:rPr>
        <w:t>. One-way analysis of variance (ANOVA) was used to compare microbial populations and soil parameters across locations. Statistical significance was determined at p &lt; 0.05 (Hammer et al., 2001).</w:t>
      </w:r>
    </w:p>
    <w:p w14:paraId="1ABE6F41" w14:textId="384E9F01" w:rsidR="00814AA3" w:rsidRPr="00814AA3" w:rsidRDefault="00814AA3" w:rsidP="000871FA">
      <w:pPr>
        <w:spacing w:after="120" w:line="240" w:lineRule="auto"/>
        <w:jc w:val="both"/>
        <w:rPr>
          <w:rFonts w:ascii="Times New Roman" w:eastAsia="Times New Roman" w:hAnsi="Times New Roman" w:cs="Times New Roman"/>
          <w:b/>
          <w:bCs/>
          <w:color w:val="000000" w:themeColor="text1"/>
          <w:kern w:val="0"/>
          <w14:ligatures w14:val="none"/>
        </w:rPr>
      </w:pPr>
      <w:r w:rsidRPr="00814AA3">
        <w:rPr>
          <w:rFonts w:ascii="Times New Roman" w:eastAsia="Times New Roman" w:hAnsi="Times New Roman" w:cs="Times New Roman"/>
          <w:b/>
          <w:bCs/>
          <w:color w:val="000000" w:themeColor="text1"/>
          <w:kern w:val="0"/>
          <w14:ligatures w14:val="none"/>
        </w:rPr>
        <w:t>Limitation</w:t>
      </w:r>
    </w:p>
    <w:p w14:paraId="5976410B" w14:textId="77777777" w:rsidR="00C61CEC" w:rsidRPr="00C61CEC" w:rsidRDefault="00C61CEC" w:rsidP="000871FA">
      <w:pPr>
        <w:spacing w:after="120" w:line="240" w:lineRule="auto"/>
        <w:jc w:val="both"/>
        <w:rPr>
          <w:rFonts w:ascii="Times New Roman" w:hAnsi="Times New Roman" w:cs="Times New Roman"/>
          <w:color w:val="000000" w:themeColor="text1"/>
        </w:rPr>
      </w:pPr>
      <w:r w:rsidRPr="00C61CEC">
        <w:rPr>
          <w:rFonts w:ascii="Times New Roman" w:hAnsi="Times New Roman" w:cs="Times New Roman"/>
          <w:color w:val="000000" w:themeColor="text1"/>
        </w:rPr>
        <w:t xml:space="preserve">This study relied on culture-dependent methods, which may underestimate total microbial diversity because many microorganisms are non-culturable under laboratory conditions. In addition, the relatively small sample size and absence of physicochemical analyses limited broader ecological interpretation. Future studies should incorporate molecular sequencing approaches and expanded sampling designs for more comprehensive microbial characterization. </w:t>
      </w:r>
    </w:p>
    <w:p w14:paraId="32A4A891" w14:textId="1975FFA1" w:rsidR="004C464A" w:rsidRPr="00DB4290" w:rsidRDefault="00DB4290" w:rsidP="000871FA">
      <w:pPr>
        <w:spacing w:after="120" w:line="240" w:lineRule="auto"/>
        <w:jc w:val="both"/>
        <w:rPr>
          <w:rFonts w:ascii="Times New Roman" w:eastAsia="Times New Roman" w:hAnsi="Times New Roman" w:cs="Times New Roman"/>
          <w:b/>
          <w:bCs/>
          <w:color w:val="000000" w:themeColor="text1"/>
          <w:kern w:val="36"/>
          <w14:ligatures w14:val="none"/>
        </w:rPr>
      </w:pPr>
      <w:r w:rsidRPr="00DB4290">
        <w:rPr>
          <w:rFonts w:ascii="Times New Roman" w:eastAsia="Times New Roman" w:hAnsi="Times New Roman" w:cs="Times New Roman"/>
          <w:b/>
          <w:bCs/>
          <w:color w:val="000000" w:themeColor="text1"/>
          <w:kern w:val="36"/>
          <w14:ligatures w14:val="none"/>
        </w:rPr>
        <w:t xml:space="preserve">Results </w:t>
      </w:r>
    </w:p>
    <w:p w14:paraId="6BFEAC08" w14:textId="203CCEA9" w:rsidR="0062161E" w:rsidRPr="00DB4290" w:rsidRDefault="00B47F6D" w:rsidP="000871FA">
      <w:pPr>
        <w:pStyle w:val="NormalWeb"/>
        <w:spacing w:before="0" w:beforeAutospacing="0" w:after="120" w:afterAutospacing="0"/>
        <w:jc w:val="both"/>
        <w:rPr>
          <w:color w:val="000000" w:themeColor="text1"/>
        </w:rPr>
      </w:pPr>
      <w:r w:rsidRPr="00DB4290">
        <w:rPr>
          <w:color w:val="000000" w:themeColor="text1"/>
        </w:rPr>
        <w:t>The total heterotrophic bacterial counts (THBC) were consistently higher in surface soils (0–10 cm) than in subsurface soils (10–30 cm) across all locations</w:t>
      </w:r>
      <w:r w:rsidR="0062161E" w:rsidRPr="00DB4290">
        <w:rPr>
          <w:color w:val="000000" w:themeColor="text1"/>
        </w:rPr>
        <w:t xml:space="preserve"> (table 1)</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THBC ranged from </w:t>
      </w:r>
      <w:r w:rsidRPr="00DB4290">
        <w:rPr>
          <w:rStyle w:val="Strong"/>
          <w:rFonts w:eastAsiaTheme="majorEastAsia"/>
          <w:b w:val="0"/>
          <w:bCs w:val="0"/>
          <w:color w:val="000000" w:themeColor="text1"/>
        </w:rPr>
        <w:t>48–53 × 10⁴ CFU g⁻¹</w:t>
      </w:r>
      <w:r w:rsidRPr="00DB4290">
        <w:rPr>
          <w:color w:val="000000" w:themeColor="text1"/>
        </w:rPr>
        <w:t xml:space="preserve"> at 0–10 cm, but decreased to </w:t>
      </w:r>
      <w:r w:rsidRPr="00DB4290">
        <w:rPr>
          <w:rStyle w:val="Strong"/>
          <w:rFonts w:eastAsiaTheme="majorEastAsia"/>
          <w:b w:val="0"/>
          <w:bCs w:val="0"/>
          <w:color w:val="000000" w:themeColor="text1"/>
        </w:rPr>
        <w:t>29–35 × 10⁴ CFU g⁻¹</w:t>
      </w:r>
      <w:r w:rsidRPr="00DB4290">
        <w:rPr>
          <w:color w:val="000000" w:themeColor="text1"/>
        </w:rPr>
        <w:t xml:space="preserve"> at 10–30 cm. Similarly, </w:t>
      </w:r>
      <w:proofErr w:type="spellStart"/>
      <w:r w:rsidRPr="00DB4290">
        <w:rPr>
          <w:color w:val="000000" w:themeColor="text1"/>
        </w:rPr>
        <w:t>Imiringi</w:t>
      </w:r>
      <w:proofErr w:type="spellEnd"/>
      <w:r w:rsidRPr="00DB4290">
        <w:rPr>
          <w:color w:val="000000" w:themeColor="text1"/>
        </w:rPr>
        <w:t xml:space="preserve"> recorded higher surface THBC values of </w:t>
      </w:r>
      <w:r w:rsidRPr="00DB4290">
        <w:rPr>
          <w:rStyle w:val="Strong"/>
          <w:rFonts w:eastAsiaTheme="majorEastAsia"/>
          <w:b w:val="0"/>
          <w:bCs w:val="0"/>
          <w:color w:val="000000" w:themeColor="text1"/>
        </w:rPr>
        <w:t>61–67 × 10⁴ CFU g⁻¹</w:t>
      </w:r>
      <w:r w:rsidRPr="00DB4290">
        <w:rPr>
          <w:color w:val="000000" w:themeColor="text1"/>
        </w:rPr>
        <w:t xml:space="preserve"> compared to </w:t>
      </w:r>
      <w:r w:rsidRPr="00DB4290">
        <w:rPr>
          <w:rStyle w:val="Strong"/>
          <w:rFonts w:eastAsiaTheme="majorEastAsia"/>
          <w:b w:val="0"/>
          <w:bCs w:val="0"/>
          <w:color w:val="000000" w:themeColor="text1"/>
        </w:rPr>
        <w:t>42–48 × 10⁴ CFU g⁻¹</w:t>
      </w:r>
      <w:r w:rsidRPr="00DB4290">
        <w:rPr>
          <w:color w:val="000000" w:themeColor="text1"/>
        </w:rPr>
        <w:t xml:space="preserve"> in the subsurface. </w:t>
      </w:r>
      <w:proofErr w:type="spellStart"/>
      <w:r w:rsidRPr="00DB4290">
        <w:rPr>
          <w:color w:val="000000" w:themeColor="text1"/>
        </w:rPr>
        <w:t>Obuna</w:t>
      </w:r>
      <w:proofErr w:type="spellEnd"/>
      <w:r w:rsidRPr="00DB4290">
        <w:rPr>
          <w:color w:val="000000" w:themeColor="text1"/>
        </w:rPr>
        <w:t xml:space="preserve"> (NLG) showed the highest surface THBC values (</w:t>
      </w:r>
      <w:r w:rsidRPr="00DB4290">
        <w:rPr>
          <w:rStyle w:val="Strong"/>
          <w:rFonts w:eastAsiaTheme="majorEastAsia"/>
          <w:b w:val="0"/>
          <w:bCs w:val="0"/>
          <w:color w:val="000000" w:themeColor="text1"/>
        </w:rPr>
        <w:t>66–72 × 10⁴ CFU g⁻¹</w:t>
      </w:r>
      <w:r w:rsidRPr="00DB4290">
        <w:rPr>
          <w:color w:val="000000" w:themeColor="text1"/>
        </w:rPr>
        <w:t xml:space="preserve">) but lower subsurface values of </w:t>
      </w:r>
      <w:r w:rsidRPr="00DB4290">
        <w:rPr>
          <w:rStyle w:val="Strong"/>
          <w:rFonts w:eastAsiaTheme="majorEastAsia"/>
          <w:b w:val="0"/>
          <w:bCs w:val="0"/>
          <w:color w:val="000000" w:themeColor="text1"/>
        </w:rPr>
        <w:t>21–26 × 10⁴ CFU g⁻¹</w:t>
      </w:r>
      <w:r w:rsidRPr="00DB4290">
        <w:rPr>
          <w:color w:val="000000" w:themeColor="text1"/>
        </w:rPr>
        <w:t>.</w:t>
      </w:r>
      <w:r w:rsidR="0062161E" w:rsidRPr="00DB4290">
        <w:rPr>
          <w:color w:val="000000" w:themeColor="text1"/>
        </w:rPr>
        <w:t xml:space="preserve"> </w:t>
      </w:r>
      <w:r w:rsidRPr="00DB4290">
        <w:rPr>
          <w:color w:val="000000" w:themeColor="text1"/>
        </w:rPr>
        <w:t>Hydrocarbon-</w:t>
      </w:r>
      <w:proofErr w:type="spellStart"/>
      <w:r w:rsidRPr="00DB4290">
        <w:rPr>
          <w:color w:val="000000" w:themeColor="text1"/>
        </w:rPr>
        <w:t>utilising</w:t>
      </w:r>
      <w:proofErr w:type="spellEnd"/>
      <w:r w:rsidRPr="00DB4290">
        <w:rPr>
          <w:color w:val="000000" w:themeColor="text1"/>
        </w:rPr>
        <w:t xml:space="preserve"> bacteria (HUB) were detected at all sites and depths, confirming the presence of hydrocarbon-degrading populations</w:t>
      </w:r>
      <w:r w:rsidR="0062161E" w:rsidRPr="00DB4290">
        <w:rPr>
          <w:color w:val="000000" w:themeColor="text1"/>
        </w:rPr>
        <w:t xml:space="preserve"> (table 1)</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HUB ranged from </w:t>
      </w:r>
      <w:r w:rsidRPr="00DB4290">
        <w:rPr>
          <w:rStyle w:val="Strong"/>
          <w:rFonts w:eastAsiaTheme="majorEastAsia"/>
          <w:b w:val="0"/>
          <w:bCs w:val="0"/>
          <w:color w:val="000000" w:themeColor="text1"/>
        </w:rPr>
        <w:t>17–21 × 10⁴ CFU g⁻¹</w:t>
      </w:r>
      <w:r w:rsidRPr="00DB4290">
        <w:rPr>
          <w:color w:val="000000" w:themeColor="text1"/>
        </w:rPr>
        <w:t xml:space="preserve"> in surface soils and </w:t>
      </w:r>
      <w:r w:rsidRPr="00DB4290">
        <w:rPr>
          <w:rStyle w:val="Strong"/>
          <w:rFonts w:eastAsiaTheme="majorEastAsia"/>
          <w:b w:val="0"/>
          <w:bCs w:val="0"/>
          <w:color w:val="000000" w:themeColor="text1"/>
        </w:rPr>
        <w:t>9–13 × 10⁴ CFU g⁻¹</w:t>
      </w:r>
      <w:r w:rsidRPr="00DB4290">
        <w:rPr>
          <w:color w:val="000000" w:themeColor="text1"/>
        </w:rPr>
        <w:t xml:space="preserve"> in subsurface soils. </w:t>
      </w:r>
      <w:proofErr w:type="spellStart"/>
      <w:r w:rsidRPr="00DB4290">
        <w:rPr>
          <w:color w:val="000000" w:themeColor="text1"/>
        </w:rPr>
        <w:t>Imiringi</w:t>
      </w:r>
      <w:proofErr w:type="spellEnd"/>
      <w:r w:rsidRPr="00DB4290">
        <w:rPr>
          <w:color w:val="000000" w:themeColor="text1"/>
        </w:rPr>
        <w:t xml:space="preserve"> recorded </w:t>
      </w:r>
      <w:r w:rsidRPr="00DB4290">
        <w:rPr>
          <w:rStyle w:val="Strong"/>
          <w:rFonts w:eastAsiaTheme="majorEastAsia"/>
          <w:b w:val="0"/>
          <w:bCs w:val="0"/>
          <w:color w:val="000000" w:themeColor="text1"/>
        </w:rPr>
        <w:t>18–23 × 10⁴ CFU g⁻¹</w:t>
      </w:r>
      <w:r w:rsidRPr="00DB4290">
        <w:rPr>
          <w:color w:val="000000" w:themeColor="text1"/>
        </w:rPr>
        <w:t xml:space="preserve"> at 0–10 cm and </w:t>
      </w:r>
      <w:r w:rsidRPr="00DB4290">
        <w:rPr>
          <w:rStyle w:val="Strong"/>
          <w:rFonts w:eastAsiaTheme="majorEastAsia"/>
          <w:b w:val="0"/>
          <w:bCs w:val="0"/>
          <w:color w:val="000000" w:themeColor="text1"/>
        </w:rPr>
        <w:t>12–16 × 10⁴ CFU g⁻¹</w:t>
      </w:r>
      <w:r w:rsidRPr="00DB4290">
        <w:rPr>
          <w:color w:val="000000" w:themeColor="text1"/>
        </w:rPr>
        <w:t xml:space="preserve"> at 10–30 cm, while </w:t>
      </w:r>
      <w:proofErr w:type="spellStart"/>
      <w:r w:rsidRPr="00DB4290">
        <w:rPr>
          <w:color w:val="000000" w:themeColor="text1"/>
        </w:rPr>
        <w:t>Obuna</w:t>
      </w:r>
      <w:proofErr w:type="spellEnd"/>
      <w:r w:rsidRPr="00DB4290">
        <w:rPr>
          <w:color w:val="000000" w:themeColor="text1"/>
        </w:rPr>
        <w:t xml:space="preserve"> showed </w:t>
      </w:r>
      <w:r w:rsidRPr="00DB4290">
        <w:rPr>
          <w:rStyle w:val="Strong"/>
          <w:rFonts w:eastAsiaTheme="majorEastAsia"/>
          <w:b w:val="0"/>
          <w:bCs w:val="0"/>
          <w:color w:val="000000" w:themeColor="text1"/>
        </w:rPr>
        <w:t>16–21 × 10⁴ CFU g⁻¹</w:t>
      </w:r>
      <w:r w:rsidRPr="00DB4290">
        <w:rPr>
          <w:color w:val="000000" w:themeColor="text1"/>
        </w:rPr>
        <w:t xml:space="preserve"> at the surface and </w:t>
      </w:r>
      <w:r w:rsidRPr="00DB4290">
        <w:rPr>
          <w:rStyle w:val="Strong"/>
          <w:rFonts w:eastAsiaTheme="majorEastAsia"/>
          <w:b w:val="0"/>
          <w:bCs w:val="0"/>
          <w:color w:val="000000" w:themeColor="text1"/>
        </w:rPr>
        <w:t>15–19 × 10⁴ CFU g⁻¹</w:t>
      </w:r>
      <w:r w:rsidRPr="00DB4290">
        <w:rPr>
          <w:color w:val="000000" w:themeColor="text1"/>
        </w:rPr>
        <w:t xml:space="preserve"> at depth.</w:t>
      </w:r>
      <w:r w:rsidR="0062161E" w:rsidRPr="00DB4290">
        <w:rPr>
          <w:color w:val="000000" w:themeColor="text1"/>
        </w:rPr>
        <w:t xml:space="preserve"> </w:t>
      </w:r>
      <w:r w:rsidRPr="00DB4290">
        <w:rPr>
          <w:color w:val="000000" w:themeColor="text1"/>
        </w:rPr>
        <w:t>Total fungal counts (TFC) were generally lower than bacterial counts</w:t>
      </w:r>
      <w:r w:rsidR="0062161E" w:rsidRPr="00DB4290">
        <w:rPr>
          <w:color w:val="000000" w:themeColor="text1"/>
        </w:rPr>
        <w:t xml:space="preserve"> (table 1)</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TFC ranged from </w:t>
      </w:r>
      <w:r w:rsidRPr="00DB4290">
        <w:rPr>
          <w:rStyle w:val="Strong"/>
          <w:rFonts w:eastAsiaTheme="majorEastAsia"/>
          <w:b w:val="0"/>
          <w:bCs w:val="0"/>
          <w:color w:val="000000" w:themeColor="text1"/>
        </w:rPr>
        <w:t>19–24 × 10⁴ CFU g⁻¹</w:t>
      </w:r>
      <w:r w:rsidRPr="00DB4290">
        <w:rPr>
          <w:color w:val="000000" w:themeColor="text1"/>
        </w:rPr>
        <w:t xml:space="preserve"> in surface soils and </w:t>
      </w:r>
      <w:r w:rsidRPr="00DB4290">
        <w:rPr>
          <w:rStyle w:val="Strong"/>
          <w:rFonts w:eastAsiaTheme="majorEastAsia"/>
          <w:b w:val="0"/>
          <w:bCs w:val="0"/>
          <w:color w:val="000000" w:themeColor="text1"/>
        </w:rPr>
        <w:t>8–12 × 10⁴ CFU g⁻¹</w:t>
      </w:r>
      <w:r w:rsidRPr="00DB4290">
        <w:rPr>
          <w:color w:val="000000" w:themeColor="text1"/>
        </w:rPr>
        <w:t xml:space="preserve"> in subsurface soils. </w:t>
      </w:r>
      <w:proofErr w:type="spellStart"/>
      <w:r w:rsidRPr="00DB4290">
        <w:rPr>
          <w:color w:val="000000" w:themeColor="text1"/>
        </w:rPr>
        <w:t>Imiringi</w:t>
      </w:r>
      <w:proofErr w:type="spellEnd"/>
      <w:r w:rsidRPr="00DB4290">
        <w:rPr>
          <w:color w:val="000000" w:themeColor="text1"/>
        </w:rPr>
        <w:t xml:space="preserve"> recorded </w:t>
      </w:r>
      <w:r w:rsidRPr="00DB4290">
        <w:rPr>
          <w:rStyle w:val="Strong"/>
          <w:rFonts w:eastAsiaTheme="majorEastAsia"/>
          <w:b w:val="0"/>
          <w:bCs w:val="0"/>
          <w:color w:val="000000" w:themeColor="text1"/>
        </w:rPr>
        <w:t>15–19 × 10⁴ CFU g⁻¹</w:t>
      </w:r>
      <w:r w:rsidRPr="00DB4290">
        <w:rPr>
          <w:color w:val="000000" w:themeColor="text1"/>
        </w:rPr>
        <w:t xml:space="preserve"> at 0–10 cm and </w:t>
      </w:r>
      <w:r w:rsidRPr="00DB4290">
        <w:rPr>
          <w:rStyle w:val="Strong"/>
          <w:rFonts w:eastAsiaTheme="majorEastAsia"/>
          <w:b w:val="0"/>
          <w:bCs w:val="0"/>
          <w:color w:val="000000" w:themeColor="text1"/>
        </w:rPr>
        <w:t>9–13 × 10⁴ CFU g⁻¹</w:t>
      </w:r>
      <w:r w:rsidRPr="00DB4290">
        <w:rPr>
          <w:color w:val="000000" w:themeColor="text1"/>
        </w:rPr>
        <w:t xml:space="preserve"> at 10–30 cm, while </w:t>
      </w:r>
      <w:proofErr w:type="spellStart"/>
      <w:r w:rsidRPr="00DB4290">
        <w:rPr>
          <w:color w:val="000000" w:themeColor="text1"/>
        </w:rPr>
        <w:t>Obuna</w:t>
      </w:r>
      <w:proofErr w:type="spellEnd"/>
      <w:r w:rsidRPr="00DB4290">
        <w:rPr>
          <w:color w:val="000000" w:themeColor="text1"/>
        </w:rPr>
        <w:t xml:space="preserve"> showed </w:t>
      </w:r>
      <w:r w:rsidRPr="00DB4290">
        <w:rPr>
          <w:rStyle w:val="Strong"/>
          <w:rFonts w:eastAsiaTheme="majorEastAsia"/>
          <w:b w:val="0"/>
          <w:bCs w:val="0"/>
          <w:color w:val="000000" w:themeColor="text1"/>
        </w:rPr>
        <w:t>13–18 × 10⁴ CFU g⁻¹</w:t>
      </w:r>
      <w:r w:rsidRPr="00DB4290">
        <w:rPr>
          <w:color w:val="000000" w:themeColor="text1"/>
        </w:rPr>
        <w:t xml:space="preserve"> at the surface and </w:t>
      </w:r>
      <w:r w:rsidRPr="00DB4290">
        <w:rPr>
          <w:rStyle w:val="Strong"/>
          <w:rFonts w:eastAsiaTheme="majorEastAsia"/>
          <w:b w:val="0"/>
          <w:bCs w:val="0"/>
          <w:color w:val="000000" w:themeColor="text1"/>
        </w:rPr>
        <w:t>11–15 × 10⁴ CFU g⁻¹</w:t>
      </w:r>
      <w:r w:rsidRPr="00DB4290">
        <w:rPr>
          <w:color w:val="000000" w:themeColor="text1"/>
        </w:rPr>
        <w:t xml:space="preserve"> in deeper soils.</w:t>
      </w:r>
    </w:p>
    <w:p w14:paraId="0B3BBA4B" w14:textId="57D0E1F7" w:rsidR="001E3661" w:rsidRPr="00DB4290" w:rsidRDefault="004C464A" w:rsidP="000871FA">
      <w:pPr>
        <w:pStyle w:val="NormalWeb"/>
        <w:spacing w:before="0" w:beforeAutospacing="0" w:after="120" w:afterAutospacing="0"/>
        <w:jc w:val="both"/>
        <w:rPr>
          <w:b/>
          <w:bCs/>
          <w:color w:val="000000" w:themeColor="text1"/>
        </w:rPr>
      </w:pPr>
      <w:r w:rsidRPr="00DB4290">
        <w:rPr>
          <w:b/>
          <w:bCs/>
          <w:color w:val="000000" w:themeColor="text1"/>
        </w:rPr>
        <w:t>Table</w:t>
      </w:r>
      <w:r w:rsidR="00C40BC0">
        <w:rPr>
          <w:b/>
          <w:bCs/>
          <w:color w:val="000000" w:themeColor="text1"/>
        </w:rPr>
        <w:t xml:space="preserve"> </w:t>
      </w:r>
      <w:r w:rsidRPr="00DB4290">
        <w:rPr>
          <w:b/>
          <w:bCs/>
          <w:color w:val="000000" w:themeColor="text1"/>
        </w:rPr>
        <w:t>1: Replicate Counts of THBC, HUB, and TFC in Soils from Oil-Producing Communities (CFU g⁻¹ × 10⁴)</w:t>
      </w:r>
    </w:p>
    <w:tbl>
      <w:tblPr>
        <w:tblStyle w:val="PlainTable2"/>
        <w:tblW w:w="0" w:type="auto"/>
        <w:tblLook w:val="04A0" w:firstRow="1" w:lastRow="0" w:firstColumn="1" w:lastColumn="0" w:noHBand="0" w:noVBand="1"/>
      </w:tblPr>
      <w:tblGrid>
        <w:gridCol w:w="1120"/>
        <w:gridCol w:w="854"/>
        <w:gridCol w:w="912"/>
        <w:gridCol w:w="912"/>
        <w:gridCol w:w="912"/>
        <w:gridCol w:w="778"/>
        <w:gridCol w:w="778"/>
        <w:gridCol w:w="778"/>
        <w:gridCol w:w="772"/>
        <w:gridCol w:w="772"/>
        <w:gridCol w:w="772"/>
      </w:tblGrid>
      <w:tr w:rsidR="00DB4290" w:rsidRPr="00DB4290" w14:paraId="3AEDF9F4" w14:textId="77777777" w:rsidTr="004C4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3F7A8B"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Location</w:t>
            </w:r>
          </w:p>
        </w:tc>
        <w:tc>
          <w:tcPr>
            <w:tcW w:w="0" w:type="auto"/>
            <w:hideMark/>
          </w:tcPr>
          <w:p w14:paraId="2E4CFC4A"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Depth (cm)</w:t>
            </w:r>
          </w:p>
        </w:tc>
        <w:tc>
          <w:tcPr>
            <w:tcW w:w="0" w:type="auto"/>
            <w:hideMark/>
          </w:tcPr>
          <w:p w14:paraId="5A777BE5"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 Rep1</w:t>
            </w:r>
          </w:p>
        </w:tc>
        <w:tc>
          <w:tcPr>
            <w:tcW w:w="0" w:type="auto"/>
            <w:hideMark/>
          </w:tcPr>
          <w:p w14:paraId="34D8F84D"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 Rep2</w:t>
            </w:r>
          </w:p>
        </w:tc>
        <w:tc>
          <w:tcPr>
            <w:tcW w:w="0" w:type="auto"/>
            <w:hideMark/>
          </w:tcPr>
          <w:p w14:paraId="02BA8256"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 Rep3</w:t>
            </w:r>
          </w:p>
        </w:tc>
        <w:tc>
          <w:tcPr>
            <w:tcW w:w="0" w:type="auto"/>
            <w:hideMark/>
          </w:tcPr>
          <w:p w14:paraId="4826C0FC"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 Rep1</w:t>
            </w:r>
          </w:p>
        </w:tc>
        <w:tc>
          <w:tcPr>
            <w:tcW w:w="0" w:type="auto"/>
            <w:hideMark/>
          </w:tcPr>
          <w:p w14:paraId="11C64FAE"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 Rep2</w:t>
            </w:r>
          </w:p>
        </w:tc>
        <w:tc>
          <w:tcPr>
            <w:tcW w:w="0" w:type="auto"/>
            <w:hideMark/>
          </w:tcPr>
          <w:p w14:paraId="7FEB7F4D"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 Rep3</w:t>
            </w:r>
          </w:p>
        </w:tc>
        <w:tc>
          <w:tcPr>
            <w:tcW w:w="0" w:type="auto"/>
            <w:hideMark/>
          </w:tcPr>
          <w:p w14:paraId="087FBCEA"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 Rep1</w:t>
            </w:r>
          </w:p>
        </w:tc>
        <w:tc>
          <w:tcPr>
            <w:tcW w:w="0" w:type="auto"/>
            <w:hideMark/>
          </w:tcPr>
          <w:p w14:paraId="277F0DF0"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 Rep2</w:t>
            </w:r>
          </w:p>
        </w:tc>
        <w:tc>
          <w:tcPr>
            <w:tcW w:w="0" w:type="auto"/>
            <w:hideMark/>
          </w:tcPr>
          <w:p w14:paraId="50467B1D"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 Rep3</w:t>
            </w:r>
          </w:p>
        </w:tc>
      </w:tr>
      <w:tr w:rsidR="00DB4290" w:rsidRPr="00DB4290" w14:paraId="23BF2F71" w14:textId="77777777" w:rsidTr="004C4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569AC720"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Otuan</w:t>
            </w:r>
            <w:proofErr w:type="spellEnd"/>
          </w:p>
        </w:tc>
        <w:tc>
          <w:tcPr>
            <w:tcW w:w="0" w:type="auto"/>
            <w:tcBorders>
              <w:bottom w:val="nil"/>
            </w:tcBorders>
            <w:hideMark/>
          </w:tcPr>
          <w:p w14:paraId="0AD60D64"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bottom w:val="nil"/>
            </w:tcBorders>
            <w:hideMark/>
          </w:tcPr>
          <w:p w14:paraId="50CC64FB"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48</w:t>
            </w:r>
          </w:p>
        </w:tc>
        <w:tc>
          <w:tcPr>
            <w:tcW w:w="0" w:type="auto"/>
            <w:tcBorders>
              <w:bottom w:val="nil"/>
            </w:tcBorders>
            <w:hideMark/>
          </w:tcPr>
          <w:p w14:paraId="4C4ADF1A"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53</w:t>
            </w:r>
          </w:p>
        </w:tc>
        <w:tc>
          <w:tcPr>
            <w:tcW w:w="0" w:type="auto"/>
            <w:tcBorders>
              <w:bottom w:val="nil"/>
            </w:tcBorders>
            <w:hideMark/>
          </w:tcPr>
          <w:p w14:paraId="6F5DD431"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52</w:t>
            </w:r>
          </w:p>
        </w:tc>
        <w:tc>
          <w:tcPr>
            <w:tcW w:w="0" w:type="auto"/>
            <w:tcBorders>
              <w:bottom w:val="nil"/>
            </w:tcBorders>
            <w:hideMark/>
          </w:tcPr>
          <w:p w14:paraId="7DA23D47"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w:t>
            </w:r>
          </w:p>
        </w:tc>
        <w:tc>
          <w:tcPr>
            <w:tcW w:w="0" w:type="auto"/>
            <w:tcBorders>
              <w:bottom w:val="nil"/>
            </w:tcBorders>
            <w:hideMark/>
          </w:tcPr>
          <w:p w14:paraId="5415D922"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21</w:t>
            </w:r>
          </w:p>
        </w:tc>
        <w:tc>
          <w:tcPr>
            <w:tcW w:w="0" w:type="auto"/>
            <w:tcBorders>
              <w:bottom w:val="nil"/>
            </w:tcBorders>
            <w:hideMark/>
          </w:tcPr>
          <w:p w14:paraId="6537CF6E"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19</w:t>
            </w:r>
          </w:p>
        </w:tc>
        <w:tc>
          <w:tcPr>
            <w:tcW w:w="0" w:type="auto"/>
            <w:tcBorders>
              <w:bottom w:val="nil"/>
            </w:tcBorders>
            <w:hideMark/>
          </w:tcPr>
          <w:p w14:paraId="291DA640"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19</w:t>
            </w:r>
          </w:p>
        </w:tc>
        <w:tc>
          <w:tcPr>
            <w:tcW w:w="0" w:type="auto"/>
            <w:tcBorders>
              <w:bottom w:val="nil"/>
            </w:tcBorders>
            <w:hideMark/>
          </w:tcPr>
          <w:p w14:paraId="717F9F51"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24</w:t>
            </w:r>
          </w:p>
        </w:tc>
        <w:tc>
          <w:tcPr>
            <w:tcW w:w="0" w:type="auto"/>
            <w:tcBorders>
              <w:bottom w:val="nil"/>
            </w:tcBorders>
            <w:hideMark/>
          </w:tcPr>
          <w:p w14:paraId="480FDDDC"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20</w:t>
            </w:r>
          </w:p>
        </w:tc>
      </w:tr>
      <w:tr w:rsidR="00DB4290" w:rsidRPr="00DB4290" w14:paraId="279A2AF4" w14:textId="77777777" w:rsidTr="004C464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88BD8D1"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Otuan</w:t>
            </w:r>
            <w:proofErr w:type="spellEnd"/>
          </w:p>
        </w:tc>
        <w:tc>
          <w:tcPr>
            <w:tcW w:w="0" w:type="auto"/>
            <w:tcBorders>
              <w:top w:val="nil"/>
              <w:bottom w:val="nil"/>
            </w:tcBorders>
            <w:hideMark/>
          </w:tcPr>
          <w:p w14:paraId="2809B0CE"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nil"/>
            </w:tcBorders>
            <w:hideMark/>
          </w:tcPr>
          <w:p w14:paraId="16D09173"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29</w:t>
            </w:r>
          </w:p>
        </w:tc>
        <w:tc>
          <w:tcPr>
            <w:tcW w:w="0" w:type="auto"/>
            <w:tcBorders>
              <w:top w:val="nil"/>
              <w:bottom w:val="nil"/>
            </w:tcBorders>
            <w:hideMark/>
          </w:tcPr>
          <w:p w14:paraId="5A68AE9C"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35</w:t>
            </w:r>
          </w:p>
        </w:tc>
        <w:tc>
          <w:tcPr>
            <w:tcW w:w="0" w:type="auto"/>
            <w:tcBorders>
              <w:top w:val="nil"/>
              <w:bottom w:val="nil"/>
            </w:tcBorders>
            <w:hideMark/>
          </w:tcPr>
          <w:p w14:paraId="7CFF7B99"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32</w:t>
            </w:r>
          </w:p>
        </w:tc>
        <w:tc>
          <w:tcPr>
            <w:tcW w:w="0" w:type="auto"/>
            <w:tcBorders>
              <w:top w:val="nil"/>
              <w:bottom w:val="nil"/>
            </w:tcBorders>
            <w:hideMark/>
          </w:tcPr>
          <w:p w14:paraId="7035901E"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9</w:t>
            </w:r>
          </w:p>
        </w:tc>
        <w:tc>
          <w:tcPr>
            <w:tcW w:w="0" w:type="auto"/>
            <w:tcBorders>
              <w:top w:val="nil"/>
              <w:bottom w:val="nil"/>
            </w:tcBorders>
            <w:hideMark/>
          </w:tcPr>
          <w:p w14:paraId="51E6D2B2"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w:t>
            </w:r>
          </w:p>
        </w:tc>
        <w:tc>
          <w:tcPr>
            <w:tcW w:w="0" w:type="auto"/>
            <w:tcBorders>
              <w:top w:val="nil"/>
              <w:bottom w:val="nil"/>
            </w:tcBorders>
            <w:hideMark/>
          </w:tcPr>
          <w:p w14:paraId="1F2DE3FD"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w:t>
            </w:r>
          </w:p>
        </w:tc>
        <w:tc>
          <w:tcPr>
            <w:tcW w:w="0" w:type="auto"/>
            <w:tcBorders>
              <w:top w:val="nil"/>
              <w:bottom w:val="nil"/>
            </w:tcBorders>
            <w:hideMark/>
          </w:tcPr>
          <w:p w14:paraId="3E9014E9"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8</w:t>
            </w:r>
          </w:p>
        </w:tc>
        <w:tc>
          <w:tcPr>
            <w:tcW w:w="0" w:type="auto"/>
            <w:tcBorders>
              <w:top w:val="nil"/>
              <w:bottom w:val="nil"/>
            </w:tcBorders>
            <w:hideMark/>
          </w:tcPr>
          <w:p w14:paraId="387F0ABB"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12</w:t>
            </w:r>
          </w:p>
        </w:tc>
        <w:tc>
          <w:tcPr>
            <w:tcW w:w="0" w:type="auto"/>
            <w:tcBorders>
              <w:top w:val="nil"/>
              <w:bottom w:val="nil"/>
            </w:tcBorders>
            <w:hideMark/>
          </w:tcPr>
          <w:p w14:paraId="7CCB8AD6"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w:t>
            </w:r>
          </w:p>
        </w:tc>
      </w:tr>
      <w:tr w:rsidR="00DB4290" w:rsidRPr="00DB4290" w14:paraId="3794AC9A" w14:textId="77777777" w:rsidTr="004C4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06EAC2E"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lastRenderedPageBreak/>
              <w:t>Imiringi</w:t>
            </w:r>
            <w:proofErr w:type="spellEnd"/>
          </w:p>
        </w:tc>
        <w:tc>
          <w:tcPr>
            <w:tcW w:w="0" w:type="auto"/>
            <w:tcBorders>
              <w:top w:val="nil"/>
              <w:bottom w:val="nil"/>
            </w:tcBorders>
            <w:hideMark/>
          </w:tcPr>
          <w:p w14:paraId="10D03CE0"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top w:val="nil"/>
              <w:bottom w:val="nil"/>
            </w:tcBorders>
            <w:hideMark/>
          </w:tcPr>
          <w:p w14:paraId="1FBC20E3"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61</w:t>
            </w:r>
          </w:p>
        </w:tc>
        <w:tc>
          <w:tcPr>
            <w:tcW w:w="0" w:type="auto"/>
            <w:tcBorders>
              <w:top w:val="nil"/>
              <w:bottom w:val="nil"/>
            </w:tcBorders>
            <w:hideMark/>
          </w:tcPr>
          <w:p w14:paraId="0F467132"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67</w:t>
            </w:r>
          </w:p>
        </w:tc>
        <w:tc>
          <w:tcPr>
            <w:tcW w:w="0" w:type="auto"/>
            <w:tcBorders>
              <w:top w:val="nil"/>
              <w:bottom w:val="nil"/>
            </w:tcBorders>
            <w:hideMark/>
          </w:tcPr>
          <w:p w14:paraId="1C713EA4"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64</w:t>
            </w:r>
          </w:p>
        </w:tc>
        <w:tc>
          <w:tcPr>
            <w:tcW w:w="0" w:type="auto"/>
            <w:tcBorders>
              <w:top w:val="nil"/>
              <w:bottom w:val="nil"/>
            </w:tcBorders>
            <w:hideMark/>
          </w:tcPr>
          <w:p w14:paraId="3F7CEB40"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18</w:t>
            </w:r>
          </w:p>
        </w:tc>
        <w:tc>
          <w:tcPr>
            <w:tcW w:w="0" w:type="auto"/>
            <w:tcBorders>
              <w:top w:val="nil"/>
              <w:bottom w:val="nil"/>
            </w:tcBorders>
            <w:hideMark/>
          </w:tcPr>
          <w:p w14:paraId="3659CFA4"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23</w:t>
            </w:r>
          </w:p>
        </w:tc>
        <w:tc>
          <w:tcPr>
            <w:tcW w:w="0" w:type="auto"/>
            <w:tcBorders>
              <w:top w:val="nil"/>
              <w:bottom w:val="nil"/>
            </w:tcBorders>
            <w:hideMark/>
          </w:tcPr>
          <w:p w14:paraId="2E7F94CE"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20</w:t>
            </w:r>
          </w:p>
        </w:tc>
        <w:tc>
          <w:tcPr>
            <w:tcW w:w="0" w:type="auto"/>
            <w:tcBorders>
              <w:top w:val="nil"/>
              <w:bottom w:val="nil"/>
            </w:tcBorders>
            <w:hideMark/>
          </w:tcPr>
          <w:p w14:paraId="6F7C6E96"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15</w:t>
            </w:r>
          </w:p>
        </w:tc>
        <w:tc>
          <w:tcPr>
            <w:tcW w:w="0" w:type="auto"/>
            <w:tcBorders>
              <w:top w:val="nil"/>
              <w:bottom w:val="nil"/>
            </w:tcBorders>
            <w:hideMark/>
          </w:tcPr>
          <w:p w14:paraId="13AB62D6"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19</w:t>
            </w:r>
          </w:p>
        </w:tc>
        <w:tc>
          <w:tcPr>
            <w:tcW w:w="0" w:type="auto"/>
            <w:tcBorders>
              <w:top w:val="nil"/>
              <w:bottom w:val="nil"/>
            </w:tcBorders>
            <w:hideMark/>
          </w:tcPr>
          <w:p w14:paraId="30FB666A"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w:t>
            </w:r>
          </w:p>
        </w:tc>
      </w:tr>
      <w:tr w:rsidR="00DB4290" w:rsidRPr="00DB4290" w14:paraId="3ED9C548" w14:textId="77777777" w:rsidTr="004C464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DAE5D58"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Imiringi</w:t>
            </w:r>
            <w:proofErr w:type="spellEnd"/>
          </w:p>
        </w:tc>
        <w:tc>
          <w:tcPr>
            <w:tcW w:w="0" w:type="auto"/>
            <w:tcBorders>
              <w:top w:val="nil"/>
              <w:bottom w:val="nil"/>
            </w:tcBorders>
            <w:hideMark/>
          </w:tcPr>
          <w:p w14:paraId="053FEB2A"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nil"/>
            </w:tcBorders>
            <w:hideMark/>
          </w:tcPr>
          <w:p w14:paraId="002D56D8"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42</w:t>
            </w:r>
          </w:p>
        </w:tc>
        <w:tc>
          <w:tcPr>
            <w:tcW w:w="0" w:type="auto"/>
            <w:tcBorders>
              <w:top w:val="nil"/>
              <w:bottom w:val="nil"/>
            </w:tcBorders>
            <w:hideMark/>
          </w:tcPr>
          <w:p w14:paraId="666952DD"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48</w:t>
            </w:r>
          </w:p>
        </w:tc>
        <w:tc>
          <w:tcPr>
            <w:tcW w:w="0" w:type="auto"/>
            <w:tcBorders>
              <w:top w:val="nil"/>
              <w:bottom w:val="nil"/>
            </w:tcBorders>
            <w:hideMark/>
          </w:tcPr>
          <w:p w14:paraId="719CE38A"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45</w:t>
            </w:r>
          </w:p>
        </w:tc>
        <w:tc>
          <w:tcPr>
            <w:tcW w:w="0" w:type="auto"/>
            <w:tcBorders>
              <w:top w:val="nil"/>
              <w:bottom w:val="nil"/>
            </w:tcBorders>
            <w:hideMark/>
          </w:tcPr>
          <w:p w14:paraId="2AD22C01"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12</w:t>
            </w:r>
          </w:p>
        </w:tc>
        <w:tc>
          <w:tcPr>
            <w:tcW w:w="0" w:type="auto"/>
            <w:tcBorders>
              <w:top w:val="nil"/>
              <w:bottom w:val="nil"/>
            </w:tcBorders>
            <w:hideMark/>
          </w:tcPr>
          <w:p w14:paraId="5BEEFA67"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16</w:t>
            </w:r>
          </w:p>
        </w:tc>
        <w:tc>
          <w:tcPr>
            <w:tcW w:w="0" w:type="auto"/>
            <w:tcBorders>
              <w:top w:val="nil"/>
              <w:bottom w:val="nil"/>
            </w:tcBorders>
            <w:hideMark/>
          </w:tcPr>
          <w:p w14:paraId="7A092BAA"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14</w:t>
            </w:r>
          </w:p>
        </w:tc>
        <w:tc>
          <w:tcPr>
            <w:tcW w:w="0" w:type="auto"/>
            <w:tcBorders>
              <w:top w:val="nil"/>
              <w:bottom w:val="nil"/>
            </w:tcBorders>
            <w:hideMark/>
          </w:tcPr>
          <w:p w14:paraId="4CDD0853"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9</w:t>
            </w:r>
          </w:p>
        </w:tc>
        <w:tc>
          <w:tcPr>
            <w:tcW w:w="0" w:type="auto"/>
            <w:tcBorders>
              <w:top w:val="nil"/>
              <w:bottom w:val="nil"/>
            </w:tcBorders>
            <w:hideMark/>
          </w:tcPr>
          <w:p w14:paraId="569543D3"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w:t>
            </w:r>
          </w:p>
        </w:tc>
        <w:tc>
          <w:tcPr>
            <w:tcW w:w="0" w:type="auto"/>
            <w:tcBorders>
              <w:top w:val="nil"/>
              <w:bottom w:val="nil"/>
            </w:tcBorders>
            <w:hideMark/>
          </w:tcPr>
          <w:p w14:paraId="3757D02B"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w:t>
            </w:r>
          </w:p>
        </w:tc>
      </w:tr>
      <w:tr w:rsidR="00DB4290" w:rsidRPr="00DB4290" w14:paraId="4EDABA58" w14:textId="77777777" w:rsidTr="004C4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37235D2"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Obuna</w:t>
            </w:r>
            <w:proofErr w:type="spellEnd"/>
            <w:r w:rsidRPr="00DB4290">
              <w:rPr>
                <w:rFonts w:ascii="Times New Roman" w:eastAsia="Times New Roman" w:hAnsi="Times New Roman" w:cs="Times New Roman"/>
                <w:b w:val="0"/>
                <w:bCs w:val="0"/>
                <w:color w:val="000000" w:themeColor="text1"/>
                <w:kern w:val="0"/>
                <w14:ligatures w14:val="none"/>
              </w:rPr>
              <w:t xml:space="preserve"> (NLG)</w:t>
            </w:r>
          </w:p>
        </w:tc>
        <w:tc>
          <w:tcPr>
            <w:tcW w:w="0" w:type="auto"/>
            <w:tcBorders>
              <w:top w:val="nil"/>
              <w:bottom w:val="nil"/>
            </w:tcBorders>
            <w:hideMark/>
          </w:tcPr>
          <w:p w14:paraId="0F878AE4"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top w:val="nil"/>
              <w:bottom w:val="nil"/>
            </w:tcBorders>
            <w:hideMark/>
          </w:tcPr>
          <w:p w14:paraId="5DE7F8E2"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66</w:t>
            </w:r>
          </w:p>
        </w:tc>
        <w:tc>
          <w:tcPr>
            <w:tcW w:w="0" w:type="auto"/>
            <w:tcBorders>
              <w:top w:val="nil"/>
              <w:bottom w:val="nil"/>
            </w:tcBorders>
            <w:hideMark/>
          </w:tcPr>
          <w:p w14:paraId="2743EED0"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72</w:t>
            </w:r>
          </w:p>
        </w:tc>
        <w:tc>
          <w:tcPr>
            <w:tcW w:w="0" w:type="auto"/>
            <w:tcBorders>
              <w:top w:val="nil"/>
              <w:bottom w:val="nil"/>
            </w:tcBorders>
            <w:hideMark/>
          </w:tcPr>
          <w:p w14:paraId="742D6CF0"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69</w:t>
            </w:r>
          </w:p>
        </w:tc>
        <w:tc>
          <w:tcPr>
            <w:tcW w:w="0" w:type="auto"/>
            <w:tcBorders>
              <w:top w:val="nil"/>
              <w:bottom w:val="nil"/>
            </w:tcBorders>
            <w:hideMark/>
          </w:tcPr>
          <w:p w14:paraId="0DB9290E"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16</w:t>
            </w:r>
          </w:p>
        </w:tc>
        <w:tc>
          <w:tcPr>
            <w:tcW w:w="0" w:type="auto"/>
            <w:tcBorders>
              <w:top w:val="nil"/>
              <w:bottom w:val="nil"/>
            </w:tcBorders>
            <w:hideMark/>
          </w:tcPr>
          <w:p w14:paraId="1368A6ED"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21</w:t>
            </w:r>
          </w:p>
        </w:tc>
        <w:tc>
          <w:tcPr>
            <w:tcW w:w="0" w:type="auto"/>
            <w:tcBorders>
              <w:top w:val="nil"/>
              <w:bottom w:val="nil"/>
            </w:tcBorders>
            <w:hideMark/>
          </w:tcPr>
          <w:p w14:paraId="30D8855A"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18</w:t>
            </w:r>
          </w:p>
        </w:tc>
        <w:tc>
          <w:tcPr>
            <w:tcW w:w="0" w:type="auto"/>
            <w:tcBorders>
              <w:top w:val="nil"/>
              <w:bottom w:val="nil"/>
            </w:tcBorders>
            <w:hideMark/>
          </w:tcPr>
          <w:p w14:paraId="7D808A75"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w:t>
            </w:r>
          </w:p>
        </w:tc>
        <w:tc>
          <w:tcPr>
            <w:tcW w:w="0" w:type="auto"/>
            <w:tcBorders>
              <w:top w:val="nil"/>
              <w:bottom w:val="nil"/>
            </w:tcBorders>
            <w:hideMark/>
          </w:tcPr>
          <w:p w14:paraId="474CB69F"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18</w:t>
            </w:r>
          </w:p>
        </w:tc>
        <w:tc>
          <w:tcPr>
            <w:tcW w:w="0" w:type="auto"/>
            <w:tcBorders>
              <w:top w:val="nil"/>
              <w:bottom w:val="nil"/>
            </w:tcBorders>
            <w:hideMark/>
          </w:tcPr>
          <w:p w14:paraId="6506BF03"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15</w:t>
            </w:r>
          </w:p>
        </w:tc>
      </w:tr>
      <w:tr w:rsidR="00DB4290" w:rsidRPr="00DB4290" w14:paraId="107AE2C8" w14:textId="77777777" w:rsidTr="004C464A">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382B9D28"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Obuna</w:t>
            </w:r>
            <w:proofErr w:type="spellEnd"/>
            <w:r w:rsidRPr="00DB4290">
              <w:rPr>
                <w:rFonts w:ascii="Times New Roman" w:eastAsia="Times New Roman" w:hAnsi="Times New Roman" w:cs="Times New Roman"/>
                <w:b w:val="0"/>
                <w:bCs w:val="0"/>
                <w:color w:val="000000" w:themeColor="text1"/>
                <w:kern w:val="0"/>
                <w14:ligatures w14:val="none"/>
              </w:rPr>
              <w:t xml:space="preserve"> (NLG)</w:t>
            </w:r>
          </w:p>
        </w:tc>
        <w:tc>
          <w:tcPr>
            <w:tcW w:w="0" w:type="auto"/>
            <w:tcBorders>
              <w:top w:val="nil"/>
              <w:bottom w:val="single" w:sz="4" w:space="0" w:color="7F7F7F" w:themeColor="text1" w:themeTint="80"/>
            </w:tcBorders>
            <w:hideMark/>
          </w:tcPr>
          <w:p w14:paraId="7C38E38A"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single" w:sz="4" w:space="0" w:color="7F7F7F" w:themeColor="text1" w:themeTint="80"/>
            </w:tcBorders>
            <w:hideMark/>
          </w:tcPr>
          <w:p w14:paraId="2D7E276F"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21</w:t>
            </w:r>
          </w:p>
        </w:tc>
        <w:tc>
          <w:tcPr>
            <w:tcW w:w="0" w:type="auto"/>
            <w:tcBorders>
              <w:top w:val="nil"/>
              <w:bottom w:val="single" w:sz="4" w:space="0" w:color="7F7F7F" w:themeColor="text1" w:themeTint="80"/>
            </w:tcBorders>
            <w:hideMark/>
          </w:tcPr>
          <w:p w14:paraId="5BBBA25E"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26</w:t>
            </w:r>
          </w:p>
        </w:tc>
        <w:tc>
          <w:tcPr>
            <w:tcW w:w="0" w:type="auto"/>
            <w:tcBorders>
              <w:top w:val="nil"/>
              <w:bottom w:val="single" w:sz="4" w:space="0" w:color="7F7F7F" w:themeColor="text1" w:themeTint="80"/>
            </w:tcBorders>
            <w:hideMark/>
          </w:tcPr>
          <w:p w14:paraId="4850D035"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23</w:t>
            </w:r>
          </w:p>
        </w:tc>
        <w:tc>
          <w:tcPr>
            <w:tcW w:w="0" w:type="auto"/>
            <w:tcBorders>
              <w:top w:val="nil"/>
              <w:bottom w:val="single" w:sz="4" w:space="0" w:color="7F7F7F" w:themeColor="text1" w:themeTint="80"/>
            </w:tcBorders>
            <w:hideMark/>
          </w:tcPr>
          <w:p w14:paraId="5F5055D9"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15</w:t>
            </w:r>
          </w:p>
        </w:tc>
        <w:tc>
          <w:tcPr>
            <w:tcW w:w="0" w:type="auto"/>
            <w:tcBorders>
              <w:top w:val="nil"/>
              <w:bottom w:val="single" w:sz="4" w:space="0" w:color="7F7F7F" w:themeColor="text1" w:themeTint="80"/>
            </w:tcBorders>
            <w:hideMark/>
          </w:tcPr>
          <w:p w14:paraId="27FA4272"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19</w:t>
            </w:r>
          </w:p>
        </w:tc>
        <w:tc>
          <w:tcPr>
            <w:tcW w:w="0" w:type="auto"/>
            <w:tcBorders>
              <w:top w:val="nil"/>
              <w:bottom w:val="single" w:sz="4" w:space="0" w:color="7F7F7F" w:themeColor="text1" w:themeTint="80"/>
            </w:tcBorders>
            <w:hideMark/>
          </w:tcPr>
          <w:p w14:paraId="46D3D65F"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w:t>
            </w:r>
          </w:p>
        </w:tc>
        <w:tc>
          <w:tcPr>
            <w:tcW w:w="0" w:type="auto"/>
            <w:tcBorders>
              <w:top w:val="nil"/>
              <w:bottom w:val="single" w:sz="4" w:space="0" w:color="7F7F7F" w:themeColor="text1" w:themeTint="80"/>
            </w:tcBorders>
            <w:hideMark/>
          </w:tcPr>
          <w:p w14:paraId="47D3D4E0"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w:t>
            </w:r>
          </w:p>
        </w:tc>
        <w:tc>
          <w:tcPr>
            <w:tcW w:w="0" w:type="auto"/>
            <w:tcBorders>
              <w:top w:val="nil"/>
              <w:bottom w:val="single" w:sz="4" w:space="0" w:color="7F7F7F" w:themeColor="text1" w:themeTint="80"/>
            </w:tcBorders>
            <w:hideMark/>
          </w:tcPr>
          <w:p w14:paraId="249A7177"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15</w:t>
            </w:r>
          </w:p>
        </w:tc>
        <w:tc>
          <w:tcPr>
            <w:tcW w:w="0" w:type="auto"/>
            <w:tcBorders>
              <w:top w:val="nil"/>
              <w:bottom w:val="single" w:sz="4" w:space="0" w:color="7F7F7F" w:themeColor="text1" w:themeTint="80"/>
            </w:tcBorders>
            <w:hideMark/>
          </w:tcPr>
          <w:p w14:paraId="53FF9EC6"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w:t>
            </w:r>
          </w:p>
        </w:tc>
      </w:tr>
    </w:tbl>
    <w:p w14:paraId="7F26796A" w14:textId="77777777" w:rsidR="004C464A" w:rsidRPr="00DB4290" w:rsidRDefault="004C464A" w:rsidP="000871FA">
      <w:pPr>
        <w:spacing w:after="120" w:line="240" w:lineRule="auto"/>
        <w:jc w:val="both"/>
        <w:rPr>
          <w:rFonts w:ascii="Times New Roman" w:eastAsia="Times New Roman" w:hAnsi="Times New Roman" w:cs="Times New Roman"/>
          <w:color w:val="000000" w:themeColor="text1"/>
          <w:kern w:val="0"/>
          <w14:ligatures w14:val="none"/>
        </w:rPr>
      </w:pPr>
    </w:p>
    <w:p w14:paraId="5FEFFAFD" w14:textId="060245CC" w:rsidR="0062161E" w:rsidRPr="00DB4290" w:rsidRDefault="0062161E" w:rsidP="000871FA">
      <w:pPr>
        <w:pStyle w:val="NormalWeb"/>
        <w:spacing w:before="0" w:beforeAutospacing="0" w:after="120" w:afterAutospacing="0"/>
        <w:jc w:val="both"/>
        <w:rPr>
          <w:color w:val="000000" w:themeColor="text1"/>
        </w:rPr>
      </w:pPr>
      <w:r w:rsidRPr="00DB4290">
        <w:rPr>
          <w:color w:val="000000" w:themeColor="text1"/>
        </w:rPr>
        <w:t>Table 2 show</w:t>
      </w:r>
      <w:r w:rsidR="00C40BC0">
        <w:rPr>
          <w:color w:val="000000" w:themeColor="text1"/>
        </w:rPr>
        <w:t>s</w:t>
      </w:r>
      <w:r w:rsidRPr="00DB4290">
        <w:rPr>
          <w:color w:val="000000" w:themeColor="text1"/>
        </w:rPr>
        <w:t xml:space="preserve"> that at 0–10 cm depth, mean THBC was </w:t>
      </w:r>
      <w:r w:rsidRPr="00DB4290">
        <w:rPr>
          <w:rStyle w:val="Strong"/>
          <w:rFonts w:eastAsiaTheme="majorEastAsia"/>
          <w:b w:val="0"/>
          <w:bCs w:val="0"/>
          <w:color w:val="000000" w:themeColor="text1"/>
        </w:rPr>
        <w:t>51.0 ± 2.65 × 10⁴ CFU g⁻¹</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w:t>
      </w:r>
      <w:r w:rsidRPr="00DB4290">
        <w:rPr>
          <w:rStyle w:val="Strong"/>
          <w:rFonts w:eastAsiaTheme="majorEastAsia"/>
          <w:b w:val="0"/>
          <w:bCs w:val="0"/>
          <w:color w:val="000000" w:themeColor="text1"/>
        </w:rPr>
        <w:t>64.0 ± 3.00 × 10⁴ CFU g⁻¹</w:t>
      </w:r>
      <w:r w:rsidRPr="00DB4290">
        <w:rPr>
          <w:color w:val="000000" w:themeColor="text1"/>
        </w:rPr>
        <w:t xml:space="preserve"> at </w:t>
      </w:r>
      <w:proofErr w:type="spellStart"/>
      <w:r w:rsidRPr="00DB4290">
        <w:rPr>
          <w:color w:val="000000" w:themeColor="text1"/>
        </w:rPr>
        <w:t>Imiringi</w:t>
      </w:r>
      <w:proofErr w:type="spellEnd"/>
      <w:r w:rsidRPr="00DB4290">
        <w:rPr>
          <w:color w:val="000000" w:themeColor="text1"/>
        </w:rPr>
        <w:t xml:space="preserve">, and </w:t>
      </w:r>
      <w:r w:rsidRPr="00DB4290">
        <w:rPr>
          <w:rStyle w:val="Strong"/>
          <w:rFonts w:eastAsiaTheme="majorEastAsia"/>
          <w:b w:val="0"/>
          <w:bCs w:val="0"/>
          <w:color w:val="000000" w:themeColor="text1"/>
        </w:rPr>
        <w:t>69.0 ± 3.00 × 10⁴ CFU g⁻¹</w:t>
      </w:r>
      <w:r w:rsidRPr="00DB4290">
        <w:rPr>
          <w:color w:val="000000" w:themeColor="text1"/>
        </w:rPr>
        <w:t xml:space="preserve"> at </w:t>
      </w:r>
      <w:proofErr w:type="spellStart"/>
      <w:r w:rsidRPr="00DB4290">
        <w:rPr>
          <w:color w:val="000000" w:themeColor="text1"/>
        </w:rPr>
        <w:t>Obuna</w:t>
      </w:r>
      <w:proofErr w:type="spellEnd"/>
      <w:r w:rsidRPr="00DB4290">
        <w:rPr>
          <w:color w:val="000000" w:themeColor="text1"/>
        </w:rPr>
        <w:t xml:space="preserve">. The superscripts indicate that THBC at </w:t>
      </w:r>
      <w:proofErr w:type="spellStart"/>
      <w:r w:rsidRPr="00DB4290">
        <w:rPr>
          <w:color w:val="000000" w:themeColor="text1"/>
        </w:rPr>
        <w:t>Imiringi</w:t>
      </w:r>
      <w:proofErr w:type="spellEnd"/>
      <w:r w:rsidRPr="00DB4290">
        <w:rPr>
          <w:color w:val="000000" w:themeColor="text1"/>
        </w:rPr>
        <w:t xml:space="preserve"> and </w:t>
      </w:r>
      <w:proofErr w:type="spellStart"/>
      <w:r w:rsidRPr="00DB4290">
        <w:rPr>
          <w:color w:val="000000" w:themeColor="text1"/>
        </w:rPr>
        <w:t>Obuna</w:t>
      </w:r>
      <w:proofErr w:type="spellEnd"/>
      <w:r w:rsidRPr="00DB4290">
        <w:rPr>
          <w:color w:val="000000" w:themeColor="text1"/>
        </w:rPr>
        <w:t xml:space="preserve"> (both “ᵃ”) were significantly higher than at </w:t>
      </w:r>
      <w:proofErr w:type="spellStart"/>
      <w:r w:rsidRPr="00DB4290">
        <w:rPr>
          <w:color w:val="000000" w:themeColor="text1"/>
        </w:rPr>
        <w:t>Otuan</w:t>
      </w:r>
      <w:proofErr w:type="spellEnd"/>
      <w:r w:rsidRPr="00DB4290">
        <w:rPr>
          <w:color w:val="000000" w:themeColor="text1"/>
        </w:rPr>
        <w:t xml:space="preserve"> (“ᵇ”). In the subsurface (10–30 cm), </w:t>
      </w:r>
      <w:proofErr w:type="spellStart"/>
      <w:r w:rsidRPr="00DB4290">
        <w:rPr>
          <w:color w:val="000000" w:themeColor="text1"/>
        </w:rPr>
        <w:t>Imiringi</w:t>
      </w:r>
      <w:proofErr w:type="spellEnd"/>
      <w:r w:rsidRPr="00DB4290">
        <w:rPr>
          <w:color w:val="000000" w:themeColor="text1"/>
        </w:rPr>
        <w:t xml:space="preserve"> recorded the highest THBC (</w:t>
      </w:r>
      <w:r w:rsidRPr="00DB4290">
        <w:rPr>
          <w:rStyle w:val="Strong"/>
          <w:rFonts w:eastAsiaTheme="majorEastAsia"/>
          <w:b w:val="0"/>
          <w:bCs w:val="0"/>
          <w:color w:val="000000" w:themeColor="text1"/>
        </w:rPr>
        <w:t>45.0 ± 3.00 × 10⁴ CFU g⁻¹</w:t>
      </w:r>
      <w:r w:rsidRPr="00DB4290">
        <w:rPr>
          <w:color w:val="000000" w:themeColor="text1"/>
        </w:rPr>
        <w:t xml:space="preserve">), followed by </w:t>
      </w:r>
      <w:proofErr w:type="spellStart"/>
      <w:r w:rsidRPr="00DB4290">
        <w:rPr>
          <w:color w:val="000000" w:themeColor="text1"/>
        </w:rPr>
        <w:t>Otuan</w:t>
      </w:r>
      <w:proofErr w:type="spellEnd"/>
      <w:r w:rsidRPr="00DB4290">
        <w:rPr>
          <w:color w:val="000000" w:themeColor="text1"/>
        </w:rPr>
        <w:t xml:space="preserve"> (</w:t>
      </w:r>
      <w:r w:rsidRPr="00DB4290">
        <w:rPr>
          <w:rStyle w:val="Strong"/>
          <w:rFonts w:eastAsiaTheme="majorEastAsia"/>
          <w:b w:val="0"/>
          <w:bCs w:val="0"/>
          <w:color w:val="000000" w:themeColor="text1"/>
        </w:rPr>
        <w:t>32.0 ± 3.00 × 10⁴ CFU g⁻¹</w:t>
      </w:r>
      <w:r w:rsidRPr="00DB4290">
        <w:rPr>
          <w:color w:val="000000" w:themeColor="text1"/>
        </w:rPr>
        <w:t xml:space="preserve">) and </w:t>
      </w:r>
      <w:proofErr w:type="spellStart"/>
      <w:r w:rsidRPr="00DB4290">
        <w:rPr>
          <w:color w:val="000000" w:themeColor="text1"/>
        </w:rPr>
        <w:t>Obuna</w:t>
      </w:r>
      <w:proofErr w:type="spellEnd"/>
      <w:r w:rsidRPr="00DB4290">
        <w:rPr>
          <w:color w:val="000000" w:themeColor="text1"/>
        </w:rPr>
        <w:t xml:space="preserve"> (</w:t>
      </w:r>
      <w:r w:rsidRPr="00DB4290">
        <w:rPr>
          <w:rStyle w:val="Strong"/>
          <w:rFonts w:eastAsiaTheme="majorEastAsia"/>
          <w:b w:val="0"/>
          <w:bCs w:val="0"/>
          <w:color w:val="000000" w:themeColor="text1"/>
        </w:rPr>
        <w:t>23.3 ± 2.52 × 10⁴ CFU g⁻¹</w:t>
      </w:r>
      <w:r w:rsidRPr="00DB4290">
        <w:rPr>
          <w:color w:val="000000" w:themeColor="text1"/>
        </w:rPr>
        <w:t xml:space="preserve">), with </w:t>
      </w:r>
      <w:proofErr w:type="spellStart"/>
      <w:r w:rsidRPr="00DB4290">
        <w:rPr>
          <w:color w:val="000000" w:themeColor="text1"/>
        </w:rPr>
        <w:t>Obuna</w:t>
      </w:r>
      <w:proofErr w:type="spellEnd"/>
      <w:r w:rsidRPr="00DB4290">
        <w:rPr>
          <w:color w:val="000000" w:themeColor="text1"/>
        </w:rPr>
        <w:t xml:space="preserve"> being significantly lower than </w:t>
      </w:r>
      <w:proofErr w:type="spellStart"/>
      <w:r w:rsidRPr="00DB4290">
        <w:rPr>
          <w:color w:val="000000" w:themeColor="text1"/>
        </w:rPr>
        <w:t>Imiringi</w:t>
      </w:r>
      <w:proofErr w:type="spellEnd"/>
      <w:r w:rsidRPr="00DB4290">
        <w:rPr>
          <w:color w:val="000000" w:themeColor="text1"/>
        </w:rPr>
        <w:t xml:space="preserve">. For HUB at 0–10 cm, mean values were </w:t>
      </w:r>
      <w:r w:rsidRPr="00DB4290">
        <w:rPr>
          <w:rStyle w:val="Strong"/>
          <w:rFonts w:eastAsiaTheme="majorEastAsia"/>
          <w:b w:val="0"/>
          <w:bCs w:val="0"/>
          <w:color w:val="000000" w:themeColor="text1"/>
        </w:rPr>
        <w:t>19.0 ± 2.00</w:t>
      </w:r>
      <w:r w:rsidRPr="00DB4290">
        <w:rPr>
          <w:color w:val="000000" w:themeColor="text1"/>
        </w:rPr>
        <w:t xml:space="preserve">, </w:t>
      </w:r>
      <w:r w:rsidRPr="00DB4290">
        <w:rPr>
          <w:rStyle w:val="Strong"/>
          <w:rFonts w:eastAsiaTheme="majorEastAsia"/>
          <w:b w:val="0"/>
          <w:bCs w:val="0"/>
          <w:color w:val="000000" w:themeColor="text1"/>
        </w:rPr>
        <w:t>20.3 ± 2.52</w:t>
      </w:r>
      <w:r w:rsidRPr="00DB4290">
        <w:rPr>
          <w:color w:val="000000" w:themeColor="text1"/>
        </w:rPr>
        <w:t xml:space="preserve">, and </w:t>
      </w:r>
      <w:r w:rsidRPr="00DB4290">
        <w:rPr>
          <w:rStyle w:val="Strong"/>
          <w:rFonts w:eastAsiaTheme="majorEastAsia"/>
          <w:b w:val="0"/>
          <w:bCs w:val="0"/>
          <w:color w:val="000000" w:themeColor="text1"/>
        </w:rPr>
        <w:t>18.3 ± 2.52 × 10⁴ CFU g⁻¹</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w:t>
      </w:r>
      <w:proofErr w:type="spellStart"/>
      <w:r w:rsidRPr="00DB4290">
        <w:rPr>
          <w:color w:val="000000" w:themeColor="text1"/>
        </w:rPr>
        <w:t>Imiringi</w:t>
      </w:r>
      <w:proofErr w:type="spellEnd"/>
      <w:r w:rsidRPr="00DB4290">
        <w:rPr>
          <w:color w:val="000000" w:themeColor="text1"/>
        </w:rPr>
        <w:t xml:space="preserve">, and </w:t>
      </w:r>
      <w:proofErr w:type="spellStart"/>
      <w:r w:rsidRPr="00DB4290">
        <w:rPr>
          <w:color w:val="000000" w:themeColor="text1"/>
        </w:rPr>
        <w:t>Obuna</w:t>
      </w:r>
      <w:proofErr w:type="spellEnd"/>
      <w:r w:rsidRPr="00DB4290">
        <w:rPr>
          <w:color w:val="000000" w:themeColor="text1"/>
        </w:rPr>
        <w:t xml:space="preserve">, respectively, and these did not differ significantly (table 2). However, at 10–30 cm, HUB increased from </w:t>
      </w:r>
      <w:r w:rsidRPr="00DB4290">
        <w:rPr>
          <w:rStyle w:val="Strong"/>
          <w:rFonts w:eastAsiaTheme="majorEastAsia"/>
          <w:b w:val="0"/>
          <w:bCs w:val="0"/>
          <w:color w:val="000000" w:themeColor="text1"/>
        </w:rPr>
        <w:t>11.0 ± 2.00 × 10⁴ CFU g⁻¹</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to </w:t>
      </w:r>
      <w:r w:rsidRPr="00DB4290">
        <w:rPr>
          <w:rStyle w:val="Strong"/>
          <w:rFonts w:eastAsiaTheme="majorEastAsia"/>
          <w:b w:val="0"/>
          <w:bCs w:val="0"/>
          <w:color w:val="000000" w:themeColor="text1"/>
        </w:rPr>
        <w:t>14.0 ± 2.00 × 10⁴ CFU g⁻¹</w:t>
      </w:r>
      <w:r w:rsidRPr="00DB4290">
        <w:rPr>
          <w:color w:val="000000" w:themeColor="text1"/>
        </w:rPr>
        <w:t xml:space="preserve"> at </w:t>
      </w:r>
      <w:proofErr w:type="spellStart"/>
      <w:r w:rsidRPr="00DB4290">
        <w:rPr>
          <w:color w:val="000000" w:themeColor="text1"/>
        </w:rPr>
        <w:t>Imiringi</w:t>
      </w:r>
      <w:proofErr w:type="spellEnd"/>
      <w:r w:rsidRPr="00DB4290">
        <w:rPr>
          <w:color w:val="000000" w:themeColor="text1"/>
        </w:rPr>
        <w:t xml:space="preserve"> and </w:t>
      </w:r>
      <w:r w:rsidRPr="00DB4290">
        <w:rPr>
          <w:rStyle w:val="Strong"/>
          <w:rFonts w:eastAsiaTheme="majorEastAsia"/>
          <w:b w:val="0"/>
          <w:bCs w:val="0"/>
          <w:color w:val="000000" w:themeColor="text1"/>
        </w:rPr>
        <w:t>17.0 ± 2.00 × 10⁴ CFU g⁻¹</w:t>
      </w:r>
      <w:r w:rsidRPr="00DB4290">
        <w:rPr>
          <w:color w:val="000000" w:themeColor="text1"/>
        </w:rPr>
        <w:t xml:space="preserve"> at </w:t>
      </w:r>
      <w:proofErr w:type="spellStart"/>
      <w:r w:rsidRPr="00DB4290">
        <w:rPr>
          <w:color w:val="000000" w:themeColor="text1"/>
        </w:rPr>
        <w:t>Obuna</w:t>
      </w:r>
      <w:proofErr w:type="spellEnd"/>
      <w:r w:rsidRPr="00DB4290">
        <w:rPr>
          <w:color w:val="000000" w:themeColor="text1"/>
        </w:rPr>
        <w:t xml:space="preserve">, with </w:t>
      </w:r>
      <w:proofErr w:type="spellStart"/>
      <w:r w:rsidRPr="00DB4290">
        <w:rPr>
          <w:color w:val="000000" w:themeColor="text1"/>
        </w:rPr>
        <w:t>Obuna</w:t>
      </w:r>
      <w:proofErr w:type="spellEnd"/>
      <w:r w:rsidRPr="00DB4290">
        <w:rPr>
          <w:color w:val="000000" w:themeColor="text1"/>
        </w:rPr>
        <w:t xml:space="preserve"> being significantly higher than </w:t>
      </w:r>
      <w:proofErr w:type="spellStart"/>
      <w:r w:rsidRPr="00DB4290">
        <w:rPr>
          <w:color w:val="000000" w:themeColor="text1"/>
        </w:rPr>
        <w:t>Otuan</w:t>
      </w:r>
      <w:proofErr w:type="spellEnd"/>
      <w:r w:rsidRPr="00DB4290">
        <w:rPr>
          <w:color w:val="000000" w:themeColor="text1"/>
        </w:rPr>
        <w:t xml:space="preserve">.  TFC showed no significant spatial differences at either depth (table 2). At 0–10 cm, mean TFC values were </w:t>
      </w:r>
      <w:r w:rsidRPr="00DB4290">
        <w:rPr>
          <w:rStyle w:val="Strong"/>
          <w:rFonts w:eastAsiaTheme="majorEastAsia"/>
          <w:b w:val="0"/>
          <w:bCs w:val="0"/>
          <w:color w:val="000000" w:themeColor="text1"/>
        </w:rPr>
        <w:t>21.0 ± 2.65</w:t>
      </w:r>
      <w:r w:rsidRPr="00DB4290">
        <w:rPr>
          <w:color w:val="000000" w:themeColor="text1"/>
        </w:rPr>
        <w:t xml:space="preserve">, </w:t>
      </w:r>
      <w:r w:rsidRPr="00DB4290">
        <w:rPr>
          <w:rStyle w:val="Strong"/>
          <w:rFonts w:eastAsiaTheme="majorEastAsia"/>
          <w:b w:val="0"/>
          <w:bCs w:val="0"/>
          <w:color w:val="000000" w:themeColor="text1"/>
        </w:rPr>
        <w:t>17.0 ± 2.00</w:t>
      </w:r>
      <w:r w:rsidRPr="00DB4290">
        <w:rPr>
          <w:color w:val="000000" w:themeColor="text1"/>
        </w:rPr>
        <w:t xml:space="preserve">, and </w:t>
      </w:r>
      <w:r w:rsidRPr="00DB4290">
        <w:rPr>
          <w:rStyle w:val="Strong"/>
          <w:rFonts w:eastAsiaTheme="majorEastAsia"/>
          <w:b w:val="0"/>
          <w:bCs w:val="0"/>
          <w:color w:val="000000" w:themeColor="text1"/>
        </w:rPr>
        <w:t>15.3 ± 2.52 × 10⁴ CFU g⁻¹</w:t>
      </w:r>
      <w:r w:rsidRPr="00DB4290">
        <w:rPr>
          <w:color w:val="000000" w:themeColor="text1"/>
        </w:rPr>
        <w:t xml:space="preserve"> for </w:t>
      </w:r>
      <w:proofErr w:type="spellStart"/>
      <w:r w:rsidRPr="00DB4290">
        <w:rPr>
          <w:color w:val="000000" w:themeColor="text1"/>
        </w:rPr>
        <w:t>Otuan</w:t>
      </w:r>
      <w:proofErr w:type="spellEnd"/>
      <w:r w:rsidRPr="00DB4290">
        <w:rPr>
          <w:color w:val="000000" w:themeColor="text1"/>
        </w:rPr>
        <w:t xml:space="preserve">, </w:t>
      </w:r>
      <w:proofErr w:type="spellStart"/>
      <w:r w:rsidRPr="00DB4290">
        <w:rPr>
          <w:color w:val="000000" w:themeColor="text1"/>
        </w:rPr>
        <w:t>Imiringi</w:t>
      </w:r>
      <w:proofErr w:type="spellEnd"/>
      <w:r w:rsidRPr="00DB4290">
        <w:rPr>
          <w:color w:val="000000" w:themeColor="text1"/>
        </w:rPr>
        <w:t xml:space="preserve">, and </w:t>
      </w:r>
      <w:proofErr w:type="spellStart"/>
      <w:r w:rsidRPr="00DB4290">
        <w:rPr>
          <w:color w:val="000000" w:themeColor="text1"/>
        </w:rPr>
        <w:t>Obuna</w:t>
      </w:r>
      <w:proofErr w:type="spellEnd"/>
      <w:r w:rsidRPr="00DB4290">
        <w:rPr>
          <w:color w:val="000000" w:themeColor="text1"/>
        </w:rPr>
        <w:t xml:space="preserve">, respectively. At 10–30 cm, corresponding values were </w:t>
      </w:r>
      <w:r w:rsidRPr="00DB4290">
        <w:rPr>
          <w:rStyle w:val="Strong"/>
          <w:rFonts w:eastAsiaTheme="majorEastAsia"/>
          <w:b w:val="0"/>
          <w:bCs w:val="0"/>
          <w:color w:val="000000" w:themeColor="text1"/>
        </w:rPr>
        <w:t>10.0 ± 2.00</w:t>
      </w:r>
      <w:r w:rsidRPr="00DB4290">
        <w:rPr>
          <w:color w:val="000000" w:themeColor="text1"/>
        </w:rPr>
        <w:t xml:space="preserve">, </w:t>
      </w:r>
      <w:r w:rsidRPr="00DB4290">
        <w:rPr>
          <w:rStyle w:val="Strong"/>
          <w:rFonts w:eastAsiaTheme="majorEastAsia"/>
          <w:b w:val="0"/>
          <w:bCs w:val="0"/>
          <w:color w:val="000000" w:themeColor="text1"/>
        </w:rPr>
        <w:t>11.0 ± 2.00</w:t>
      </w:r>
      <w:r w:rsidRPr="00DB4290">
        <w:rPr>
          <w:color w:val="000000" w:themeColor="text1"/>
        </w:rPr>
        <w:t xml:space="preserve">, and </w:t>
      </w:r>
      <w:r w:rsidRPr="00DB4290">
        <w:rPr>
          <w:rStyle w:val="Strong"/>
          <w:rFonts w:eastAsiaTheme="majorEastAsia"/>
          <w:b w:val="0"/>
          <w:bCs w:val="0"/>
          <w:color w:val="000000" w:themeColor="text1"/>
        </w:rPr>
        <w:t>13.0 ± 2.00 × 10⁴ CFU g⁻¹</w:t>
      </w:r>
      <w:r w:rsidRPr="00DB4290">
        <w:rPr>
          <w:color w:val="000000" w:themeColor="text1"/>
        </w:rPr>
        <w:t>.</w:t>
      </w:r>
    </w:p>
    <w:p w14:paraId="220158C3" w14:textId="203C5457" w:rsidR="00934172" w:rsidRPr="00DB4290" w:rsidRDefault="00934172" w:rsidP="000871FA">
      <w:pPr>
        <w:spacing w:after="120" w:line="240" w:lineRule="auto"/>
        <w:jc w:val="both"/>
        <w:rPr>
          <w:rFonts w:ascii="Times New Roman" w:eastAsia="Times New Roman" w:hAnsi="Times New Roman" w:cs="Times New Roman"/>
          <w:b/>
          <w:bCs/>
          <w:i/>
          <w:i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 xml:space="preserve">Table </w:t>
      </w:r>
      <w:r w:rsidR="004C464A" w:rsidRPr="00DB4290">
        <w:rPr>
          <w:rFonts w:ascii="Times New Roman" w:eastAsia="Times New Roman" w:hAnsi="Times New Roman" w:cs="Times New Roman"/>
          <w:b/>
          <w:bCs/>
          <w:color w:val="000000" w:themeColor="text1"/>
          <w:kern w:val="0"/>
          <w14:ligatures w14:val="none"/>
        </w:rPr>
        <w:t>2</w:t>
      </w:r>
      <w:r w:rsidRPr="00DB4290">
        <w:rPr>
          <w:rFonts w:ascii="Times New Roman" w:eastAsia="Times New Roman" w:hAnsi="Times New Roman" w:cs="Times New Roman"/>
          <w:b/>
          <w:bCs/>
          <w:color w:val="000000" w:themeColor="text1"/>
          <w:kern w:val="0"/>
          <w14:ligatures w14:val="none"/>
        </w:rPr>
        <w:t>: Comparative mean counts of total heterotrophic bacteria (THBC), hydrocarbon-</w:t>
      </w:r>
      <w:proofErr w:type="spellStart"/>
      <w:r w:rsidRPr="00DB4290">
        <w:rPr>
          <w:rFonts w:ascii="Times New Roman" w:eastAsia="Times New Roman" w:hAnsi="Times New Roman" w:cs="Times New Roman"/>
          <w:b/>
          <w:bCs/>
          <w:color w:val="000000" w:themeColor="text1"/>
          <w:kern w:val="0"/>
          <w14:ligatures w14:val="none"/>
        </w:rPr>
        <w:t>utilising</w:t>
      </w:r>
      <w:proofErr w:type="spellEnd"/>
      <w:r w:rsidRPr="00DB4290">
        <w:rPr>
          <w:rFonts w:ascii="Times New Roman" w:eastAsia="Times New Roman" w:hAnsi="Times New Roman" w:cs="Times New Roman"/>
          <w:b/>
          <w:bCs/>
          <w:color w:val="000000" w:themeColor="text1"/>
          <w:kern w:val="0"/>
          <w14:ligatures w14:val="none"/>
        </w:rPr>
        <w:t xml:space="preserve"> bacteria (HUB) and total fungal count (TFC) in soils from oil-producing communities in Bayelsa State</w:t>
      </w:r>
      <w:r w:rsidRPr="00DB4290">
        <w:rPr>
          <w:rFonts w:ascii="Times New Roman" w:hAnsi="Times New Roman" w:cs="Times New Roman"/>
          <w:b/>
          <w:bCs/>
          <w:color w:val="000000" w:themeColor="text1"/>
        </w:rPr>
        <w:t xml:space="preserve"> </w:t>
      </w:r>
      <w:r w:rsidRPr="00DB4290">
        <w:rPr>
          <w:rFonts w:ascii="Times New Roman" w:eastAsia="Times New Roman" w:hAnsi="Times New Roman" w:cs="Times New Roman"/>
          <w:b/>
          <w:bCs/>
          <w:i/>
          <w:iCs/>
          <w:color w:val="000000" w:themeColor="text1"/>
          <w:kern w:val="0"/>
          <w14:ligatures w14:val="none"/>
        </w:rPr>
        <w:t>(CFU g⁻¹ × 10⁴)</w:t>
      </w:r>
    </w:p>
    <w:tbl>
      <w:tblPr>
        <w:tblStyle w:val="PlainTable2"/>
        <w:tblW w:w="0" w:type="auto"/>
        <w:tblLook w:val="04A0" w:firstRow="1" w:lastRow="0" w:firstColumn="1" w:lastColumn="0" w:noHBand="0" w:noVBand="1"/>
      </w:tblPr>
      <w:tblGrid>
        <w:gridCol w:w="2160"/>
        <w:gridCol w:w="1530"/>
        <w:gridCol w:w="2160"/>
        <w:gridCol w:w="1890"/>
        <w:gridCol w:w="1530"/>
      </w:tblGrid>
      <w:tr w:rsidR="00DB4290" w:rsidRPr="00DB4290" w14:paraId="61496D94" w14:textId="77777777" w:rsidTr="00596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hideMark/>
          </w:tcPr>
          <w:p w14:paraId="69A0994A"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Location</w:t>
            </w:r>
          </w:p>
        </w:tc>
        <w:tc>
          <w:tcPr>
            <w:tcW w:w="1530" w:type="dxa"/>
            <w:hideMark/>
          </w:tcPr>
          <w:p w14:paraId="5125A86A" w14:textId="77777777" w:rsidR="005968BC" w:rsidRPr="00DB4290" w:rsidRDefault="005968BC"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Depth</w:t>
            </w:r>
          </w:p>
        </w:tc>
        <w:tc>
          <w:tcPr>
            <w:tcW w:w="2160" w:type="dxa"/>
            <w:hideMark/>
          </w:tcPr>
          <w:p w14:paraId="2CBAC001" w14:textId="77777777" w:rsidR="005968BC" w:rsidRPr="00DB4290" w:rsidRDefault="005968BC"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w:t>
            </w:r>
          </w:p>
        </w:tc>
        <w:tc>
          <w:tcPr>
            <w:tcW w:w="1890" w:type="dxa"/>
            <w:hideMark/>
          </w:tcPr>
          <w:p w14:paraId="1364A382" w14:textId="77777777" w:rsidR="005968BC" w:rsidRPr="00DB4290" w:rsidRDefault="005968BC"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w:t>
            </w:r>
          </w:p>
        </w:tc>
        <w:tc>
          <w:tcPr>
            <w:tcW w:w="1530" w:type="dxa"/>
            <w:hideMark/>
          </w:tcPr>
          <w:p w14:paraId="16E16E19" w14:textId="77777777" w:rsidR="005968BC" w:rsidRPr="00DB4290" w:rsidRDefault="005968BC"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w:t>
            </w:r>
          </w:p>
        </w:tc>
      </w:tr>
      <w:tr w:rsidR="00DB4290" w:rsidRPr="00DB4290" w14:paraId="4DABB88F" w14:textId="77777777" w:rsidTr="00596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bottom w:val="nil"/>
            </w:tcBorders>
            <w:hideMark/>
          </w:tcPr>
          <w:p w14:paraId="58FD9EF4"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Otuan</w:t>
            </w:r>
            <w:proofErr w:type="spellEnd"/>
          </w:p>
        </w:tc>
        <w:tc>
          <w:tcPr>
            <w:tcW w:w="1530" w:type="dxa"/>
            <w:tcBorders>
              <w:bottom w:val="nil"/>
            </w:tcBorders>
            <w:hideMark/>
          </w:tcPr>
          <w:p w14:paraId="14C7EED4"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2160" w:type="dxa"/>
            <w:tcBorders>
              <w:bottom w:val="nil"/>
            </w:tcBorders>
            <w:hideMark/>
          </w:tcPr>
          <w:p w14:paraId="5521FBFA"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51.0 ± 2.65ᵇ</w:t>
            </w:r>
          </w:p>
        </w:tc>
        <w:tc>
          <w:tcPr>
            <w:tcW w:w="1890" w:type="dxa"/>
            <w:tcBorders>
              <w:bottom w:val="nil"/>
            </w:tcBorders>
            <w:hideMark/>
          </w:tcPr>
          <w:p w14:paraId="13CC922B"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19.0 ± 2.00ᵃ</w:t>
            </w:r>
          </w:p>
        </w:tc>
        <w:tc>
          <w:tcPr>
            <w:tcW w:w="1530" w:type="dxa"/>
            <w:tcBorders>
              <w:bottom w:val="nil"/>
            </w:tcBorders>
            <w:hideMark/>
          </w:tcPr>
          <w:p w14:paraId="2A104820"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21.0 ± 2.65ᵃ</w:t>
            </w:r>
          </w:p>
        </w:tc>
      </w:tr>
      <w:tr w:rsidR="00DB4290" w:rsidRPr="00DB4290" w14:paraId="47C05DC6" w14:textId="77777777" w:rsidTr="005968BC">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hideMark/>
          </w:tcPr>
          <w:p w14:paraId="4FD423FC"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Imiringi</w:t>
            </w:r>
            <w:proofErr w:type="spellEnd"/>
          </w:p>
        </w:tc>
        <w:tc>
          <w:tcPr>
            <w:tcW w:w="1530" w:type="dxa"/>
            <w:tcBorders>
              <w:top w:val="nil"/>
              <w:bottom w:val="nil"/>
            </w:tcBorders>
            <w:hideMark/>
          </w:tcPr>
          <w:p w14:paraId="187552D1"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2160" w:type="dxa"/>
            <w:tcBorders>
              <w:top w:val="nil"/>
              <w:bottom w:val="nil"/>
            </w:tcBorders>
            <w:hideMark/>
          </w:tcPr>
          <w:p w14:paraId="67F6CE5A"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64.0 ± 3.00ᵃ</w:t>
            </w:r>
          </w:p>
        </w:tc>
        <w:tc>
          <w:tcPr>
            <w:tcW w:w="1890" w:type="dxa"/>
            <w:tcBorders>
              <w:top w:val="nil"/>
              <w:bottom w:val="nil"/>
            </w:tcBorders>
            <w:hideMark/>
          </w:tcPr>
          <w:p w14:paraId="025735E8"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20.3 ± 2.52ᵃ</w:t>
            </w:r>
          </w:p>
        </w:tc>
        <w:tc>
          <w:tcPr>
            <w:tcW w:w="1530" w:type="dxa"/>
            <w:tcBorders>
              <w:top w:val="nil"/>
              <w:bottom w:val="nil"/>
            </w:tcBorders>
            <w:hideMark/>
          </w:tcPr>
          <w:p w14:paraId="66BBA546"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17.0 ± 2.00ᵃ</w:t>
            </w:r>
          </w:p>
        </w:tc>
      </w:tr>
      <w:tr w:rsidR="00DB4290" w:rsidRPr="00DB4290" w14:paraId="3F10CF97" w14:textId="77777777" w:rsidTr="00596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hideMark/>
          </w:tcPr>
          <w:p w14:paraId="39DA62A0"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Obuna</w:t>
            </w:r>
            <w:proofErr w:type="spellEnd"/>
            <w:r w:rsidRPr="00DB4290">
              <w:rPr>
                <w:rFonts w:ascii="Times New Roman" w:eastAsia="Times New Roman" w:hAnsi="Times New Roman" w:cs="Times New Roman"/>
                <w:b w:val="0"/>
                <w:bCs w:val="0"/>
                <w:color w:val="000000" w:themeColor="text1"/>
                <w:kern w:val="0"/>
                <w14:ligatures w14:val="none"/>
              </w:rPr>
              <w:t xml:space="preserve"> (NLG)</w:t>
            </w:r>
          </w:p>
        </w:tc>
        <w:tc>
          <w:tcPr>
            <w:tcW w:w="1530" w:type="dxa"/>
            <w:tcBorders>
              <w:top w:val="nil"/>
              <w:bottom w:val="nil"/>
            </w:tcBorders>
            <w:hideMark/>
          </w:tcPr>
          <w:p w14:paraId="0A066AF8"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2160" w:type="dxa"/>
            <w:tcBorders>
              <w:top w:val="nil"/>
              <w:bottom w:val="nil"/>
            </w:tcBorders>
            <w:hideMark/>
          </w:tcPr>
          <w:p w14:paraId="33427394"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69.0 ± 3.00ᵃ</w:t>
            </w:r>
          </w:p>
        </w:tc>
        <w:tc>
          <w:tcPr>
            <w:tcW w:w="1890" w:type="dxa"/>
            <w:tcBorders>
              <w:top w:val="nil"/>
              <w:bottom w:val="nil"/>
            </w:tcBorders>
            <w:hideMark/>
          </w:tcPr>
          <w:p w14:paraId="1758B32F"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18.3 ± 2.52ᵃ</w:t>
            </w:r>
          </w:p>
        </w:tc>
        <w:tc>
          <w:tcPr>
            <w:tcW w:w="1530" w:type="dxa"/>
            <w:tcBorders>
              <w:top w:val="nil"/>
              <w:bottom w:val="nil"/>
            </w:tcBorders>
            <w:hideMark/>
          </w:tcPr>
          <w:p w14:paraId="40DED150"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15.3 ± 2.52ᵃ</w:t>
            </w:r>
          </w:p>
        </w:tc>
      </w:tr>
      <w:tr w:rsidR="00DB4290" w:rsidRPr="00DB4290" w14:paraId="0DC0AE27" w14:textId="77777777" w:rsidTr="005968BC">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hideMark/>
          </w:tcPr>
          <w:p w14:paraId="02F8B26B"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Otuan</w:t>
            </w:r>
            <w:proofErr w:type="spellEnd"/>
          </w:p>
        </w:tc>
        <w:tc>
          <w:tcPr>
            <w:tcW w:w="1530" w:type="dxa"/>
            <w:tcBorders>
              <w:top w:val="nil"/>
              <w:bottom w:val="nil"/>
            </w:tcBorders>
            <w:hideMark/>
          </w:tcPr>
          <w:p w14:paraId="19E16F31"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2160" w:type="dxa"/>
            <w:tcBorders>
              <w:top w:val="nil"/>
              <w:bottom w:val="nil"/>
            </w:tcBorders>
            <w:hideMark/>
          </w:tcPr>
          <w:p w14:paraId="787366BE"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32.0 ± 3.00ᵃᵇ</w:t>
            </w:r>
          </w:p>
        </w:tc>
        <w:tc>
          <w:tcPr>
            <w:tcW w:w="1890" w:type="dxa"/>
            <w:tcBorders>
              <w:top w:val="nil"/>
              <w:bottom w:val="nil"/>
            </w:tcBorders>
            <w:hideMark/>
          </w:tcPr>
          <w:p w14:paraId="7E3983DA"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11.0 ± 2.00ᵇ</w:t>
            </w:r>
          </w:p>
        </w:tc>
        <w:tc>
          <w:tcPr>
            <w:tcW w:w="1530" w:type="dxa"/>
            <w:tcBorders>
              <w:top w:val="nil"/>
              <w:bottom w:val="nil"/>
            </w:tcBorders>
            <w:hideMark/>
          </w:tcPr>
          <w:p w14:paraId="7F8433B5"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10.0 ± 2.00ᵃ</w:t>
            </w:r>
          </w:p>
        </w:tc>
      </w:tr>
      <w:tr w:rsidR="00DB4290" w:rsidRPr="00DB4290" w14:paraId="74C1B7E7" w14:textId="77777777" w:rsidTr="00596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hideMark/>
          </w:tcPr>
          <w:p w14:paraId="33E5CA56"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Imiringi</w:t>
            </w:r>
            <w:proofErr w:type="spellEnd"/>
          </w:p>
        </w:tc>
        <w:tc>
          <w:tcPr>
            <w:tcW w:w="1530" w:type="dxa"/>
            <w:tcBorders>
              <w:top w:val="nil"/>
              <w:bottom w:val="nil"/>
            </w:tcBorders>
            <w:hideMark/>
          </w:tcPr>
          <w:p w14:paraId="1190199D"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2160" w:type="dxa"/>
            <w:tcBorders>
              <w:top w:val="nil"/>
              <w:bottom w:val="nil"/>
            </w:tcBorders>
            <w:hideMark/>
          </w:tcPr>
          <w:p w14:paraId="603363BD"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45.0 ± 3.00ᵃ</w:t>
            </w:r>
          </w:p>
        </w:tc>
        <w:tc>
          <w:tcPr>
            <w:tcW w:w="1890" w:type="dxa"/>
            <w:tcBorders>
              <w:top w:val="nil"/>
              <w:bottom w:val="nil"/>
            </w:tcBorders>
            <w:hideMark/>
          </w:tcPr>
          <w:p w14:paraId="2E864358"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14.0 ± 2.00ᵃᵇ</w:t>
            </w:r>
          </w:p>
        </w:tc>
        <w:tc>
          <w:tcPr>
            <w:tcW w:w="1530" w:type="dxa"/>
            <w:tcBorders>
              <w:top w:val="nil"/>
              <w:bottom w:val="nil"/>
            </w:tcBorders>
            <w:hideMark/>
          </w:tcPr>
          <w:p w14:paraId="6FD26035"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11.0 ± 2.00ᵃ</w:t>
            </w:r>
          </w:p>
        </w:tc>
      </w:tr>
      <w:tr w:rsidR="00DB4290" w:rsidRPr="00DB4290" w14:paraId="3F81F52F" w14:textId="77777777" w:rsidTr="005968BC">
        <w:tc>
          <w:tcPr>
            <w:cnfStyle w:val="001000000000" w:firstRow="0" w:lastRow="0" w:firstColumn="1" w:lastColumn="0" w:oddVBand="0" w:evenVBand="0" w:oddHBand="0" w:evenHBand="0" w:firstRowFirstColumn="0" w:firstRowLastColumn="0" w:lastRowFirstColumn="0" w:lastRowLastColumn="0"/>
            <w:tcW w:w="2160" w:type="dxa"/>
            <w:tcBorders>
              <w:top w:val="nil"/>
              <w:bottom w:val="single" w:sz="4" w:space="0" w:color="7F7F7F" w:themeColor="text1" w:themeTint="80"/>
            </w:tcBorders>
            <w:hideMark/>
          </w:tcPr>
          <w:p w14:paraId="46B9136D"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Obuna</w:t>
            </w:r>
            <w:proofErr w:type="spellEnd"/>
            <w:r w:rsidRPr="00DB4290">
              <w:rPr>
                <w:rFonts w:ascii="Times New Roman" w:eastAsia="Times New Roman" w:hAnsi="Times New Roman" w:cs="Times New Roman"/>
                <w:b w:val="0"/>
                <w:bCs w:val="0"/>
                <w:color w:val="000000" w:themeColor="text1"/>
                <w:kern w:val="0"/>
                <w14:ligatures w14:val="none"/>
              </w:rPr>
              <w:t xml:space="preserve"> (NLG)</w:t>
            </w:r>
          </w:p>
        </w:tc>
        <w:tc>
          <w:tcPr>
            <w:tcW w:w="1530" w:type="dxa"/>
            <w:tcBorders>
              <w:top w:val="nil"/>
              <w:bottom w:val="single" w:sz="4" w:space="0" w:color="7F7F7F" w:themeColor="text1" w:themeTint="80"/>
            </w:tcBorders>
            <w:hideMark/>
          </w:tcPr>
          <w:p w14:paraId="452B15D6"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2160" w:type="dxa"/>
            <w:tcBorders>
              <w:top w:val="nil"/>
              <w:bottom w:val="single" w:sz="4" w:space="0" w:color="7F7F7F" w:themeColor="text1" w:themeTint="80"/>
            </w:tcBorders>
            <w:hideMark/>
          </w:tcPr>
          <w:p w14:paraId="20F19965"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23.3 ± 2.52ᵇ</w:t>
            </w:r>
          </w:p>
        </w:tc>
        <w:tc>
          <w:tcPr>
            <w:tcW w:w="1890" w:type="dxa"/>
            <w:tcBorders>
              <w:top w:val="nil"/>
              <w:bottom w:val="single" w:sz="4" w:space="0" w:color="7F7F7F" w:themeColor="text1" w:themeTint="80"/>
            </w:tcBorders>
            <w:hideMark/>
          </w:tcPr>
          <w:p w14:paraId="6F968BAF"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17.0 ± 2.00ᵃ</w:t>
            </w:r>
          </w:p>
        </w:tc>
        <w:tc>
          <w:tcPr>
            <w:tcW w:w="1530" w:type="dxa"/>
            <w:tcBorders>
              <w:top w:val="nil"/>
              <w:bottom w:val="single" w:sz="4" w:space="0" w:color="7F7F7F" w:themeColor="text1" w:themeTint="80"/>
            </w:tcBorders>
            <w:hideMark/>
          </w:tcPr>
          <w:p w14:paraId="7D79AA29"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13.0 ± 2.00ᵃ</w:t>
            </w:r>
          </w:p>
        </w:tc>
      </w:tr>
    </w:tbl>
    <w:p w14:paraId="73C842EF" w14:textId="77777777" w:rsidR="00DD72C5" w:rsidRPr="00DB4290" w:rsidRDefault="005968BC"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Values are mean ± SD (n = 3). Within each soil depth, means with different superscripts (a, b) differ significantly at p &lt; 0.05 by one-way ANOVA followed by Tukey HSD.</w:t>
      </w:r>
    </w:p>
    <w:p w14:paraId="35FB4C22" w14:textId="1E828D89" w:rsidR="00DD72C5" w:rsidRPr="00DB4290" w:rsidRDefault="00DD72C5"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 xml:space="preserve">One-way ANOVA </w:t>
      </w:r>
      <w:r w:rsidR="004C464A" w:rsidRPr="00DB4290">
        <w:rPr>
          <w:rFonts w:ascii="Times New Roman" w:hAnsi="Times New Roman" w:cs="Times New Roman"/>
          <w:color w:val="000000" w:themeColor="text1"/>
        </w:rPr>
        <w:t xml:space="preserve">(table 3) </w:t>
      </w:r>
      <w:r w:rsidRPr="00DB4290">
        <w:rPr>
          <w:rFonts w:ascii="Times New Roman" w:hAnsi="Times New Roman" w:cs="Times New Roman"/>
          <w:color w:val="000000" w:themeColor="text1"/>
        </w:rPr>
        <w:t xml:space="preserve">revealed significant location effects on THBC at both surface (F₂,₆ = 31.08, p &lt; 0.001) and subsurface soils (F₂,₆ = 43.99, p &lt; 0.001), and on HUB at 10–30 cm depth (F₂,₆ = 6.75, p = 0.029), whereas HUB at 0–10 cm and TFC at both depths showed no significant spatial variation (p &gt; 0.05). Tukey HSD </w:t>
      </w:r>
      <w:r w:rsidR="004C464A" w:rsidRPr="00DB4290">
        <w:rPr>
          <w:rFonts w:ascii="Times New Roman" w:hAnsi="Times New Roman" w:cs="Times New Roman"/>
          <w:color w:val="000000" w:themeColor="text1"/>
        </w:rPr>
        <w:t xml:space="preserve">(table 4) </w:t>
      </w:r>
      <w:r w:rsidRPr="00DB4290">
        <w:rPr>
          <w:rFonts w:ascii="Times New Roman" w:hAnsi="Times New Roman" w:cs="Times New Roman"/>
          <w:color w:val="000000" w:themeColor="text1"/>
        </w:rPr>
        <w:t xml:space="preserve">indicated higher THBC at </w:t>
      </w:r>
      <w:proofErr w:type="spellStart"/>
      <w:r w:rsidRPr="00DB4290">
        <w:rPr>
          <w:rFonts w:ascii="Times New Roman" w:hAnsi="Times New Roman" w:cs="Times New Roman"/>
          <w:color w:val="000000" w:themeColor="text1"/>
        </w:rPr>
        <w:t>Imiringi</w:t>
      </w:r>
      <w:proofErr w:type="spellEnd"/>
      <w:r w:rsidRPr="00DB4290">
        <w:rPr>
          <w:rFonts w:ascii="Times New Roman" w:hAnsi="Times New Roman" w:cs="Times New Roman"/>
          <w:color w:val="000000" w:themeColor="text1"/>
        </w:rPr>
        <w:t xml:space="preserve"> and </w:t>
      </w:r>
      <w:proofErr w:type="spellStart"/>
      <w:r w:rsidRPr="00DB4290">
        <w:rPr>
          <w:rFonts w:ascii="Times New Roman" w:hAnsi="Times New Roman" w:cs="Times New Roman"/>
          <w:color w:val="000000" w:themeColor="text1"/>
        </w:rPr>
        <w:t>Obuna</w:t>
      </w:r>
      <w:proofErr w:type="spellEnd"/>
      <w:r w:rsidRPr="00DB4290">
        <w:rPr>
          <w:rFonts w:ascii="Times New Roman" w:hAnsi="Times New Roman" w:cs="Times New Roman"/>
          <w:color w:val="000000" w:themeColor="text1"/>
        </w:rPr>
        <w:t xml:space="preserve"> relative to </w:t>
      </w:r>
      <w:proofErr w:type="spellStart"/>
      <w:r w:rsidRPr="00DB4290">
        <w:rPr>
          <w:rFonts w:ascii="Times New Roman" w:hAnsi="Times New Roman" w:cs="Times New Roman"/>
          <w:color w:val="000000" w:themeColor="text1"/>
        </w:rPr>
        <w:t>Otuan</w:t>
      </w:r>
      <w:proofErr w:type="spellEnd"/>
      <w:r w:rsidRPr="00DB4290">
        <w:rPr>
          <w:rFonts w:ascii="Times New Roman" w:hAnsi="Times New Roman" w:cs="Times New Roman"/>
          <w:color w:val="000000" w:themeColor="text1"/>
        </w:rPr>
        <w:t xml:space="preserve"> at 0–10 cm, higher THBC at </w:t>
      </w:r>
      <w:proofErr w:type="spellStart"/>
      <w:r w:rsidRPr="00DB4290">
        <w:rPr>
          <w:rFonts w:ascii="Times New Roman" w:hAnsi="Times New Roman" w:cs="Times New Roman"/>
          <w:color w:val="000000" w:themeColor="text1"/>
        </w:rPr>
        <w:t>Imiringi</w:t>
      </w:r>
      <w:proofErr w:type="spellEnd"/>
      <w:r w:rsidRPr="00DB4290">
        <w:rPr>
          <w:rFonts w:ascii="Times New Roman" w:hAnsi="Times New Roman" w:cs="Times New Roman"/>
          <w:color w:val="000000" w:themeColor="text1"/>
        </w:rPr>
        <w:t xml:space="preserve"> relative to </w:t>
      </w:r>
      <w:proofErr w:type="spellStart"/>
      <w:r w:rsidRPr="00DB4290">
        <w:rPr>
          <w:rFonts w:ascii="Times New Roman" w:hAnsi="Times New Roman" w:cs="Times New Roman"/>
          <w:color w:val="000000" w:themeColor="text1"/>
        </w:rPr>
        <w:t>Obuna</w:t>
      </w:r>
      <w:proofErr w:type="spellEnd"/>
      <w:r w:rsidRPr="00DB4290">
        <w:rPr>
          <w:rFonts w:ascii="Times New Roman" w:hAnsi="Times New Roman" w:cs="Times New Roman"/>
          <w:color w:val="000000" w:themeColor="text1"/>
        </w:rPr>
        <w:t xml:space="preserve"> at 10–30 cm, and higher HUB at </w:t>
      </w:r>
      <w:proofErr w:type="spellStart"/>
      <w:r w:rsidRPr="00DB4290">
        <w:rPr>
          <w:rFonts w:ascii="Times New Roman" w:hAnsi="Times New Roman" w:cs="Times New Roman"/>
          <w:color w:val="000000" w:themeColor="text1"/>
        </w:rPr>
        <w:t>Obuna</w:t>
      </w:r>
      <w:proofErr w:type="spellEnd"/>
      <w:r w:rsidRPr="00DB4290">
        <w:rPr>
          <w:rFonts w:ascii="Times New Roman" w:hAnsi="Times New Roman" w:cs="Times New Roman"/>
          <w:color w:val="000000" w:themeColor="text1"/>
        </w:rPr>
        <w:t xml:space="preserve"> relative to </w:t>
      </w:r>
      <w:proofErr w:type="spellStart"/>
      <w:r w:rsidRPr="00DB4290">
        <w:rPr>
          <w:rFonts w:ascii="Times New Roman" w:hAnsi="Times New Roman" w:cs="Times New Roman"/>
          <w:color w:val="000000" w:themeColor="text1"/>
        </w:rPr>
        <w:t>Otuan</w:t>
      </w:r>
      <w:proofErr w:type="spellEnd"/>
      <w:r w:rsidRPr="00DB4290">
        <w:rPr>
          <w:rFonts w:ascii="Times New Roman" w:hAnsi="Times New Roman" w:cs="Times New Roman"/>
          <w:color w:val="000000" w:themeColor="text1"/>
        </w:rPr>
        <w:t xml:space="preserve"> at 10–30 cm.</w:t>
      </w:r>
    </w:p>
    <w:p w14:paraId="6B665C97" w14:textId="7569D292" w:rsidR="000135BD" w:rsidRPr="00DB4290" w:rsidRDefault="000135BD"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 xml:space="preserve">Table </w:t>
      </w:r>
      <w:r w:rsidR="004C464A" w:rsidRPr="00DB4290">
        <w:rPr>
          <w:rFonts w:ascii="Times New Roman" w:eastAsia="Times New Roman" w:hAnsi="Times New Roman" w:cs="Times New Roman"/>
          <w:b/>
          <w:bCs/>
          <w:color w:val="000000" w:themeColor="text1"/>
          <w:kern w:val="0"/>
          <w14:ligatures w14:val="none"/>
        </w:rPr>
        <w:t>3</w:t>
      </w:r>
      <w:r w:rsidRPr="00DB4290">
        <w:rPr>
          <w:rFonts w:ascii="Times New Roman" w:eastAsia="Times New Roman" w:hAnsi="Times New Roman" w:cs="Times New Roman"/>
          <w:b/>
          <w:bCs/>
          <w:color w:val="000000" w:themeColor="text1"/>
          <w:kern w:val="0"/>
          <w14:ligatures w14:val="none"/>
        </w:rPr>
        <w:t>: Compact One-Way ANOVA Summary for Microbial Counts Across Locations (by Depth)</w:t>
      </w:r>
    </w:p>
    <w:tbl>
      <w:tblPr>
        <w:tblStyle w:val="PlainTable2"/>
        <w:tblW w:w="0" w:type="auto"/>
        <w:tblLook w:val="04A0" w:firstRow="1" w:lastRow="0" w:firstColumn="1" w:lastColumn="0" w:noHBand="0" w:noVBand="1"/>
      </w:tblPr>
      <w:tblGrid>
        <w:gridCol w:w="1189"/>
        <w:gridCol w:w="1316"/>
        <w:gridCol w:w="2169"/>
        <w:gridCol w:w="950"/>
        <w:gridCol w:w="936"/>
        <w:gridCol w:w="1650"/>
      </w:tblGrid>
      <w:tr w:rsidR="00DB4290" w:rsidRPr="00DB4290" w14:paraId="655BD7DD" w14:textId="77777777" w:rsidTr="00013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74A5EA"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Parameter</w:t>
            </w:r>
          </w:p>
        </w:tc>
        <w:tc>
          <w:tcPr>
            <w:tcW w:w="0" w:type="auto"/>
            <w:hideMark/>
          </w:tcPr>
          <w:p w14:paraId="530DF566"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Depth (cm)</w:t>
            </w:r>
          </w:p>
        </w:tc>
        <w:tc>
          <w:tcPr>
            <w:tcW w:w="0" w:type="auto"/>
            <w:hideMark/>
          </w:tcPr>
          <w:p w14:paraId="598C1967"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df (between, within)</w:t>
            </w:r>
          </w:p>
        </w:tc>
        <w:tc>
          <w:tcPr>
            <w:tcW w:w="0" w:type="auto"/>
            <w:hideMark/>
          </w:tcPr>
          <w:p w14:paraId="6EB76BF7"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F-value</w:t>
            </w:r>
          </w:p>
        </w:tc>
        <w:tc>
          <w:tcPr>
            <w:tcW w:w="0" w:type="auto"/>
            <w:hideMark/>
          </w:tcPr>
          <w:p w14:paraId="0DB5E3FC"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p-value</w:t>
            </w:r>
          </w:p>
        </w:tc>
        <w:tc>
          <w:tcPr>
            <w:tcW w:w="0" w:type="auto"/>
            <w:hideMark/>
          </w:tcPr>
          <w:p w14:paraId="15F7FAC3"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Significance</w:t>
            </w:r>
          </w:p>
        </w:tc>
      </w:tr>
      <w:tr w:rsidR="00DB4290" w:rsidRPr="00DB4290" w14:paraId="17931FFB" w14:textId="77777777" w:rsidTr="00013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F752F00"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w:t>
            </w:r>
          </w:p>
        </w:tc>
        <w:tc>
          <w:tcPr>
            <w:tcW w:w="0" w:type="auto"/>
            <w:tcBorders>
              <w:bottom w:val="nil"/>
            </w:tcBorders>
            <w:hideMark/>
          </w:tcPr>
          <w:p w14:paraId="1D98D431"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bottom w:val="nil"/>
            </w:tcBorders>
            <w:hideMark/>
          </w:tcPr>
          <w:p w14:paraId="0B111054"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bottom w:val="nil"/>
            </w:tcBorders>
            <w:hideMark/>
          </w:tcPr>
          <w:p w14:paraId="28AC26A8"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31.08</w:t>
            </w:r>
          </w:p>
        </w:tc>
        <w:tc>
          <w:tcPr>
            <w:tcW w:w="0" w:type="auto"/>
            <w:tcBorders>
              <w:bottom w:val="nil"/>
            </w:tcBorders>
            <w:hideMark/>
          </w:tcPr>
          <w:p w14:paraId="6F53C116"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0.0007</w:t>
            </w:r>
          </w:p>
        </w:tc>
        <w:tc>
          <w:tcPr>
            <w:tcW w:w="0" w:type="auto"/>
            <w:tcBorders>
              <w:bottom w:val="nil"/>
            </w:tcBorders>
            <w:hideMark/>
          </w:tcPr>
          <w:p w14:paraId="7B2362D3"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Significant</w:t>
            </w:r>
          </w:p>
        </w:tc>
      </w:tr>
      <w:tr w:rsidR="00DB4290" w:rsidRPr="00DB4290" w14:paraId="4F54184E" w14:textId="77777777" w:rsidTr="000135B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23EA63F"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w:t>
            </w:r>
          </w:p>
        </w:tc>
        <w:tc>
          <w:tcPr>
            <w:tcW w:w="0" w:type="auto"/>
            <w:tcBorders>
              <w:top w:val="nil"/>
              <w:bottom w:val="nil"/>
            </w:tcBorders>
            <w:hideMark/>
          </w:tcPr>
          <w:p w14:paraId="387C6BFF"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nil"/>
            </w:tcBorders>
            <w:hideMark/>
          </w:tcPr>
          <w:p w14:paraId="1847D674"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top w:val="nil"/>
              <w:bottom w:val="nil"/>
            </w:tcBorders>
            <w:hideMark/>
          </w:tcPr>
          <w:p w14:paraId="16FAEF31"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43.99</w:t>
            </w:r>
          </w:p>
        </w:tc>
        <w:tc>
          <w:tcPr>
            <w:tcW w:w="0" w:type="auto"/>
            <w:tcBorders>
              <w:top w:val="nil"/>
              <w:bottom w:val="nil"/>
            </w:tcBorders>
            <w:hideMark/>
          </w:tcPr>
          <w:p w14:paraId="33B6F67B"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0.0003</w:t>
            </w:r>
          </w:p>
        </w:tc>
        <w:tc>
          <w:tcPr>
            <w:tcW w:w="0" w:type="auto"/>
            <w:tcBorders>
              <w:top w:val="nil"/>
              <w:bottom w:val="nil"/>
            </w:tcBorders>
            <w:hideMark/>
          </w:tcPr>
          <w:p w14:paraId="0D1A91B2"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Significant</w:t>
            </w:r>
          </w:p>
        </w:tc>
      </w:tr>
      <w:tr w:rsidR="00DB4290" w:rsidRPr="00DB4290" w14:paraId="520302E7" w14:textId="77777777" w:rsidTr="00013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8353C7A"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w:t>
            </w:r>
          </w:p>
        </w:tc>
        <w:tc>
          <w:tcPr>
            <w:tcW w:w="0" w:type="auto"/>
            <w:tcBorders>
              <w:top w:val="nil"/>
              <w:bottom w:val="nil"/>
            </w:tcBorders>
            <w:hideMark/>
          </w:tcPr>
          <w:p w14:paraId="5D5E13D9"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top w:val="nil"/>
              <w:bottom w:val="nil"/>
            </w:tcBorders>
            <w:hideMark/>
          </w:tcPr>
          <w:p w14:paraId="7D2C4B83"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top w:val="nil"/>
              <w:bottom w:val="nil"/>
            </w:tcBorders>
            <w:hideMark/>
          </w:tcPr>
          <w:p w14:paraId="2759DF12"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0.56</w:t>
            </w:r>
          </w:p>
        </w:tc>
        <w:tc>
          <w:tcPr>
            <w:tcW w:w="0" w:type="auto"/>
            <w:tcBorders>
              <w:top w:val="nil"/>
              <w:bottom w:val="nil"/>
            </w:tcBorders>
            <w:hideMark/>
          </w:tcPr>
          <w:p w14:paraId="3DCF8065"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0.598</w:t>
            </w:r>
          </w:p>
        </w:tc>
        <w:tc>
          <w:tcPr>
            <w:tcW w:w="0" w:type="auto"/>
            <w:tcBorders>
              <w:top w:val="nil"/>
              <w:bottom w:val="nil"/>
            </w:tcBorders>
            <w:hideMark/>
          </w:tcPr>
          <w:p w14:paraId="5C7D67C6"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Not significant</w:t>
            </w:r>
          </w:p>
        </w:tc>
      </w:tr>
      <w:tr w:rsidR="00DB4290" w:rsidRPr="00DB4290" w14:paraId="60CC2FF5" w14:textId="77777777" w:rsidTr="000135B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89327F1"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lastRenderedPageBreak/>
              <w:t>HUB</w:t>
            </w:r>
          </w:p>
        </w:tc>
        <w:tc>
          <w:tcPr>
            <w:tcW w:w="0" w:type="auto"/>
            <w:tcBorders>
              <w:top w:val="nil"/>
              <w:bottom w:val="nil"/>
            </w:tcBorders>
            <w:hideMark/>
          </w:tcPr>
          <w:p w14:paraId="20702218"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nil"/>
            </w:tcBorders>
            <w:hideMark/>
          </w:tcPr>
          <w:p w14:paraId="08D8A885"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top w:val="nil"/>
              <w:bottom w:val="nil"/>
            </w:tcBorders>
            <w:hideMark/>
          </w:tcPr>
          <w:p w14:paraId="7AC5B9D3"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6.75</w:t>
            </w:r>
          </w:p>
        </w:tc>
        <w:tc>
          <w:tcPr>
            <w:tcW w:w="0" w:type="auto"/>
            <w:tcBorders>
              <w:top w:val="nil"/>
              <w:bottom w:val="nil"/>
            </w:tcBorders>
            <w:hideMark/>
          </w:tcPr>
          <w:p w14:paraId="0E76C6BF"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0.029</w:t>
            </w:r>
          </w:p>
        </w:tc>
        <w:tc>
          <w:tcPr>
            <w:tcW w:w="0" w:type="auto"/>
            <w:tcBorders>
              <w:top w:val="nil"/>
              <w:bottom w:val="nil"/>
            </w:tcBorders>
            <w:hideMark/>
          </w:tcPr>
          <w:p w14:paraId="7DB340DC"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Significant</w:t>
            </w:r>
          </w:p>
        </w:tc>
      </w:tr>
      <w:tr w:rsidR="00DB4290" w:rsidRPr="00DB4290" w14:paraId="007F87E0" w14:textId="77777777" w:rsidTr="00013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458A38C"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w:t>
            </w:r>
          </w:p>
        </w:tc>
        <w:tc>
          <w:tcPr>
            <w:tcW w:w="0" w:type="auto"/>
            <w:tcBorders>
              <w:top w:val="nil"/>
              <w:bottom w:val="nil"/>
            </w:tcBorders>
            <w:hideMark/>
          </w:tcPr>
          <w:p w14:paraId="2786E7A9"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top w:val="nil"/>
              <w:bottom w:val="nil"/>
            </w:tcBorders>
            <w:hideMark/>
          </w:tcPr>
          <w:p w14:paraId="7D7201E7"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top w:val="nil"/>
              <w:bottom w:val="nil"/>
            </w:tcBorders>
            <w:hideMark/>
          </w:tcPr>
          <w:p w14:paraId="19BFEE03"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4.40</w:t>
            </w:r>
          </w:p>
        </w:tc>
        <w:tc>
          <w:tcPr>
            <w:tcW w:w="0" w:type="auto"/>
            <w:tcBorders>
              <w:top w:val="nil"/>
              <w:bottom w:val="nil"/>
            </w:tcBorders>
            <w:hideMark/>
          </w:tcPr>
          <w:p w14:paraId="731A9C90"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0.066</w:t>
            </w:r>
          </w:p>
        </w:tc>
        <w:tc>
          <w:tcPr>
            <w:tcW w:w="0" w:type="auto"/>
            <w:tcBorders>
              <w:top w:val="nil"/>
              <w:bottom w:val="nil"/>
            </w:tcBorders>
            <w:hideMark/>
          </w:tcPr>
          <w:p w14:paraId="5EF53859"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Not significant</w:t>
            </w:r>
          </w:p>
        </w:tc>
      </w:tr>
      <w:tr w:rsidR="00DB4290" w:rsidRPr="00DB4290" w14:paraId="2B50D0BA" w14:textId="77777777" w:rsidTr="000135B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378C522D"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w:t>
            </w:r>
          </w:p>
        </w:tc>
        <w:tc>
          <w:tcPr>
            <w:tcW w:w="0" w:type="auto"/>
            <w:tcBorders>
              <w:top w:val="nil"/>
              <w:bottom w:val="single" w:sz="4" w:space="0" w:color="7F7F7F" w:themeColor="text1" w:themeTint="80"/>
            </w:tcBorders>
            <w:hideMark/>
          </w:tcPr>
          <w:p w14:paraId="1D394BDD"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single" w:sz="4" w:space="0" w:color="7F7F7F" w:themeColor="text1" w:themeTint="80"/>
            </w:tcBorders>
            <w:hideMark/>
          </w:tcPr>
          <w:p w14:paraId="3A200F1D"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top w:val="nil"/>
              <w:bottom w:val="single" w:sz="4" w:space="0" w:color="7F7F7F" w:themeColor="text1" w:themeTint="80"/>
            </w:tcBorders>
            <w:hideMark/>
          </w:tcPr>
          <w:p w14:paraId="7AF09D5B"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1.75</w:t>
            </w:r>
          </w:p>
        </w:tc>
        <w:tc>
          <w:tcPr>
            <w:tcW w:w="0" w:type="auto"/>
            <w:tcBorders>
              <w:top w:val="nil"/>
              <w:bottom w:val="single" w:sz="4" w:space="0" w:color="7F7F7F" w:themeColor="text1" w:themeTint="80"/>
            </w:tcBorders>
            <w:hideMark/>
          </w:tcPr>
          <w:p w14:paraId="7BD19362"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0.252</w:t>
            </w:r>
          </w:p>
        </w:tc>
        <w:tc>
          <w:tcPr>
            <w:tcW w:w="0" w:type="auto"/>
            <w:tcBorders>
              <w:top w:val="nil"/>
              <w:bottom w:val="single" w:sz="4" w:space="0" w:color="7F7F7F" w:themeColor="text1" w:themeTint="80"/>
            </w:tcBorders>
            <w:hideMark/>
          </w:tcPr>
          <w:p w14:paraId="32100306"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Not significant</w:t>
            </w:r>
          </w:p>
        </w:tc>
      </w:tr>
    </w:tbl>
    <w:p w14:paraId="0064360D" w14:textId="538547E9" w:rsidR="000135BD" w:rsidRPr="00DB4290" w:rsidRDefault="000135BD"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One-way ANOVA comparing locations (</w:t>
      </w:r>
      <w:proofErr w:type="spellStart"/>
      <w:r w:rsidRPr="00DB4290">
        <w:rPr>
          <w:rFonts w:ascii="Times New Roman" w:hAnsi="Times New Roman" w:cs="Times New Roman"/>
          <w:color w:val="000000" w:themeColor="text1"/>
        </w:rPr>
        <w:t>Otuan</w:t>
      </w:r>
      <w:proofErr w:type="spellEnd"/>
      <w:r w:rsidRPr="00DB4290">
        <w:rPr>
          <w:rFonts w:ascii="Times New Roman" w:hAnsi="Times New Roman" w:cs="Times New Roman"/>
          <w:color w:val="000000" w:themeColor="text1"/>
        </w:rPr>
        <w:t xml:space="preserve">, </w:t>
      </w:r>
      <w:proofErr w:type="spellStart"/>
      <w:r w:rsidRPr="00DB4290">
        <w:rPr>
          <w:rFonts w:ascii="Times New Roman" w:hAnsi="Times New Roman" w:cs="Times New Roman"/>
          <w:color w:val="000000" w:themeColor="text1"/>
        </w:rPr>
        <w:t>Imiringi</w:t>
      </w:r>
      <w:proofErr w:type="spellEnd"/>
      <w:r w:rsidRPr="00DB4290">
        <w:rPr>
          <w:rFonts w:ascii="Times New Roman" w:hAnsi="Times New Roman" w:cs="Times New Roman"/>
          <w:color w:val="000000" w:themeColor="text1"/>
        </w:rPr>
        <w:t xml:space="preserve">, </w:t>
      </w:r>
      <w:proofErr w:type="spellStart"/>
      <w:r w:rsidRPr="00DB4290">
        <w:rPr>
          <w:rFonts w:ascii="Times New Roman" w:hAnsi="Times New Roman" w:cs="Times New Roman"/>
          <w:color w:val="000000" w:themeColor="text1"/>
        </w:rPr>
        <w:t>Obuna</w:t>
      </w:r>
      <w:proofErr w:type="spellEnd"/>
      <w:r w:rsidRPr="00DB4290">
        <w:rPr>
          <w:rFonts w:ascii="Times New Roman" w:hAnsi="Times New Roman" w:cs="Times New Roman"/>
          <w:color w:val="000000" w:themeColor="text1"/>
        </w:rPr>
        <w:t>) within each depth; α = 0.05.</w:t>
      </w:r>
    </w:p>
    <w:p w14:paraId="2F531442" w14:textId="6FC65812" w:rsidR="005968BC" w:rsidRPr="00DB4290" w:rsidRDefault="000135BD" w:rsidP="000871FA">
      <w:pPr>
        <w:spacing w:after="120" w:line="240" w:lineRule="auto"/>
        <w:jc w:val="both"/>
        <w:rPr>
          <w:rFonts w:ascii="Times New Roman" w:hAnsi="Times New Roman" w:cs="Times New Roman"/>
          <w:b/>
          <w:bCs/>
          <w:color w:val="000000" w:themeColor="text1"/>
        </w:rPr>
      </w:pPr>
      <w:r w:rsidRPr="00DB4290">
        <w:rPr>
          <w:rFonts w:ascii="Times New Roman" w:hAnsi="Times New Roman" w:cs="Times New Roman"/>
          <w:b/>
          <w:bCs/>
          <w:color w:val="000000" w:themeColor="text1"/>
        </w:rPr>
        <w:t xml:space="preserve">Table </w:t>
      </w:r>
      <w:r w:rsidR="004C464A" w:rsidRPr="00DB4290">
        <w:rPr>
          <w:rFonts w:ascii="Times New Roman" w:hAnsi="Times New Roman" w:cs="Times New Roman"/>
          <w:b/>
          <w:bCs/>
          <w:color w:val="000000" w:themeColor="text1"/>
        </w:rPr>
        <w:t>4</w:t>
      </w:r>
      <w:r w:rsidRPr="00DB4290">
        <w:rPr>
          <w:rFonts w:ascii="Times New Roman" w:hAnsi="Times New Roman" w:cs="Times New Roman"/>
          <w:b/>
          <w:bCs/>
          <w:color w:val="000000" w:themeColor="text1"/>
        </w:rPr>
        <w:t>: Single Tukey HSD Post-hoc Summary for Significant ANOVA Effects (p &lt; 0.05)</w:t>
      </w:r>
    </w:p>
    <w:tbl>
      <w:tblPr>
        <w:tblStyle w:val="PlainTable2"/>
        <w:tblW w:w="0" w:type="auto"/>
        <w:tblLook w:val="04A0" w:firstRow="1" w:lastRow="0" w:firstColumn="1" w:lastColumn="0" w:noHBand="0" w:noVBand="1"/>
      </w:tblPr>
      <w:tblGrid>
        <w:gridCol w:w="1189"/>
        <w:gridCol w:w="1211"/>
        <w:gridCol w:w="2469"/>
        <w:gridCol w:w="1311"/>
        <w:gridCol w:w="1080"/>
        <w:gridCol w:w="1980"/>
      </w:tblGrid>
      <w:tr w:rsidR="00DB4290" w:rsidRPr="00DB4290" w14:paraId="164AABCB" w14:textId="77777777" w:rsidTr="00013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2105E7"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Parameter</w:t>
            </w:r>
          </w:p>
        </w:tc>
        <w:tc>
          <w:tcPr>
            <w:tcW w:w="1211" w:type="dxa"/>
            <w:hideMark/>
          </w:tcPr>
          <w:p w14:paraId="08EC3D4C"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Depth (cm)</w:t>
            </w:r>
          </w:p>
        </w:tc>
        <w:tc>
          <w:tcPr>
            <w:tcW w:w="2469" w:type="dxa"/>
            <w:hideMark/>
          </w:tcPr>
          <w:p w14:paraId="69F83FEF"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Comparison (Location)</w:t>
            </w:r>
          </w:p>
        </w:tc>
        <w:tc>
          <w:tcPr>
            <w:tcW w:w="1311" w:type="dxa"/>
            <w:hideMark/>
          </w:tcPr>
          <w:p w14:paraId="73B99DEB"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Mean Difference</w:t>
            </w:r>
          </w:p>
        </w:tc>
        <w:tc>
          <w:tcPr>
            <w:tcW w:w="1080" w:type="dxa"/>
            <w:hideMark/>
          </w:tcPr>
          <w:p w14:paraId="32EC485E"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p-adj</w:t>
            </w:r>
          </w:p>
        </w:tc>
        <w:tc>
          <w:tcPr>
            <w:tcW w:w="1980" w:type="dxa"/>
            <w:hideMark/>
          </w:tcPr>
          <w:p w14:paraId="2DA10BB3"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Interpretation</w:t>
            </w:r>
          </w:p>
        </w:tc>
      </w:tr>
      <w:tr w:rsidR="00DB4290" w:rsidRPr="00DB4290" w14:paraId="6B0A1BB1" w14:textId="77777777" w:rsidTr="00013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9AD5573"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w:t>
            </w:r>
          </w:p>
        </w:tc>
        <w:tc>
          <w:tcPr>
            <w:tcW w:w="1211" w:type="dxa"/>
            <w:tcBorders>
              <w:bottom w:val="nil"/>
            </w:tcBorders>
            <w:hideMark/>
          </w:tcPr>
          <w:p w14:paraId="19B3FA4A"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2469" w:type="dxa"/>
            <w:tcBorders>
              <w:bottom w:val="nil"/>
            </w:tcBorders>
            <w:hideMark/>
          </w:tcPr>
          <w:p w14:paraId="2895B6BC"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r w:rsidRPr="00DB4290">
              <w:rPr>
                <w:rFonts w:ascii="Times New Roman" w:eastAsia="Times New Roman" w:hAnsi="Times New Roman" w:cs="Times New Roman"/>
                <w:color w:val="000000" w:themeColor="text1"/>
                <w:kern w:val="0"/>
                <w14:ligatures w14:val="none"/>
              </w:rPr>
              <w:t xml:space="preserve"> vs </w:t>
            </w: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1311" w:type="dxa"/>
            <w:tcBorders>
              <w:bottom w:val="nil"/>
            </w:tcBorders>
            <w:hideMark/>
          </w:tcPr>
          <w:p w14:paraId="12901993"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+13.0</w:t>
            </w:r>
          </w:p>
        </w:tc>
        <w:tc>
          <w:tcPr>
            <w:tcW w:w="1080" w:type="dxa"/>
            <w:tcBorders>
              <w:bottom w:val="nil"/>
            </w:tcBorders>
            <w:hideMark/>
          </w:tcPr>
          <w:p w14:paraId="3D31D69F"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0.0036</w:t>
            </w:r>
          </w:p>
        </w:tc>
        <w:tc>
          <w:tcPr>
            <w:tcW w:w="1980" w:type="dxa"/>
            <w:tcBorders>
              <w:bottom w:val="nil"/>
            </w:tcBorders>
            <w:hideMark/>
          </w:tcPr>
          <w:p w14:paraId="3C0370C5"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r w:rsidRPr="00DB4290">
              <w:rPr>
                <w:rFonts w:ascii="Times New Roman" w:eastAsia="Times New Roman" w:hAnsi="Times New Roman" w:cs="Times New Roman"/>
                <w:color w:val="000000" w:themeColor="text1"/>
                <w:kern w:val="0"/>
                <w14:ligatures w14:val="none"/>
              </w:rPr>
              <w:t xml:space="preserve"> &gt; </w:t>
            </w:r>
            <w:proofErr w:type="spellStart"/>
            <w:r w:rsidRPr="00DB4290">
              <w:rPr>
                <w:rFonts w:ascii="Times New Roman" w:eastAsia="Times New Roman" w:hAnsi="Times New Roman" w:cs="Times New Roman"/>
                <w:color w:val="000000" w:themeColor="text1"/>
                <w:kern w:val="0"/>
                <w14:ligatures w14:val="none"/>
              </w:rPr>
              <w:t>Otuan</w:t>
            </w:r>
            <w:proofErr w:type="spellEnd"/>
          </w:p>
        </w:tc>
      </w:tr>
      <w:tr w:rsidR="00DB4290" w:rsidRPr="00DB4290" w14:paraId="378F679A" w14:textId="77777777" w:rsidTr="000135B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DD5453D"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w:t>
            </w:r>
          </w:p>
        </w:tc>
        <w:tc>
          <w:tcPr>
            <w:tcW w:w="1211" w:type="dxa"/>
            <w:tcBorders>
              <w:top w:val="nil"/>
              <w:bottom w:val="nil"/>
            </w:tcBorders>
            <w:hideMark/>
          </w:tcPr>
          <w:p w14:paraId="79CE43BF"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2469" w:type="dxa"/>
            <w:tcBorders>
              <w:top w:val="nil"/>
              <w:bottom w:val="nil"/>
            </w:tcBorders>
            <w:hideMark/>
          </w:tcPr>
          <w:p w14:paraId="7909E9B3"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vs </w:t>
            </w: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1311" w:type="dxa"/>
            <w:tcBorders>
              <w:top w:val="nil"/>
              <w:bottom w:val="nil"/>
            </w:tcBorders>
            <w:hideMark/>
          </w:tcPr>
          <w:p w14:paraId="0C5766DA"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+18.0</w:t>
            </w:r>
          </w:p>
        </w:tc>
        <w:tc>
          <w:tcPr>
            <w:tcW w:w="1080" w:type="dxa"/>
            <w:tcBorders>
              <w:top w:val="nil"/>
              <w:bottom w:val="nil"/>
            </w:tcBorders>
            <w:hideMark/>
          </w:tcPr>
          <w:p w14:paraId="10115F30"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0.0006</w:t>
            </w:r>
          </w:p>
        </w:tc>
        <w:tc>
          <w:tcPr>
            <w:tcW w:w="1980" w:type="dxa"/>
            <w:tcBorders>
              <w:top w:val="nil"/>
              <w:bottom w:val="nil"/>
            </w:tcBorders>
            <w:hideMark/>
          </w:tcPr>
          <w:p w14:paraId="057D6B70"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&gt; </w:t>
            </w:r>
            <w:proofErr w:type="spellStart"/>
            <w:r w:rsidRPr="00DB4290">
              <w:rPr>
                <w:rFonts w:ascii="Times New Roman" w:eastAsia="Times New Roman" w:hAnsi="Times New Roman" w:cs="Times New Roman"/>
                <w:color w:val="000000" w:themeColor="text1"/>
                <w:kern w:val="0"/>
                <w14:ligatures w14:val="none"/>
              </w:rPr>
              <w:t>Otuan</w:t>
            </w:r>
            <w:proofErr w:type="spellEnd"/>
          </w:p>
        </w:tc>
      </w:tr>
      <w:tr w:rsidR="00DB4290" w:rsidRPr="00DB4290" w14:paraId="20FEBF17" w14:textId="77777777" w:rsidTr="00013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3865677"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w:t>
            </w:r>
          </w:p>
        </w:tc>
        <w:tc>
          <w:tcPr>
            <w:tcW w:w="1211" w:type="dxa"/>
            <w:tcBorders>
              <w:top w:val="nil"/>
              <w:bottom w:val="nil"/>
            </w:tcBorders>
            <w:hideMark/>
          </w:tcPr>
          <w:p w14:paraId="23AFCCB4"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2469" w:type="dxa"/>
            <w:tcBorders>
              <w:top w:val="nil"/>
              <w:bottom w:val="nil"/>
            </w:tcBorders>
            <w:hideMark/>
          </w:tcPr>
          <w:p w14:paraId="2A4CD515"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r w:rsidRPr="00DB4290">
              <w:rPr>
                <w:rFonts w:ascii="Times New Roman" w:eastAsia="Times New Roman" w:hAnsi="Times New Roman" w:cs="Times New Roman"/>
                <w:color w:val="000000" w:themeColor="text1"/>
                <w:kern w:val="0"/>
                <w14:ligatures w14:val="none"/>
              </w:rPr>
              <w:t xml:space="preserve"> vs </w:t>
            </w:r>
            <w:proofErr w:type="spellStart"/>
            <w:r w:rsidRPr="00DB4290">
              <w:rPr>
                <w:rFonts w:ascii="Times New Roman" w:eastAsia="Times New Roman" w:hAnsi="Times New Roman" w:cs="Times New Roman"/>
                <w:color w:val="000000" w:themeColor="text1"/>
                <w:kern w:val="0"/>
                <w14:ligatures w14:val="none"/>
              </w:rPr>
              <w:t>Obuna</w:t>
            </w:r>
            <w:proofErr w:type="spellEnd"/>
          </w:p>
        </w:tc>
        <w:tc>
          <w:tcPr>
            <w:tcW w:w="1311" w:type="dxa"/>
            <w:tcBorders>
              <w:top w:val="nil"/>
              <w:bottom w:val="nil"/>
            </w:tcBorders>
            <w:hideMark/>
          </w:tcPr>
          <w:p w14:paraId="6097493D"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+21.7</w:t>
            </w:r>
          </w:p>
        </w:tc>
        <w:tc>
          <w:tcPr>
            <w:tcW w:w="1080" w:type="dxa"/>
            <w:tcBorders>
              <w:top w:val="nil"/>
              <w:bottom w:val="nil"/>
            </w:tcBorders>
            <w:hideMark/>
          </w:tcPr>
          <w:p w14:paraId="26E1955C"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0.0002</w:t>
            </w:r>
          </w:p>
        </w:tc>
        <w:tc>
          <w:tcPr>
            <w:tcW w:w="1980" w:type="dxa"/>
            <w:tcBorders>
              <w:top w:val="nil"/>
              <w:bottom w:val="nil"/>
            </w:tcBorders>
            <w:hideMark/>
          </w:tcPr>
          <w:p w14:paraId="372BA8FD"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r w:rsidRPr="00DB4290">
              <w:rPr>
                <w:rFonts w:ascii="Times New Roman" w:eastAsia="Times New Roman" w:hAnsi="Times New Roman" w:cs="Times New Roman"/>
                <w:color w:val="000000" w:themeColor="text1"/>
                <w:kern w:val="0"/>
                <w14:ligatures w14:val="none"/>
              </w:rPr>
              <w:t xml:space="preserve"> &gt; </w:t>
            </w:r>
            <w:proofErr w:type="spellStart"/>
            <w:r w:rsidRPr="00DB4290">
              <w:rPr>
                <w:rFonts w:ascii="Times New Roman" w:eastAsia="Times New Roman" w:hAnsi="Times New Roman" w:cs="Times New Roman"/>
                <w:color w:val="000000" w:themeColor="text1"/>
                <w:kern w:val="0"/>
                <w14:ligatures w14:val="none"/>
              </w:rPr>
              <w:t>Obuna</w:t>
            </w:r>
            <w:proofErr w:type="spellEnd"/>
          </w:p>
        </w:tc>
      </w:tr>
      <w:tr w:rsidR="00DB4290" w:rsidRPr="00DB4290" w14:paraId="425DFC27" w14:textId="77777777" w:rsidTr="000135B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67F58C47"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w:t>
            </w:r>
          </w:p>
        </w:tc>
        <w:tc>
          <w:tcPr>
            <w:tcW w:w="1211" w:type="dxa"/>
            <w:tcBorders>
              <w:top w:val="nil"/>
              <w:bottom w:val="single" w:sz="4" w:space="0" w:color="7F7F7F" w:themeColor="text1" w:themeTint="80"/>
            </w:tcBorders>
            <w:hideMark/>
          </w:tcPr>
          <w:p w14:paraId="52135F1A"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2469" w:type="dxa"/>
            <w:tcBorders>
              <w:top w:val="nil"/>
              <w:bottom w:val="single" w:sz="4" w:space="0" w:color="7F7F7F" w:themeColor="text1" w:themeTint="80"/>
            </w:tcBorders>
            <w:hideMark/>
          </w:tcPr>
          <w:p w14:paraId="4C344415"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vs </w:t>
            </w: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1311" w:type="dxa"/>
            <w:tcBorders>
              <w:top w:val="nil"/>
              <w:bottom w:val="single" w:sz="4" w:space="0" w:color="7F7F7F" w:themeColor="text1" w:themeTint="80"/>
            </w:tcBorders>
            <w:hideMark/>
          </w:tcPr>
          <w:p w14:paraId="0C24B917"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+6.0</w:t>
            </w:r>
          </w:p>
        </w:tc>
        <w:tc>
          <w:tcPr>
            <w:tcW w:w="1080" w:type="dxa"/>
            <w:tcBorders>
              <w:top w:val="nil"/>
              <w:bottom w:val="single" w:sz="4" w:space="0" w:color="7F7F7F" w:themeColor="text1" w:themeTint="80"/>
            </w:tcBorders>
            <w:hideMark/>
          </w:tcPr>
          <w:p w14:paraId="77DD6A90"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0.031</w:t>
            </w:r>
          </w:p>
        </w:tc>
        <w:tc>
          <w:tcPr>
            <w:tcW w:w="1980" w:type="dxa"/>
            <w:tcBorders>
              <w:top w:val="nil"/>
              <w:bottom w:val="single" w:sz="4" w:space="0" w:color="7F7F7F" w:themeColor="text1" w:themeTint="80"/>
            </w:tcBorders>
            <w:hideMark/>
          </w:tcPr>
          <w:p w14:paraId="044E13E5"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&gt; </w:t>
            </w:r>
            <w:proofErr w:type="spellStart"/>
            <w:r w:rsidRPr="00DB4290">
              <w:rPr>
                <w:rFonts w:ascii="Times New Roman" w:eastAsia="Times New Roman" w:hAnsi="Times New Roman" w:cs="Times New Roman"/>
                <w:color w:val="000000" w:themeColor="text1"/>
                <w:kern w:val="0"/>
                <w14:ligatures w14:val="none"/>
              </w:rPr>
              <w:t>Otuan</w:t>
            </w:r>
            <w:proofErr w:type="spellEnd"/>
          </w:p>
        </w:tc>
      </w:tr>
    </w:tbl>
    <w:p w14:paraId="5BD0B8DD" w14:textId="1DBCCF9E" w:rsidR="00F97EFF" w:rsidRPr="00DB4290" w:rsidRDefault="000135BD"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hAnsi="Times New Roman" w:cs="Times New Roman"/>
          <w:color w:val="000000" w:themeColor="text1"/>
        </w:rPr>
        <w:t>Tukey HSD performed at α = 0.05. Only significant pairwise contrasts are reported; all other pairwise comparisons were not significant (p &gt; 0.05).</w:t>
      </w:r>
    </w:p>
    <w:p w14:paraId="3AAD6D8F" w14:textId="523EA798" w:rsidR="0062161E" w:rsidRPr="00DB4290" w:rsidRDefault="0062161E"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 xml:space="preserve">Table 5 and 6, </w:t>
      </w:r>
      <w:r w:rsidR="00C40BC0">
        <w:rPr>
          <w:rFonts w:ascii="Times New Roman" w:hAnsi="Times New Roman" w:cs="Times New Roman"/>
          <w:color w:val="000000" w:themeColor="text1"/>
        </w:rPr>
        <w:t>show</w:t>
      </w:r>
      <w:r w:rsidRPr="00DB4290">
        <w:rPr>
          <w:rFonts w:ascii="Times New Roman" w:hAnsi="Times New Roman" w:cs="Times New Roman"/>
          <w:color w:val="000000" w:themeColor="text1"/>
        </w:rPr>
        <w:t xml:space="preserve"> </w:t>
      </w:r>
      <w:r w:rsidR="00814AA3">
        <w:rPr>
          <w:rFonts w:ascii="Times New Roman" w:hAnsi="Times New Roman" w:cs="Times New Roman"/>
          <w:color w:val="000000" w:themeColor="text1"/>
        </w:rPr>
        <w:t>s</w:t>
      </w:r>
      <w:r w:rsidRPr="00DB4290">
        <w:rPr>
          <w:rFonts w:ascii="Times New Roman" w:hAnsi="Times New Roman" w:cs="Times New Roman"/>
          <w:color w:val="000000" w:themeColor="text1"/>
        </w:rPr>
        <w:t xml:space="preserve">ix bacterial taxa identified: </w:t>
      </w:r>
      <w:r w:rsidRPr="00DB4290">
        <w:rPr>
          <w:rStyle w:val="Emphasis"/>
          <w:rFonts w:ascii="Times New Roman" w:hAnsi="Times New Roman" w:cs="Times New Roman"/>
          <w:color w:val="000000" w:themeColor="text1"/>
        </w:rPr>
        <w:t>Pseudomonas aeruginosa</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Acinetobacter</w:t>
      </w:r>
      <w:r w:rsidRPr="00DB4290">
        <w:rPr>
          <w:rFonts w:ascii="Times New Roman" w:hAnsi="Times New Roman" w:cs="Times New Roman"/>
          <w:color w:val="000000" w:themeColor="text1"/>
        </w:rPr>
        <w:t xml:space="preserve"> sp., </w:t>
      </w:r>
      <w:r w:rsidRPr="00DB4290">
        <w:rPr>
          <w:rStyle w:val="Emphasis"/>
          <w:rFonts w:ascii="Times New Roman" w:hAnsi="Times New Roman" w:cs="Times New Roman"/>
          <w:color w:val="000000" w:themeColor="text1"/>
        </w:rPr>
        <w:t>Bacillus cereus</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Klebsiella</w:t>
      </w:r>
      <w:r w:rsidRPr="00DB4290">
        <w:rPr>
          <w:rFonts w:ascii="Times New Roman" w:hAnsi="Times New Roman" w:cs="Times New Roman"/>
          <w:color w:val="000000" w:themeColor="text1"/>
        </w:rPr>
        <w:t xml:space="preserve"> sp., </w:t>
      </w:r>
      <w:r w:rsidRPr="00DB4290">
        <w:rPr>
          <w:rStyle w:val="Emphasis"/>
          <w:rFonts w:ascii="Times New Roman" w:hAnsi="Times New Roman" w:cs="Times New Roman"/>
          <w:color w:val="000000" w:themeColor="text1"/>
        </w:rPr>
        <w:t>Enterobacter</w:t>
      </w:r>
      <w:r w:rsidRPr="00DB4290">
        <w:rPr>
          <w:rFonts w:ascii="Times New Roman" w:hAnsi="Times New Roman" w:cs="Times New Roman"/>
          <w:color w:val="000000" w:themeColor="text1"/>
        </w:rPr>
        <w:t xml:space="preserve"> sp., and </w:t>
      </w:r>
      <w:r w:rsidRPr="00DB4290">
        <w:rPr>
          <w:rStyle w:val="Emphasis"/>
          <w:rFonts w:ascii="Times New Roman" w:hAnsi="Times New Roman" w:cs="Times New Roman"/>
          <w:color w:val="000000" w:themeColor="text1"/>
        </w:rPr>
        <w:t>Micrococcus luteus</w:t>
      </w:r>
      <w:r w:rsidRPr="00DB4290">
        <w:rPr>
          <w:rFonts w:ascii="Times New Roman" w:hAnsi="Times New Roman" w:cs="Times New Roman"/>
          <w:color w:val="000000" w:themeColor="text1"/>
        </w:rPr>
        <w:t xml:space="preserve">. These were distributed across locations and depths, with </w:t>
      </w:r>
      <w:r w:rsidRPr="00DB4290">
        <w:rPr>
          <w:rStyle w:val="Emphasis"/>
          <w:rFonts w:ascii="Times New Roman" w:hAnsi="Times New Roman" w:cs="Times New Roman"/>
          <w:color w:val="000000" w:themeColor="text1"/>
        </w:rPr>
        <w:t>Pseudomonas</w:t>
      </w:r>
      <w:r w:rsidRPr="00DB4290">
        <w:rPr>
          <w:rFonts w:ascii="Times New Roman" w:hAnsi="Times New Roman" w:cs="Times New Roman"/>
          <w:color w:val="000000" w:themeColor="text1"/>
        </w:rPr>
        <w:t xml:space="preserve"> and </w:t>
      </w:r>
      <w:r w:rsidRPr="00DB4290">
        <w:rPr>
          <w:rStyle w:val="Emphasis"/>
          <w:rFonts w:ascii="Times New Roman" w:hAnsi="Times New Roman" w:cs="Times New Roman"/>
          <w:color w:val="000000" w:themeColor="text1"/>
        </w:rPr>
        <w:t>Acinetobacter</w:t>
      </w:r>
      <w:r w:rsidRPr="00DB4290">
        <w:rPr>
          <w:rFonts w:ascii="Times New Roman" w:hAnsi="Times New Roman" w:cs="Times New Roman"/>
          <w:color w:val="000000" w:themeColor="text1"/>
        </w:rPr>
        <w:t xml:space="preserve"> dominating surface soils, while </w:t>
      </w:r>
      <w:r w:rsidRPr="00DB4290">
        <w:rPr>
          <w:rStyle w:val="Emphasis"/>
          <w:rFonts w:ascii="Times New Roman" w:hAnsi="Times New Roman" w:cs="Times New Roman"/>
          <w:color w:val="000000" w:themeColor="text1"/>
        </w:rPr>
        <w:t>Bacillus</w:t>
      </w:r>
      <w:r w:rsidRPr="00DB4290">
        <w:rPr>
          <w:rFonts w:ascii="Times New Roman" w:hAnsi="Times New Roman" w:cs="Times New Roman"/>
          <w:color w:val="000000" w:themeColor="text1"/>
        </w:rPr>
        <w:t xml:space="preserve"> and </w:t>
      </w:r>
      <w:r w:rsidRPr="00DB4290">
        <w:rPr>
          <w:rStyle w:val="Emphasis"/>
          <w:rFonts w:ascii="Times New Roman" w:hAnsi="Times New Roman" w:cs="Times New Roman"/>
          <w:color w:val="000000" w:themeColor="text1"/>
        </w:rPr>
        <w:t>Enterobacter</w:t>
      </w:r>
      <w:r w:rsidRPr="00DB4290">
        <w:rPr>
          <w:rFonts w:ascii="Times New Roman" w:hAnsi="Times New Roman" w:cs="Times New Roman"/>
          <w:color w:val="000000" w:themeColor="text1"/>
        </w:rPr>
        <w:t xml:space="preserve"> were more frequent in subsurface layers</w:t>
      </w:r>
      <w:r w:rsidRPr="008E06FF">
        <w:rPr>
          <w:rFonts w:ascii="Times New Roman" w:hAnsi="Times New Roman" w:cs="Times New Roman"/>
          <w:color w:val="000000" w:themeColor="text1"/>
        </w:rPr>
        <w:t xml:space="preserve">. </w:t>
      </w:r>
      <w:r w:rsidR="008E06FF" w:rsidRPr="008E06FF">
        <w:rPr>
          <w:rFonts w:ascii="Times New Roman" w:hAnsi="Times New Roman" w:cs="Times New Roman"/>
        </w:rPr>
        <w:t>Acinetobacter sp. showed an oxidase-positive reaction, which is atypical because most Acinetobacter species are oxidase-negative. Therefore, definitive identification of this isolate requires molecular confirmation using techniques such as 16S rRNA gene sequencing.</w:t>
      </w:r>
      <w:r w:rsidR="008E06FF" w:rsidRPr="008E06FF">
        <w:rPr>
          <w:rFonts w:ascii="Times New Roman" w:hAnsi="Times New Roman" w:cs="Times New Roman"/>
          <w:color w:val="000000" w:themeColor="text1"/>
        </w:rPr>
        <w:t xml:space="preserve"> </w:t>
      </w:r>
      <w:r w:rsidRPr="00DB4290">
        <w:rPr>
          <w:rFonts w:ascii="Times New Roman" w:hAnsi="Times New Roman" w:cs="Times New Roman"/>
          <w:color w:val="000000" w:themeColor="text1"/>
        </w:rPr>
        <w:t xml:space="preserve">Six fungal taxa were also identified (table </w:t>
      </w:r>
      <w:r w:rsidR="00333805" w:rsidRPr="00DB4290">
        <w:rPr>
          <w:rFonts w:ascii="Times New Roman" w:hAnsi="Times New Roman" w:cs="Times New Roman"/>
          <w:color w:val="000000" w:themeColor="text1"/>
        </w:rPr>
        <w:t>7 &amp; 8</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 xml:space="preserve">Aspergillus </w:t>
      </w:r>
      <w:proofErr w:type="spellStart"/>
      <w:r w:rsidRPr="00DB4290">
        <w:rPr>
          <w:rStyle w:val="Emphasis"/>
          <w:rFonts w:ascii="Times New Roman" w:hAnsi="Times New Roman" w:cs="Times New Roman"/>
          <w:color w:val="000000" w:themeColor="text1"/>
        </w:rPr>
        <w:t>niger</w:t>
      </w:r>
      <w:proofErr w:type="spellEnd"/>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A. flavus</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A. fumigatus</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Penicillium</w:t>
      </w:r>
      <w:r w:rsidRPr="00DB4290">
        <w:rPr>
          <w:rFonts w:ascii="Times New Roman" w:hAnsi="Times New Roman" w:cs="Times New Roman"/>
          <w:color w:val="000000" w:themeColor="text1"/>
        </w:rPr>
        <w:t xml:space="preserve"> sp., </w:t>
      </w:r>
      <w:r w:rsidRPr="00DB4290">
        <w:rPr>
          <w:rStyle w:val="Emphasis"/>
          <w:rFonts w:ascii="Times New Roman" w:hAnsi="Times New Roman" w:cs="Times New Roman"/>
          <w:color w:val="000000" w:themeColor="text1"/>
        </w:rPr>
        <w:t>Rhizopus</w:t>
      </w:r>
      <w:r w:rsidRPr="00DB4290">
        <w:rPr>
          <w:rFonts w:ascii="Times New Roman" w:hAnsi="Times New Roman" w:cs="Times New Roman"/>
          <w:color w:val="000000" w:themeColor="text1"/>
        </w:rPr>
        <w:t xml:space="preserve"> sp., and </w:t>
      </w:r>
      <w:r w:rsidRPr="00DB4290">
        <w:rPr>
          <w:rStyle w:val="Emphasis"/>
          <w:rFonts w:ascii="Times New Roman" w:hAnsi="Times New Roman" w:cs="Times New Roman"/>
          <w:color w:val="000000" w:themeColor="text1"/>
        </w:rPr>
        <w:t>Mucor</w:t>
      </w:r>
      <w:r w:rsidRPr="00DB4290">
        <w:rPr>
          <w:rFonts w:ascii="Times New Roman" w:hAnsi="Times New Roman" w:cs="Times New Roman"/>
          <w:color w:val="000000" w:themeColor="text1"/>
        </w:rPr>
        <w:t xml:space="preserve"> sp. </w:t>
      </w:r>
      <w:r w:rsidRPr="00DB4290">
        <w:rPr>
          <w:rStyle w:val="Emphasis"/>
          <w:rFonts w:ascii="Times New Roman" w:hAnsi="Times New Roman" w:cs="Times New Roman"/>
          <w:color w:val="000000" w:themeColor="text1"/>
        </w:rPr>
        <w:t xml:space="preserve">Aspergillus </w:t>
      </w:r>
      <w:proofErr w:type="spellStart"/>
      <w:r w:rsidRPr="00DB4290">
        <w:rPr>
          <w:rStyle w:val="Emphasis"/>
          <w:rFonts w:ascii="Times New Roman" w:hAnsi="Times New Roman" w:cs="Times New Roman"/>
          <w:color w:val="000000" w:themeColor="text1"/>
        </w:rPr>
        <w:t>niger</w:t>
      </w:r>
      <w:proofErr w:type="spellEnd"/>
      <w:r w:rsidRPr="00DB4290">
        <w:rPr>
          <w:rFonts w:ascii="Times New Roman" w:hAnsi="Times New Roman" w:cs="Times New Roman"/>
          <w:color w:val="000000" w:themeColor="text1"/>
        </w:rPr>
        <w:t xml:space="preserve"> and </w:t>
      </w:r>
      <w:r w:rsidRPr="00DB4290">
        <w:rPr>
          <w:rStyle w:val="Emphasis"/>
          <w:rFonts w:ascii="Times New Roman" w:hAnsi="Times New Roman" w:cs="Times New Roman"/>
          <w:color w:val="000000" w:themeColor="text1"/>
        </w:rPr>
        <w:t>Rhizopus</w:t>
      </w:r>
      <w:r w:rsidRPr="00DB4290">
        <w:rPr>
          <w:rFonts w:ascii="Times New Roman" w:hAnsi="Times New Roman" w:cs="Times New Roman"/>
          <w:color w:val="000000" w:themeColor="text1"/>
        </w:rPr>
        <w:t xml:space="preserve"> sp. occurred at 0–10 cm in both </w:t>
      </w:r>
      <w:proofErr w:type="spellStart"/>
      <w:r w:rsidRPr="00DB4290">
        <w:rPr>
          <w:rFonts w:ascii="Times New Roman" w:hAnsi="Times New Roman" w:cs="Times New Roman"/>
          <w:color w:val="000000" w:themeColor="text1"/>
        </w:rPr>
        <w:t>Otuan</w:t>
      </w:r>
      <w:proofErr w:type="spellEnd"/>
      <w:r w:rsidRPr="00DB4290">
        <w:rPr>
          <w:rFonts w:ascii="Times New Roman" w:hAnsi="Times New Roman" w:cs="Times New Roman"/>
          <w:color w:val="000000" w:themeColor="text1"/>
        </w:rPr>
        <w:t xml:space="preserve"> and </w:t>
      </w:r>
      <w:proofErr w:type="spellStart"/>
      <w:r w:rsidRPr="00DB4290">
        <w:rPr>
          <w:rFonts w:ascii="Times New Roman" w:hAnsi="Times New Roman" w:cs="Times New Roman"/>
          <w:color w:val="000000" w:themeColor="text1"/>
        </w:rPr>
        <w:t>Obuna</w:t>
      </w:r>
      <w:proofErr w:type="spellEnd"/>
      <w:r w:rsidRPr="00DB4290">
        <w:rPr>
          <w:rFonts w:ascii="Times New Roman" w:hAnsi="Times New Roman" w:cs="Times New Roman"/>
          <w:color w:val="000000" w:themeColor="text1"/>
        </w:rPr>
        <w:t xml:space="preserve">, while </w:t>
      </w:r>
      <w:r w:rsidRPr="00DB4290">
        <w:rPr>
          <w:rStyle w:val="Emphasis"/>
          <w:rFonts w:ascii="Times New Roman" w:hAnsi="Times New Roman" w:cs="Times New Roman"/>
          <w:color w:val="000000" w:themeColor="text1"/>
        </w:rPr>
        <w:t>Penicillium</w:t>
      </w:r>
      <w:r w:rsidRPr="00DB4290">
        <w:rPr>
          <w:rFonts w:ascii="Times New Roman" w:hAnsi="Times New Roman" w:cs="Times New Roman"/>
          <w:color w:val="000000" w:themeColor="text1"/>
        </w:rPr>
        <w:t xml:space="preserve"> sp. and </w:t>
      </w:r>
      <w:r w:rsidRPr="00DB4290">
        <w:rPr>
          <w:rStyle w:val="Emphasis"/>
          <w:rFonts w:ascii="Times New Roman" w:hAnsi="Times New Roman" w:cs="Times New Roman"/>
          <w:color w:val="000000" w:themeColor="text1"/>
        </w:rPr>
        <w:t>Mucor</w:t>
      </w:r>
      <w:r w:rsidRPr="00DB4290">
        <w:rPr>
          <w:rFonts w:ascii="Times New Roman" w:hAnsi="Times New Roman" w:cs="Times New Roman"/>
          <w:color w:val="000000" w:themeColor="text1"/>
        </w:rPr>
        <w:t xml:space="preserve"> sp. were more common in subsurface soils, indicating depth-related niche differentiation.</w:t>
      </w:r>
    </w:p>
    <w:p w14:paraId="3BF5CE70" w14:textId="108E35AA" w:rsidR="00F97EFF" w:rsidRPr="00DB4290" w:rsidRDefault="00F97EFF" w:rsidP="000761C5">
      <w:pPr>
        <w:spacing w:after="0" w:line="240" w:lineRule="auto"/>
        <w:jc w:val="both"/>
        <w:rPr>
          <w:rFonts w:ascii="Times New Roman" w:hAnsi="Times New Roman" w:cs="Times New Roman"/>
          <w:b/>
          <w:bCs/>
          <w:color w:val="000000" w:themeColor="text1"/>
        </w:rPr>
      </w:pPr>
      <w:r w:rsidRPr="00DB4290">
        <w:rPr>
          <w:rFonts w:ascii="Times New Roman" w:hAnsi="Times New Roman" w:cs="Times New Roman"/>
          <w:b/>
          <w:bCs/>
          <w:color w:val="000000" w:themeColor="text1"/>
        </w:rPr>
        <w:t>Table 5: Morphological, microscopic and biochemical characteristics of bacterial isolates from soil samples</w:t>
      </w:r>
    </w:p>
    <w:tbl>
      <w:tblPr>
        <w:tblStyle w:val="TableGrid"/>
        <w:tblW w:w="0" w:type="auto"/>
        <w:tblLook w:val="04A0" w:firstRow="1" w:lastRow="0" w:firstColumn="1" w:lastColumn="0" w:noHBand="0" w:noVBand="1"/>
      </w:tblPr>
      <w:tblGrid>
        <w:gridCol w:w="696"/>
        <w:gridCol w:w="1182"/>
        <w:gridCol w:w="796"/>
        <w:gridCol w:w="730"/>
        <w:gridCol w:w="826"/>
        <w:gridCol w:w="806"/>
        <w:gridCol w:w="706"/>
        <w:gridCol w:w="676"/>
        <w:gridCol w:w="1406"/>
        <w:gridCol w:w="1536"/>
      </w:tblGrid>
      <w:tr w:rsidR="000871FA" w:rsidRPr="00DB4290" w14:paraId="162E57B7" w14:textId="77777777" w:rsidTr="000761C5">
        <w:tc>
          <w:tcPr>
            <w:tcW w:w="0" w:type="auto"/>
            <w:tcBorders>
              <w:left w:val="nil"/>
              <w:bottom w:val="single" w:sz="4" w:space="0" w:color="auto"/>
              <w:right w:val="nil"/>
            </w:tcBorders>
            <w:hideMark/>
          </w:tcPr>
          <w:p w14:paraId="5FFD5FF3" w14:textId="77777777" w:rsidR="00F97EFF" w:rsidRPr="00DB4290" w:rsidRDefault="00F97EFF" w:rsidP="000761C5">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Isolate code</w:t>
            </w:r>
          </w:p>
        </w:tc>
        <w:tc>
          <w:tcPr>
            <w:tcW w:w="0" w:type="auto"/>
            <w:tcBorders>
              <w:left w:val="nil"/>
              <w:bottom w:val="single" w:sz="4" w:space="0" w:color="auto"/>
              <w:right w:val="nil"/>
            </w:tcBorders>
            <w:hideMark/>
          </w:tcPr>
          <w:p w14:paraId="1656CF23" w14:textId="77777777" w:rsidR="00F97EFF" w:rsidRPr="00DB4290" w:rsidRDefault="00F97EFF" w:rsidP="000761C5">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Colony morphology</w:t>
            </w:r>
          </w:p>
        </w:tc>
        <w:tc>
          <w:tcPr>
            <w:tcW w:w="0" w:type="auto"/>
            <w:tcBorders>
              <w:left w:val="nil"/>
              <w:bottom w:val="single" w:sz="4" w:space="0" w:color="auto"/>
              <w:right w:val="nil"/>
            </w:tcBorders>
            <w:hideMark/>
          </w:tcPr>
          <w:p w14:paraId="1B552DBC" w14:textId="77777777" w:rsidR="00F97EFF" w:rsidRPr="00DB4290" w:rsidRDefault="00F97EFF" w:rsidP="000761C5">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Gram reaction</w:t>
            </w:r>
          </w:p>
        </w:tc>
        <w:tc>
          <w:tcPr>
            <w:tcW w:w="0" w:type="auto"/>
            <w:tcBorders>
              <w:left w:val="nil"/>
              <w:bottom w:val="single" w:sz="4" w:space="0" w:color="auto"/>
              <w:right w:val="nil"/>
            </w:tcBorders>
            <w:hideMark/>
          </w:tcPr>
          <w:p w14:paraId="2DC84BBB" w14:textId="77777777" w:rsidR="00F97EFF" w:rsidRPr="00DB4290" w:rsidRDefault="00F97EFF" w:rsidP="000761C5">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Cell shape</w:t>
            </w:r>
          </w:p>
        </w:tc>
        <w:tc>
          <w:tcPr>
            <w:tcW w:w="0" w:type="auto"/>
            <w:tcBorders>
              <w:left w:val="nil"/>
              <w:bottom w:val="single" w:sz="4" w:space="0" w:color="auto"/>
              <w:right w:val="nil"/>
            </w:tcBorders>
            <w:hideMark/>
          </w:tcPr>
          <w:p w14:paraId="780E14E1" w14:textId="77777777" w:rsidR="00F97EFF" w:rsidRPr="00DB4290" w:rsidRDefault="00F97EFF" w:rsidP="000761C5">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Catalase</w:t>
            </w:r>
          </w:p>
        </w:tc>
        <w:tc>
          <w:tcPr>
            <w:tcW w:w="0" w:type="auto"/>
            <w:tcBorders>
              <w:left w:val="nil"/>
              <w:bottom w:val="single" w:sz="4" w:space="0" w:color="auto"/>
              <w:right w:val="nil"/>
            </w:tcBorders>
            <w:hideMark/>
          </w:tcPr>
          <w:p w14:paraId="4F43F4AC" w14:textId="77777777" w:rsidR="00F97EFF" w:rsidRPr="00DB4290" w:rsidRDefault="00F97EFF" w:rsidP="000761C5">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Oxidase</w:t>
            </w:r>
          </w:p>
        </w:tc>
        <w:tc>
          <w:tcPr>
            <w:tcW w:w="0" w:type="auto"/>
            <w:tcBorders>
              <w:left w:val="nil"/>
              <w:bottom w:val="single" w:sz="4" w:space="0" w:color="auto"/>
              <w:right w:val="nil"/>
            </w:tcBorders>
            <w:hideMark/>
          </w:tcPr>
          <w:p w14:paraId="7D0E4AEA" w14:textId="77777777" w:rsidR="00F97EFF" w:rsidRPr="00DB4290" w:rsidRDefault="00F97EFF" w:rsidP="000761C5">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Citrate</w:t>
            </w:r>
          </w:p>
        </w:tc>
        <w:tc>
          <w:tcPr>
            <w:tcW w:w="0" w:type="auto"/>
            <w:tcBorders>
              <w:left w:val="nil"/>
              <w:bottom w:val="single" w:sz="4" w:space="0" w:color="auto"/>
              <w:right w:val="nil"/>
            </w:tcBorders>
            <w:hideMark/>
          </w:tcPr>
          <w:p w14:paraId="285CEA72" w14:textId="77777777" w:rsidR="00F97EFF" w:rsidRPr="00DB4290" w:rsidRDefault="00F97EFF" w:rsidP="000761C5">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Indole</w:t>
            </w:r>
          </w:p>
        </w:tc>
        <w:tc>
          <w:tcPr>
            <w:tcW w:w="1406" w:type="dxa"/>
            <w:tcBorders>
              <w:left w:val="nil"/>
              <w:bottom w:val="single" w:sz="4" w:space="0" w:color="auto"/>
              <w:right w:val="nil"/>
            </w:tcBorders>
            <w:hideMark/>
          </w:tcPr>
          <w:p w14:paraId="0F9ADF93" w14:textId="77777777" w:rsidR="00F97EFF" w:rsidRPr="00DB4290" w:rsidRDefault="00F97EFF" w:rsidP="000761C5">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Sugar fermentation</w:t>
            </w:r>
          </w:p>
        </w:tc>
        <w:tc>
          <w:tcPr>
            <w:tcW w:w="1536" w:type="dxa"/>
            <w:tcBorders>
              <w:left w:val="nil"/>
              <w:bottom w:val="single" w:sz="4" w:space="0" w:color="auto"/>
              <w:right w:val="nil"/>
            </w:tcBorders>
            <w:hideMark/>
          </w:tcPr>
          <w:p w14:paraId="437FBACE" w14:textId="77777777" w:rsidR="00F97EFF" w:rsidRPr="00DB4290" w:rsidRDefault="00F97EFF" w:rsidP="000761C5">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Probable identity</w:t>
            </w:r>
          </w:p>
        </w:tc>
      </w:tr>
      <w:tr w:rsidR="000871FA" w:rsidRPr="00DB4290" w14:paraId="4E138425" w14:textId="77777777" w:rsidTr="000761C5">
        <w:tc>
          <w:tcPr>
            <w:tcW w:w="0" w:type="auto"/>
            <w:tcBorders>
              <w:left w:val="nil"/>
              <w:bottom w:val="nil"/>
              <w:right w:val="nil"/>
            </w:tcBorders>
            <w:hideMark/>
          </w:tcPr>
          <w:p w14:paraId="0AE7CA05"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B1</w:t>
            </w:r>
          </w:p>
        </w:tc>
        <w:tc>
          <w:tcPr>
            <w:tcW w:w="0" w:type="auto"/>
            <w:tcBorders>
              <w:left w:val="nil"/>
              <w:bottom w:val="nil"/>
              <w:right w:val="nil"/>
            </w:tcBorders>
            <w:hideMark/>
          </w:tcPr>
          <w:p w14:paraId="793DE0AE"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Smooth, greenish, mucoid</w:t>
            </w:r>
          </w:p>
        </w:tc>
        <w:tc>
          <w:tcPr>
            <w:tcW w:w="0" w:type="auto"/>
            <w:tcBorders>
              <w:left w:val="nil"/>
              <w:bottom w:val="nil"/>
              <w:right w:val="nil"/>
            </w:tcBorders>
            <w:hideMark/>
          </w:tcPr>
          <w:p w14:paraId="55E15C42"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left w:val="nil"/>
              <w:bottom w:val="nil"/>
              <w:right w:val="nil"/>
            </w:tcBorders>
            <w:hideMark/>
          </w:tcPr>
          <w:p w14:paraId="419D434B"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Rod</w:t>
            </w:r>
          </w:p>
        </w:tc>
        <w:tc>
          <w:tcPr>
            <w:tcW w:w="0" w:type="auto"/>
            <w:tcBorders>
              <w:left w:val="nil"/>
              <w:bottom w:val="nil"/>
              <w:right w:val="nil"/>
            </w:tcBorders>
            <w:hideMark/>
          </w:tcPr>
          <w:p w14:paraId="492B5CA0"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left w:val="nil"/>
              <w:bottom w:val="nil"/>
              <w:right w:val="nil"/>
            </w:tcBorders>
            <w:hideMark/>
          </w:tcPr>
          <w:p w14:paraId="1F8D51CD"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left w:val="nil"/>
              <w:bottom w:val="nil"/>
              <w:right w:val="nil"/>
            </w:tcBorders>
            <w:hideMark/>
          </w:tcPr>
          <w:p w14:paraId="0B87D9A0"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left w:val="nil"/>
              <w:bottom w:val="nil"/>
              <w:right w:val="nil"/>
            </w:tcBorders>
            <w:hideMark/>
          </w:tcPr>
          <w:p w14:paraId="75B492C8"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06" w:type="dxa"/>
            <w:tcBorders>
              <w:left w:val="nil"/>
              <w:bottom w:val="nil"/>
              <w:right w:val="nil"/>
            </w:tcBorders>
            <w:hideMark/>
          </w:tcPr>
          <w:p w14:paraId="2B7003AF"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 Lactose (–)</w:t>
            </w:r>
          </w:p>
        </w:tc>
        <w:tc>
          <w:tcPr>
            <w:tcW w:w="1536" w:type="dxa"/>
            <w:tcBorders>
              <w:left w:val="nil"/>
              <w:bottom w:val="nil"/>
              <w:right w:val="nil"/>
            </w:tcBorders>
            <w:hideMark/>
          </w:tcPr>
          <w:p w14:paraId="034A2253"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Pseudomonas aeruginosa</w:t>
            </w:r>
          </w:p>
        </w:tc>
      </w:tr>
      <w:tr w:rsidR="000871FA" w:rsidRPr="00DB4290" w14:paraId="19321795" w14:textId="77777777" w:rsidTr="000761C5">
        <w:tc>
          <w:tcPr>
            <w:tcW w:w="0" w:type="auto"/>
            <w:tcBorders>
              <w:top w:val="nil"/>
              <w:left w:val="nil"/>
              <w:bottom w:val="nil"/>
              <w:right w:val="nil"/>
            </w:tcBorders>
            <w:hideMark/>
          </w:tcPr>
          <w:p w14:paraId="5DC16FE9"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B2</w:t>
            </w:r>
          </w:p>
        </w:tc>
        <w:tc>
          <w:tcPr>
            <w:tcW w:w="0" w:type="auto"/>
            <w:tcBorders>
              <w:top w:val="nil"/>
              <w:left w:val="nil"/>
              <w:bottom w:val="nil"/>
              <w:right w:val="nil"/>
            </w:tcBorders>
            <w:hideMark/>
          </w:tcPr>
          <w:p w14:paraId="60EF20C6"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Small, yellow, circular, convex</w:t>
            </w:r>
          </w:p>
        </w:tc>
        <w:tc>
          <w:tcPr>
            <w:tcW w:w="0" w:type="auto"/>
            <w:tcBorders>
              <w:top w:val="nil"/>
              <w:left w:val="nil"/>
              <w:bottom w:val="nil"/>
              <w:right w:val="nil"/>
            </w:tcBorders>
            <w:hideMark/>
          </w:tcPr>
          <w:p w14:paraId="50C931AE"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5183D3AD"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Cocci</w:t>
            </w:r>
          </w:p>
        </w:tc>
        <w:tc>
          <w:tcPr>
            <w:tcW w:w="0" w:type="auto"/>
            <w:tcBorders>
              <w:top w:val="nil"/>
              <w:left w:val="nil"/>
              <w:bottom w:val="nil"/>
              <w:right w:val="nil"/>
            </w:tcBorders>
            <w:hideMark/>
          </w:tcPr>
          <w:p w14:paraId="495C6A2A"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7961B0AF"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33C42B34"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07BA26A9"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06" w:type="dxa"/>
            <w:tcBorders>
              <w:top w:val="nil"/>
              <w:left w:val="nil"/>
              <w:bottom w:val="nil"/>
              <w:right w:val="nil"/>
            </w:tcBorders>
            <w:hideMark/>
          </w:tcPr>
          <w:p w14:paraId="0B69E0CA"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w:t>
            </w:r>
          </w:p>
        </w:tc>
        <w:tc>
          <w:tcPr>
            <w:tcW w:w="1536" w:type="dxa"/>
            <w:tcBorders>
              <w:top w:val="nil"/>
              <w:left w:val="nil"/>
              <w:bottom w:val="nil"/>
              <w:right w:val="nil"/>
            </w:tcBorders>
            <w:hideMark/>
          </w:tcPr>
          <w:p w14:paraId="77E14C1E"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Micrococcus luteus</w:t>
            </w:r>
          </w:p>
        </w:tc>
      </w:tr>
      <w:tr w:rsidR="000871FA" w:rsidRPr="00DB4290" w14:paraId="61705E58" w14:textId="77777777" w:rsidTr="000761C5">
        <w:tc>
          <w:tcPr>
            <w:tcW w:w="0" w:type="auto"/>
            <w:tcBorders>
              <w:top w:val="nil"/>
              <w:left w:val="nil"/>
              <w:bottom w:val="nil"/>
              <w:right w:val="nil"/>
            </w:tcBorders>
            <w:hideMark/>
          </w:tcPr>
          <w:p w14:paraId="31BF6C32"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B3</w:t>
            </w:r>
          </w:p>
        </w:tc>
        <w:tc>
          <w:tcPr>
            <w:tcW w:w="0" w:type="auto"/>
            <w:tcBorders>
              <w:top w:val="nil"/>
              <w:left w:val="nil"/>
              <w:bottom w:val="nil"/>
              <w:right w:val="nil"/>
            </w:tcBorders>
            <w:hideMark/>
          </w:tcPr>
          <w:p w14:paraId="17A6956E"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Large, rough, opaque</w:t>
            </w:r>
          </w:p>
        </w:tc>
        <w:tc>
          <w:tcPr>
            <w:tcW w:w="0" w:type="auto"/>
            <w:tcBorders>
              <w:top w:val="nil"/>
              <w:left w:val="nil"/>
              <w:bottom w:val="nil"/>
              <w:right w:val="nil"/>
            </w:tcBorders>
            <w:hideMark/>
          </w:tcPr>
          <w:p w14:paraId="6CBF5993"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03DC5A96"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Rod</w:t>
            </w:r>
          </w:p>
        </w:tc>
        <w:tc>
          <w:tcPr>
            <w:tcW w:w="0" w:type="auto"/>
            <w:tcBorders>
              <w:top w:val="nil"/>
              <w:left w:val="nil"/>
              <w:bottom w:val="nil"/>
              <w:right w:val="nil"/>
            </w:tcBorders>
            <w:hideMark/>
          </w:tcPr>
          <w:p w14:paraId="378BDB79"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0B6F8687"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5088AD27"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26678F48"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06" w:type="dxa"/>
            <w:tcBorders>
              <w:top w:val="nil"/>
              <w:left w:val="nil"/>
              <w:bottom w:val="nil"/>
              <w:right w:val="nil"/>
            </w:tcBorders>
            <w:hideMark/>
          </w:tcPr>
          <w:p w14:paraId="6DF07606"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w:t>
            </w:r>
          </w:p>
        </w:tc>
        <w:tc>
          <w:tcPr>
            <w:tcW w:w="1536" w:type="dxa"/>
            <w:tcBorders>
              <w:top w:val="nil"/>
              <w:left w:val="nil"/>
              <w:bottom w:val="nil"/>
              <w:right w:val="nil"/>
            </w:tcBorders>
            <w:hideMark/>
          </w:tcPr>
          <w:p w14:paraId="3CECBF36"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Bacillus cereus</w:t>
            </w:r>
          </w:p>
        </w:tc>
      </w:tr>
      <w:tr w:rsidR="000871FA" w:rsidRPr="00DB4290" w14:paraId="598F6C60" w14:textId="77777777" w:rsidTr="000761C5">
        <w:tc>
          <w:tcPr>
            <w:tcW w:w="0" w:type="auto"/>
            <w:tcBorders>
              <w:top w:val="nil"/>
              <w:left w:val="nil"/>
              <w:bottom w:val="nil"/>
              <w:right w:val="nil"/>
            </w:tcBorders>
            <w:hideMark/>
          </w:tcPr>
          <w:p w14:paraId="2EE04D1B"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B4</w:t>
            </w:r>
          </w:p>
        </w:tc>
        <w:tc>
          <w:tcPr>
            <w:tcW w:w="0" w:type="auto"/>
            <w:tcBorders>
              <w:top w:val="nil"/>
              <w:left w:val="nil"/>
              <w:bottom w:val="nil"/>
              <w:right w:val="nil"/>
            </w:tcBorders>
            <w:hideMark/>
          </w:tcPr>
          <w:p w14:paraId="6DFAD74D"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Creamy, circular, convex</w:t>
            </w:r>
          </w:p>
        </w:tc>
        <w:tc>
          <w:tcPr>
            <w:tcW w:w="0" w:type="auto"/>
            <w:tcBorders>
              <w:top w:val="nil"/>
              <w:left w:val="nil"/>
              <w:bottom w:val="nil"/>
              <w:right w:val="nil"/>
            </w:tcBorders>
            <w:hideMark/>
          </w:tcPr>
          <w:p w14:paraId="4B22A4A6"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0B1361EE"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Rod</w:t>
            </w:r>
          </w:p>
        </w:tc>
        <w:tc>
          <w:tcPr>
            <w:tcW w:w="0" w:type="auto"/>
            <w:tcBorders>
              <w:top w:val="nil"/>
              <w:left w:val="nil"/>
              <w:bottom w:val="nil"/>
              <w:right w:val="nil"/>
            </w:tcBorders>
            <w:hideMark/>
          </w:tcPr>
          <w:p w14:paraId="01A090FA"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07E66C10"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2DCC5FDB"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148622D3"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06" w:type="dxa"/>
            <w:tcBorders>
              <w:top w:val="nil"/>
              <w:left w:val="nil"/>
              <w:bottom w:val="nil"/>
              <w:right w:val="nil"/>
            </w:tcBorders>
            <w:hideMark/>
          </w:tcPr>
          <w:p w14:paraId="78F2B4B4"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 Lactose (+)</w:t>
            </w:r>
          </w:p>
        </w:tc>
        <w:tc>
          <w:tcPr>
            <w:tcW w:w="1536" w:type="dxa"/>
            <w:tcBorders>
              <w:top w:val="nil"/>
              <w:left w:val="nil"/>
              <w:bottom w:val="nil"/>
              <w:right w:val="nil"/>
            </w:tcBorders>
            <w:hideMark/>
          </w:tcPr>
          <w:p w14:paraId="120B60DB"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Enterobacter</w:t>
            </w:r>
            <w:r w:rsidRPr="000871FA">
              <w:rPr>
                <w:rFonts w:ascii="Times New Roman" w:eastAsia="Times New Roman" w:hAnsi="Times New Roman" w:cs="Times New Roman"/>
                <w:color w:val="000000" w:themeColor="text1"/>
                <w:kern w:val="0"/>
                <w:sz w:val="22"/>
                <w:szCs w:val="22"/>
                <w14:ligatures w14:val="none"/>
              </w:rPr>
              <w:t xml:space="preserve"> sp.</w:t>
            </w:r>
          </w:p>
        </w:tc>
      </w:tr>
      <w:tr w:rsidR="000871FA" w:rsidRPr="00DB4290" w14:paraId="63401230" w14:textId="77777777" w:rsidTr="000761C5">
        <w:tc>
          <w:tcPr>
            <w:tcW w:w="0" w:type="auto"/>
            <w:tcBorders>
              <w:top w:val="nil"/>
              <w:left w:val="nil"/>
              <w:bottom w:val="nil"/>
              <w:right w:val="nil"/>
            </w:tcBorders>
            <w:hideMark/>
          </w:tcPr>
          <w:p w14:paraId="6E3D8F44"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B5</w:t>
            </w:r>
          </w:p>
        </w:tc>
        <w:tc>
          <w:tcPr>
            <w:tcW w:w="0" w:type="auto"/>
            <w:tcBorders>
              <w:top w:val="nil"/>
              <w:left w:val="nil"/>
              <w:bottom w:val="nil"/>
              <w:right w:val="nil"/>
            </w:tcBorders>
            <w:hideMark/>
          </w:tcPr>
          <w:p w14:paraId="4AAE0F3A"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Smooth, translucent</w:t>
            </w:r>
          </w:p>
        </w:tc>
        <w:tc>
          <w:tcPr>
            <w:tcW w:w="0" w:type="auto"/>
            <w:tcBorders>
              <w:top w:val="nil"/>
              <w:left w:val="nil"/>
              <w:bottom w:val="nil"/>
              <w:right w:val="nil"/>
            </w:tcBorders>
            <w:hideMark/>
          </w:tcPr>
          <w:p w14:paraId="128AF0BA"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7741BC13"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Rod</w:t>
            </w:r>
          </w:p>
        </w:tc>
        <w:tc>
          <w:tcPr>
            <w:tcW w:w="0" w:type="auto"/>
            <w:tcBorders>
              <w:top w:val="nil"/>
              <w:left w:val="nil"/>
              <w:bottom w:val="nil"/>
              <w:right w:val="nil"/>
            </w:tcBorders>
            <w:hideMark/>
          </w:tcPr>
          <w:p w14:paraId="2FD9210F"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37D6158A"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2B0527D9"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7FD68C11"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06" w:type="dxa"/>
            <w:tcBorders>
              <w:top w:val="nil"/>
              <w:left w:val="nil"/>
              <w:bottom w:val="nil"/>
              <w:right w:val="nil"/>
            </w:tcBorders>
            <w:hideMark/>
          </w:tcPr>
          <w:p w14:paraId="64C85904" w14:textId="5C32FCE3"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w:t>
            </w:r>
            <w:r w:rsidR="000871FA">
              <w:rPr>
                <w:rFonts w:ascii="Times New Roman" w:eastAsia="Times New Roman" w:hAnsi="Times New Roman" w:cs="Times New Roman"/>
                <w:color w:val="000000" w:themeColor="text1"/>
                <w:kern w:val="0"/>
                <w:sz w:val="22"/>
                <w:szCs w:val="22"/>
                <w14:ligatures w14:val="none"/>
              </w:rPr>
              <w:t xml:space="preserve"> </w:t>
            </w:r>
            <w:r w:rsidRPr="000871FA">
              <w:rPr>
                <w:rFonts w:ascii="Times New Roman" w:eastAsia="Times New Roman" w:hAnsi="Times New Roman" w:cs="Times New Roman"/>
                <w:color w:val="000000" w:themeColor="text1"/>
                <w:kern w:val="0"/>
                <w:sz w:val="22"/>
                <w:szCs w:val="22"/>
                <w14:ligatures w14:val="none"/>
              </w:rPr>
              <w:t>Lactose (+)</w:t>
            </w:r>
          </w:p>
        </w:tc>
        <w:tc>
          <w:tcPr>
            <w:tcW w:w="1536" w:type="dxa"/>
            <w:tcBorders>
              <w:top w:val="nil"/>
              <w:left w:val="nil"/>
              <w:bottom w:val="nil"/>
              <w:right w:val="nil"/>
            </w:tcBorders>
            <w:hideMark/>
          </w:tcPr>
          <w:p w14:paraId="750BDD92"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Klebsiella</w:t>
            </w:r>
            <w:r w:rsidRPr="000871FA">
              <w:rPr>
                <w:rFonts w:ascii="Times New Roman" w:eastAsia="Times New Roman" w:hAnsi="Times New Roman" w:cs="Times New Roman"/>
                <w:color w:val="000000" w:themeColor="text1"/>
                <w:kern w:val="0"/>
                <w:sz w:val="22"/>
                <w:szCs w:val="22"/>
                <w14:ligatures w14:val="none"/>
              </w:rPr>
              <w:t xml:space="preserve"> sp.</w:t>
            </w:r>
          </w:p>
        </w:tc>
      </w:tr>
      <w:tr w:rsidR="000871FA" w:rsidRPr="00DB4290" w14:paraId="07EF237C" w14:textId="77777777" w:rsidTr="000761C5">
        <w:tc>
          <w:tcPr>
            <w:tcW w:w="0" w:type="auto"/>
            <w:tcBorders>
              <w:top w:val="nil"/>
              <w:left w:val="nil"/>
              <w:right w:val="nil"/>
            </w:tcBorders>
            <w:hideMark/>
          </w:tcPr>
          <w:p w14:paraId="2C06A7DC"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B6</w:t>
            </w:r>
          </w:p>
        </w:tc>
        <w:tc>
          <w:tcPr>
            <w:tcW w:w="0" w:type="auto"/>
            <w:tcBorders>
              <w:top w:val="nil"/>
              <w:left w:val="nil"/>
              <w:right w:val="nil"/>
            </w:tcBorders>
            <w:hideMark/>
          </w:tcPr>
          <w:p w14:paraId="16627665"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 xml:space="preserve">Small, smooth, </w:t>
            </w:r>
            <w:proofErr w:type="spellStart"/>
            <w:r w:rsidRPr="000871FA">
              <w:rPr>
                <w:rFonts w:ascii="Times New Roman" w:eastAsia="Times New Roman" w:hAnsi="Times New Roman" w:cs="Times New Roman"/>
                <w:color w:val="000000" w:themeColor="text1"/>
                <w:kern w:val="0"/>
                <w:sz w:val="22"/>
                <w:szCs w:val="22"/>
                <w14:ligatures w14:val="none"/>
              </w:rPr>
              <w:t>colourless</w:t>
            </w:r>
            <w:proofErr w:type="spellEnd"/>
          </w:p>
        </w:tc>
        <w:tc>
          <w:tcPr>
            <w:tcW w:w="0" w:type="auto"/>
            <w:tcBorders>
              <w:top w:val="nil"/>
              <w:left w:val="nil"/>
              <w:right w:val="nil"/>
            </w:tcBorders>
            <w:hideMark/>
          </w:tcPr>
          <w:p w14:paraId="5A64C181"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right w:val="nil"/>
            </w:tcBorders>
            <w:hideMark/>
          </w:tcPr>
          <w:p w14:paraId="66605045"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Rod</w:t>
            </w:r>
          </w:p>
        </w:tc>
        <w:tc>
          <w:tcPr>
            <w:tcW w:w="0" w:type="auto"/>
            <w:tcBorders>
              <w:top w:val="nil"/>
              <w:left w:val="nil"/>
              <w:right w:val="nil"/>
            </w:tcBorders>
            <w:hideMark/>
          </w:tcPr>
          <w:p w14:paraId="17F4622D"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right w:val="nil"/>
            </w:tcBorders>
            <w:hideMark/>
          </w:tcPr>
          <w:p w14:paraId="15671C89"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right w:val="nil"/>
            </w:tcBorders>
            <w:hideMark/>
          </w:tcPr>
          <w:p w14:paraId="2FBE727C"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right w:val="nil"/>
            </w:tcBorders>
            <w:hideMark/>
          </w:tcPr>
          <w:p w14:paraId="383ADA29"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06" w:type="dxa"/>
            <w:tcBorders>
              <w:top w:val="nil"/>
              <w:left w:val="nil"/>
              <w:right w:val="nil"/>
            </w:tcBorders>
            <w:hideMark/>
          </w:tcPr>
          <w:p w14:paraId="44D02BF0" w14:textId="77777777"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w:t>
            </w:r>
          </w:p>
        </w:tc>
        <w:tc>
          <w:tcPr>
            <w:tcW w:w="1536" w:type="dxa"/>
            <w:tcBorders>
              <w:top w:val="nil"/>
              <w:left w:val="nil"/>
              <w:right w:val="nil"/>
            </w:tcBorders>
            <w:hideMark/>
          </w:tcPr>
          <w:p w14:paraId="01327640" w14:textId="628131FE" w:rsidR="00F97EFF" w:rsidRPr="000871FA" w:rsidRDefault="00F97EFF" w:rsidP="000761C5">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Acinetobacter</w:t>
            </w:r>
            <w:r w:rsidRPr="000871FA">
              <w:rPr>
                <w:rFonts w:ascii="Times New Roman" w:eastAsia="Times New Roman" w:hAnsi="Times New Roman" w:cs="Times New Roman"/>
                <w:color w:val="000000" w:themeColor="text1"/>
                <w:kern w:val="0"/>
                <w:sz w:val="22"/>
                <w:szCs w:val="22"/>
                <w14:ligatures w14:val="none"/>
              </w:rPr>
              <w:t xml:space="preserve"> sp.</w:t>
            </w:r>
            <w:r w:rsidR="00627DEE">
              <w:rPr>
                <w:rFonts w:ascii="Times New Roman" w:eastAsia="Times New Roman" w:hAnsi="Times New Roman" w:cs="Times New Roman"/>
                <w:color w:val="000000" w:themeColor="text1"/>
                <w:kern w:val="0"/>
                <w:sz w:val="22"/>
                <w:szCs w:val="22"/>
                <w14:ligatures w14:val="none"/>
              </w:rPr>
              <w:t xml:space="preserve"> (</w:t>
            </w:r>
            <w:r w:rsidR="00627DEE" w:rsidRPr="006824B3">
              <w:rPr>
                <w:rFonts w:ascii="Times New Roman" w:eastAsia="Times New Roman" w:hAnsi="Times New Roman" w:cs="Times New Roman"/>
                <w:kern w:val="0"/>
                <w14:ligatures w14:val="none"/>
              </w:rPr>
              <w:t>requires molecular confirmation</w:t>
            </w:r>
            <w:r w:rsidR="00627DEE">
              <w:rPr>
                <w:rFonts w:ascii="Times New Roman" w:eastAsia="Times New Roman" w:hAnsi="Times New Roman" w:cs="Times New Roman"/>
                <w:kern w:val="0"/>
                <w14:ligatures w14:val="none"/>
              </w:rPr>
              <w:t>)</w:t>
            </w:r>
          </w:p>
        </w:tc>
      </w:tr>
    </w:tbl>
    <w:p w14:paraId="48A87B1E" w14:textId="4595E950" w:rsidR="00F97EFF" w:rsidRPr="00DB4290" w:rsidRDefault="000761C5" w:rsidP="000761C5">
      <w:pPr>
        <w:spacing w:after="120" w:line="240" w:lineRule="auto"/>
        <w:jc w:val="both"/>
        <w:rPr>
          <w:rFonts w:ascii="Times New Roman" w:hAnsi="Times New Roman" w:cs="Times New Roman"/>
          <w:color w:val="000000" w:themeColor="text1"/>
        </w:rPr>
      </w:pPr>
      <w:r w:rsidRPr="000871FA">
        <w:rPr>
          <w:rFonts w:ascii="Times New Roman" w:eastAsia="Times New Roman" w:hAnsi="Times New Roman" w:cs="Times New Roman"/>
          <w:i/>
          <w:iCs/>
          <w:color w:val="000000" w:themeColor="text1"/>
          <w:kern w:val="0"/>
          <w:sz w:val="22"/>
          <w:szCs w:val="22"/>
          <w14:ligatures w14:val="none"/>
        </w:rPr>
        <w:lastRenderedPageBreak/>
        <w:t>Acinetobacter</w:t>
      </w:r>
      <w:r w:rsidRPr="000871FA">
        <w:rPr>
          <w:rFonts w:ascii="Times New Roman" w:eastAsia="Times New Roman" w:hAnsi="Times New Roman" w:cs="Times New Roman"/>
          <w:color w:val="000000" w:themeColor="text1"/>
          <w:kern w:val="0"/>
          <w:sz w:val="22"/>
          <w:szCs w:val="22"/>
          <w14:ligatures w14:val="none"/>
        </w:rPr>
        <w:t xml:space="preserve"> sp.</w:t>
      </w:r>
      <w:r>
        <w:rPr>
          <w:rFonts w:ascii="Times New Roman" w:eastAsia="Times New Roman" w:hAnsi="Times New Roman" w:cs="Times New Roman"/>
          <w:color w:val="000000" w:themeColor="text1"/>
          <w:kern w:val="0"/>
          <w:sz w:val="22"/>
          <w:szCs w:val="22"/>
          <w14:ligatures w14:val="none"/>
        </w:rPr>
        <w:t xml:space="preserve"> </w:t>
      </w:r>
      <w:r w:rsidRPr="006824B3">
        <w:rPr>
          <w:rFonts w:ascii="Times New Roman" w:eastAsia="Times New Roman" w:hAnsi="Times New Roman" w:cs="Times New Roman"/>
          <w:kern w:val="0"/>
          <w14:ligatures w14:val="none"/>
        </w:rPr>
        <w:t>requires molecular confirmation</w:t>
      </w:r>
      <w:r>
        <w:rPr>
          <w:rFonts w:ascii="Times New Roman" w:eastAsia="Times New Roman" w:hAnsi="Times New Roman" w:cs="Times New Roman"/>
          <w:kern w:val="0"/>
          <w14:ligatures w14:val="none"/>
        </w:rPr>
        <w:t>)</w:t>
      </w:r>
    </w:p>
    <w:p w14:paraId="6A3B75A8" w14:textId="5F1ABDB3" w:rsidR="00240981" w:rsidRPr="00DB4290" w:rsidRDefault="0068087A"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 xml:space="preserve">Table </w:t>
      </w:r>
      <w:r w:rsidR="00F97EFF" w:rsidRPr="00DB4290">
        <w:rPr>
          <w:rFonts w:ascii="Times New Roman" w:hAnsi="Times New Roman" w:cs="Times New Roman"/>
          <w:color w:val="000000" w:themeColor="text1"/>
        </w:rPr>
        <w:t>6</w:t>
      </w:r>
      <w:r w:rsidRPr="00DB4290">
        <w:rPr>
          <w:rFonts w:ascii="Times New Roman" w:hAnsi="Times New Roman" w:cs="Times New Roman"/>
          <w:color w:val="000000" w:themeColor="text1"/>
        </w:rPr>
        <w:t>: Identified bacterial isolates from soil samples collected from oil-producing communities in Bayelsa State</w:t>
      </w:r>
    </w:p>
    <w:tbl>
      <w:tblPr>
        <w:tblStyle w:val="TableGrid"/>
        <w:tblW w:w="0" w:type="auto"/>
        <w:tblLook w:val="04A0" w:firstRow="1" w:lastRow="0" w:firstColumn="1" w:lastColumn="0" w:noHBand="0" w:noVBand="1"/>
      </w:tblPr>
      <w:tblGrid>
        <w:gridCol w:w="1569"/>
        <w:gridCol w:w="1197"/>
        <w:gridCol w:w="2036"/>
        <w:gridCol w:w="3600"/>
      </w:tblGrid>
      <w:tr w:rsidR="00DB4290" w:rsidRPr="00DB4290" w14:paraId="54CF3212" w14:textId="77777777" w:rsidTr="000871FA">
        <w:tc>
          <w:tcPr>
            <w:tcW w:w="0" w:type="auto"/>
            <w:tcBorders>
              <w:left w:val="nil"/>
              <w:bottom w:val="single" w:sz="4" w:space="0" w:color="auto"/>
              <w:right w:val="nil"/>
            </w:tcBorders>
            <w:hideMark/>
          </w:tcPr>
          <w:p w14:paraId="74B3FB8E"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Location</w:t>
            </w:r>
          </w:p>
        </w:tc>
        <w:tc>
          <w:tcPr>
            <w:tcW w:w="0" w:type="auto"/>
            <w:tcBorders>
              <w:left w:val="nil"/>
              <w:bottom w:val="single" w:sz="4" w:space="0" w:color="auto"/>
              <w:right w:val="nil"/>
            </w:tcBorders>
            <w:hideMark/>
          </w:tcPr>
          <w:p w14:paraId="37C670B8"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Soil depth</w:t>
            </w:r>
          </w:p>
        </w:tc>
        <w:tc>
          <w:tcPr>
            <w:tcW w:w="2036" w:type="dxa"/>
            <w:tcBorders>
              <w:left w:val="nil"/>
              <w:bottom w:val="single" w:sz="4" w:space="0" w:color="auto"/>
              <w:right w:val="nil"/>
            </w:tcBorders>
          </w:tcPr>
          <w:p w14:paraId="0F012128" w14:textId="6FB0224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Sample code</w:t>
            </w:r>
          </w:p>
        </w:tc>
        <w:tc>
          <w:tcPr>
            <w:tcW w:w="3600" w:type="dxa"/>
            <w:tcBorders>
              <w:left w:val="nil"/>
              <w:bottom w:val="single" w:sz="4" w:space="0" w:color="auto"/>
              <w:right w:val="nil"/>
            </w:tcBorders>
            <w:hideMark/>
          </w:tcPr>
          <w:p w14:paraId="52DF1FAE" w14:textId="384A21D8"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Bacterial isolates identified</w:t>
            </w:r>
          </w:p>
        </w:tc>
      </w:tr>
      <w:tr w:rsidR="00DB4290" w:rsidRPr="00DB4290" w14:paraId="2CE67B47" w14:textId="77777777" w:rsidTr="000871FA">
        <w:tc>
          <w:tcPr>
            <w:tcW w:w="0" w:type="auto"/>
            <w:tcBorders>
              <w:left w:val="nil"/>
              <w:bottom w:val="nil"/>
              <w:right w:val="nil"/>
            </w:tcBorders>
            <w:hideMark/>
          </w:tcPr>
          <w:p w14:paraId="2BC0D0E7" w14:textId="41F0FDA6"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Otuan</w:t>
            </w:r>
            <w:proofErr w:type="spellEnd"/>
            <w:r w:rsidRPr="00DB4290">
              <w:rPr>
                <w:rFonts w:ascii="Times New Roman" w:eastAsia="Times New Roman" w:hAnsi="Times New Roman" w:cs="Times New Roman"/>
                <w:color w:val="000000" w:themeColor="text1"/>
                <w:kern w:val="0"/>
                <w14:ligatures w14:val="none"/>
              </w:rPr>
              <w:t xml:space="preserve"> </w:t>
            </w:r>
          </w:p>
        </w:tc>
        <w:tc>
          <w:tcPr>
            <w:tcW w:w="0" w:type="auto"/>
            <w:tcBorders>
              <w:left w:val="nil"/>
              <w:bottom w:val="nil"/>
              <w:right w:val="nil"/>
            </w:tcBorders>
            <w:hideMark/>
          </w:tcPr>
          <w:p w14:paraId="1F1B0B22"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2036" w:type="dxa"/>
            <w:tcBorders>
              <w:left w:val="nil"/>
              <w:bottom w:val="nil"/>
              <w:right w:val="nil"/>
            </w:tcBorders>
          </w:tcPr>
          <w:p w14:paraId="7316764F" w14:textId="398ADBA3"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B1 &amp; B6</w:t>
            </w:r>
          </w:p>
        </w:tc>
        <w:tc>
          <w:tcPr>
            <w:tcW w:w="3600" w:type="dxa"/>
            <w:tcBorders>
              <w:left w:val="nil"/>
              <w:bottom w:val="nil"/>
              <w:right w:val="nil"/>
            </w:tcBorders>
            <w:hideMark/>
          </w:tcPr>
          <w:p w14:paraId="6B86C954" w14:textId="3961AC29"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Pseudomonas aeruginosa</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Acinetobacter</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74CCD18B" w14:textId="77777777" w:rsidTr="000871FA">
        <w:tc>
          <w:tcPr>
            <w:tcW w:w="0" w:type="auto"/>
            <w:tcBorders>
              <w:top w:val="nil"/>
              <w:left w:val="nil"/>
              <w:bottom w:val="nil"/>
              <w:right w:val="nil"/>
            </w:tcBorders>
            <w:hideMark/>
          </w:tcPr>
          <w:p w14:paraId="21140BAA"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0" w:type="auto"/>
            <w:tcBorders>
              <w:top w:val="nil"/>
              <w:left w:val="nil"/>
              <w:bottom w:val="nil"/>
              <w:right w:val="nil"/>
            </w:tcBorders>
            <w:hideMark/>
          </w:tcPr>
          <w:p w14:paraId="19104D6E"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2036" w:type="dxa"/>
            <w:tcBorders>
              <w:top w:val="nil"/>
              <w:left w:val="nil"/>
              <w:bottom w:val="nil"/>
              <w:right w:val="nil"/>
            </w:tcBorders>
          </w:tcPr>
          <w:p w14:paraId="1F214F03" w14:textId="284A5D3E"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B3 &amp; B5</w:t>
            </w:r>
          </w:p>
        </w:tc>
        <w:tc>
          <w:tcPr>
            <w:tcW w:w="3600" w:type="dxa"/>
            <w:tcBorders>
              <w:top w:val="nil"/>
              <w:left w:val="nil"/>
              <w:bottom w:val="nil"/>
              <w:right w:val="nil"/>
            </w:tcBorders>
            <w:hideMark/>
          </w:tcPr>
          <w:p w14:paraId="2177322E" w14:textId="030A318D"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Bacillus cereus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Klebsiella</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78B5E84A" w14:textId="77777777" w:rsidTr="000871FA">
        <w:tc>
          <w:tcPr>
            <w:tcW w:w="0" w:type="auto"/>
            <w:tcBorders>
              <w:top w:val="nil"/>
              <w:left w:val="nil"/>
              <w:bottom w:val="nil"/>
              <w:right w:val="nil"/>
            </w:tcBorders>
            <w:hideMark/>
          </w:tcPr>
          <w:p w14:paraId="708FC298"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p>
        </w:tc>
        <w:tc>
          <w:tcPr>
            <w:tcW w:w="0" w:type="auto"/>
            <w:tcBorders>
              <w:top w:val="nil"/>
              <w:left w:val="nil"/>
              <w:bottom w:val="nil"/>
              <w:right w:val="nil"/>
            </w:tcBorders>
            <w:hideMark/>
          </w:tcPr>
          <w:p w14:paraId="56294039"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2036" w:type="dxa"/>
            <w:tcBorders>
              <w:top w:val="nil"/>
              <w:left w:val="nil"/>
              <w:bottom w:val="nil"/>
              <w:right w:val="nil"/>
            </w:tcBorders>
          </w:tcPr>
          <w:p w14:paraId="5DC4ED4D" w14:textId="706A06FF"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B1 &amp; B5</w:t>
            </w:r>
          </w:p>
        </w:tc>
        <w:tc>
          <w:tcPr>
            <w:tcW w:w="3600" w:type="dxa"/>
            <w:tcBorders>
              <w:top w:val="nil"/>
              <w:left w:val="nil"/>
              <w:bottom w:val="nil"/>
              <w:right w:val="nil"/>
            </w:tcBorders>
            <w:hideMark/>
          </w:tcPr>
          <w:p w14:paraId="0791A00E" w14:textId="5BE0E52E"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Pseudomonas aeruginosa</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Klebsiella</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2D81B5FE" w14:textId="77777777" w:rsidTr="000871FA">
        <w:tc>
          <w:tcPr>
            <w:tcW w:w="0" w:type="auto"/>
            <w:tcBorders>
              <w:top w:val="nil"/>
              <w:left w:val="nil"/>
              <w:bottom w:val="nil"/>
              <w:right w:val="nil"/>
            </w:tcBorders>
            <w:hideMark/>
          </w:tcPr>
          <w:p w14:paraId="759D495A"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p>
        </w:tc>
        <w:tc>
          <w:tcPr>
            <w:tcW w:w="0" w:type="auto"/>
            <w:tcBorders>
              <w:top w:val="nil"/>
              <w:left w:val="nil"/>
              <w:bottom w:val="nil"/>
              <w:right w:val="nil"/>
            </w:tcBorders>
            <w:hideMark/>
          </w:tcPr>
          <w:p w14:paraId="2E14063F"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2036" w:type="dxa"/>
            <w:tcBorders>
              <w:top w:val="nil"/>
              <w:left w:val="nil"/>
              <w:bottom w:val="nil"/>
              <w:right w:val="nil"/>
            </w:tcBorders>
          </w:tcPr>
          <w:p w14:paraId="694252DC" w14:textId="4094A45F"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B3 &amp; B4</w:t>
            </w:r>
          </w:p>
        </w:tc>
        <w:tc>
          <w:tcPr>
            <w:tcW w:w="3600" w:type="dxa"/>
            <w:tcBorders>
              <w:top w:val="nil"/>
              <w:left w:val="nil"/>
              <w:bottom w:val="nil"/>
              <w:right w:val="nil"/>
            </w:tcBorders>
            <w:hideMark/>
          </w:tcPr>
          <w:p w14:paraId="51405ECD" w14:textId="6871E72B"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Bacillus cereus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Enterobacter</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5CE9E392" w14:textId="77777777" w:rsidTr="000871FA">
        <w:tc>
          <w:tcPr>
            <w:tcW w:w="0" w:type="auto"/>
            <w:tcBorders>
              <w:top w:val="nil"/>
              <w:left w:val="nil"/>
              <w:bottom w:val="nil"/>
              <w:right w:val="nil"/>
            </w:tcBorders>
            <w:hideMark/>
          </w:tcPr>
          <w:p w14:paraId="642F8ABE"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(NLG)</w:t>
            </w:r>
          </w:p>
        </w:tc>
        <w:tc>
          <w:tcPr>
            <w:tcW w:w="0" w:type="auto"/>
            <w:tcBorders>
              <w:top w:val="nil"/>
              <w:left w:val="nil"/>
              <w:bottom w:val="nil"/>
              <w:right w:val="nil"/>
            </w:tcBorders>
            <w:hideMark/>
          </w:tcPr>
          <w:p w14:paraId="0EEA8114"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2036" w:type="dxa"/>
            <w:tcBorders>
              <w:top w:val="nil"/>
              <w:left w:val="nil"/>
              <w:bottom w:val="nil"/>
              <w:right w:val="nil"/>
            </w:tcBorders>
          </w:tcPr>
          <w:p w14:paraId="13C45EBF" w14:textId="79E5B1B3"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B2 &amp; B6</w:t>
            </w:r>
          </w:p>
        </w:tc>
        <w:tc>
          <w:tcPr>
            <w:tcW w:w="3600" w:type="dxa"/>
            <w:tcBorders>
              <w:top w:val="nil"/>
              <w:left w:val="nil"/>
              <w:bottom w:val="nil"/>
              <w:right w:val="nil"/>
            </w:tcBorders>
            <w:hideMark/>
          </w:tcPr>
          <w:p w14:paraId="55669EE0" w14:textId="3071AB46"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Micrococcus luteus, Acinetobacter</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50B35B01" w14:textId="77777777" w:rsidTr="000871FA">
        <w:tc>
          <w:tcPr>
            <w:tcW w:w="0" w:type="auto"/>
            <w:tcBorders>
              <w:top w:val="nil"/>
              <w:left w:val="nil"/>
              <w:right w:val="nil"/>
            </w:tcBorders>
            <w:hideMark/>
          </w:tcPr>
          <w:p w14:paraId="13CC3CF8"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(NLG)</w:t>
            </w:r>
          </w:p>
        </w:tc>
        <w:tc>
          <w:tcPr>
            <w:tcW w:w="0" w:type="auto"/>
            <w:tcBorders>
              <w:top w:val="nil"/>
              <w:left w:val="nil"/>
              <w:right w:val="nil"/>
            </w:tcBorders>
            <w:hideMark/>
          </w:tcPr>
          <w:p w14:paraId="1D4BC346"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2036" w:type="dxa"/>
            <w:tcBorders>
              <w:top w:val="nil"/>
              <w:left w:val="nil"/>
              <w:right w:val="nil"/>
            </w:tcBorders>
          </w:tcPr>
          <w:p w14:paraId="3A837862" w14:textId="04ACC00A"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B3 &amp; B4</w:t>
            </w:r>
          </w:p>
        </w:tc>
        <w:tc>
          <w:tcPr>
            <w:tcW w:w="3600" w:type="dxa"/>
            <w:tcBorders>
              <w:top w:val="nil"/>
              <w:left w:val="nil"/>
              <w:right w:val="nil"/>
            </w:tcBorders>
            <w:hideMark/>
          </w:tcPr>
          <w:p w14:paraId="7E8F0B59" w14:textId="6F736F58"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Bacillus cereus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Enterobacter</w:t>
            </w:r>
            <w:r w:rsidRPr="00DB4290">
              <w:rPr>
                <w:rFonts w:ascii="Times New Roman" w:eastAsia="Times New Roman" w:hAnsi="Times New Roman" w:cs="Times New Roman"/>
                <w:color w:val="000000" w:themeColor="text1"/>
                <w:kern w:val="0"/>
                <w14:ligatures w14:val="none"/>
              </w:rPr>
              <w:t xml:space="preserve"> sp.</w:t>
            </w:r>
          </w:p>
        </w:tc>
      </w:tr>
    </w:tbl>
    <w:p w14:paraId="08EFDC57" w14:textId="77777777" w:rsidR="00F97EFF" w:rsidRPr="00DB4290" w:rsidRDefault="00F97EFF" w:rsidP="000871FA">
      <w:pPr>
        <w:spacing w:after="120" w:line="240" w:lineRule="auto"/>
        <w:jc w:val="both"/>
        <w:rPr>
          <w:rFonts w:ascii="Times New Roman" w:hAnsi="Times New Roman" w:cs="Times New Roman"/>
          <w:color w:val="000000" w:themeColor="text1"/>
        </w:rPr>
      </w:pPr>
    </w:p>
    <w:p w14:paraId="6815B9AB" w14:textId="3AADE061" w:rsidR="00F97EFF" w:rsidRPr="00DB4290" w:rsidRDefault="00F97EFF"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Table 7: Macroscopic and microscopic characteristics of fungal isolates from soil samples</w:t>
      </w:r>
    </w:p>
    <w:tbl>
      <w:tblPr>
        <w:tblStyle w:val="TableGrid"/>
        <w:tblW w:w="0" w:type="auto"/>
        <w:tblLook w:val="04A0" w:firstRow="1" w:lastRow="0" w:firstColumn="1" w:lastColumn="0" w:noHBand="0" w:noVBand="1"/>
      </w:tblPr>
      <w:tblGrid>
        <w:gridCol w:w="986"/>
        <w:gridCol w:w="1514"/>
        <w:gridCol w:w="1215"/>
        <w:gridCol w:w="1692"/>
        <w:gridCol w:w="2381"/>
        <w:gridCol w:w="1572"/>
      </w:tblGrid>
      <w:tr w:rsidR="00DB4290" w:rsidRPr="00DB4290" w14:paraId="0464904A" w14:textId="77777777" w:rsidTr="000871FA">
        <w:tc>
          <w:tcPr>
            <w:tcW w:w="0" w:type="auto"/>
            <w:tcBorders>
              <w:left w:val="nil"/>
              <w:bottom w:val="single" w:sz="4" w:space="0" w:color="auto"/>
              <w:right w:val="nil"/>
            </w:tcBorders>
            <w:hideMark/>
          </w:tcPr>
          <w:p w14:paraId="2480D6C0"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Isolate code</w:t>
            </w:r>
          </w:p>
        </w:tc>
        <w:tc>
          <w:tcPr>
            <w:tcW w:w="0" w:type="auto"/>
            <w:tcBorders>
              <w:left w:val="nil"/>
              <w:bottom w:val="single" w:sz="4" w:space="0" w:color="auto"/>
              <w:right w:val="nil"/>
            </w:tcBorders>
            <w:hideMark/>
          </w:tcPr>
          <w:p w14:paraId="7DBB405D"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Colony </w:t>
            </w:r>
            <w:proofErr w:type="spellStart"/>
            <w:r w:rsidRPr="00DB4290">
              <w:rPr>
                <w:rFonts w:ascii="Times New Roman" w:eastAsia="Times New Roman" w:hAnsi="Times New Roman" w:cs="Times New Roman"/>
                <w:color w:val="000000" w:themeColor="text1"/>
                <w:kern w:val="0"/>
                <w14:ligatures w14:val="none"/>
              </w:rPr>
              <w:t>colour</w:t>
            </w:r>
            <w:proofErr w:type="spellEnd"/>
            <w:r w:rsidRPr="00DB4290">
              <w:rPr>
                <w:rFonts w:ascii="Times New Roman" w:eastAsia="Times New Roman" w:hAnsi="Times New Roman" w:cs="Times New Roman"/>
                <w:color w:val="000000" w:themeColor="text1"/>
                <w:kern w:val="0"/>
                <w14:ligatures w14:val="none"/>
              </w:rPr>
              <w:t xml:space="preserve"> (obverse)</w:t>
            </w:r>
          </w:p>
        </w:tc>
        <w:tc>
          <w:tcPr>
            <w:tcW w:w="0" w:type="auto"/>
            <w:tcBorders>
              <w:left w:val="nil"/>
              <w:bottom w:val="single" w:sz="4" w:space="0" w:color="auto"/>
              <w:right w:val="nil"/>
            </w:tcBorders>
            <w:hideMark/>
          </w:tcPr>
          <w:p w14:paraId="13A12DF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Colony texture</w:t>
            </w:r>
          </w:p>
        </w:tc>
        <w:tc>
          <w:tcPr>
            <w:tcW w:w="0" w:type="auto"/>
            <w:tcBorders>
              <w:left w:val="nil"/>
              <w:bottom w:val="single" w:sz="4" w:space="0" w:color="auto"/>
              <w:right w:val="nil"/>
            </w:tcBorders>
            <w:hideMark/>
          </w:tcPr>
          <w:p w14:paraId="296D3213"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Reverse pigmentation</w:t>
            </w:r>
          </w:p>
        </w:tc>
        <w:tc>
          <w:tcPr>
            <w:tcW w:w="0" w:type="auto"/>
            <w:tcBorders>
              <w:left w:val="nil"/>
              <w:bottom w:val="single" w:sz="4" w:space="0" w:color="auto"/>
              <w:right w:val="nil"/>
            </w:tcBorders>
            <w:hideMark/>
          </w:tcPr>
          <w:p w14:paraId="5D26D87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Microscopic features</w:t>
            </w:r>
          </w:p>
        </w:tc>
        <w:tc>
          <w:tcPr>
            <w:tcW w:w="0" w:type="auto"/>
            <w:tcBorders>
              <w:left w:val="nil"/>
              <w:bottom w:val="single" w:sz="4" w:space="0" w:color="auto"/>
              <w:right w:val="nil"/>
            </w:tcBorders>
            <w:hideMark/>
          </w:tcPr>
          <w:p w14:paraId="364B5E1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Probable identity</w:t>
            </w:r>
          </w:p>
        </w:tc>
      </w:tr>
      <w:tr w:rsidR="00DB4290" w:rsidRPr="00DB4290" w14:paraId="19E2665A" w14:textId="77777777" w:rsidTr="000871FA">
        <w:tc>
          <w:tcPr>
            <w:tcW w:w="0" w:type="auto"/>
            <w:tcBorders>
              <w:left w:val="nil"/>
              <w:bottom w:val="nil"/>
              <w:right w:val="nil"/>
            </w:tcBorders>
            <w:hideMark/>
          </w:tcPr>
          <w:p w14:paraId="21001FC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F1</w:t>
            </w:r>
          </w:p>
        </w:tc>
        <w:tc>
          <w:tcPr>
            <w:tcW w:w="0" w:type="auto"/>
            <w:tcBorders>
              <w:left w:val="nil"/>
              <w:bottom w:val="nil"/>
              <w:right w:val="nil"/>
            </w:tcBorders>
            <w:hideMark/>
          </w:tcPr>
          <w:p w14:paraId="1CCF03C9"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Black</w:t>
            </w:r>
          </w:p>
        </w:tc>
        <w:tc>
          <w:tcPr>
            <w:tcW w:w="0" w:type="auto"/>
            <w:tcBorders>
              <w:left w:val="nil"/>
              <w:bottom w:val="nil"/>
              <w:right w:val="nil"/>
            </w:tcBorders>
            <w:hideMark/>
          </w:tcPr>
          <w:p w14:paraId="4CD0F33C"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Powdery</w:t>
            </w:r>
          </w:p>
        </w:tc>
        <w:tc>
          <w:tcPr>
            <w:tcW w:w="0" w:type="auto"/>
            <w:tcBorders>
              <w:left w:val="nil"/>
              <w:bottom w:val="nil"/>
              <w:right w:val="nil"/>
            </w:tcBorders>
            <w:hideMark/>
          </w:tcPr>
          <w:p w14:paraId="07102E00"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Pale yellow</w:t>
            </w:r>
          </w:p>
        </w:tc>
        <w:tc>
          <w:tcPr>
            <w:tcW w:w="0" w:type="auto"/>
            <w:tcBorders>
              <w:left w:val="nil"/>
              <w:bottom w:val="nil"/>
              <w:right w:val="nil"/>
            </w:tcBorders>
            <w:hideMark/>
          </w:tcPr>
          <w:p w14:paraId="12C16A6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Septate hyphae, globose conidia</w:t>
            </w:r>
          </w:p>
        </w:tc>
        <w:tc>
          <w:tcPr>
            <w:tcW w:w="0" w:type="auto"/>
            <w:tcBorders>
              <w:left w:val="nil"/>
              <w:bottom w:val="nil"/>
              <w:right w:val="nil"/>
            </w:tcBorders>
            <w:hideMark/>
          </w:tcPr>
          <w:p w14:paraId="211ABD7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 xml:space="preserve">Aspergillus </w:t>
            </w:r>
            <w:proofErr w:type="spellStart"/>
            <w:r w:rsidRPr="00DB4290">
              <w:rPr>
                <w:rFonts w:ascii="Times New Roman" w:eastAsia="Times New Roman" w:hAnsi="Times New Roman" w:cs="Times New Roman"/>
                <w:i/>
                <w:iCs/>
                <w:color w:val="000000" w:themeColor="text1"/>
                <w:kern w:val="0"/>
                <w14:ligatures w14:val="none"/>
              </w:rPr>
              <w:t>niger</w:t>
            </w:r>
            <w:proofErr w:type="spellEnd"/>
          </w:p>
        </w:tc>
      </w:tr>
      <w:tr w:rsidR="00DB4290" w:rsidRPr="00DB4290" w14:paraId="2FD93B19" w14:textId="77777777" w:rsidTr="000871FA">
        <w:tc>
          <w:tcPr>
            <w:tcW w:w="0" w:type="auto"/>
            <w:tcBorders>
              <w:top w:val="nil"/>
              <w:left w:val="nil"/>
              <w:bottom w:val="nil"/>
              <w:right w:val="nil"/>
            </w:tcBorders>
            <w:hideMark/>
          </w:tcPr>
          <w:p w14:paraId="1D7D5D6B"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F2</w:t>
            </w:r>
          </w:p>
        </w:tc>
        <w:tc>
          <w:tcPr>
            <w:tcW w:w="0" w:type="auto"/>
            <w:tcBorders>
              <w:top w:val="nil"/>
              <w:left w:val="nil"/>
              <w:bottom w:val="nil"/>
              <w:right w:val="nil"/>
            </w:tcBorders>
            <w:hideMark/>
          </w:tcPr>
          <w:p w14:paraId="6D7599BA"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Greenish-blue</w:t>
            </w:r>
          </w:p>
        </w:tc>
        <w:tc>
          <w:tcPr>
            <w:tcW w:w="0" w:type="auto"/>
            <w:tcBorders>
              <w:top w:val="nil"/>
              <w:left w:val="nil"/>
              <w:bottom w:val="nil"/>
              <w:right w:val="nil"/>
            </w:tcBorders>
            <w:hideMark/>
          </w:tcPr>
          <w:p w14:paraId="539755D4"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Velvety</w:t>
            </w:r>
          </w:p>
        </w:tc>
        <w:tc>
          <w:tcPr>
            <w:tcW w:w="0" w:type="auto"/>
            <w:tcBorders>
              <w:top w:val="nil"/>
              <w:left w:val="nil"/>
              <w:bottom w:val="nil"/>
              <w:right w:val="nil"/>
            </w:tcBorders>
            <w:hideMark/>
          </w:tcPr>
          <w:p w14:paraId="6FC47729"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Colourless</w:t>
            </w:r>
            <w:proofErr w:type="spellEnd"/>
          </w:p>
        </w:tc>
        <w:tc>
          <w:tcPr>
            <w:tcW w:w="0" w:type="auto"/>
            <w:tcBorders>
              <w:top w:val="nil"/>
              <w:left w:val="nil"/>
              <w:bottom w:val="nil"/>
              <w:right w:val="nil"/>
            </w:tcBorders>
            <w:hideMark/>
          </w:tcPr>
          <w:p w14:paraId="5F1C553B"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Septate hyphae, brush-like conidiophores</w:t>
            </w:r>
          </w:p>
        </w:tc>
        <w:tc>
          <w:tcPr>
            <w:tcW w:w="0" w:type="auto"/>
            <w:tcBorders>
              <w:top w:val="nil"/>
              <w:left w:val="nil"/>
              <w:bottom w:val="nil"/>
              <w:right w:val="nil"/>
            </w:tcBorders>
            <w:hideMark/>
          </w:tcPr>
          <w:p w14:paraId="5CFEA3A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Penicillium</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7AA2E752" w14:textId="77777777" w:rsidTr="000871FA">
        <w:tc>
          <w:tcPr>
            <w:tcW w:w="0" w:type="auto"/>
            <w:tcBorders>
              <w:top w:val="nil"/>
              <w:left w:val="nil"/>
              <w:bottom w:val="nil"/>
              <w:right w:val="nil"/>
            </w:tcBorders>
            <w:hideMark/>
          </w:tcPr>
          <w:p w14:paraId="3BBD0A7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F3</w:t>
            </w:r>
          </w:p>
        </w:tc>
        <w:tc>
          <w:tcPr>
            <w:tcW w:w="0" w:type="auto"/>
            <w:tcBorders>
              <w:top w:val="nil"/>
              <w:left w:val="nil"/>
              <w:bottom w:val="nil"/>
              <w:right w:val="nil"/>
            </w:tcBorders>
            <w:hideMark/>
          </w:tcPr>
          <w:p w14:paraId="5E477602"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Yellow-green</w:t>
            </w:r>
          </w:p>
        </w:tc>
        <w:tc>
          <w:tcPr>
            <w:tcW w:w="0" w:type="auto"/>
            <w:tcBorders>
              <w:top w:val="nil"/>
              <w:left w:val="nil"/>
              <w:bottom w:val="nil"/>
              <w:right w:val="nil"/>
            </w:tcBorders>
            <w:hideMark/>
          </w:tcPr>
          <w:p w14:paraId="76871173"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Powdery</w:t>
            </w:r>
          </w:p>
        </w:tc>
        <w:tc>
          <w:tcPr>
            <w:tcW w:w="0" w:type="auto"/>
            <w:tcBorders>
              <w:top w:val="nil"/>
              <w:left w:val="nil"/>
              <w:bottom w:val="nil"/>
              <w:right w:val="nil"/>
            </w:tcBorders>
            <w:hideMark/>
          </w:tcPr>
          <w:p w14:paraId="36B56A1B"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Golden yellow</w:t>
            </w:r>
          </w:p>
        </w:tc>
        <w:tc>
          <w:tcPr>
            <w:tcW w:w="0" w:type="auto"/>
            <w:tcBorders>
              <w:top w:val="nil"/>
              <w:left w:val="nil"/>
              <w:bottom w:val="nil"/>
              <w:right w:val="nil"/>
            </w:tcBorders>
            <w:hideMark/>
          </w:tcPr>
          <w:p w14:paraId="68B45510"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Septate hyphae, rough conidia</w:t>
            </w:r>
          </w:p>
        </w:tc>
        <w:tc>
          <w:tcPr>
            <w:tcW w:w="0" w:type="auto"/>
            <w:tcBorders>
              <w:top w:val="nil"/>
              <w:left w:val="nil"/>
              <w:bottom w:val="nil"/>
              <w:right w:val="nil"/>
            </w:tcBorders>
            <w:hideMark/>
          </w:tcPr>
          <w:p w14:paraId="69303D0C"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Aspergillus flavus</w:t>
            </w:r>
          </w:p>
        </w:tc>
      </w:tr>
      <w:tr w:rsidR="00DB4290" w:rsidRPr="00DB4290" w14:paraId="55736AD4" w14:textId="77777777" w:rsidTr="000871FA">
        <w:tc>
          <w:tcPr>
            <w:tcW w:w="0" w:type="auto"/>
            <w:tcBorders>
              <w:top w:val="nil"/>
              <w:left w:val="nil"/>
              <w:bottom w:val="nil"/>
              <w:right w:val="nil"/>
            </w:tcBorders>
            <w:hideMark/>
          </w:tcPr>
          <w:p w14:paraId="56913F8E"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F4</w:t>
            </w:r>
          </w:p>
        </w:tc>
        <w:tc>
          <w:tcPr>
            <w:tcW w:w="0" w:type="auto"/>
            <w:tcBorders>
              <w:top w:val="nil"/>
              <w:left w:val="nil"/>
              <w:bottom w:val="nil"/>
              <w:right w:val="nil"/>
            </w:tcBorders>
            <w:hideMark/>
          </w:tcPr>
          <w:p w14:paraId="1D4013B6"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Greyish</w:t>
            </w:r>
          </w:p>
        </w:tc>
        <w:tc>
          <w:tcPr>
            <w:tcW w:w="0" w:type="auto"/>
            <w:tcBorders>
              <w:top w:val="nil"/>
              <w:left w:val="nil"/>
              <w:bottom w:val="nil"/>
              <w:right w:val="nil"/>
            </w:tcBorders>
            <w:hideMark/>
          </w:tcPr>
          <w:p w14:paraId="3E4100E3"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Cottony</w:t>
            </w:r>
          </w:p>
        </w:tc>
        <w:tc>
          <w:tcPr>
            <w:tcW w:w="0" w:type="auto"/>
            <w:tcBorders>
              <w:top w:val="nil"/>
              <w:left w:val="nil"/>
              <w:bottom w:val="nil"/>
              <w:right w:val="nil"/>
            </w:tcBorders>
            <w:hideMark/>
          </w:tcPr>
          <w:p w14:paraId="5ECBE126"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Colourless</w:t>
            </w:r>
            <w:proofErr w:type="spellEnd"/>
          </w:p>
        </w:tc>
        <w:tc>
          <w:tcPr>
            <w:tcW w:w="0" w:type="auto"/>
            <w:tcBorders>
              <w:top w:val="nil"/>
              <w:left w:val="nil"/>
              <w:bottom w:val="nil"/>
              <w:right w:val="nil"/>
            </w:tcBorders>
            <w:hideMark/>
          </w:tcPr>
          <w:p w14:paraId="4E89631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Non-septate hyphae, sporangiospores</w:t>
            </w:r>
          </w:p>
        </w:tc>
        <w:tc>
          <w:tcPr>
            <w:tcW w:w="0" w:type="auto"/>
            <w:tcBorders>
              <w:top w:val="nil"/>
              <w:left w:val="nil"/>
              <w:bottom w:val="nil"/>
              <w:right w:val="nil"/>
            </w:tcBorders>
            <w:hideMark/>
          </w:tcPr>
          <w:p w14:paraId="07AB65F7"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Rhizopus</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45C77328" w14:textId="77777777" w:rsidTr="000871FA">
        <w:tc>
          <w:tcPr>
            <w:tcW w:w="0" w:type="auto"/>
            <w:tcBorders>
              <w:top w:val="nil"/>
              <w:left w:val="nil"/>
              <w:bottom w:val="nil"/>
              <w:right w:val="nil"/>
            </w:tcBorders>
            <w:hideMark/>
          </w:tcPr>
          <w:p w14:paraId="47D62666"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F5</w:t>
            </w:r>
          </w:p>
        </w:tc>
        <w:tc>
          <w:tcPr>
            <w:tcW w:w="0" w:type="auto"/>
            <w:tcBorders>
              <w:top w:val="nil"/>
              <w:left w:val="nil"/>
              <w:bottom w:val="nil"/>
              <w:right w:val="nil"/>
            </w:tcBorders>
            <w:hideMark/>
          </w:tcPr>
          <w:p w14:paraId="7D8BF9A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Dark green</w:t>
            </w:r>
          </w:p>
        </w:tc>
        <w:tc>
          <w:tcPr>
            <w:tcW w:w="0" w:type="auto"/>
            <w:tcBorders>
              <w:top w:val="nil"/>
              <w:left w:val="nil"/>
              <w:bottom w:val="nil"/>
              <w:right w:val="nil"/>
            </w:tcBorders>
            <w:hideMark/>
          </w:tcPr>
          <w:p w14:paraId="7DF5A3BB"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Powdery</w:t>
            </w:r>
          </w:p>
        </w:tc>
        <w:tc>
          <w:tcPr>
            <w:tcW w:w="0" w:type="auto"/>
            <w:tcBorders>
              <w:top w:val="nil"/>
              <w:left w:val="nil"/>
              <w:bottom w:val="nil"/>
              <w:right w:val="nil"/>
            </w:tcBorders>
            <w:hideMark/>
          </w:tcPr>
          <w:p w14:paraId="539726F5"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Pale</w:t>
            </w:r>
          </w:p>
        </w:tc>
        <w:tc>
          <w:tcPr>
            <w:tcW w:w="0" w:type="auto"/>
            <w:tcBorders>
              <w:top w:val="nil"/>
              <w:left w:val="nil"/>
              <w:bottom w:val="nil"/>
              <w:right w:val="nil"/>
            </w:tcBorders>
            <w:hideMark/>
          </w:tcPr>
          <w:p w14:paraId="68BE5FBD"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Septate hyphae, flask-shaped phialides</w:t>
            </w:r>
          </w:p>
        </w:tc>
        <w:tc>
          <w:tcPr>
            <w:tcW w:w="0" w:type="auto"/>
            <w:tcBorders>
              <w:top w:val="nil"/>
              <w:left w:val="nil"/>
              <w:bottom w:val="nil"/>
              <w:right w:val="nil"/>
            </w:tcBorders>
            <w:hideMark/>
          </w:tcPr>
          <w:p w14:paraId="6A6BD496"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Aspergillus fumigatus</w:t>
            </w:r>
          </w:p>
        </w:tc>
      </w:tr>
      <w:tr w:rsidR="00DB4290" w:rsidRPr="00DB4290" w14:paraId="56F879D9" w14:textId="77777777" w:rsidTr="000871FA">
        <w:tc>
          <w:tcPr>
            <w:tcW w:w="0" w:type="auto"/>
            <w:tcBorders>
              <w:top w:val="nil"/>
              <w:left w:val="nil"/>
              <w:right w:val="nil"/>
            </w:tcBorders>
            <w:hideMark/>
          </w:tcPr>
          <w:p w14:paraId="0F99984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F6</w:t>
            </w:r>
          </w:p>
        </w:tc>
        <w:tc>
          <w:tcPr>
            <w:tcW w:w="0" w:type="auto"/>
            <w:tcBorders>
              <w:top w:val="nil"/>
              <w:left w:val="nil"/>
              <w:right w:val="nil"/>
            </w:tcBorders>
            <w:hideMark/>
          </w:tcPr>
          <w:p w14:paraId="1272BD79"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White</w:t>
            </w:r>
          </w:p>
        </w:tc>
        <w:tc>
          <w:tcPr>
            <w:tcW w:w="0" w:type="auto"/>
            <w:tcBorders>
              <w:top w:val="nil"/>
              <w:left w:val="nil"/>
              <w:right w:val="nil"/>
            </w:tcBorders>
            <w:hideMark/>
          </w:tcPr>
          <w:p w14:paraId="56DB85D9"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Fluffy</w:t>
            </w:r>
          </w:p>
        </w:tc>
        <w:tc>
          <w:tcPr>
            <w:tcW w:w="0" w:type="auto"/>
            <w:tcBorders>
              <w:top w:val="nil"/>
              <w:left w:val="nil"/>
              <w:right w:val="nil"/>
            </w:tcBorders>
            <w:hideMark/>
          </w:tcPr>
          <w:p w14:paraId="3EAACD3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Colourless</w:t>
            </w:r>
            <w:proofErr w:type="spellEnd"/>
          </w:p>
        </w:tc>
        <w:tc>
          <w:tcPr>
            <w:tcW w:w="0" w:type="auto"/>
            <w:tcBorders>
              <w:top w:val="nil"/>
              <w:left w:val="nil"/>
              <w:right w:val="nil"/>
            </w:tcBorders>
            <w:hideMark/>
          </w:tcPr>
          <w:p w14:paraId="398EB834"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Broad non-septate hyphae</w:t>
            </w:r>
          </w:p>
        </w:tc>
        <w:tc>
          <w:tcPr>
            <w:tcW w:w="0" w:type="auto"/>
            <w:tcBorders>
              <w:top w:val="nil"/>
              <w:left w:val="nil"/>
              <w:right w:val="nil"/>
            </w:tcBorders>
            <w:hideMark/>
          </w:tcPr>
          <w:p w14:paraId="333D6FD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Mucor</w:t>
            </w:r>
            <w:r w:rsidRPr="00DB4290">
              <w:rPr>
                <w:rFonts w:ascii="Times New Roman" w:eastAsia="Times New Roman" w:hAnsi="Times New Roman" w:cs="Times New Roman"/>
                <w:color w:val="000000" w:themeColor="text1"/>
                <w:kern w:val="0"/>
                <w14:ligatures w14:val="none"/>
              </w:rPr>
              <w:t xml:space="preserve"> sp.</w:t>
            </w:r>
          </w:p>
        </w:tc>
      </w:tr>
    </w:tbl>
    <w:p w14:paraId="70AC12A1" w14:textId="74E4A362" w:rsidR="0068087A" w:rsidRPr="00DB4290" w:rsidRDefault="0068087A"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 xml:space="preserve">Table </w:t>
      </w:r>
      <w:r w:rsidR="00F97EFF" w:rsidRPr="00DB4290">
        <w:rPr>
          <w:rFonts w:ascii="Times New Roman" w:hAnsi="Times New Roman" w:cs="Times New Roman"/>
          <w:color w:val="000000" w:themeColor="text1"/>
        </w:rPr>
        <w:t>8</w:t>
      </w:r>
      <w:r w:rsidRPr="00DB4290">
        <w:rPr>
          <w:rFonts w:ascii="Times New Roman" w:hAnsi="Times New Roman" w:cs="Times New Roman"/>
          <w:color w:val="000000" w:themeColor="text1"/>
        </w:rPr>
        <w:t>: Identified fungal isolates from soil samples collected from oil-producing communities in Bayelsa State</w:t>
      </w:r>
    </w:p>
    <w:tbl>
      <w:tblPr>
        <w:tblStyle w:val="TableGrid"/>
        <w:tblW w:w="0" w:type="auto"/>
        <w:tblLook w:val="04A0" w:firstRow="1" w:lastRow="0" w:firstColumn="1" w:lastColumn="0" w:noHBand="0" w:noVBand="1"/>
      </w:tblPr>
      <w:tblGrid>
        <w:gridCol w:w="1569"/>
        <w:gridCol w:w="1197"/>
        <w:gridCol w:w="1766"/>
        <w:gridCol w:w="3780"/>
      </w:tblGrid>
      <w:tr w:rsidR="00DB4290" w:rsidRPr="00DB4290" w14:paraId="0EF25F26" w14:textId="77777777" w:rsidTr="000871FA">
        <w:tc>
          <w:tcPr>
            <w:tcW w:w="0" w:type="auto"/>
            <w:tcBorders>
              <w:left w:val="nil"/>
              <w:bottom w:val="single" w:sz="4" w:space="0" w:color="auto"/>
              <w:right w:val="nil"/>
            </w:tcBorders>
            <w:hideMark/>
          </w:tcPr>
          <w:p w14:paraId="6FBE90DA"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Location</w:t>
            </w:r>
          </w:p>
        </w:tc>
        <w:tc>
          <w:tcPr>
            <w:tcW w:w="0" w:type="auto"/>
            <w:tcBorders>
              <w:left w:val="nil"/>
              <w:bottom w:val="single" w:sz="4" w:space="0" w:color="auto"/>
              <w:right w:val="nil"/>
            </w:tcBorders>
            <w:hideMark/>
          </w:tcPr>
          <w:p w14:paraId="7CC7E49E"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Soil depth</w:t>
            </w:r>
          </w:p>
        </w:tc>
        <w:tc>
          <w:tcPr>
            <w:tcW w:w="1766" w:type="dxa"/>
            <w:tcBorders>
              <w:left w:val="nil"/>
              <w:bottom w:val="single" w:sz="4" w:space="0" w:color="auto"/>
              <w:right w:val="nil"/>
            </w:tcBorders>
          </w:tcPr>
          <w:p w14:paraId="75E0B646" w14:textId="473A4BC4"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Sample code</w:t>
            </w:r>
          </w:p>
        </w:tc>
        <w:tc>
          <w:tcPr>
            <w:tcW w:w="3780" w:type="dxa"/>
            <w:tcBorders>
              <w:left w:val="nil"/>
              <w:bottom w:val="single" w:sz="4" w:space="0" w:color="auto"/>
              <w:right w:val="nil"/>
            </w:tcBorders>
            <w:hideMark/>
          </w:tcPr>
          <w:p w14:paraId="1B9A711E" w14:textId="1B6E69E2"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Fungal isolates identified</w:t>
            </w:r>
          </w:p>
        </w:tc>
      </w:tr>
      <w:tr w:rsidR="00DB4290" w:rsidRPr="00DB4290" w14:paraId="61FE7787" w14:textId="77777777" w:rsidTr="000871FA">
        <w:tc>
          <w:tcPr>
            <w:tcW w:w="0" w:type="auto"/>
            <w:tcBorders>
              <w:left w:val="nil"/>
              <w:bottom w:val="nil"/>
              <w:right w:val="nil"/>
            </w:tcBorders>
            <w:hideMark/>
          </w:tcPr>
          <w:p w14:paraId="0338E0B7"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0" w:type="auto"/>
            <w:tcBorders>
              <w:left w:val="nil"/>
              <w:bottom w:val="nil"/>
              <w:right w:val="nil"/>
            </w:tcBorders>
            <w:hideMark/>
          </w:tcPr>
          <w:p w14:paraId="381190E4"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1766" w:type="dxa"/>
            <w:tcBorders>
              <w:left w:val="nil"/>
              <w:bottom w:val="nil"/>
              <w:right w:val="nil"/>
            </w:tcBorders>
          </w:tcPr>
          <w:p w14:paraId="2D6183AA" w14:textId="4975E952"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F1 &amp; F4</w:t>
            </w:r>
          </w:p>
        </w:tc>
        <w:tc>
          <w:tcPr>
            <w:tcW w:w="3780" w:type="dxa"/>
            <w:tcBorders>
              <w:left w:val="nil"/>
              <w:bottom w:val="nil"/>
              <w:right w:val="nil"/>
            </w:tcBorders>
            <w:hideMark/>
          </w:tcPr>
          <w:p w14:paraId="14F04E74" w14:textId="6B6A4C24"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 xml:space="preserve">Aspergillus </w:t>
            </w:r>
            <w:proofErr w:type="spellStart"/>
            <w:r w:rsidRPr="00DB4290">
              <w:rPr>
                <w:rFonts w:ascii="Times New Roman" w:eastAsia="Times New Roman" w:hAnsi="Times New Roman" w:cs="Times New Roman"/>
                <w:i/>
                <w:iCs/>
                <w:color w:val="000000" w:themeColor="text1"/>
                <w:kern w:val="0"/>
                <w14:ligatures w14:val="none"/>
              </w:rPr>
              <w:t>niger</w:t>
            </w:r>
            <w:proofErr w:type="spellEnd"/>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Rhizopus</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2EFC8070" w14:textId="77777777" w:rsidTr="000871FA">
        <w:tc>
          <w:tcPr>
            <w:tcW w:w="0" w:type="auto"/>
            <w:tcBorders>
              <w:top w:val="nil"/>
              <w:left w:val="nil"/>
              <w:bottom w:val="nil"/>
              <w:right w:val="nil"/>
            </w:tcBorders>
            <w:hideMark/>
          </w:tcPr>
          <w:p w14:paraId="7A3C6981"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0" w:type="auto"/>
            <w:tcBorders>
              <w:top w:val="nil"/>
              <w:left w:val="nil"/>
              <w:bottom w:val="nil"/>
              <w:right w:val="nil"/>
            </w:tcBorders>
            <w:hideMark/>
          </w:tcPr>
          <w:p w14:paraId="7AA8768A"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1766" w:type="dxa"/>
            <w:tcBorders>
              <w:top w:val="nil"/>
              <w:left w:val="nil"/>
              <w:bottom w:val="nil"/>
              <w:right w:val="nil"/>
            </w:tcBorders>
          </w:tcPr>
          <w:p w14:paraId="04C85FD6" w14:textId="27506261"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F3 &amp; F2</w:t>
            </w:r>
          </w:p>
        </w:tc>
        <w:tc>
          <w:tcPr>
            <w:tcW w:w="3780" w:type="dxa"/>
            <w:tcBorders>
              <w:top w:val="nil"/>
              <w:left w:val="nil"/>
              <w:bottom w:val="nil"/>
              <w:right w:val="nil"/>
            </w:tcBorders>
            <w:hideMark/>
          </w:tcPr>
          <w:p w14:paraId="2BD895ED" w14:textId="1104EB6D"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Aspergillus flavus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Penicillium</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6E1B5403" w14:textId="77777777" w:rsidTr="000871FA">
        <w:tc>
          <w:tcPr>
            <w:tcW w:w="0" w:type="auto"/>
            <w:tcBorders>
              <w:top w:val="nil"/>
              <w:left w:val="nil"/>
              <w:bottom w:val="nil"/>
              <w:right w:val="nil"/>
            </w:tcBorders>
            <w:hideMark/>
          </w:tcPr>
          <w:p w14:paraId="27D80C46"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p>
        </w:tc>
        <w:tc>
          <w:tcPr>
            <w:tcW w:w="0" w:type="auto"/>
            <w:tcBorders>
              <w:top w:val="nil"/>
              <w:left w:val="nil"/>
              <w:bottom w:val="nil"/>
              <w:right w:val="nil"/>
            </w:tcBorders>
            <w:hideMark/>
          </w:tcPr>
          <w:p w14:paraId="265BAD20"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1766" w:type="dxa"/>
            <w:tcBorders>
              <w:top w:val="nil"/>
              <w:left w:val="nil"/>
              <w:bottom w:val="nil"/>
              <w:right w:val="nil"/>
            </w:tcBorders>
          </w:tcPr>
          <w:p w14:paraId="2EEFCAD2" w14:textId="62A0FC56"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F1 &amp; F2</w:t>
            </w:r>
          </w:p>
        </w:tc>
        <w:tc>
          <w:tcPr>
            <w:tcW w:w="3780" w:type="dxa"/>
            <w:tcBorders>
              <w:top w:val="nil"/>
              <w:left w:val="nil"/>
              <w:bottom w:val="nil"/>
              <w:right w:val="nil"/>
            </w:tcBorders>
            <w:hideMark/>
          </w:tcPr>
          <w:p w14:paraId="260D7A58" w14:textId="161140CE"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 xml:space="preserve">Aspergillus </w:t>
            </w:r>
            <w:proofErr w:type="spellStart"/>
            <w:r w:rsidRPr="00DB4290">
              <w:rPr>
                <w:rFonts w:ascii="Times New Roman" w:eastAsia="Times New Roman" w:hAnsi="Times New Roman" w:cs="Times New Roman"/>
                <w:i/>
                <w:iCs/>
                <w:color w:val="000000" w:themeColor="text1"/>
                <w:kern w:val="0"/>
                <w14:ligatures w14:val="none"/>
              </w:rPr>
              <w:t>niger</w:t>
            </w:r>
            <w:proofErr w:type="spellEnd"/>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Penicillium</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7B2FE119" w14:textId="77777777" w:rsidTr="000871FA">
        <w:tc>
          <w:tcPr>
            <w:tcW w:w="0" w:type="auto"/>
            <w:tcBorders>
              <w:top w:val="nil"/>
              <w:left w:val="nil"/>
              <w:bottom w:val="nil"/>
              <w:right w:val="nil"/>
            </w:tcBorders>
            <w:hideMark/>
          </w:tcPr>
          <w:p w14:paraId="2972F353"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p>
        </w:tc>
        <w:tc>
          <w:tcPr>
            <w:tcW w:w="0" w:type="auto"/>
            <w:tcBorders>
              <w:top w:val="nil"/>
              <w:left w:val="nil"/>
              <w:bottom w:val="nil"/>
              <w:right w:val="nil"/>
            </w:tcBorders>
            <w:hideMark/>
          </w:tcPr>
          <w:p w14:paraId="39ED70EC"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1766" w:type="dxa"/>
            <w:tcBorders>
              <w:top w:val="nil"/>
              <w:left w:val="nil"/>
              <w:bottom w:val="nil"/>
              <w:right w:val="nil"/>
            </w:tcBorders>
          </w:tcPr>
          <w:p w14:paraId="2494609F" w14:textId="56D030A8"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F3 &amp; F6</w:t>
            </w:r>
          </w:p>
        </w:tc>
        <w:tc>
          <w:tcPr>
            <w:tcW w:w="3780" w:type="dxa"/>
            <w:tcBorders>
              <w:top w:val="nil"/>
              <w:left w:val="nil"/>
              <w:bottom w:val="nil"/>
              <w:right w:val="nil"/>
            </w:tcBorders>
            <w:hideMark/>
          </w:tcPr>
          <w:p w14:paraId="6511E94B" w14:textId="4044A5AB"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Aspergillus flavus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Mucor</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4F1C2ED0" w14:textId="77777777" w:rsidTr="000871FA">
        <w:tc>
          <w:tcPr>
            <w:tcW w:w="0" w:type="auto"/>
            <w:tcBorders>
              <w:top w:val="nil"/>
              <w:left w:val="nil"/>
              <w:bottom w:val="nil"/>
              <w:right w:val="nil"/>
            </w:tcBorders>
            <w:hideMark/>
          </w:tcPr>
          <w:p w14:paraId="76DB69C6"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(NLG)</w:t>
            </w:r>
          </w:p>
        </w:tc>
        <w:tc>
          <w:tcPr>
            <w:tcW w:w="0" w:type="auto"/>
            <w:tcBorders>
              <w:top w:val="nil"/>
              <w:left w:val="nil"/>
              <w:bottom w:val="nil"/>
              <w:right w:val="nil"/>
            </w:tcBorders>
            <w:hideMark/>
          </w:tcPr>
          <w:p w14:paraId="5A75CE22"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1766" w:type="dxa"/>
            <w:tcBorders>
              <w:top w:val="nil"/>
              <w:left w:val="nil"/>
              <w:bottom w:val="nil"/>
              <w:right w:val="nil"/>
            </w:tcBorders>
          </w:tcPr>
          <w:p w14:paraId="4AE9111C" w14:textId="09A44ADC"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F1 &amp; F4</w:t>
            </w:r>
          </w:p>
        </w:tc>
        <w:tc>
          <w:tcPr>
            <w:tcW w:w="3780" w:type="dxa"/>
            <w:tcBorders>
              <w:top w:val="nil"/>
              <w:left w:val="nil"/>
              <w:bottom w:val="nil"/>
              <w:right w:val="nil"/>
            </w:tcBorders>
            <w:hideMark/>
          </w:tcPr>
          <w:p w14:paraId="7471DC45" w14:textId="6B4B82E2"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 xml:space="preserve">Aspergillus </w:t>
            </w:r>
            <w:proofErr w:type="spellStart"/>
            <w:r w:rsidRPr="00DB4290">
              <w:rPr>
                <w:rFonts w:ascii="Times New Roman" w:eastAsia="Times New Roman" w:hAnsi="Times New Roman" w:cs="Times New Roman"/>
                <w:i/>
                <w:iCs/>
                <w:color w:val="000000" w:themeColor="text1"/>
                <w:kern w:val="0"/>
                <w14:ligatures w14:val="none"/>
              </w:rPr>
              <w:t>niger</w:t>
            </w:r>
            <w:proofErr w:type="spellEnd"/>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Rhizopus</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0DAAF1B4" w14:textId="77777777" w:rsidTr="000871FA">
        <w:tc>
          <w:tcPr>
            <w:tcW w:w="0" w:type="auto"/>
            <w:tcBorders>
              <w:top w:val="nil"/>
              <w:left w:val="nil"/>
              <w:right w:val="nil"/>
            </w:tcBorders>
            <w:hideMark/>
          </w:tcPr>
          <w:p w14:paraId="073CC333"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(NLG)</w:t>
            </w:r>
          </w:p>
        </w:tc>
        <w:tc>
          <w:tcPr>
            <w:tcW w:w="0" w:type="auto"/>
            <w:tcBorders>
              <w:top w:val="nil"/>
              <w:left w:val="nil"/>
              <w:right w:val="nil"/>
            </w:tcBorders>
            <w:hideMark/>
          </w:tcPr>
          <w:p w14:paraId="411922A4"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1766" w:type="dxa"/>
            <w:tcBorders>
              <w:top w:val="nil"/>
              <w:left w:val="nil"/>
              <w:right w:val="nil"/>
            </w:tcBorders>
          </w:tcPr>
          <w:p w14:paraId="0B97627D" w14:textId="11DD5FC5"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F2 &amp; F6</w:t>
            </w:r>
          </w:p>
        </w:tc>
        <w:tc>
          <w:tcPr>
            <w:tcW w:w="3780" w:type="dxa"/>
            <w:tcBorders>
              <w:top w:val="nil"/>
              <w:left w:val="nil"/>
              <w:right w:val="nil"/>
            </w:tcBorders>
            <w:hideMark/>
          </w:tcPr>
          <w:p w14:paraId="7C52C05F" w14:textId="6A42467F"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Penicillium</w:t>
            </w:r>
            <w:r w:rsidRPr="00DB4290">
              <w:rPr>
                <w:rFonts w:ascii="Times New Roman" w:eastAsia="Times New Roman" w:hAnsi="Times New Roman" w:cs="Times New Roman"/>
                <w:color w:val="000000" w:themeColor="text1"/>
                <w:kern w:val="0"/>
                <w14:ligatures w14:val="none"/>
              </w:rPr>
              <w:t xml:space="preserve"> sp., </w:t>
            </w:r>
            <w:r w:rsidRPr="00DB4290">
              <w:rPr>
                <w:rFonts w:ascii="Times New Roman" w:eastAsia="Times New Roman" w:hAnsi="Times New Roman" w:cs="Times New Roman"/>
                <w:i/>
                <w:iCs/>
                <w:color w:val="000000" w:themeColor="text1"/>
                <w:kern w:val="0"/>
                <w14:ligatures w14:val="none"/>
              </w:rPr>
              <w:t>Mucor</w:t>
            </w:r>
            <w:r w:rsidRPr="00DB4290">
              <w:rPr>
                <w:rFonts w:ascii="Times New Roman" w:eastAsia="Times New Roman" w:hAnsi="Times New Roman" w:cs="Times New Roman"/>
                <w:color w:val="000000" w:themeColor="text1"/>
                <w:kern w:val="0"/>
                <w14:ligatures w14:val="none"/>
              </w:rPr>
              <w:t xml:space="preserve"> sp.</w:t>
            </w:r>
          </w:p>
        </w:tc>
      </w:tr>
    </w:tbl>
    <w:p w14:paraId="0E1A83C8" w14:textId="4E2B639D" w:rsidR="00333805" w:rsidRPr="00DB4290" w:rsidRDefault="00333805"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Table 9 show</w:t>
      </w:r>
      <w:r w:rsidR="00814AA3">
        <w:rPr>
          <w:rFonts w:ascii="Times New Roman" w:hAnsi="Times New Roman" w:cs="Times New Roman"/>
          <w:color w:val="000000" w:themeColor="text1"/>
        </w:rPr>
        <w:t>s</w:t>
      </w:r>
      <w:r w:rsidRPr="00DB4290">
        <w:rPr>
          <w:rFonts w:ascii="Times New Roman" w:hAnsi="Times New Roman" w:cs="Times New Roman"/>
          <w:color w:val="000000" w:themeColor="text1"/>
        </w:rPr>
        <w:t xml:space="preserve"> that among bacteria, </w:t>
      </w:r>
      <w:r w:rsidRPr="00DB4290">
        <w:rPr>
          <w:rStyle w:val="Emphasis"/>
          <w:rFonts w:ascii="Times New Roman" w:hAnsi="Times New Roman" w:cs="Times New Roman"/>
          <w:color w:val="000000" w:themeColor="text1"/>
        </w:rPr>
        <w:t>Bacillus cereus</w:t>
      </w:r>
      <w:r w:rsidRPr="00DB4290">
        <w:rPr>
          <w:rFonts w:ascii="Times New Roman" w:hAnsi="Times New Roman" w:cs="Times New Roman"/>
          <w:color w:val="000000" w:themeColor="text1"/>
        </w:rPr>
        <w:t xml:space="preserve"> had the highest frequency (</w:t>
      </w:r>
      <w:r w:rsidRPr="00DB4290">
        <w:rPr>
          <w:rStyle w:val="Strong"/>
          <w:rFonts w:ascii="Times New Roman" w:hAnsi="Times New Roman" w:cs="Times New Roman"/>
          <w:b w:val="0"/>
          <w:bCs w:val="0"/>
          <w:color w:val="000000" w:themeColor="text1"/>
        </w:rPr>
        <w:t>n = 3; 17.6%</w:t>
      </w:r>
      <w:r w:rsidRPr="00DB4290">
        <w:rPr>
          <w:rFonts w:ascii="Times New Roman" w:hAnsi="Times New Roman" w:cs="Times New Roman"/>
          <w:color w:val="000000" w:themeColor="text1"/>
        </w:rPr>
        <w:t xml:space="preserve">), while </w:t>
      </w:r>
      <w:r w:rsidRPr="00DB4290">
        <w:rPr>
          <w:rStyle w:val="Emphasis"/>
          <w:rFonts w:ascii="Times New Roman" w:hAnsi="Times New Roman" w:cs="Times New Roman"/>
          <w:color w:val="000000" w:themeColor="text1"/>
        </w:rPr>
        <w:t>Micrococcus luteus</w:t>
      </w:r>
      <w:r w:rsidRPr="00DB4290">
        <w:rPr>
          <w:rFonts w:ascii="Times New Roman" w:hAnsi="Times New Roman" w:cs="Times New Roman"/>
          <w:color w:val="000000" w:themeColor="text1"/>
        </w:rPr>
        <w:t xml:space="preserve"> was least frequent (</w:t>
      </w:r>
      <w:r w:rsidRPr="00DB4290">
        <w:rPr>
          <w:rStyle w:val="Strong"/>
          <w:rFonts w:ascii="Times New Roman" w:hAnsi="Times New Roman" w:cs="Times New Roman"/>
          <w:b w:val="0"/>
          <w:bCs w:val="0"/>
          <w:color w:val="000000" w:themeColor="text1"/>
        </w:rPr>
        <w:t>n = 1; 5.9%</w:t>
      </w:r>
      <w:r w:rsidRPr="00DB4290">
        <w:rPr>
          <w:rFonts w:ascii="Times New Roman" w:hAnsi="Times New Roman" w:cs="Times New Roman"/>
          <w:color w:val="000000" w:themeColor="text1"/>
        </w:rPr>
        <w:t xml:space="preserve">). Among fungi, </w:t>
      </w:r>
      <w:r w:rsidRPr="00DB4290">
        <w:rPr>
          <w:rStyle w:val="Emphasis"/>
          <w:rFonts w:ascii="Times New Roman" w:hAnsi="Times New Roman" w:cs="Times New Roman"/>
          <w:color w:val="000000" w:themeColor="text1"/>
        </w:rPr>
        <w:t xml:space="preserve">Aspergillus </w:t>
      </w:r>
      <w:proofErr w:type="spellStart"/>
      <w:r w:rsidRPr="00DB4290">
        <w:rPr>
          <w:rStyle w:val="Emphasis"/>
          <w:rFonts w:ascii="Times New Roman" w:hAnsi="Times New Roman" w:cs="Times New Roman"/>
          <w:color w:val="000000" w:themeColor="text1"/>
        </w:rPr>
        <w:t>niger</w:t>
      </w:r>
      <w:proofErr w:type="spellEnd"/>
      <w:r w:rsidRPr="00DB4290">
        <w:rPr>
          <w:rFonts w:ascii="Times New Roman" w:hAnsi="Times New Roman" w:cs="Times New Roman"/>
          <w:color w:val="000000" w:themeColor="text1"/>
        </w:rPr>
        <w:t xml:space="preserve"> and </w:t>
      </w:r>
      <w:r w:rsidRPr="00DB4290">
        <w:rPr>
          <w:rStyle w:val="Emphasis"/>
          <w:rFonts w:ascii="Times New Roman" w:hAnsi="Times New Roman" w:cs="Times New Roman"/>
          <w:color w:val="000000" w:themeColor="text1"/>
        </w:rPr>
        <w:t>Penicillium</w:t>
      </w:r>
      <w:r w:rsidRPr="00DB4290">
        <w:rPr>
          <w:rFonts w:ascii="Times New Roman" w:hAnsi="Times New Roman" w:cs="Times New Roman"/>
          <w:color w:val="000000" w:themeColor="text1"/>
        </w:rPr>
        <w:t xml:space="preserve"> sp. were most abundant (</w:t>
      </w:r>
      <w:r w:rsidRPr="00DB4290">
        <w:rPr>
          <w:rStyle w:val="Strong"/>
          <w:rFonts w:ascii="Times New Roman" w:hAnsi="Times New Roman" w:cs="Times New Roman"/>
          <w:b w:val="0"/>
          <w:bCs w:val="0"/>
          <w:color w:val="000000" w:themeColor="text1"/>
        </w:rPr>
        <w:t>n = 3; 17.6% each</w:t>
      </w:r>
      <w:r w:rsidRPr="00DB4290">
        <w:rPr>
          <w:rFonts w:ascii="Times New Roman" w:hAnsi="Times New Roman" w:cs="Times New Roman"/>
          <w:color w:val="000000" w:themeColor="text1"/>
        </w:rPr>
        <w:t xml:space="preserve">). Other taxa such as </w:t>
      </w:r>
      <w:r w:rsidRPr="00DB4290">
        <w:rPr>
          <w:rStyle w:val="Emphasis"/>
          <w:rFonts w:ascii="Times New Roman" w:hAnsi="Times New Roman" w:cs="Times New Roman"/>
          <w:color w:val="000000" w:themeColor="text1"/>
        </w:rPr>
        <w:t>Aspergillus flavus</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Rhizopus</w:t>
      </w:r>
      <w:r w:rsidRPr="00DB4290">
        <w:rPr>
          <w:rFonts w:ascii="Times New Roman" w:hAnsi="Times New Roman" w:cs="Times New Roman"/>
          <w:color w:val="000000" w:themeColor="text1"/>
        </w:rPr>
        <w:t xml:space="preserve"> sp., and </w:t>
      </w:r>
      <w:r w:rsidRPr="00DB4290">
        <w:rPr>
          <w:rStyle w:val="Emphasis"/>
          <w:rFonts w:ascii="Times New Roman" w:hAnsi="Times New Roman" w:cs="Times New Roman"/>
          <w:color w:val="000000" w:themeColor="text1"/>
        </w:rPr>
        <w:t>Mucor</w:t>
      </w:r>
      <w:r w:rsidRPr="00DB4290">
        <w:rPr>
          <w:rFonts w:ascii="Times New Roman" w:hAnsi="Times New Roman" w:cs="Times New Roman"/>
          <w:color w:val="000000" w:themeColor="text1"/>
        </w:rPr>
        <w:t xml:space="preserve"> sp. each accounted for </w:t>
      </w:r>
      <w:r w:rsidRPr="00DB4290">
        <w:rPr>
          <w:rStyle w:val="Strong"/>
          <w:rFonts w:ascii="Times New Roman" w:hAnsi="Times New Roman" w:cs="Times New Roman"/>
          <w:b w:val="0"/>
          <w:bCs w:val="0"/>
          <w:color w:val="000000" w:themeColor="text1"/>
        </w:rPr>
        <w:t>11.8%</w:t>
      </w:r>
      <w:r w:rsidRPr="00DB4290">
        <w:rPr>
          <w:rFonts w:ascii="Times New Roman" w:hAnsi="Times New Roman" w:cs="Times New Roman"/>
          <w:color w:val="000000" w:themeColor="text1"/>
        </w:rPr>
        <w:t>, indicating a community dominated by a few hydrocarbon-tolerant species.</w:t>
      </w:r>
    </w:p>
    <w:p w14:paraId="03AB4F6E" w14:textId="09DD693A" w:rsidR="0010757C" w:rsidRPr="00DB4290" w:rsidRDefault="005B58AE"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lastRenderedPageBreak/>
        <w:t xml:space="preserve">Table </w:t>
      </w:r>
      <w:r w:rsidR="00F97EFF" w:rsidRPr="00DB4290">
        <w:rPr>
          <w:rFonts w:ascii="Times New Roman" w:hAnsi="Times New Roman" w:cs="Times New Roman"/>
          <w:color w:val="000000" w:themeColor="text1"/>
        </w:rPr>
        <w:t>9</w:t>
      </w:r>
      <w:r w:rsidRPr="00DB4290">
        <w:rPr>
          <w:rFonts w:ascii="Times New Roman" w:hAnsi="Times New Roman" w:cs="Times New Roman"/>
          <w:color w:val="000000" w:themeColor="text1"/>
        </w:rPr>
        <w:t>: Frequency of occurrence and relative abundance of bacterial and fungal isolates from soils of oil-producing communities</w:t>
      </w:r>
    </w:p>
    <w:tbl>
      <w:tblPr>
        <w:tblStyle w:val="TableGrid"/>
        <w:tblW w:w="0" w:type="auto"/>
        <w:tblLook w:val="04A0" w:firstRow="1" w:lastRow="0" w:firstColumn="1" w:lastColumn="0" w:noHBand="0" w:noVBand="1"/>
      </w:tblPr>
      <w:tblGrid>
        <w:gridCol w:w="3235"/>
        <w:gridCol w:w="1445"/>
        <w:gridCol w:w="1620"/>
        <w:gridCol w:w="2245"/>
      </w:tblGrid>
      <w:tr w:rsidR="00DB4290" w:rsidRPr="00DB4290" w14:paraId="285A9826" w14:textId="77777777" w:rsidTr="000871FA">
        <w:tc>
          <w:tcPr>
            <w:tcW w:w="3235" w:type="dxa"/>
            <w:tcBorders>
              <w:left w:val="nil"/>
              <w:bottom w:val="single" w:sz="4" w:space="0" w:color="auto"/>
              <w:right w:val="nil"/>
            </w:tcBorders>
            <w:hideMark/>
          </w:tcPr>
          <w:p w14:paraId="563DB998"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Microorganism</w:t>
            </w:r>
          </w:p>
        </w:tc>
        <w:tc>
          <w:tcPr>
            <w:tcW w:w="1445" w:type="dxa"/>
            <w:tcBorders>
              <w:left w:val="nil"/>
              <w:bottom w:val="single" w:sz="4" w:space="0" w:color="auto"/>
              <w:right w:val="nil"/>
            </w:tcBorders>
            <w:hideMark/>
          </w:tcPr>
          <w:p w14:paraId="1905D922"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Group</w:t>
            </w:r>
          </w:p>
        </w:tc>
        <w:tc>
          <w:tcPr>
            <w:tcW w:w="1620" w:type="dxa"/>
            <w:tcBorders>
              <w:left w:val="nil"/>
              <w:bottom w:val="single" w:sz="4" w:space="0" w:color="auto"/>
              <w:right w:val="nil"/>
            </w:tcBorders>
            <w:hideMark/>
          </w:tcPr>
          <w:p w14:paraId="1067A9D2"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Frequency of occurrence (n)</w:t>
            </w:r>
          </w:p>
        </w:tc>
        <w:tc>
          <w:tcPr>
            <w:tcW w:w="2245" w:type="dxa"/>
            <w:tcBorders>
              <w:left w:val="nil"/>
              <w:bottom w:val="single" w:sz="4" w:space="0" w:color="auto"/>
              <w:right w:val="nil"/>
            </w:tcBorders>
            <w:hideMark/>
          </w:tcPr>
          <w:p w14:paraId="0C1BFA36"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Relative abundance (%)</w:t>
            </w:r>
          </w:p>
        </w:tc>
      </w:tr>
      <w:tr w:rsidR="00DB4290" w:rsidRPr="00DB4290" w14:paraId="3E6E5565" w14:textId="77777777" w:rsidTr="000871FA">
        <w:tc>
          <w:tcPr>
            <w:tcW w:w="3235" w:type="dxa"/>
            <w:tcBorders>
              <w:left w:val="nil"/>
              <w:bottom w:val="nil"/>
              <w:right w:val="nil"/>
            </w:tcBorders>
            <w:hideMark/>
          </w:tcPr>
          <w:p w14:paraId="368BBBED"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Pseudomonas aeruginosa</w:t>
            </w:r>
          </w:p>
        </w:tc>
        <w:tc>
          <w:tcPr>
            <w:tcW w:w="1445" w:type="dxa"/>
            <w:tcBorders>
              <w:left w:val="nil"/>
              <w:bottom w:val="nil"/>
              <w:right w:val="nil"/>
            </w:tcBorders>
            <w:hideMark/>
          </w:tcPr>
          <w:p w14:paraId="29B54FEF"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left w:val="nil"/>
              <w:bottom w:val="nil"/>
              <w:right w:val="nil"/>
            </w:tcBorders>
            <w:hideMark/>
          </w:tcPr>
          <w:p w14:paraId="2BC85FB0"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left w:val="nil"/>
              <w:bottom w:val="nil"/>
              <w:right w:val="nil"/>
            </w:tcBorders>
            <w:hideMark/>
          </w:tcPr>
          <w:p w14:paraId="788FC465"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DB4290" w:rsidRPr="00DB4290" w14:paraId="38ABA0A4" w14:textId="77777777" w:rsidTr="000871FA">
        <w:tc>
          <w:tcPr>
            <w:tcW w:w="3235" w:type="dxa"/>
            <w:tcBorders>
              <w:top w:val="nil"/>
              <w:left w:val="nil"/>
              <w:bottom w:val="nil"/>
              <w:right w:val="nil"/>
            </w:tcBorders>
            <w:hideMark/>
          </w:tcPr>
          <w:p w14:paraId="29CEE387"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Acinetobacter</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bottom w:val="nil"/>
              <w:right w:val="nil"/>
            </w:tcBorders>
            <w:hideMark/>
          </w:tcPr>
          <w:p w14:paraId="00FB71BC"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top w:val="nil"/>
              <w:left w:val="nil"/>
              <w:bottom w:val="nil"/>
              <w:right w:val="nil"/>
            </w:tcBorders>
            <w:hideMark/>
          </w:tcPr>
          <w:p w14:paraId="4946FBE8"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bottom w:val="nil"/>
              <w:right w:val="nil"/>
            </w:tcBorders>
            <w:hideMark/>
          </w:tcPr>
          <w:p w14:paraId="449C3BB6"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DB4290" w:rsidRPr="00DB4290" w14:paraId="112532A0" w14:textId="77777777" w:rsidTr="000871FA">
        <w:tc>
          <w:tcPr>
            <w:tcW w:w="3235" w:type="dxa"/>
            <w:tcBorders>
              <w:top w:val="nil"/>
              <w:left w:val="nil"/>
              <w:bottom w:val="nil"/>
              <w:right w:val="nil"/>
            </w:tcBorders>
            <w:hideMark/>
          </w:tcPr>
          <w:p w14:paraId="2B3E8028"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Bacillus cereus</w:t>
            </w:r>
          </w:p>
        </w:tc>
        <w:tc>
          <w:tcPr>
            <w:tcW w:w="1445" w:type="dxa"/>
            <w:tcBorders>
              <w:top w:val="nil"/>
              <w:left w:val="nil"/>
              <w:bottom w:val="nil"/>
              <w:right w:val="nil"/>
            </w:tcBorders>
            <w:hideMark/>
          </w:tcPr>
          <w:p w14:paraId="17C74A70"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top w:val="nil"/>
              <w:left w:val="nil"/>
              <w:bottom w:val="nil"/>
              <w:right w:val="nil"/>
            </w:tcBorders>
            <w:hideMark/>
          </w:tcPr>
          <w:p w14:paraId="537F5E3D"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w:t>
            </w:r>
          </w:p>
        </w:tc>
        <w:tc>
          <w:tcPr>
            <w:tcW w:w="2245" w:type="dxa"/>
            <w:tcBorders>
              <w:top w:val="nil"/>
              <w:left w:val="nil"/>
              <w:bottom w:val="nil"/>
              <w:right w:val="nil"/>
            </w:tcBorders>
            <w:hideMark/>
          </w:tcPr>
          <w:p w14:paraId="6EF6E7BD"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17.6</w:t>
            </w:r>
          </w:p>
        </w:tc>
      </w:tr>
      <w:tr w:rsidR="00DB4290" w:rsidRPr="00DB4290" w14:paraId="04C84E92" w14:textId="77777777" w:rsidTr="000871FA">
        <w:tc>
          <w:tcPr>
            <w:tcW w:w="3235" w:type="dxa"/>
            <w:tcBorders>
              <w:top w:val="nil"/>
              <w:left w:val="nil"/>
              <w:bottom w:val="nil"/>
              <w:right w:val="nil"/>
            </w:tcBorders>
            <w:hideMark/>
          </w:tcPr>
          <w:p w14:paraId="5B13EC6E"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Klebsiella</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bottom w:val="nil"/>
              <w:right w:val="nil"/>
            </w:tcBorders>
            <w:hideMark/>
          </w:tcPr>
          <w:p w14:paraId="26621CAB"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top w:val="nil"/>
              <w:left w:val="nil"/>
              <w:bottom w:val="nil"/>
              <w:right w:val="nil"/>
            </w:tcBorders>
            <w:hideMark/>
          </w:tcPr>
          <w:p w14:paraId="1CF28465"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bottom w:val="nil"/>
              <w:right w:val="nil"/>
            </w:tcBorders>
            <w:hideMark/>
          </w:tcPr>
          <w:p w14:paraId="5A302A01"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DB4290" w:rsidRPr="00DB4290" w14:paraId="70D619B3" w14:textId="77777777" w:rsidTr="000871FA">
        <w:tc>
          <w:tcPr>
            <w:tcW w:w="3235" w:type="dxa"/>
            <w:tcBorders>
              <w:top w:val="nil"/>
              <w:left w:val="nil"/>
              <w:bottom w:val="nil"/>
              <w:right w:val="nil"/>
            </w:tcBorders>
            <w:hideMark/>
          </w:tcPr>
          <w:p w14:paraId="137AE13A"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Enterobacter</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bottom w:val="nil"/>
              <w:right w:val="nil"/>
            </w:tcBorders>
            <w:hideMark/>
          </w:tcPr>
          <w:p w14:paraId="6C1F2BA9"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top w:val="nil"/>
              <w:left w:val="nil"/>
              <w:bottom w:val="nil"/>
              <w:right w:val="nil"/>
            </w:tcBorders>
            <w:hideMark/>
          </w:tcPr>
          <w:p w14:paraId="02DAD814"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bottom w:val="nil"/>
              <w:right w:val="nil"/>
            </w:tcBorders>
            <w:hideMark/>
          </w:tcPr>
          <w:p w14:paraId="38A36E95"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DB4290" w:rsidRPr="00DB4290" w14:paraId="26540DAD" w14:textId="77777777" w:rsidTr="000871FA">
        <w:tc>
          <w:tcPr>
            <w:tcW w:w="3235" w:type="dxa"/>
            <w:tcBorders>
              <w:top w:val="nil"/>
              <w:left w:val="nil"/>
              <w:bottom w:val="nil"/>
              <w:right w:val="nil"/>
            </w:tcBorders>
            <w:hideMark/>
          </w:tcPr>
          <w:p w14:paraId="60A4E47B"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Micrococcus luteus</w:t>
            </w:r>
          </w:p>
        </w:tc>
        <w:tc>
          <w:tcPr>
            <w:tcW w:w="1445" w:type="dxa"/>
            <w:tcBorders>
              <w:top w:val="nil"/>
              <w:left w:val="nil"/>
              <w:bottom w:val="nil"/>
              <w:right w:val="nil"/>
            </w:tcBorders>
            <w:hideMark/>
          </w:tcPr>
          <w:p w14:paraId="30DE37A6"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top w:val="nil"/>
              <w:left w:val="nil"/>
              <w:bottom w:val="nil"/>
              <w:right w:val="nil"/>
            </w:tcBorders>
            <w:hideMark/>
          </w:tcPr>
          <w:p w14:paraId="5809A389"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w:t>
            </w:r>
          </w:p>
        </w:tc>
        <w:tc>
          <w:tcPr>
            <w:tcW w:w="2245" w:type="dxa"/>
            <w:tcBorders>
              <w:top w:val="nil"/>
              <w:left w:val="nil"/>
              <w:bottom w:val="nil"/>
              <w:right w:val="nil"/>
            </w:tcBorders>
            <w:hideMark/>
          </w:tcPr>
          <w:p w14:paraId="4527E39E"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5.9</w:t>
            </w:r>
          </w:p>
        </w:tc>
      </w:tr>
      <w:tr w:rsidR="00DB4290" w:rsidRPr="00DB4290" w14:paraId="0435FA2D" w14:textId="77777777" w:rsidTr="000871FA">
        <w:tc>
          <w:tcPr>
            <w:tcW w:w="3235" w:type="dxa"/>
            <w:tcBorders>
              <w:top w:val="nil"/>
              <w:left w:val="nil"/>
              <w:bottom w:val="nil"/>
              <w:right w:val="nil"/>
            </w:tcBorders>
            <w:hideMark/>
          </w:tcPr>
          <w:p w14:paraId="019D6132"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 xml:space="preserve">Aspergillus </w:t>
            </w:r>
            <w:proofErr w:type="spellStart"/>
            <w:r w:rsidRPr="00DB4290">
              <w:rPr>
                <w:rFonts w:ascii="Times New Roman" w:eastAsia="Times New Roman" w:hAnsi="Times New Roman" w:cs="Times New Roman"/>
                <w:i/>
                <w:iCs/>
                <w:color w:val="000000" w:themeColor="text1"/>
                <w:kern w:val="0"/>
                <w14:ligatures w14:val="none"/>
              </w:rPr>
              <w:t>niger</w:t>
            </w:r>
            <w:proofErr w:type="spellEnd"/>
          </w:p>
        </w:tc>
        <w:tc>
          <w:tcPr>
            <w:tcW w:w="1445" w:type="dxa"/>
            <w:tcBorders>
              <w:top w:val="nil"/>
              <w:left w:val="nil"/>
              <w:bottom w:val="nil"/>
              <w:right w:val="nil"/>
            </w:tcBorders>
            <w:hideMark/>
          </w:tcPr>
          <w:p w14:paraId="0DA66940"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Fungi</w:t>
            </w:r>
          </w:p>
        </w:tc>
        <w:tc>
          <w:tcPr>
            <w:tcW w:w="1620" w:type="dxa"/>
            <w:tcBorders>
              <w:top w:val="nil"/>
              <w:left w:val="nil"/>
              <w:bottom w:val="nil"/>
              <w:right w:val="nil"/>
            </w:tcBorders>
            <w:hideMark/>
          </w:tcPr>
          <w:p w14:paraId="44206490"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w:t>
            </w:r>
          </w:p>
        </w:tc>
        <w:tc>
          <w:tcPr>
            <w:tcW w:w="2245" w:type="dxa"/>
            <w:tcBorders>
              <w:top w:val="nil"/>
              <w:left w:val="nil"/>
              <w:bottom w:val="nil"/>
              <w:right w:val="nil"/>
            </w:tcBorders>
            <w:hideMark/>
          </w:tcPr>
          <w:p w14:paraId="164C3265"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17.6</w:t>
            </w:r>
          </w:p>
        </w:tc>
      </w:tr>
      <w:tr w:rsidR="00DB4290" w:rsidRPr="00DB4290" w14:paraId="5916F016" w14:textId="77777777" w:rsidTr="000871FA">
        <w:tc>
          <w:tcPr>
            <w:tcW w:w="3235" w:type="dxa"/>
            <w:tcBorders>
              <w:top w:val="nil"/>
              <w:left w:val="nil"/>
              <w:bottom w:val="nil"/>
              <w:right w:val="nil"/>
            </w:tcBorders>
            <w:hideMark/>
          </w:tcPr>
          <w:p w14:paraId="25CB4DA4"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Aspergillus flavus</w:t>
            </w:r>
          </w:p>
        </w:tc>
        <w:tc>
          <w:tcPr>
            <w:tcW w:w="1445" w:type="dxa"/>
            <w:tcBorders>
              <w:top w:val="nil"/>
              <w:left w:val="nil"/>
              <w:bottom w:val="nil"/>
              <w:right w:val="nil"/>
            </w:tcBorders>
            <w:hideMark/>
          </w:tcPr>
          <w:p w14:paraId="036E5663"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Fungi</w:t>
            </w:r>
          </w:p>
        </w:tc>
        <w:tc>
          <w:tcPr>
            <w:tcW w:w="1620" w:type="dxa"/>
            <w:tcBorders>
              <w:top w:val="nil"/>
              <w:left w:val="nil"/>
              <w:bottom w:val="nil"/>
              <w:right w:val="nil"/>
            </w:tcBorders>
            <w:hideMark/>
          </w:tcPr>
          <w:p w14:paraId="3AF4C438"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bottom w:val="nil"/>
              <w:right w:val="nil"/>
            </w:tcBorders>
            <w:hideMark/>
          </w:tcPr>
          <w:p w14:paraId="53BEC84C"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DB4290" w:rsidRPr="00DB4290" w14:paraId="17BE7669" w14:textId="77777777" w:rsidTr="000871FA">
        <w:tc>
          <w:tcPr>
            <w:tcW w:w="3235" w:type="dxa"/>
            <w:tcBorders>
              <w:top w:val="nil"/>
              <w:left w:val="nil"/>
              <w:bottom w:val="nil"/>
              <w:right w:val="nil"/>
            </w:tcBorders>
            <w:hideMark/>
          </w:tcPr>
          <w:p w14:paraId="60056C15"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Penicillium</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bottom w:val="nil"/>
              <w:right w:val="nil"/>
            </w:tcBorders>
            <w:hideMark/>
          </w:tcPr>
          <w:p w14:paraId="4B1057A4"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Fungi</w:t>
            </w:r>
          </w:p>
        </w:tc>
        <w:tc>
          <w:tcPr>
            <w:tcW w:w="1620" w:type="dxa"/>
            <w:tcBorders>
              <w:top w:val="nil"/>
              <w:left w:val="nil"/>
              <w:bottom w:val="nil"/>
              <w:right w:val="nil"/>
            </w:tcBorders>
            <w:hideMark/>
          </w:tcPr>
          <w:p w14:paraId="4CFF0BA3"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w:t>
            </w:r>
          </w:p>
        </w:tc>
        <w:tc>
          <w:tcPr>
            <w:tcW w:w="2245" w:type="dxa"/>
            <w:tcBorders>
              <w:top w:val="nil"/>
              <w:left w:val="nil"/>
              <w:bottom w:val="nil"/>
              <w:right w:val="nil"/>
            </w:tcBorders>
            <w:hideMark/>
          </w:tcPr>
          <w:p w14:paraId="77F1F12E"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17.6</w:t>
            </w:r>
          </w:p>
        </w:tc>
      </w:tr>
      <w:tr w:rsidR="00DB4290" w:rsidRPr="00DB4290" w14:paraId="4671B153" w14:textId="77777777" w:rsidTr="000871FA">
        <w:tc>
          <w:tcPr>
            <w:tcW w:w="3235" w:type="dxa"/>
            <w:tcBorders>
              <w:top w:val="nil"/>
              <w:left w:val="nil"/>
              <w:bottom w:val="nil"/>
              <w:right w:val="nil"/>
            </w:tcBorders>
            <w:hideMark/>
          </w:tcPr>
          <w:p w14:paraId="00D16800"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Rhizopus</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bottom w:val="nil"/>
              <w:right w:val="nil"/>
            </w:tcBorders>
            <w:hideMark/>
          </w:tcPr>
          <w:p w14:paraId="7C8F70E8"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Fungi</w:t>
            </w:r>
          </w:p>
        </w:tc>
        <w:tc>
          <w:tcPr>
            <w:tcW w:w="1620" w:type="dxa"/>
            <w:tcBorders>
              <w:top w:val="nil"/>
              <w:left w:val="nil"/>
              <w:bottom w:val="nil"/>
              <w:right w:val="nil"/>
            </w:tcBorders>
            <w:hideMark/>
          </w:tcPr>
          <w:p w14:paraId="25EB7B3B"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bottom w:val="nil"/>
              <w:right w:val="nil"/>
            </w:tcBorders>
            <w:hideMark/>
          </w:tcPr>
          <w:p w14:paraId="0BB5545A"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0871FA" w:rsidRPr="00DB4290" w14:paraId="56D216D2" w14:textId="77777777" w:rsidTr="000871FA">
        <w:tc>
          <w:tcPr>
            <w:tcW w:w="3235" w:type="dxa"/>
            <w:tcBorders>
              <w:top w:val="nil"/>
              <w:left w:val="nil"/>
              <w:right w:val="nil"/>
            </w:tcBorders>
            <w:hideMark/>
          </w:tcPr>
          <w:p w14:paraId="12AC9293"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Mucor</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right w:val="nil"/>
            </w:tcBorders>
            <w:hideMark/>
          </w:tcPr>
          <w:p w14:paraId="017FC794"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Fungi</w:t>
            </w:r>
          </w:p>
        </w:tc>
        <w:tc>
          <w:tcPr>
            <w:tcW w:w="1620" w:type="dxa"/>
            <w:tcBorders>
              <w:top w:val="nil"/>
              <w:left w:val="nil"/>
              <w:right w:val="nil"/>
            </w:tcBorders>
            <w:hideMark/>
          </w:tcPr>
          <w:p w14:paraId="1E1838C2"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right w:val="nil"/>
            </w:tcBorders>
            <w:hideMark/>
          </w:tcPr>
          <w:p w14:paraId="77AA2ECB"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bl>
    <w:p w14:paraId="28CEE237" w14:textId="77777777" w:rsidR="00F97EFF" w:rsidRPr="00DB4290" w:rsidRDefault="00F97EFF" w:rsidP="000871FA">
      <w:pPr>
        <w:spacing w:after="120" w:line="240" w:lineRule="auto"/>
        <w:jc w:val="both"/>
        <w:rPr>
          <w:rFonts w:ascii="Times New Roman" w:hAnsi="Times New Roman" w:cs="Times New Roman"/>
          <w:color w:val="000000" w:themeColor="text1"/>
        </w:rPr>
      </w:pPr>
    </w:p>
    <w:p w14:paraId="6D68E331" w14:textId="0D42A39C" w:rsidR="00333805" w:rsidRPr="00333805" w:rsidRDefault="00333805" w:rsidP="000871FA">
      <w:pPr>
        <w:spacing w:after="120" w:line="240" w:lineRule="auto"/>
        <w:jc w:val="both"/>
        <w:rPr>
          <w:rFonts w:ascii="Times New Roman" w:eastAsia="Times New Roman" w:hAnsi="Times New Roman" w:cs="Times New Roman"/>
          <w:b/>
          <w:bCs/>
          <w:color w:val="000000" w:themeColor="text1"/>
          <w:kern w:val="0"/>
          <w14:ligatures w14:val="none"/>
        </w:rPr>
      </w:pPr>
      <w:r w:rsidRPr="00333805">
        <w:rPr>
          <w:rFonts w:ascii="Times New Roman" w:eastAsia="Times New Roman" w:hAnsi="Times New Roman" w:cs="Times New Roman"/>
          <w:b/>
          <w:bCs/>
          <w:color w:val="000000" w:themeColor="text1"/>
          <w:kern w:val="0"/>
          <w14:ligatures w14:val="none"/>
        </w:rPr>
        <w:t>Discussion</w:t>
      </w:r>
    </w:p>
    <w:p w14:paraId="6BE0B634" w14:textId="4CCADDED" w:rsidR="00333805" w:rsidRPr="00333805"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 xml:space="preserve">The present study revealed marked spatial and depth-related variation in microbial populations of hydrocarbon-impacted soils from oil-producing communities in Bayelsa State. Total heterotrophic bacterial counts (THBC) were consistently higher in surface soils (0–10 cm) than subsurface soils (10–30 cm) across all locations, with surface values ranging from 51.0 ± 2.65 × 10⁴ CFU g⁻¹ at </w:t>
      </w:r>
      <w:proofErr w:type="spellStart"/>
      <w:r w:rsidRPr="00333805">
        <w:rPr>
          <w:rFonts w:ascii="Times New Roman" w:eastAsia="Times New Roman" w:hAnsi="Times New Roman" w:cs="Times New Roman"/>
          <w:color w:val="000000" w:themeColor="text1"/>
          <w:kern w:val="0"/>
          <w14:ligatures w14:val="none"/>
        </w:rPr>
        <w:t>Otuan</w:t>
      </w:r>
      <w:proofErr w:type="spellEnd"/>
      <w:r w:rsidRPr="00333805">
        <w:rPr>
          <w:rFonts w:ascii="Times New Roman" w:eastAsia="Times New Roman" w:hAnsi="Times New Roman" w:cs="Times New Roman"/>
          <w:color w:val="000000" w:themeColor="text1"/>
          <w:kern w:val="0"/>
          <w14:ligatures w14:val="none"/>
        </w:rPr>
        <w:t xml:space="preserve"> to 69.0 ± 3.00 × 10⁴ CFU g⁻¹ at </w:t>
      </w:r>
      <w:proofErr w:type="spellStart"/>
      <w:r w:rsidRPr="00333805">
        <w:rPr>
          <w:rFonts w:ascii="Times New Roman" w:eastAsia="Times New Roman" w:hAnsi="Times New Roman" w:cs="Times New Roman"/>
          <w:color w:val="000000" w:themeColor="text1"/>
          <w:kern w:val="0"/>
          <w14:ligatures w14:val="none"/>
        </w:rPr>
        <w:t>Obuna</w:t>
      </w:r>
      <w:proofErr w:type="spellEnd"/>
      <w:r w:rsidRPr="00333805">
        <w:rPr>
          <w:rFonts w:ascii="Times New Roman" w:eastAsia="Times New Roman" w:hAnsi="Times New Roman" w:cs="Times New Roman"/>
          <w:color w:val="000000" w:themeColor="text1"/>
          <w:kern w:val="0"/>
          <w14:ligatures w14:val="none"/>
        </w:rPr>
        <w:t xml:space="preserve">. This pattern aligns with previous reports that surface soils support higher microbial biomass due to greater oxygen availability, organic matter inputs, and recent hydrocarbon deposition (Atlas &amp; Bartha, 1998; Pepper et al., 2015). Similar surface-dominated bacterial abundance has been reported in oil-contaminated soils from the Niger Delta, where heterotrophic bacteria were significantly more abundant in </w:t>
      </w:r>
      <w:proofErr w:type="spellStart"/>
      <w:r w:rsidRPr="00333805">
        <w:rPr>
          <w:rFonts w:ascii="Times New Roman" w:eastAsia="Times New Roman" w:hAnsi="Times New Roman" w:cs="Times New Roman"/>
          <w:color w:val="000000" w:themeColor="text1"/>
          <w:kern w:val="0"/>
          <w14:ligatures w14:val="none"/>
        </w:rPr>
        <w:t>topsoils</w:t>
      </w:r>
      <w:proofErr w:type="spellEnd"/>
      <w:r w:rsidRPr="00333805">
        <w:rPr>
          <w:rFonts w:ascii="Times New Roman" w:eastAsia="Times New Roman" w:hAnsi="Times New Roman" w:cs="Times New Roman"/>
          <w:color w:val="000000" w:themeColor="text1"/>
          <w:kern w:val="0"/>
          <w14:ligatures w14:val="none"/>
        </w:rPr>
        <w:t xml:space="preserve"> than in deeper horizons (Okoh et al., 2019; Ite et al., 2013).</w:t>
      </w:r>
    </w:p>
    <w:p w14:paraId="26BACCEC" w14:textId="6F90D842" w:rsidR="00333805" w:rsidRPr="00333805"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 xml:space="preserve">The significantly higher THBC observed at </w:t>
      </w:r>
      <w:proofErr w:type="spellStart"/>
      <w:r w:rsidRPr="00333805">
        <w:rPr>
          <w:rFonts w:ascii="Times New Roman" w:eastAsia="Times New Roman" w:hAnsi="Times New Roman" w:cs="Times New Roman"/>
          <w:color w:val="000000" w:themeColor="text1"/>
          <w:kern w:val="0"/>
          <w14:ligatures w14:val="none"/>
        </w:rPr>
        <w:t>Imiringi</w:t>
      </w:r>
      <w:proofErr w:type="spellEnd"/>
      <w:r w:rsidRPr="00333805">
        <w:rPr>
          <w:rFonts w:ascii="Times New Roman" w:eastAsia="Times New Roman" w:hAnsi="Times New Roman" w:cs="Times New Roman"/>
          <w:color w:val="000000" w:themeColor="text1"/>
          <w:kern w:val="0"/>
          <w14:ligatures w14:val="none"/>
        </w:rPr>
        <w:t xml:space="preserve"> and </w:t>
      </w:r>
      <w:proofErr w:type="spellStart"/>
      <w:r w:rsidRPr="00333805">
        <w:rPr>
          <w:rFonts w:ascii="Times New Roman" w:eastAsia="Times New Roman" w:hAnsi="Times New Roman" w:cs="Times New Roman"/>
          <w:color w:val="000000" w:themeColor="text1"/>
          <w:kern w:val="0"/>
          <w14:ligatures w14:val="none"/>
        </w:rPr>
        <w:t>Obuna</w:t>
      </w:r>
      <w:proofErr w:type="spellEnd"/>
      <w:r w:rsidRPr="00333805">
        <w:rPr>
          <w:rFonts w:ascii="Times New Roman" w:eastAsia="Times New Roman" w:hAnsi="Times New Roman" w:cs="Times New Roman"/>
          <w:color w:val="000000" w:themeColor="text1"/>
          <w:kern w:val="0"/>
          <w14:ligatures w14:val="none"/>
        </w:rPr>
        <w:t xml:space="preserve"> relative to </w:t>
      </w:r>
      <w:proofErr w:type="spellStart"/>
      <w:r w:rsidRPr="00333805">
        <w:rPr>
          <w:rFonts w:ascii="Times New Roman" w:eastAsia="Times New Roman" w:hAnsi="Times New Roman" w:cs="Times New Roman"/>
          <w:color w:val="000000" w:themeColor="text1"/>
          <w:kern w:val="0"/>
          <w14:ligatures w14:val="none"/>
        </w:rPr>
        <w:t>Otuan</w:t>
      </w:r>
      <w:proofErr w:type="spellEnd"/>
      <w:r w:rsidRPr="00333805">
        <w:rPr>
          <w:rFonts w:ascii="Times New Roman" w:eastAsia="Times New Roman" w:hAnsi="Times New Roman" w:cs="Times New Roman"/>
          <w:color w:val="000000" w:themeColor="text1"/>
          <w:kern w:val="0"/>
          <w14:ligatures w14:val="none"/>
        </w:rPr>
        <w:t xml:space="preserve"> at 0–10 cm depth (64.0–69.0 × 10⁴ CFU g⁻¹ vs. 51.0 × 10⁴ CFU g⁻¹; p &lt; 0.05) suggests spatial heterogeneity in contamination intensity and nutrient availability. Elevated bacterial abundance in more impacted sites has been linked to enrichment of hydrocarbon-tolerant heterotrophs that exploit petroleum hydrocarbons and associated organic substrates (Adams et al., 2015; Quesada &amp; Lasker, 2019). At 10–30 cm depth, THBC was highest at </w:t>
      </w:r>
      <w:proofErr w:type="spellStart"/>
      <w:r w:rsidRPr="00333805">
        <w:rPr>
          <w:rFonts w:ascii="Times New Roman" w:eastAsia="Times New Roman" w:hAnsi="Times New Roman" w:cs="Times New Roman"/>
          <w:color w:val="000000" w:themeColor="text1"/>
          <w:kern w:val="0"/>
          <w14:ligatures w14:val="none"/>
        </w:rPr>
        <w:t>Imiringi</w:t>
      </w:r>
      <w:proofErr w:type="spellEnd"/>
      <w:r w:rsidRPr="00333805">
        <w:rPr>
          <w:rFonts w:ascii="Times New Roman" w:eastAsia="Times New Roman" w:hAnsi="Times New Roman" w:cs="Times New Roman"/>
          <w:color w:val="000000" w:themeColor="text1"/>
          <w:kern w:val="0"/>
          <w14:ligatures w14:val="none"/>
        </w:rPr>
        <w:t xml:space="preserve"> (45.0 ± 3.00 × 10⁴ CFU g⁻¹), significantly exceeding </w:t>
      </w:r>
      <w:proofErr w:type="spellStart"/>
      <w:r w:rsidRPr="00333805">
        <w:rPr>
          <w:rFonts w:ascii="Times New Roman" w:eastAsia="Times New Roman" w:hAnsi="Times New Roman" w:cs="Times New Roman"/>
          <w:color w:val="000000" w:themeColor="text1"/>
          <w:kern w:val="0"/>
          <w14:ligatures w14:val="none"/>
        </w:rPr>
        <w:t>Obuna</w:t>
      </w:r>
      <w:proofErr w:type="spellEnd"/>
      <w:r w:rsidRPr="00333805">
        <w:rPr>
          <w:rFonts w:ascii="Times New Roman" w:eastAsia="Times New Roman" w:hAnsi="Times New Roman" w:cs="Times New Roman"/>
          <w:color w:val="000000" w:themeColor="text1"/>
          <w:kern w:val="0"/>
          <w14:ligatures w14:val="none"/>
        </w:rPr>
        <w:t xml:space="preserve"> (23.3 ± 2.52 × 10⁴ CFU g⁻¹), indicating deeper penetration of contaminants or prolonged exposure at </w:t>
      </w:r>
      <w:proofErr w:type="spellStart"/>
      <w:r w:rsidRPr="00333805">
        <w:rPr>
          <w:rFonts w:ascii="Times New Roman" w:eastAsia="Times New Roman" w:hAnsi="Times New Roman" w:cs="Times New Roman"/>
          <w:color w:val="000000" w:themeColor="text1"/>
          <w:kern w:val="0"/>
          <w14:ligatures w14:val="none"/>
        </w:rPr>
        <w:t>Imiringi</w:t>
      </w:r>
      <w:proofErr w:type="spellEnd"/>
      <w:r w:rsidRPr="00333805">
        <w:rPr>
          <w:rFonts w:ascii="Times New Roman" w:eastAsia="Times New Roman" w:hAnsi="Times New Roman" w:cs="Times New Roman"/>
          <w:color w:val="000000" w:themeColor="text1"/>
          <w:kern w:val="0"/>
          <w14:ligatures w14:val="none"/>
        </w:rPr>
        <w:t>, which may have selected for subsurface-adapted bacterial communities. Comparable depth-related declines in bacterial abundance have been reported in hydrocarbon-impacted wetland soils, where reduced aeration and substrate diffusion constrain microbial growth at depth (Pepper et al., 2015).</w:t>
      </w:r>
    </w:p>
    <w:p w14:paraId="67544017" w14:textId="58317C45" w:rsidR="00333805" w:rsidRPr="00333805"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Hydrocarbon-</w:t>
      </w:r>
      <w:proofErr w:type="spellStart"/>
      <w:r w:rsidRPr="00333805">
        <w:rPr>
          <w:rFonts w:ascii="Times New Roman" w:eastAsia="Times New Roman" w:hAnsi="Times New Roman" w:cs="Times New Roman"/>
          <w:color w:val="000000" w:themeColor="text1"/>
          <w:kern w:val="0"/>
          <w14:ligatures w14:val="none"/>
        </w:rPr>
        <w:t>utilising</w:t>
      </w:r>
      <w:proofErr w:type="spellEnd"/>
      <w:r w:rsidRPr="00333805">
        <w:rPr>
          <w:rFonts w:ascii="Times New Roman" w:eastAsia="Times New Roman" w:hAnsi="Times New Roman" w:cs="Times New Roman"/>
          <w:color w:val="000000" w:themeColor="text1"/>
          <w:kern w:val="0"/>
          <w14:ligatures w14:val="none"/>
        </w:rPr>
        <w:t xml:space="preserve"> bacteria (HUB) constituted a substantial fraction of the culturable community, with surface counts ranging from 18.3–20.3 × 10⁴ CFU g⁻¹ and subsurface counts from 11.0–17.0 × 10⁴ CFU g⁻¹. The lack of significant spatial differences in HUB at 0–10 cm depth indicates widespread enrichment of hydrocarbon degraders across all communities, likely reflecting chronic and diffuse contamination in the Niger Delta (Okoh et al., 2019). However, the significantly higher HUB at </w:t>
      </w:r>
      <w:proofErr w:type="spellStart"/>
      <w:r w:rsidRPr="00333805">
        <w:rPr>
          <w:rFonts w:ascii="Times New Roman" w:eastAsia="Times New Roman" w:hAnsi="Times New Roman" w:cs="Times New Roman"/>
          <w:color w:val="000000" w:themeColor="text1"/>
          <w:kern w:val="0"/>
          <w14:ligatures w14:val="none"/>
        </w:rPr>
        <w:t>Obuna</w:t>
      </w:r>
      <w:proofErr w:type="spellEnd"/>
      <w:r w:rsidRPr="00333805">
        <w:rPr>
          <w:rFonts w:ascii="Times New Roman" w:eastAsia="Times New Roman" w:hAnsi="Times New Roman" w:cs="Times New Roman"/>
          <w:color w:val="000000" w:themeColor="text1"/>
          <w:kern w:val="0"/>
          <w14:ligatures w14:val="none"/>
        </w:rPr>
        <w:t xml:space="preserve"> subsurface soils (17.0 ± 2.00 × 10⁴ CFU g⁻¹) compared to </w:t>
      </w:r>
      <w:proofErr w:type="spellStart"/>
      <w:r w:rsidRPr="00333805">
        <w:rPr>
          <w:rFonts w:ascii="Times New Roman" w:eastAsia="Times New Roman" w:hAnsi="Times New Roman" w:cs="Times New Roman"/>
          <w:color w:val="000000" w:themeColor="text1"/>
          <w:kern w:val="0"/>
          <w14:ligatures w14:val="none"/>
        </w:rPr>
        <w:lastRenderedPageBreak/>
        <w:t>Otuan</w:t>
      </w:r>
      <w:proofErr w:type="spellEnd"/>
      <w:r w:rsidRPr="00333805">
        <w:rPr>
          <w:rFonts w:ascii="Times New Roman" w:eastAsia="Times New Roman" w:hAnsi="Times New Roman" w:cs="Times New Roman"/>
          <w:color w:val="000000" w:themeColor="text1"/>
          <w:kern w:val="0"/>
          <w14:ligatures w14:val="none"/>
        </w:rPr>
        <w:t xml:space="preserve"> (11.0 ± 2.00 × 10⁴ CFU g⁻¹) suggests localized adaptation of hydrocarbon degraders at depth, consistent with findings from petroleum-contaminated soils where deeper horizons harbor specialized degraders capable of functioning under lower oxygen conditions (Atlas, 2010; Adams et al., 2015).</w:t>
      </w:r>
    </w:p>
    <w:p w14:paraId="262BA1B3" w14:textId="2E8FC88D" w:rsidR="00333805" w:rsidRPr="00333805"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Total fungal counts (TFC) were lower than bacterial counts across all sites, with surface values of 15.3–21.0 × 10⁴ CFU g⁻¹ and subsurface values of 10.0–13.0 × 10⁴ CFU g⁻¹, and no significant spatial variation. This relative stability of fungal populations across locations contrasts with the more responsive bacterial communities and suggests that dominant fungal taxa possess broad ecological tolerance to hydrocarbon stress. Similar observations have been reported for oil-polluted soils in which fungi exhibit resilience to petroleum hydrocarbons due to their robust cell walls and production of extracellular oxidative enzymes (Barnett &amp; Hunter, 1998; Quesada &amp; Lasker, 2019). The lower fungal abundance at depth is consistent with reduced oxygen diffusion and altered moisture regimes in subsurface wetland soils, which can limit fungal growth relative to bacteria (Pepper et al., 2015).</w:t>
      </w:r>
    </w:p>
    <w:p w14:paraId="72E726B7" w14:textId="6793A26E" w:rsidR="00333805" w:rsidRPr="008E06FF"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The bacterial taxa identified (</w:t>
      </w:r>
      <w:r w:rsidRPr="00333805">
        <w:rPr>
          <w:rFonts w:ascii="Times New Roman" w:eastAsia="Times New Roman" w:hAnsi="Times New Roman" w:cs="Times New Roman"/>
          <w:i/>
          <w:iCs/>
          <w:color w:val="000000" w:themeColor="text1"/>
          <w:kern w:val="0"/>
          <w14:ligatures w14:val="none"/>
        </w:rPr>
        <w:t>Pseudomonas aeruginosa, Acinetobacter sp., Bacillus cereus, Klebsiella sp., Enterobacter sp., Micrococcus luteus</w:t>
      </w:r>
      <w:r w:rsidRPr="00333805">
        <w:rPr>
          <w:rFonts w:ascii="Times New Roman" w:eastAsia="Times New Roman" w:hAnsi="Times New Roman" w:cs="Times New Roman"/>
          <w:color w:val="000000" w:themeColor="text1"/>
          <w:kern w:val="0"/>
          <w14:ligatures w14:val="none"/>
        </w:rPr>
        <w:t xml:space="preserve">) are widely reported in hydrocarbon-impacted environments and are known for their metabolic versatility and hydrocarbon-degrading capabilities. In particular, </w:t>
      </w:r>
      <w:r w:rsidRPr="00333805">
        <w:rPr>
          <w:rFonts w:ascii="Times New Roman" w:eastAsia="Times New Roman" w:hAnsi="Times New Roman" w:cs="Times New Roman"/>
          <w:i/>
          <w:iCs/>
          <w:color w:val="000000" w:themeColor="text1"/>
          <w:kern w:val="0"/>
          <w14:ligatures w14:val="none"/>
        </w:rPr>
        <w:t>Pseudomonas</w:t>
      </w:r>
      <w:r w:rsidRPr="00333805">
        <w:rPr>
          <w:rFonts w:ascii="Times New Roman" w:eastAsia="Times New Roman" w:hAnsi="Times New Roman" w:cs="Times New Roman"/>
          <w:color w:val="000000" w:themeColor="text1"/>
          <w:kern w:val="0"/>
          <w14:ligatures w14:val="none"/>
        </w:rPr>
        <w:t xml:space="preserve"> and </w:t>
      </w:r>
      <w:r w:rsidRPr="00333805">
        <w:rPr>
          <w:rFonts w:ascii="Times New Roman" w:eastAsia="Times New Roman" w:hAnsi="Times New Roman" w:cs="Times New Roman"/>
          <w:i/>
          <w:iCs/>
          <w:color w:val="000000" w:themeColor="text1"/>
          <w:kern w:val="0"/>
          <w14:ligatures w14:val="none"/>
        </w:rPr>
        <w:t>Acinetobacter</w:t>
      </w:r>
      <w:r w:rsidRPr="00333805">
        <w:rPr>
          <w:rFonts w:ascii="Times New Roman" w:eastAsia="Times New Roman" w:hAnsi="Times New Roman" w:cs="Times New Roman"/>
          <w:color w:val="000000" w:themeColor="text1"/>
          <w:kern w:val="0"/>
          <w14:ligatures w14:val="none"/>
        </w:rPr>
        <w:t xml:space="preserve"> are recognized for their ability to degrade aliphatic and aromatic hydrocarbons, while </w:t>
      </w:r>
      <w:r w:rsidRPr="00333805">
        <w:rPr>
          <w:rFonts w:ascii="Times New Roman" w:eastAsia="Times New Roman" w:hAnsi="Times New Roman" w:cs="Times New Roman"/>
          <w:i/>
          <w:iCs/>
          <w:color w:val="000000" w:themeColor="text1"/>
          <w:kern w:val="0"/>
          <w14:ligatures w14:val="none"/>
        </w:rPr>
        <w:t>Bacillus</w:t>
      </w:r>
      <w:r w:rsidRPr="00333805">
        <w:rPr>
          <w:rFonts w:ascii="Times New Roman" w:eastAsia="Times New Roman" w:hAnsi="Times New Roman" w:cs="Times New Roman"/>
          <w:color w:val="000000" w:themeColor="text1"/>
          <w:kern w:val="0"/>
          <w14:ligatures w14:val="none"/>
        </w:rPr>
        <w:t xml:space="preserve"> spp. contribute through spore formation and enzyme production that facilitate survival under fluctuating redox conditions (Atlas &amp; Bartha, 1998; Adams et al., 2015). The predominance of </w:t>
      </w:r>
      <w:r w:rsidRPr="00333805">
        <w:rPr>
          <w:rFonts w:ascii="Times New Roman" w:eastAsia="Times New Roman" w:hAnsi="Times New Roman" w:cs="Times New Roman"/>
          <w:i/>
          <w:iCs/>
          <w:color w:val="000000" w:themeColor="text1"/>
          <w:kern w:val="0"/>
          <w14:ligatures w14:val="none"/>
        </w:rPr>
        <w:t>Bacillus cereus</w:t>
      </w:r>
      <w:r w:rsidRPr="00333805">
        <w:rPr>
          <w:rFonts w:ascii="Times New Roman" w:eastAsia="Times New Roman" w:hAnsi="Times New Roman" w:cs="Times New Roman"/>
          <w:color w:val="000000" w:themeColor="text1"/>
          <w:kern w:val="0"/>
          <w14:ligatures w14:val="none"/>
        </w:rPr>
        <w:t xml:space="preserve"> (17.6%) in the frequency table corroborates reports that spore-forming bacteria are favored in stressed, contaminated soils (Okoh et al., 2019).</w:t>
      </w:r>
      <w:r w:rsidR="008E06FF" w:rsidRPr="008E06FF">
        <w:t xml:space="preserve"> </w:t>
      </w:r>
      <w:r w:rsidR="008E06FF" w:rsidRPr="008E06FF">
        <w:rPr>
          <w:rFonts w:ascii="Times New Roman" w:hAnsi="Times New Roman" w:cs="Times New Roman"/>
        </w:rPr>
        <w:t>The isolate identified as Acinetobacter sp. showed an oxidase-positive reaction, which is atypical because most Acinetobacter species are oxidase-negative. Therefore, definitive identification of this isolate requires molecular confirmation using techniques such as 16S rRNA gene sequencing.</w:t>
      </w:r>
    </w:p>
    <w:p w14:paraId="773F48E1" w14:textId="77777777" w:rsidR="00333805"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 xml:space="preserve">Similarly, the dominance of fungal genera such as </w:t>
      </w:r>
      <w:r w:rsidRPr="00333805">
        <w:rPr>
          <w:rFonts w:ascii="Times New Roman" w:eastAsia="Times New Roman" w:hAnsi="Times New Roman" w:cs="Times New Roman"/>
          <w:i/>
          <w:iCs/>
          <w:color w:val="000000" w:themeColor="text1"/>
          <w:kern w:val="0"/>
          <w14:ligatures w14:val="none"/>
        </w:rPr>
        <w:t xml:space="preserve">Aspergillus </w:t>
      </w:r>
      <w:proofErr w:type="spellStart"/>
      <w:r w:rsidRPr="00333805">
        <w:rPr>
          <w:rFonts w:ascii="Times New Roman" w:eastAsia="Times New Roman" w:hAnsi="Times New Roman" w:cs="Times New Roman"/>
          <w:i/>
          <w:iCs/>
          <w:color w:val="000000" w:themeColor="text1"/>
          <w:kern w:val="0"/>
          <w14:ligatures w14:val="none"/>
        </w:rPr>
        <w:t>niger</w:t>
      </w:r>
      <w:proofErr w:type="spellEnd"/>
      <w:r w:rsidRPr="00333805">
        <w:rPr>
          <w:rFonts w:ascii="Times New Roman" w:eastAsia="Times New Roman" w:hAnsi="Times New Roman" w:cs="Times New Roman"/>
          <w:color w:val="000000" w:themeColor="text1"/>
          <w:kern w:val="0"/>
          <w14:ligatures w14:val="none"/>
        </w:rPr>
        <w:t xml:space="preserve">, </w:t>
      </w:r>
      <w:r w:rsidRPr="00333805">
        <w:rPr>
          <w:rFonts w:ascii="Times New Roman" w:eastAsia="Times New Roman" w:hAnsi="Times New Roman" w:cs="Times New Roman"/>
          <w:i/>
          <w:iCs/>
          <w:color w:val="000000" w:themeColor="text1"/>
          <w:kern w:val="0"/>
          <w14:ligatures w14:val="none"/>
        </w:rPr>
        <w:t>A. flavus</w:t>
      </w:r>
      <w:r w:rsidRPr="00333805">
        <w:rPr>
          <w:rFonts w:ascii="Times New Roman" w:eastAsia="Times New Roman" w:hAnsi="Times New Roman" w:cs="Times New Roman"/>
          <w:color w:val="000000" w:themeColor="text1"/>
          <w:kern w:val="0"/>
          <w14:ligatures w14:val="none"/>
        </w:rPr>
        <w:t xml:space="preserve">, </w:t>
      </w:r>
      <w:r w:rsidRPr="00333805">
        <w:rPr>
          <w:rFonts w:ascii="Times New Roman" w:eastAsia="Times New Roman" w:hAnsi="Times New Roman" w:cs="Times New Roman"/>
          <w:i/>
          <w:iCs/>
          <w:color w:val="000000" w:themeColor="text1"/>
          <w:kern w:val="0"/>
          <w14:ligatures w14:val="none"/>
        </w:rPr>
        <w:t>Penicillium</w:t>
      </w:r>
      <w:r w:rsidRPr="00333805">
        <w:rPr>
          <w:rFonts w:ascii="Times New Roman" w:eastAsia="Times New Roman" w:hAnsi="Times New Roman" w:cs="Times New Roman"/>
          <w:color w:val="000000" w:themeColor="text1"/>
          <w:kern w:val="0"/>
          <w14:ligatures w14:val="none"/>
        </w:rPr>
        <w:t xml:space="preserve"> sp., </w:t>
      </w:r>
      <w:r w:rsidRPr="00333805">
        <w:rPr>
          <w:rFonts w:ascii="Times New Roman" w:eastAsia="Times New Roman" w:hAnsi="Times New Roman" w:cs="Times New Roman"/>
          <w:i/>
          <w:iCs/>
          <w:color w:val="000000" w:themeColor="text1"/>
          <w:kern w:val="0"/>
          <w14:ligatures w14:val="none"/>
        </w:rPr>
        <w:t>Rhizopus</w:t>
      </w:r>
      <w:r w:rsidRPr="00333805">
        <w:rPr>
          <w:rFonts w:ascii="Times New Roman" w:eastAsia="Times New Roman" w:hAnsi="Times New Roman" w:cs="Times New Roman"/>
          <w:color w:val="000000" w:themeColor="text1"/>
          <w:kern w:val="0"/>
          <w14:ligatures w14:val="none"/>
        </w:rPr>
        <w:t xml:space="preserve"> sp., and </w:t>
      </w:r>
      <w:r w:rsidRPr="00333805">
        <w:rPr>
          <w:rFonts w:ascii="Times New Roman" w:eastAsia="Times New Roman" w:hAnsi="Times New Roman" w:cs="Times New Roman"/>
          <w:i/>
          <w:iCs/>
          <w:color w:val="000000" w:themeColor="text1"/>
          <w:kern w:val="0"/>
          <w14:ligatures w14:val="none"/>
        </w:rPr>
        <w:t>Mucor</w:t>
      </w:r>
      <w:r w:rsidRPr="00333805">
        <w:rPr>
          <w:rFonts w:ascii="Times New Roman" w:eastAsia="Times New Roman" w:hAnsi="Times New Roman" w:cs="Times New Roman"/>
          <w:color w:val="000000" w:themeColor="text1"/>
          <w:kern w:val="0"/>
          <w14:ligatures w14:val="none"/>
        </w:rPr>
        <w:t xml:space="preserve"> sp. reflects their ecological adaptability and established roles in hydrocarbon transformation. These fungi produce extracellular enzymes (e.g., laccases and peroxidases) capable of oxidizing complex hydrocarbons, contributing to the initial breakdown of petroleum compounds in soil matrices (Barnett &amp; Hunter, 1998; Quesada &amp; Lasker, 2019). The high relative abundance of </w:t>
      </w:r>
      <w:r w:rsidRPr="00333805">
        <w:rPr>
          <w:rFonts w:ascii="Times New Roman" w:eastAsia="Times New Roman" w:hAnsi="Times New Roman" w:cs="Times New Roman"/>
          <w:i/>
          <w:iCs/>
          <w:color w:val="000000" w:themeColor="text1"/>
          <w:kern w:val="0"/>
          <w14:ligatures w14:val="none"/>
        </w:rPr>
        <w:t xml:space="preserve">Aspergillus </w:t>
      </w:r>
      <w:proofErr w:type="spellStart"/>
      <w:r w:rsidRPr="00333805">
        <w:rPr>
          <w:rFonts w:ascii="Times New Roman" w:eastAsia="Times New Roman" w:hAnsi="Times New Roman" w:cs="Times New Roman"/>
          <w:i/>
          <w:iCs/>
          <w:color w:val="000000" w:themeColor="text1"/>
          <w:kern w:val="0"/>
          <w14:ligatures w14:val="none"/>
        </w:rPr>
        <w:t>niger</w:t>
      </w:r>
      <w:proofErr w:type="spellEnd"/>
      <w:r w:rsidRPr="00333805">
        <w:rPr>
          <w:rFonts w:ascii="Times New Roman" w:eastAsia="Times New Roman" w:hAnsi="Times New Roman" w:cs="Times New Roman"/>
          <w:color w:val="000000" w:themeColor="text1"/>
          <w:kern w:val="0"/>
          <w14:ligatures w14:val="none"/>
        </w:rPr>
        <w:t xml:space="preserve"> and </w:t>
      </w:r>
      <w:r w:rsidRPr="00333805">
        <w:rPr>
          <w:rFonts w:ascii="Times New Roman" w:eastAsia="Times New Roman" w:hAnsi="Times New Roman" w:cs="Times New Roman"/>
          <w:i/>
          <w:iCs/>
          <w:color w:val="000000" w:themeColor="text1"/>
          <w:kern w:val="0"/>
          <w14:ligatures w14:val="none"/>
        </w:rPr>
        <w:t>Penicillium</w:t>
      </w:r>
      <w:r w:rsidRPr="00333805">
        <w:rPr>
          <w:rFonts w:ascii="Times New Roman" w:eastAsia="Times New Roman" w:hAnsi="Times New Roman" w:cs="Times New Roman"/>
          <w:color w:val="000000" w:themeColor="text1"/>
          <w:kern w:val="0"/>
          <w14:ligatures w14:val="none"/>
        </w:rPr>
        <w:t xml:space="preserve"> sp. (each 17.6%) in this study mirrors findings from other Niger Delta soils, where these genera dominate fungal communities in oil-polluted environments (Ite et al., 2013; Okoh et al., 2019).</w:t>
      </w:r>
    </w:p>
    <w:p w14:paraId="649A05A4" w14:textId="42DDF0F5" w:rsidR="00B22303" w:rsidRPr="00B22303" w:rsidRDefault="00B22303" w:rsidP="000871FA">
      <w:pPr>
        <w:spacing w:after="120" w:line="240" w:lineRule="auto"/>
        <w:jc w:val="both"/>
        <w:rPr>
          <w:rFonts w:ascii="Times New Roman" w:eastAsia="Times New Roman" w:hAnsi="Times New Roman" w:cs="Times New Roman"/>
          <w:color w:val="000000" w:themeColor="text1"/>
          <w:kern w:val="0"/>
          <w14:ligatures w14:val="none"/>
        </w:rPr>
      </w:pPr>
      <w:r w:rsidRPr="00B22303">
        <w:rPr>
          <w:rFonts w:ascii="Times New Roman" w:hAnsi="Times New Roman" w:cs="Times New Roman"/>
        </w:rPr>
        <w:t>A major limitation of the present study was the absence of physicochemical characterization of the soil samples. Parameters such as total petroleum hydrocarbons (TPH), soil pH, moisture content, organic matter, nitrogen, phosphorus, and potassium are known to strongly influence microbial abundance, diversity, and hydrocarbon degradation potential in contaminated soils. The lack of these measurements limited interpretation of the ecological drivers responsible for the observed spatial and depth-related microbial variations. Future investigations should integrate physicochemical analyses alongside microbiological assessment to improve understanding of microbial–environment interactions in hydrocarbon-impacted ecosystems.</w:t>
      </w:r>
    </w:p>
    <w:p w14:paraId="035A8579" w14:textId="647F0067" w:rsidR="00333805" w:rsidRPr="00333805" w:rsidRDefault="00333805" w:rsidP="000871FA">
      <w:pPr>
        <w:spacing w:after="120" w:line="240" w:lineRule="auto"/>
        <w:jc w:val="both"/>
        <w:rPr>
          <w:rFonts w:ascii="Times New Roman" w:eastAsia="Times New Roman" w:hAnsi="Times New Roman" w:cs="Times New Roman"/>
          <w:b/>
          <w:bCs/>
          <w:color w:val="000000" w:themeColor="text1"/>
          <w:kern w:val="0"/>
          <w14:ligatures w14:val="none"/>
        </w:rPr>
      </w:pPr>
      <w:r w:rsidRPr="00333805">
        <w:rPr>
          <w:rFonts w:ascii="Times New Roman" w:eastAsia="Times New Roman" w:hAnsi="Times New Roman" w:cs="Times New Roman"/>
          <w:b/>
          <w:bCs/>
          <w:color w:val="000000" w:themeColor="text1"/>
          <w:kern w:val="0"/>
          <w14:ligatures w14:val="none"/>
        </w:rPr>
        <w:t>Conclusion</w:t>
      </w:r>
    </w:p>
    <w:p w14:paraId="06CDC32E" w14:textId="77777777" w:rsidR="008E06FF" w:rsidRPr="008E06FF" w:rsidRDefault="008E06FF" w:rsidP="000871FA">
      <w:pPr>
        <w:spacing w:after="120" w:line="240" w:lineRule="auto"/>
        <w:jc w:val="both"/>
        <w:rPr>
          <w:rFonts w:ascii="Times New Roman" w:eastAsia="Times New Roman" w:hAnsi="Times New Roman" w:cs="Times New Roman"/>
          <w:color w:val="000000" w:themeColor="text1"/>
          <w:kern w:val="0"/>
          <w14:ligatures w14:val="none"/>
        </w:rPr>
      </w:pPr>
      <w:r w:rsidRPr="008E06FF">
        <w:rPr>
          <w:rFonts w:ascii="Times New Roman" w:hAnsi="Times New Roman" w:cs="Times New Roman"/>
          <w:color w:val="000000" w:themeColor="text1"/>
        </w:rPr>
        <w:lastRenderedPageBreak/>
        <w:t>This study demonstrated clear spatial and depth-related differences in microbial populations of hydrocarbon-impacted soils from oil-producing communities in Bayelsa State. Surface soils exhibited higher total heterotrophic bacterial counts than subsurface soils, while hydrocarbon-utilizing bacteria were consistently present across all locations, indicating adaptation to chronic petroleum contamination. The dominance of hydrocarbon-tolerant bacterial and fungal taxa highlights the intrinsic bioremediation potential of indigenous soil microbiomes in the Niger Delta. However, because the study was limited by culture-dependent techniques, lack of physicochemical characterization, and relatively small sample size, future studies should employ molecular sequencing technologies and expanded sampling strategies to obtain a more comprehensive understanding of microbial ecology in hydrocarbon-contaminated soils.</w:t>
      </w:r>
      <w:r w:rsidRPr="008E06FF">
        <w:rPr>
          <w:rFonts w:ascii="Times New Roman" w:eastAsia="Times New Roman" w:hAnsi="Times New Roman" w:cs="Times New Roman"/>
          <w:color w:val="000000" w:themeColor="text1"/>
          <w:kern w:val="0"/>
          <w14:ligatures w14:val="none"/>
        </w:rPr>
        <w:t xml:space="preserve"> </w:t>
      </w:r>
    </w:p>
    <w:p w14:paraId="3A466117" w14:textId="7A78BA50" w:rsidR="00333805" w:rsidRPr="00333805" w:rsidRDefault="00333805" w:rsidP="000871FA">
      <w:pPr>
        <w:spacing w:after="120" w:line="240" w:lineRule="auto"/>
        <w:jc w:val="both"/>
        <w:rPr>
          <w:rFonts w:ascii="Times New Roman" w:eastAsia="Times New Roman" w:hAnsi="Times New Roman" w:cs="Times New Roman"/>
          <w:b/>
          <w:bCs/>
          <w:color w:val="000000" w:themeColor="text1"/>
          <w:kern w:val="0"/>
          <w14:ligatures w14:val="none"/>
        </w:rPr>
      </w:pPr>
      <w:r w:rsidRPr="00333805">
        <w:rPr>
          <w:rFonts w:ascii="Times New Roman" w:eastAsia="Times New Roman" w:hAnsi="Times New Roman" w:cs="Times New Roman"/>
          <w:b/>
          <w:bCs/>
          <w:color w:val="000000" w:themeColor="text1"/>
          <w:kern w:val="0"/>
          <w14:ligatures w14:val="none"/>
        </w:rPr>
        <w:t>Recommendations</w:t>
      </w:r>
    </w:p>
    <w:p w14:paraId="5F6E3EF8" w14:textId="5D1AEC13" w:rsidR="00333805"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Indigenous hydrocarbon-degrading bacteria and fungi identified in this study should be explored for site-specific bioremediation applications. Long-term monitoring incorporating molecular tools is recommended to track community dynamics and remediation outcomes.</w:t>
      </w:r>
    </w:p>
    <w:p w14:paraId="2F5E4168" w14:textId="77777777" w:rsidR="00086FDC" w:rsidRDefault="006D5F1A" w:rsidP="00086FDC">
      <w:pPr>
        <w:spacing w:after="120" w:line="240" w:lineRule="auto"/>
        <w:rPr>
          <w:rFonts w:ascii="Times New Roman" w:eastAsia="Calibri" w:hAnsi="Times New Roman" w:cs="Times New Roman"/>
          <w:b/>
          <w:bCs/>
          <w14:ligatures w14:val="none"/>
        </w:rPr>
      </w:pPr>
      <w:bookmarkStart w:id="0" w:name="_Hlk198031404"/>
      <w:r w:rsidRPr="00086FDC">
        <w:rPr>
          <w:rFonts w:ascii="Times New Roman" w:eastAsia="Calibri" w:hAnsi="Times New Roman" w:cs="Times New Roman"/>
          <w:b/>
          <w:bCs/>
          <w14:ligatures w14:val="none"/>
        </w:rPr>
        <w:t>Disclaimer (Artificial intelligence)</w:t>
      </w:r>
    </w:p>
    <w:p w14:paraId="6CDF7D33" w14:textId="5ABA17C5" w:rsidR="006D5F1A" w:rsidRPr="00086FDC" w:rsidRDefault="006D5F1A" w:rsidP="00086FDC">
      <w:pPr>
        <w:spacing w:after="120" w:line="240" w:lineRule="auto"/>
        <w:rPr>
          <w:rFonts w:ascii="Times New Roman" w:eastAsia="Calibri" w:hAnsi="Times New Roman" w:cs="Times New Roman"/>
          <w:b/>
          <w:bCs/>
          <w14:ligatures w14:val="none"/>
        </w:rPr>
      </w:pPr>
      <w:r w:rsidRPr="00086FDC">
        <w:rPr>
          <w:rFonts w:ascii="Times New Roman" w:eastAsia="Calibri" w:hAnsi="Times New Roman" w:cs="Times New Roman"/>
          <w14:ligatures w14:val="none"/>
        </w:rPr>
        <w:t xml:space="preserve">Author(s) hereby </w:t>
      </w:r>
      <w:r w:rsidR="00086FDC" w:rsidRPr="00086FDC">
        <w:rPr>
          <w:rFonts w:ascii="Times New Roman" w:eastAsia="Calibri" w:hAnsi="Times New Roman" w:cs="Times New Roman"/>
          <w14:ligatures w14:val="none"/>
        </w:rPr>
        <w:t>declares</w:t>
      </w:r>
      <w:r w:rsidRPr="00086FDC">
        <w:rPr>
          <w:rFonts w:ascii="Times New Roman" w:eastAsia="Calibri" w:hAnsi="Times New Roman" w:cs="Times New Roman"/>
          <w14:ligatures w14:val="none"/>
        </w:rPr>
        <w:t xml:space="preserve"> that NO generative AI technologies such as Large Language Models (ChatGPT, COPILOT, etc.) and text-to-image generators have been used during the writing or editing of this manuscript. </w:t>
      </w:r>
      <w:bookmarkEnd w:id="0"/>
    </w:p>
    <w:p w14:paraId="31B4746C" w14:textId="268C3B90" w:rsidR="00240981" w:rsidRPr="000871FA" w:rsidRDefault="00240981" w:rsidP="000871FA">
      <w:pPr>
        <w:spacing w:after="120" w:line="240" w:lineRule="auto"/>
        <w:jc w:val="both"/>
        <w:rPr>
          <w:rFonts w:ascii="Times New Roman" w:hAnsi="Times New Roman" w:cs="Times New Roman"/>
          <w:b/>
          <w:bCs/>
          <w:color w:val="000000" w:themeColor="text1"/>
        </w:rPr>
      </w:pPr>
      <w:r w:rsidRPr="000871FA">
        <w:rPr>
          <w:rFonts w:ascii="Times New Roman" w:eastAsia="Times New Roman" w:hAnsi="Times New Roman" w:cs="Times New Roman"/>
          <w:b/>
          <w:bCs/>
          <w:color w:val="000000" w:themeColor="text1"/>
          <w:kern w:val="0"/>
          <w14:ligatures w14:val="none"/>
        </w:rPr>
        <w:t>Reference</w:t>
      </w:r>
    </w:p>
    <w:p w14:paraId="4814CA56"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r w:rsidRPr="00233C70">
        <w:rPr>
          <w:rFonts w:ascii="Times New Roman" w:eastAsia="Times New Roman" w:hAnsi="Times New Roman" w:cs="Times New Roman"/>
          <w:color w:val="000000" w:themeColor="text1"/>
          <w:kern w:val="0"/>
          <w14:ligatures w14:val="none"/>
        </w:rPr>
        <w:t xml:space="preserve">Adams, G. O., </w:t>
      </w:r>
      <w:proofErr w:type="spellStart"/>
      <w:r w:rsidRPr="00233C70">
        <w:rPr>
          <w:rFonts w:ascii="Times New Roman" w:eastAsia="Times New Roman" w:hAnsi="Times New Roman" w:cs="Times New Roman"/>
          <w:color w:val="000000" w:themeColor="text1"/>
          <w:kern w:val="0"/>
          <w14:ligatures w14:val="none"/>
        </w:rPr>
        <w:t>Fufeyin</w:t>
      </w:r>
      <w:proofErr w:type="spellEnd"/>
      <w:r w:rsidRPr="00233C70">
        <w:rPr>
          <w:rFonts w:ascii="Times New Roman" w:eastAsia="Times New Roman" w:hAnsi="Times New Roman" w:cs="Times New Roman"/>
          <w:color w:val="000000" w:themeColor="text1"/>
          <w:kern w:val="0"/>
          <w14:ligatures w14:val="none"/>
        </w:rPr>
        <w:t xml:space="preserve">, P. T., Okoro, S. E., &amp; Ehinomen, I. (2015). Bioremediation, </w:t>
      </w:r>
      <w:proofErr w:type="spellStart"/>
      <w:r w:rsidRPr="00233C70">
        <w:rPr>
          <w:rFonts w:ascii="Times New Roman" w:eastAsia="Times New Roman" w:hAnsi="Times New Roman" w:cs="Times New Roman"/>
          <w:color w:val="000000" w:themeColor="text1"/>
          <w:kern w:val="0"/>
          <w14:ligatures w14:val="none"/>
        </w:rPr>
        <w:t>biostimulation</w:t>
      </w:r>
      <w:proofErr w:type="spellEnd"/>
      <w:r w:rsidRPr="00233C70">
        <w:rPr>
          <w:rFonts w:ascii="Times New Roman" w:eastAsia="Times New Roman" w:hAnsi="Times New Roman" w:cs="Times New Roman"/>
          <w:color w:val="000000" w:themeColor="text1"/>
          <w:kern w:val="0"/>
          <w14:ligatures w14:val="none"/>
        </w:rPr>
        <w:t xml:space="preserve"> and bioaugmentation: A review. </w:t>
      </w:r>
      <w:r w:rsidRPr="00233C70">
        <w:rPr>
          <w:rFonts w:ascii="Times New Roman" w:eastAsia="Times New Roman" w:hAnsi="Times New Roman" w:cs="Times New Roman"/>
          <w:i/>
          <w:iCs/>
          <w:color w:val="000000" w:themeColor="text1"/>
          <w:kern w:val="0"/>
          <w14:ligatures w14:val="none"/>
        </w:rPr>
        <w:t>International Journal of Environmental Bioremediation &amp; Biodegradation</w:t>
      </w:r>
      <w:r w:rsidRPr="00233C70">
        <w:rPr>
          <w:rFonts w:ascii="Times New Roman" w:eastAsia="Times New Roman" w:hAnsi="Times New Roman" w:cs="Times New Roman"/>
          <w:color w:val="000000" w:themeColor="text1"/>
          <w:kern w:val="0"/>
          <w14:ligatures w14:val="none"/>
        </w:rPr>
        <w:t xml:space="preserve">, </w:t>
      </w:r>
      <w:r w:rsidRPr="00233C70">
        <w:rPr>
          <w:rFonts w:ascii="Times New Roman" w:eastAsia="Times New Roman" w:hAnsi="Times New Roman" w:cs="Times New Roman"/>
          <w:i/>
          <w:iCs/>
          <w:color w:val="000000" w:themeColor="text1"/>
          <w:kern w:val="0"/>
          <w14:ligatures w14:val="none"/>
        </w:rPr>
        <w:t>3</w:t>
      </w:r>
      <w:r w:rsidRPr="00233C70">
        <w:rPr>
          <w:rFonts w:ascii="Times New Roman" w:eastAsia="Times New Roman" w:hAnsi="Times New Roman" w:cs="Times New Roman"/>
          <w:color w:val="000000" w:themeColor="text1"/>
          <w:kern w:val="0"/>
          <w14:ligatures w14:val="none"/>
        </w:rPr>
        <w:t>(1), 28–39.</w:t>
      </w:r>
    </w:p>
    <w:p w14:paraId="60A31976"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r w:rsidRPr="00233C70">
        <w:rPr>
          <w:rFonts w:ascii="Times New Roman" w:eastAsia="Times New Roman" w:hAnsi="Times New Roman" w:cs="Times New Roman"/>
          <w:color w:val="000000" w:themeColor="text1"/>
          <w:kern w:val="0"/>
          <w14:ligatures w14:val="none"/>
        </w:rPr>
        <w:t xml:space="preserve">Atlas, R. M. (2010). </w:t>
      </w:r>
      <w:r w:rsidRPr="00233C70">
        <w:rPr>
          <w:rFonts w:ascii="Times New Roman" w:eastAsia="Times New Roman" w:hAnsi="Times New Roman" w:cs="Times New Roman"/>
          <w:i/>
          <w:iCs/>
          <w:color w:val="000000" w:themeColor="text1"/>
          <w:kern w:val="0"/>
          <w14:ligatures w14:val="none"/>
        </w:rPr>
        <w:t>Handbook of microbiological media</w:t>
      </w:r>
      <w:r w:rsidRPr="00233C70">
        <w:rPr>
          <w:rFonts w:ascii="Times New Roman" w:eastAsia="Times New Roman" w:hAnsi="Times New Roman" w:cs="Times New Roman"/>
          <w:color w:val="000000" w:themeColor="text1"/>
          <w:kern w:val="0"/>
          <w14:ligatures w14:val="none"/>
        </w:rPr>
        <w:t xml:space="preserve"> (4th ed.). CRC Press.</w:t>
      </w:r>
    </w:p>
    <w:p w14:paraId="6C14A3FF"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r w:rsidRPr="00233C70">
        <w:rPr>
          <w:rFonts w:ascii="Times New Roman" w:eastAsia="Times New Roman" w:hAnsi="Times New Roman" w:cs="Times New Roman"/>
          <w:color w:val="000000" w:themeColor="text1"/>
          <w:kern w:val="0"/>
          <w14:ligatures w14:val="none"/>
        </w:rPr>
        <w:t xml:space="preserve">Atlas, R. M., &amp; Bartha, R. (1998). </w:t>
      </w:r>
      <w:r w:rsidRPr="00233C70">
        <w:rPr>
          <w:rFonts w:ascii="Times New Roman" w:eastAsia="Times New Roman" w:hAnsi="Times New Roman" w:cs="Times New Roman"/>
          <w:i/>
          <w:iCs/>
          <w:color w:val="000000" w:themeColor="text1"/>
          <w:kern w:val="0"/>
          <w14:ligatures w14:val="none"/>
        </w:rPr>
        <w:t>Microbial ecology: Fundamentals and applications</w:t>
      </w:r>
      <w:r w:rsidRPr="00233C70">
        <w:rPr>
          <w:rFonts w:ascii="Times New Roman" w:eastAsia="Times New Roman" w:hAnsi="Times New Roman" w:cs="Times New Roman"/>
          <w:color w:val="000000" w:themeColor="text1"/>
          <w:kern w:val="0"/>
          <w14:ligatures w14:val="none"/>
        </w:rPr>
        <w:t xml:space="preserve"> (4th ed.). Benjamin/Cummings.</w:t>
      </w:r>
    </w:p>
    <w:p w14:paraId="6EE46F8F"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r w:rsidRPr="00233C70">
        <w:rPr>
          <w:rFonts w:ascii="Times New Roman" w:eastAsia="Times New Roman" w:hAnsi="Times New Roman" w:cs="Times New Roman"/>
          <w:color w:val="000000" w:themeColor="text1"/>
          <w:kern w:val="0"/>
          <w14:ligatures w14:val="none"/>
        </w:rPr>
        <w:t xml:space="preserve">Barnett, H. L., &amp; Hunter, B. B. (1998). </w:t>
      </w:r>
      <w:r w:rsidRPr="00233C70">
        <w:rPr>
          <w:rFonts w:ascii="Times New Roman" w:eastAsia="Times New Roman" w:hAnsi="Times New Roman" w:cs="Times New Roman"/>
          <w:i/>
          <w:iCs/>
          <w:color w:val="000000" w:themeColor="text1"/>
          <w:kern w:val="0"/>
          <w14:ligatures w14:val="none"/>
        </w:rPr>
        <w:t>Illustrated genera of imperfect fungi</w:t>
      </w:r>
      <w:r w:rsidRPr="00233C70">
        <w:rPr>
          <w:rFonts w:ascii="Times New Roman" w:eastAsia="Times New Roman" w:hAnsi="Times New Roman" w:cs="Times New Roman"/>
          <w:color w:val="000000" w:themeColor="text1"/>
          <w:kern w:val="0"/>
          <w14:ligatures w14:val="none"/>
        </w:rPr>
        <w:t xml:space="preserve"> (4th ed.). American </w:t>
      </w:r>
      <w:proofErr w:type="spellStart"/>
      <w:r w:rsidRPr="00233C70">
        <w:rPr>
          <w:rFonts w:ascii="Times New Roman" w:eastAsia="Times New Roman" w:hAnsi="Times New Roman" w:cs="Times New Roman"/>
          <w:color w:val="000000" w:themeColor="text1"/>
          <w:kern w:val="0"/>
          <w14:ligatures w14:val="none"/>
        </w:rPr>
        <w:t>Phytopathological</w:t>
      </w:r>
      <w:proofErr w:type="spellEnd"/>
      <w:r w:rsidRPr="00233C70">
        <w:rPr>
          <w:rFonts w:ascii="Times New Roman" w:eastAsia="Times New Roman" w:hAnsi="Times New Roman" w:cs="Times New Roman"/>
          <w:color w:val="000000" w:themeColor="text1"/>
          <w:kern w:val="0"/>
          <w14:ligatures w14:val="none"/>
        </w:rPr>
        <w:t xml:space="preserve"> Society Press.</w:t>
      </w:r>
    </w:p>
    <w:p w14:paraId="4C98BFF4" w14:textId="77777777" w:rsidR="001A6333" w:rsidRPr="00233C70" w:rsidRDefault="001A6333" w:rsidP="00233C70">
      <w:pPr>
        <w:pStyle w:val="ListParagraph"/>
        <w:numPr>
          <w:ilvl w:val="0"/>
          <w:numId w:val="5"/>
        </w:numPr>
        <w:jc w:val="both"/>
        <w:rPr>
          <w:rFonts w:ascii="Times New Roman" w:hAnsi="Times New Roman" w:cs="Times New Roman"/>
          <w:color w:val="000000" w:themeColor="text1"/>
          <w:lang w:val="en-GB"/>
        </w:rPr>
      </w:pPr>
      <w:r w:rsidRPr="00233C70">
        <w:rPr>
          <w:rFonts w:ascii="Times New Roman" w:hAnsi="Times New Roman" w:cs="Times New Roman"/>
          <w:color w:val="000000" w:themeColor="text1"/>
          <w:lang w:val="en-GB"/>
        </w:rPr>
        <w:t xml:space="preserve">Bidja Abena, M. T., Chen, G., Chen, Z., Zheng, X., Li, S., Li, T., &amp; Zhong, W. (2020). Microbial diversity changes and enrichment of potential petroleum hydrocarbon degraders in crude oil-, diesel-, and gasoline-contaminated soil. </w:t>
      </w:r>
      <w:r w:rsidRPr="00233C70">
        <w:rPr>
          <w:rFonts w:ascii="Times New Roman" w:hAnsi="Times New Roman" w:cs="Times New Roman"/>
          <w:i/>
          <w:iCs/>
          <w:color w:val="000000" w:themeColor="text1"/>
          <w:lang w:val="en-GB"/>
        </w:rPr>
        <w:t>3 Biotech</w:t>
      </w:r>
      <w:r w:rsidRPr="00233C70">
        <w:rPr>
          <w:rFonts w:ascii="Times New Roman" w:hAnsi="Times New Roman" w:cs="Times New Roman"/>
          <w:color w:val="000000" w:themeColor="text1"/>
          <w:lang w:val="en-GB"/>
        </w:rPr>
        <w:t>, 10(2), 42.</w:t>
      </w:r>
    </w:p>
    <w:p w14:paraId="1B08C8FD"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r w:rsidRPr="00233C70">
        <w:rPr>
          <w:rFonts w:ascii="Times New Roman" w:eastAsia="Times New Roman" w:hAnsi="Times New Roman" w:cs="Times New Roman"/>
          <w:color w:val="000000" w:themeColor="text1"/>
          <w:kern w:val="0"/>
          <w14:ligatures w14:val="none"/>
        </w:rPr>
        <w:t xml:space="preserve">Cheesbrough, M. (2010). </w:t>
      </w:r>
      <w:r w:rsidRPr="00233C70">
        <w:rPr>
          <w:rFonts w:ascii="Times New Roman" w:eastAsia="Times New Roman" w:hAnsi="Times New Roman" w:cs="Times New Roman"/>
          <w:i/>
          <w:iCs/>
          <w:color w:val="000000" w:themeColor="text1"/>
          <w:kern w:val="0"/>
          <w14:ligatures w14:val="none"/>
        </w:rPr>
        <w:t>District laboratory practice in tropical countries</w:t>
      </w:r>
      <w:r w:rsidRPr="00233C70">
        <w:rPr>
          <w:rFonts w:ascii="Times New Roman" w:eastAsia="Times New Roman" w:hAnsi="Times New Roman" w:cs="Times New Roman"/>
          <w:color w:val="000000" w:themeColor="text1"/>
          <w:kern w:val="0"/>
          <w14:ligatures w14:val="none"/>
        </w:rPr>
        <w:t xml:space="preserve"> (2nd ed., Vol. 2). Cambridge University Press.</w:t>
      </w:r>
    </w:p>
    <w:p w14:paraId="3B13411E" w14:textId="77777777" w:rsidR="001A6333" w:rsidRPr="00233C70" w:rsidRDefault="001A6333" w:rsidP="00233C70">
      <w:pPr>
        <w:pStyle w:val="ListParagraph"/>
        <w:numPr>
          <w:ilvl w:val="0"/>
          <w:numId w:val="5"/>
        </w:numPr>
        <w:spacing w:after="120" w:line="240" w:lineRule="auto"/>
        <w:jc w:val="both"/>
        <w:rPr>
          <w:rFonts w:ascii="Times New Roman" w:hAnsi="Times New Roman" w:cs="Times New Roman"/>
          <w:color w:val="000000" w:themeColor="text1"/>
        </w:rPr>
      </w:pPr>
      <w:r w:rsidRPr="00233C70">
        <w:rPr>
          <w:rFonts w:ascii="Times New Roman" w:hAnsi="Times New Roman" w:cs="Times New Roman"/>
          <w:color w:val="000000" w:themeColor="text1"/>
        </w:rPr>
        <w:t xml:space="preserve">Emmanuel, D. A., Udi, E. O., &amp; Orji, M. C. (2025). Causes and contaminants of soils and water in the Niger Delta Region of Nigeria: A systematic review. </w:t>
      </w:r>
      <w:r w:rsidRPr="00233C70">
        <w:rPr>
          <w:rStyle w:val="Emphasis"/>
          <w:rFonts w:ascii="Times New Roman" w:hAnsi="Times New Roman" w:cs="Times New Roman"/>
          <w:color w:val="000000" w:themeColor="text1"/>
        </w:rPr>
        <w:t>British Journal of Healthcare and Medical Research, 12</w:t>
      </w:r>
      <w:r w:rsidRPr="00233C70">
        <w:rPr>
          <w:rFonts w:ascii="Times New Roman" w:hAnsi="Times New Roman" w:cs="Times New Roman"/>
          <w:color w:val="000000" w:themeColor="text1"/>
        </w:rPr>
        <w:t>(6), 186–195.</w:t>
      </w:r>
    </w:p>
    <w:p w14:paraId="6CB5E001" w14:textId="77777777" w:rsidR="001A6333" w:rsidRPr="00233C70" w:rsidRDefault="001A6333" w:rsidP="00233C70">
      <w:pPr>
        <w:pStyle w:val="ListParagraph"/>
        <w:numPr>
          <w:ilvl w:val="0"/>
          <w:numId w:val="5"/>
        </w:numPr>
        <w:spacing w:after="120" w:line="240" w:lineRule="auto"/>
        <w:jc w:val="both"/>
        <w:rPr>
          <w:rFonts w:ascii="Times New Roman" w:hAnsi="Times New Roman" w:cs="Times New Roman"/>
          <w:color w:val="000000" w:themeColor="text1"/>
        </w:rPr>
      </w:pPr>
      <w:r w:rsidRPr="00233C70">
        <w:rPr>
          <w:rFonts w:ascii="Times New Roman" w:hAnsi="Times New Roman" w:cs="Times New Roman"/>
          <w:color w:val="000000" w:themeColor="text1"/>
        </w:rPr>
        <w:t xml:space="preserve">Evans, F. G., </w:t>
      </w:r>
      <w:proofErr w:type="spellStart"/>
      <w:r w:rsidRPr="00233C70">
        <w:rPr>
          <w:rFonts w:ascii="Times New Roman" w:hAnsi="Times New Roman" w:cs="Times New Roman"/>
          <w:color w:val="000000" w:themeColor="text1"/>
        </w:rPr>
        <w:t>Nkalo</w:t>
      </w:r>
      <w:proofErr w:type="spellEnd"/>
      <w:r w:rsidRPr="00233C70">
        <w:rPr>
          <w:rFonts w:ascii="Times New Roman" w:hAnsi="Times New Roman" w:cs="Times New Roman"/>
          <w:color w:val="000000" w:themeColor="text1"/>
        </w:rPr>
        <w:t xml:space="preserve">, U. H., Amachree, D., &amp; Raimi, M. O. (2024). From killer to solution: Evaluating bioremediation strategies on microbial diversity in crude oil-contaminated soil over three to six months in Port Harcourt, Nigeria. </w:t>
      </w:r>
      <w:r w:rsidRPr="00233C70">
        <w:rPr>
          <w:rStyle w:val="Emphasis"/>
          <w:rFonts w:ascii="Times New Roman" w:hAnsi="Times New Roman" w:cs="Times New Roman"/>
          <w:color w:val="000000" w:themeColor="text1"/>
        </w:rPr>
        <w:t>Advances in Environmental and Engineering Research, 5</w:t>
      </w:r>
      <w:r w:rsidRPr="00233C70">
        <w:rPr>
          <w:rFonts w:ascii="Times New Roman" w:hAnsi="Times New Roman" w:cs="Times New Roman"/>
          <w:color w:val="000000" w:themeColor="text1"/>
        </w:rPr>
        <w:t>(4), 023.</w:t>
      </w:r>
    </w:p>
    <w:p w14:paraId="185F8AD7" w14:textId="77777777" w:rsidR="001A6333" w:rsidRPr="00233C70" w:rsidRDefault="001A6333" w:rsidP="00233C70">
      <w:pPr>
        <w:pStyle w:val="ListParagraph"/>
        <w:numPr>
          <w:ilvl w:val="0"/>
          <w:numId w:val="5"/>
        </w:numPr>
        <w:spacing w:after="120" w:line="240" w:lineRule="auto"/>
        <w:jc w:val="both"/>
        <w:rPr>
          <w:rFonts w:ascii="Times New Roman" w:hAnsi="Times New Roman" w:cs="Times New Roman"/>
          <w:color w:val="000000" w:themeColor="text1"/>
        </w:rPr>
      </w:pPr>
      <w:proofErr w:type="spellStart"/>
      <w:r w:rsidRPr="00233C70">
        <w:rPr>
          <w:rFonts w:ascii="Times New Roman" w:hAnsi="Times New Roman" w:cs="Times New Roman"/>
          <w:color w:val="000000" w:themeColor="text1"/>
        </w:rPr>
        <w:t>Fenibo</w:t>
      </w:r>
      <w:proofErr w:type="spellEnd"/>
      <w:r w:rsidRPr="00233C70">
        <w:rPr>
          <w:rFonts w:ascii="Times New Roman" w:hAnsi="Times New Roman" w:cs="Times New Roman"/>
          <w:color w:val="000000" w:themeColor="text1"/>
        </w:rPr>
        <w:t xml:space="preserve">, E. O., </w:t>
      </w:r>
      <w:proofErr w:type="spellStart"/>
      <w:r w:rsidRPr="00233C70">
        <w:rPr>
          <w:rFonts w:ascii="Times New Roman" w:hAnsi="Times New Roman" w:cs="Times New Roman"/>
          <w:color w:val="000000" w:themeColor="text1"/>
        </w:rPr>
        <w:t>Ijoma</w:t>
      </w:r>
      <w:proofErr w:type="spellEnd"/>
      <w:r w:rsidRPr="00233C70">
        <w:rPr>
          <w:rFonts w:ascii="Times New Roman" w:hAnsi="Times New Roman" w:cs="Times New Roman"/>
          <w:color w:val="000000" w:themeColor="text1"/>
        </w:rPr>
        <w:t xml:space="preserve">, G. N., &amp; Afolabi, R. O. (2024). Impact of artisanal refining activities on bacterial diversity in a hydrocarbon-polluted mangrove soil in the Niger Delta, Nigeria. </w:t>
      </w:r>
      <w:r w:rsidRPr="00233C70">
        <w:rPr>
          <w:rStyle w:val="Emphasis"/>
          <w:rFonts w:ascii="Times New Roman" w:hAnsi="Times New Roman" w:cs="Times New Roman"/>
          <w:color w:val="000000" w:themeColor="text1"/>
        </w:rPr>
        <w:t>Scientific African, 24</w:t>
      </w:r>
      <w:r w:rsidRPr="00233C70">
        <w:rPr>
          <w:rFonts w:ascii="Times New Roman" w:hAnsi="Times New Roman" w:cs="Times New Roman"/>
          <w:color w:val="000000" w:themeColor="text1"/>
        </w:rPr>
        <w:t>, e02078.</w:t>
      </w:r>
    </w:p>
    <w:p w14:paraId="245E12FA"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r w:rsidRPr="00233C70">
        <w:rPr>
          <w:rFonts w:ascii="Times New Roman" w:eastAsia="Times New Roman" w:hAnsi="Times New Roman" w:cs="Times New Roman"/>
          <w:color w:val="000000" w:themeColor="text1"/>
          <w:kern w:val="0"/>
          <w14:ligatures w14:val="none"/>
        </w:rPr>
        <w:lastRenderedPageBreak/>
        <w:t xml:space="preserve">Hammer, Ø., Harper, D. A. T., &amp; Ryan, P. D. (2001). PAST: Paleontological statistics software package for education and data analysis. </w:t>
      </w:r>
      <w:proofErr w:type="spellStart"/>
      <w:r w:rsidRPr="00233C70">
        <w:rPr>
          <w:rFonts w:ascii="Times New Roman" w:eastAsia="Times New Roman" w:hAnsi="Times New Roman" w:cs="Times New Roman"/>
          <w:i/>
          <w:iCs/>
          <w:color w:val="000000" w:themeColor="text1"/>
          <w:kern w:val="0"/>
          <w14:ligatures w14:val="none"/>
        </w:rPr>
        <w:t>Palaeontologia</w:t>
      </w:r>
      <w:proofErr w:type="spellEnd"/>
      <w:r w:rsidRPr="00233C70">
        <w:rPr>
          <w:rFonts w:ascii="Times New Roman" w:eastAsia="Times New Roman" w:hAnsi="Times New Roman" w:cs="Times New Roman"/>
          <w:i/>
          <w:iCs/>
          <w:color w:val="000000" w:themeColor="text1"/>
          <w:kern w:val="0"/>
          <w14:ligatures w14:val="none"/>
        </w:rPr>
        <w:t xml:space="preserve"> Electronica</w:t>
      </w:r>
      <w:r w:rsidRPr="00233C70">
        <w:rPr>
          <w:rFonts w:ascii="Times New Roman" w:eastAsia="Times New Roman" w:hAnsi="Times New Roman" w:cs="Times New Roman"/>
          <w:color w:val="000000" w:themeColor="text1"/>
          <w:kern w:val="0"/>
          <w14:ligatures w14:val="none"/>
        </w:rPr>
        <w:t xml:space="preserve">, </w:t>
      </w:r>
      <w:r w:rsidRPr="00233C70">
        <w:rPr>
          <w:rFonts w:ascii="Times New Roman" w:eastAsia="Times New Roman" w:hAnsi="Times New Roman" w:cs="Times New Roman"/>
          <w:i/>
          <w:iCs/>
          <w:color w:val="000000" w:themeColor="text1"/>
          <w:kern w:val="0"/>
          <w14:ligatures w14:val="none"/>
        </w:rPr>
        <w:t>4</w:t>
      </w:r>
      <w:r w:rsidRPr="00233C70">
        <w:rPr>
          <w:rFonts w:ascii="Times New Roman" w:eastAsia="Times New Roman" w:hAnsi="Times New Roman" w:cs="Times New Roman"/>
          <w:color w:val="000000" w:themeColor="text1"/>
          <w:kern w:val="0"/>
          <w14:ligatures w14:val="none"/>
        </w:rPr>
        <w:t>(1), 9.</w:t>
      </w:r>
    </w:p>
    <w:p w14:paraId="480AD57D"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r w:rsidRPr="00233C70">
        <w:rPr>
          <w:rFonts w:ascii="Times New Roman" w:eastAsia="Times New Roman" w:hAnsi="Times New Roman" w:cs="Times New Roman"/>
          <w:color w:val="000000" w:themeColor="text1"/>
          <w:kern w:val="0"/>
          <w14:ligatures w14:val="none"/>
        </w:rPr>
        <w:t xml:space="preserve">ISO 10381-6. (2009). </w:t>
      </w:r>
      <w:r w:rsidRPr="00233C70">
        <w:rPr>
          <w:rFonts w:ascii="Times New Roman" w:eastAsia="Times New Roman" w:hAnsi="Times New Roman" w:cs="Times New Roman"/>
          <w:i/>
          <w:iCs/>
          <w:color w:val="000000" w:themeColor="text1"/>
          <w:kern w:val="0"/>
          <w14:ligatures w14:val="none"/>
        </w:rPr>
        <w:t>Soil quality—Sampling—Part 6: Guidance on the collection, handling and storage of soil under aerobic conditions for the assessment of microbiological processes, biomass and diversity in the laboratory</w:t>
      </w:r>
      <w:r w:rsidRPr="00233C70">
        <w:rPr>
          <w:rFonts w:ascii="Times New Roman" w:eastAsia="Times New Roman" w:hAnsi="Times New Roman" w:cs="Times New Roman"/>
          <w:color w:val="000000" w:themeColor="text1"/>
          <w:kern w:val="0"/>
          <w14:ligatures w14:val="none"/>
        </w:rPr>
        <w:t>. International Organization for Standardization.</w:t>
      </w:r>
    </w:p>
    <w:p w14:paraId="62ACFFFD"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r w:rsidRPr="00233C70">
        <w:rPr>
          <w:rFonts w:ascii="Times New Roman" w:eastAsia="Times New Roman" w:hAnsi="Times New Roman" w:cs="Times New Roman"/>
          <w:color w:val="000000" w:themeColor="text1"/>
          <w:kern w:val="0"/>
          <w14:ligatures w14:val="none"/>
        </w:rPr>
        <w:t xml:space="preserve">Ite, A. E., </w:t>
      </w:r>
      <w:proofErr w:type="spellStart"/>
      <w:r w:rsidRPr="00233C70">
        <w:rPr>
          <w:rFonts w:ascii="Times New Roman" w:eastAsia="Times New Roman" w:hAnsi="Times New Roman" w:cs="Times New Roman"/>
          <w:color w:val="000000" w:themeColor="text1"/>
          <w:kern w:val="0"/>
          <w14:ligatures w14:val="none"/>
        </w:rPr>
        <w:t>Ibok</w:t>
      </w:r>
      <w:proofErr w:type="spellEnd"/>
      <w:r w:rsidRPr="00233C70">
        <w:rPr>
          <w:rFonts w:ascii="Times New Roman" w:eastAsia="Times New Roman" w:hAnsi="Times New Roman" w:cs="Times New Roman"/>
          <w:color w:val="000000" w:themeColor="text1"/>
          <w:kern w:val="0"/>
          <w14:ligatures w14:val="none"/>
        </w:rPr>
        <w:t xml:space="preserve">, U. J., Ite, M. U., &amp; Petters, S. W. (2013). Petroleum exploration and production: Past and present environmental issues in the Niger Delta, Nigeria. </w:t>
      </w:r>
      <w:r w:rsidRPr="00233C70">
        <w:rPr>
          <w:rFonts w:ascii="Times New Roman" w:eastAsia="Times New Roman" w:hAnsi="Times New Roman" w:cs="Times New Roman"/>
          <w:i/>
          <w:iCs/>
          <w:color w:val="000000" w:themeColor="text1"/>
          <w:kern w:val="0"/>
          <w14:ligatures w14:val="none"/>
        </w:rPr>
        <w:t>American Journal of Environmental Protection, 1</w:t>
      </w:r>
      <w:r w:rsidRPr="00233C70">
        <w:rPr>
          <w:rFonts w:ascii="Times New Roman" w:eastAsia="Times New Roman" w:hAnsi="Times New Roman" w:cs="Times New Roman"/>
          <w:color w:val="000000" w:themeColor="text1"/>
          <w:kern w:val="0"/>
          <w14:ligatures w14:val="none"/>
        </w:rPr>
        <w:t xml:space="preserve">(4), 78–90. </w:t>
      </w:r>
    </w:p>
    <w:p w14:paraId="21E5761D"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proofErr w:type="spellStart"/>
      <w:r w:rsidRPr="00233C70">
        <w:rPr>
          <w:rFonts w:ascii="Times New Roman" w:eastAsia="Times New Roman" w:hAnsi="Times New Roman" w:cs="Times New Roman"/>
          <w:color w:val="000000" w:themeColor="text1"/>
          <w:kern w:val="0"/>
          <w14:ligatures w14:val="none"/>
        </w:rPr>
        <w:t>Nwankwoala</w:t>
      </w:r>
      <w:proofErr w:type="spellEnd"/>
      <w:r w:rsidRPr="00233C70">
        <w:rPr>
          <w:rFonts w:ascii="Times New Roman" w:eastAsia="Times New Roman" w:hAnsi="Times New Roman" w:cs="Times New Roman"/>
          <w:color w:val="000000" w:themeColor="text1"/>
          <w:kern w:val="0"/>
          <w14:ligatures w14:val="none"/>
        </w:rPr>
        <w:t xml:space="preserve">, H. O., &amp; </w:t>
      </w:r>
      <w:proofErr w:type="spellStart"/>
      <w:r w:rsidRPr="00233C70">
        <w:rPr>
          <w:rFonts w:ascii="Times New Roman" w:eastAsia="Times New Roman" w:hAnsi="Times New Roman" w:cs="Times New Roman"/>
          <w:color w:val="000000" w:themeColor="text1"/>
          <w:kern w:val="0"/>
          <w14:ligatures w14:val="none"/>
        </w:rPr>
        <w:t>Ememu</w:t>
      </w:r>
      <w:proofErr w:type="spellEnd"/>
      <w:r w:rsidRPr="00233C70">
        <w:rPr>
          <w:rFonts w:ascii="Times New Roman" w:eastAsia="Times New Roman" w:hAnsi="Times New Roman" w:cs="Times New Roman"/>
          <w:color w:val="000000" w:themeColor="text1"/>
          <w:kern w:val="0"/>
          <w14:ligatures w14:val="none"/>
        </w:rPr>
        <w:t xml:space="preserve">, A. J. (2018). Contamination of soil and groundwater in oil producing areas of the Niger Delta region of Nigeria. </w:t>
      </w:r>
      <w:r w:rsidRPr="00233C70">
        <w:rPr>
          <w:rFonts w:ascii="Times New Roman" w:eastAsia="Times New Roman" w:hAnsi="Times New Roman" w:cs="Times New Roman"/>
          <w:i/>
          <w:iCs/>
          <w:color w:val="000000" w:themeColor="text1"/>
          <w:kern w:val="0"/>
          <w14:ligatures w14:val="none"/>
        </w:rPr>
        <w:t>Journal of Environmental Protection, 9</w:t>
      </w:r>
      <w:r w:rsidRPr="00233C70">
        <w:rPr>
          <w:rFonts w:ascii="Times New Roman" w:eastAsia="Times New Roman" w:hAnsi="Times New Roman" w:cs="Times New Roman"/>
          <w:color w:val="000000" w:themeColor="text1"/>
          <w:kern w:val="0"/>
          <w14:ligatures w14:val="none"/>
        </w:rPr>
        <w:t xml:space="preserve">(4), 466–480. </w:t>
      </w:r>
    </w:p>
    <w:p w14:paraId="7AF0EAE8"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r w:rsidRPr="00233C70">
        <w:rPr>
          <w:rFonts w:ascii="Times New Roman" w:eastAsia="Times New Roman" w:hAnsi="Times New Roman" w:cs="Times New Roman"/>
          <w:color w:val="000000" w:themeColor="text1"/>
          <w:kern w:val="0"/>
          <w14:ligatures w14:val="none"/>
        </w:rPr>
        <w:t xml:space="preserve">Okoh, A. I., </w:t>
      </w:r>
      <w:proofErr w:type="spellStart"/>
      <w:r w:rsidRPr="00233C70">
        <w:rPr>
          <w:rFonts w:ascii="Times New Roman" w:eastAsia="Times New Roman" w:hAnsi="Times New Roman" w:cs="Times New Roman"/>
          <w:color w:val="000000" w:themeColor="text1"/>
          <w:kern w:val="0"/>
          <w14:ligatures w14:val="none"/>
        </w:rPr>
        <w:t>Odjadjare</w:t>
      </w:r>
      <w:proofErr w:type="spellEnd"/>
      <w:r w:rsidRPr="00233C70">
        <w:rPr>
          <w:rFonts w:ascii="Times New Roman" w:eastAsia="Times New Roman" w:hAnsi="Times New Roman" w:cs="Times New Roman"/>
          <w:color w:val="000000" w:themeColor="text1"/>
          <w:kern w:val="0"/>
          <w14:ligatures w14:val="none"/>
        </w:rPr>
        <w:t xml:space="preserve">, E. E., </w:t>
      </w:r>
      <w:proofErr w:type="spellStart"/>
      <w:r w:rsidRPr="00233C70">
        <w:rPr>
          <w:rFonts w:ascii="Times New Roman" w:eastAsia="Times New Roman" w:hAnsi="Times New Roman" w:cs="Times New Roman"/>
          <w:color w:val="000000" w:themeColor="text1"/>
          <w:kern w:val="0"/>
          <w14:ligatures w14:val="none"/>
        </w:rPr>
        <w:t>Ibiene</w:t>
      </w:r>
      <w:proofErr w:type="spellEnd"/>
      <w:r w:rsidRPr="00233C70">
        <w:rPr>
          <w:rFonts w:ascii="Times New Roman" w:eastAsia="Times New Roman" w:hAnsi="Times New Roman" w:cs="Times New Roman"/>
          <w:color w:val="000000" w:themeColor="text1"/>
          <w:kern w:val="0"/>
          <w14:ligatures w14:val="none"/>
        </w:rPr>
        <w:t xml:space="preserve">, A. O., &amp; </w:t>
      </w:r>
      <w:proofErr w:type="spellStart"/>
      <w:r w:rsidRPr="00233C70">
        <w:rPr>
          <w:rFonts w:ascii="Times New Roman" w:eastAsia="Times New Roman" w:hAnsi="Times New Roman" w:cs="Times New Roman"/>
          <w:color w:val="000000" w:themeColor="text1"/>
          <w:kern w:val="0"/>
          <w14:ligatures w14:val="none"/>
        </w:rPr>
        <w:t>Okosun</w:t>
      </w:r>
      <w:proofErr w:type="spellEnd"/>
      <w:r w:rsidRPr="00233C70">
        <w:rPr>
          <w:rFonts w:ascii="Times New Roman" w:eastAsia="Times New Roman" w:hAnsi="Times New Roman" w:cs="Times New Roman"/>
          <w:color w:val="000000" w:themeColor="text1"/>
          <w:kern w:val="0"/>
          <w14:ligatures w14:val="none"/>
        </w:rPr>
        <w:t xml:space="preserve">, O. A. (2019). Microbial diversity and functional roles in crude oil contaminated soils: Insights into environmental microbiology and potential remediation strategies. </w:t>
      </w:r>
      <w:r w:rsidRPr="00233C70">
        <w:rPr>
          <w:rFonts w:ascii="Times New Roman" w:eastAsia="Times New Roman" w:hAnsi="Times New Roman" w:cs="Times New Roman"/>
          <w:i/>
          <w:iCs/>
          <w:color w:val="000000" w:themeColor="text1"/>
          <w:kern w:val="0"/>
          <w14:ligatures w14:val="none"/>
        </w:rPr>
        <w:t>Environmental Advances</w:t>
      </w:r>
      <w:r w:rsidRPr="00233C70">
        <w:rPr>
          <w:rFonts w:ascii="Times New Roman" w:eastAsia="Times New Roman" w:hAnsi="Times New Roman" w:cs="Times New Roman"/>
          <w:color w:val="000000" w:themeColor="text1"/>
          <w:kern w:val="0"/>
          <w14:ligatures w14:val="none"/>
        </w:rPr>
        <w:t xml:space="preserve">, </w:t>
      </w:r>
      <w:r w:rsidRPr="00233C70">
        <w:rPr>
          <w:rFonts w:ascii="Times New Roman" w:eastAsia="Times New Roman" w:hAnsi="Times New Roman" w:cs="Times New Roman"/>
          <w:i/>
          <w:iCs/>
          <w:color w:val="000000" w:themeColor="text1"/>
          <w:kern w:val="0"/>
          <w14:ligatures w14:val="none"/>
        </w:rPr>
        <w:t>1</w:t>
      </w:r>
      <w:r w:rsidRPr="00233C70">
        <w:rPr>
          <w:rFonts w:ascii="Times New Roman" w:eastAsia="Times New Roman" w:hAnsi="Times New Roman" w:cs="Times New Roman"/>
          <w:color w:val="000000" w:themeColor="text1"/>
          <w:kern w:val="0"/>
          <w14:ligatures w14:val="none"/>
        </w:rPr>
        <w:t>, 100002.</w:t>
      </w:r>
    </w:p>
    <w:p w14:paraId="0770C537"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proofErr w:type="spellStart"/>
      <w:r w:rsidRPr="00233C70">
        <w:rPr>
          <w:rFonts w:ascii="Times New Roman" w:eastAsia="Times New Roman" w:hAnsi="Times New Roman" w:cs="Times New Roman"/>
          <w:color w:val="000000" w:themeColor="text1"/>
          <w:kern w:val="0"/>
          <w14:ligatures w14:val="none"/>
        </w:rPr>
        <w:t>Okpokwasili</w:t>
      </w:r>
      <w:proofErr w:type="spellEnd"/>
      <w:r w:rsidRPr="00233C70">
        <w:rPr>
          <w:rFonts w:ascii="Times New Roman" w:eastAsia="Times New Roman" w:hAnsi="Times New Roman" w:cs="Times New Roman"/>
          <w:color w:val="000000" w:themeColor="text1"/>
          <w:kern w:val="0"/>
          <w14:ligatures w14:val="none"/>
        </w:rPr>
        <w:t xml:space="preserve">, G. C., &amp; </w:t>
      </w:r>
      <w:proofErr w:type="spellStart"/>
      <w:r w:rsidRPr="00233C70">
        <w:rPr>
          <w:rFonts w:ascii="Times New Roman" w:eastAsia="Times New Roman" w:hAnsi="Times New Roman" w:cs="Times New Roman"/>
          <w:color w:val="000000" w:themeColor="text1"/>
          <w:kern w:val="0"/>
          <w14:ligatures w14:val="none"/>
        </w:rPr>
        <w:t>Amanchukwu</w:t>
      </w:r>
      <w:proofErr w:type="spellEnd"/>
      <w:r w:rsidRPr="00233C70">
        <w:rPr>
          <w:rFonts w:ascii="Times New Roman" w:eastAsia="Times New Roman" w:hAnsi="Times New Roman" w:cs="Times New Roman"/>
          <w:color w:val="000000" w:themeColor="text1"/>
          <w:kern w:val="0"/>
          <w14:ligatures w14:val="none"/>
        </w:rPr>
        <w:t xml:space="preserve">, S. C. (1988). Petroleum hydrocarbon degradation by </w:t>
      </w:r>
      <w:r w:rsidRPr="00233C70">
        <w:rPr>
          <w:rFonts w:ascii="Times New Roman" w:eastAsia="Times New Roman" w:hAnsi="Times New Roman" w:cs="Times New Roman"/>
          <w:i/>
          <w:iCs/>
          <w:color w:val="000000" w:themeColor="text1"/>
          <w:kern w:val="0"/>
          <w14:ligatures w14:val="none"/>
        </w:rPr>
        <w:t>Candida</w:t>
      </w:r>
      <w:r w:rsidRPr="00233C70">
        <w:rPr>
          <w:rFonts w:ascii="Times New Roman" w:eastAsia="Times New Roman" w:hAnsi="Times New Roman" w:cs="Times New Roman"/>
          <w:color w:val="000000" w:themeColor="text1"/>
          <w:kern w:val="0"/>
          <w14:ligatures w14:val="none"/>
        </w:rPr>
        <w:t xml:space="preserve"> species. </w:t>
      </w:r>
      <w:r w:rsidRPr="00233C70">
        <w:rPr>
          <w:rFonts w:ascii="Times New Roman" w:eastAsia="Times New Roman" w:hAnsi="Times New Roman" w:cs="Times New Roman"/>
          <w:i/>
          <w:iCs/>
          <w:color w:val="000000" w:themeColor="text1"/>
          <w:kern w:val="0"/>
          <w14:ligatures w14:val="none"/>
        </w:rPr>
        <w:t>Environmental International, 14</w:t>
      </w:r>
      <w:r w:rsidRPr="00233C70">
        <w:rPr>
          <w:rFonts w:ascii="Times New Roman" w:eastAsia="Times New Roman" w:hAnsi="Times New Roman" w:cs="Times New Roman"/>
          <w:color w:val="000000" w:themeColor="text1"/>
          <w:kern w:val="0"/>
          <w14:ligatures w14:val="none"/>
        </w:rPr>
        <w:t xml:space="preserve">(3), 243–247. </w:t>
      </w:r>
      <w:hyperlink r:id="rId7" w:history="1">
        <w:r w:rsidRPr="00233C70">
          <w:rPr>
            <w:rStyle w:val="Hyperlink"/>
            <w:rFonts w:ascii="Times New Roman" w:eastAsia="Times New Roman" w:hAnsi="Times New Roman" w:cs="Times New Roman"/>
            <w:color w:val="000000" w:themeColor="text1"/>
            <w:kern w:val="0"/>
            <w:u w:val="none"/>
            <w14:ligatures w14:val="none"/>
          </w:rPr>
          <w:t>https://doi.org/10.1016/0160-4120(88)90001-5</w:t>
        </w:r>
      </w:hyperlink>
    </w:p>
    <w:p w14:paraId="0C4A7712" w14:textId="77777777" w:rsidR="001A6333" w:rsidRPr="00233C70" w:rsidRDefault="001A6333" w:rsidP="00233C70">
      <w:pPr>
        <w:pStyle w:val="ListParagraph"/>
        <w:numPr>
          <w:ilvl w:val="0"/>
          <w:numId w:val="5"/>
        </w:numPr>
        <w:spacing w:after="120" w:line="240" w:lineRule="auto"/>
        <w:jc w:val="both"/>
        <w:rPr>
          <w:rFonts w:ascii="Times New Roman" w:hAnsi="Times New Roman" w:cs="Times New Roman"/>
          <w:color w:val="000000" w:themeColor="text1"/>
        </w:rPr>
      </w:pPr>
      <w:proofErr w:type="spellStart"/>
      <w:r w:rsidRPr="00233C70">
        <w:rPr>
          <w:rFonts w:ascii="Times New Roman" w:hAnsi="Times New Roman" w:cs="Times New Roman"/>
          <w:color w:val="000000" w:themeColor="text1"/>
        </w:rPr>
        <w:t>Onianwah</w:t>
      </w:r>
      <w:proofErr w:type="spellEnd"/>
      <w:r w:rsidRPr="00233C70">
        <w:rPr>
          <w:rFonts w:ascii="Times New Roman" w:hAnsi="Times New Roman" w:cs="Times New Roman"/>
          <w:color w:val="000000" w:themeColor="text1"/>
        </w:rPr>
        <w:t xml:space="preserve">, F. I., </w:t>
      </w:r>
      <w:proofErr w:type="spellStart"/>
      <w:r w:rsidRPr="00233C70">
        <w:rPr>
          <w:rFonts w:ascii="Times New Roman" w:hAnsi="Times New Roman" w:cs="Times New Roman"/>
          <w:color w:val="000000" w:themeColor="text1"/>
        </w:rPr>
        <w:t>Nwaugo</w:t>
      </w:r>
      <w:proofErr w:type="spellEnd"/>
      <w:r w:rsidRPr="00233C70">
        <w:rPr>
          <w:rFonts w:ascii="Times New Roman" w:hAnsi="Times New Roman" w:cs="Times New Roman"/>
          <w:color w:val="000000" w:themeColor="text1"/>
        </w:rPr>
        <w:t xml:space="preserve">, V. C., Chikezie-Abba, R. O., &amp; </w:t>
      </w:r>
      <w:proofErr w:type="spellStart"/>
      <w:r w:rsidRPr="00233C70">
        <w:rPr>
          <w:rFonts w:ascii="Times New Roman" w:hAnsi="Times New Roman" w:cs="Times New Roman"/>
          <w:color w:val="000000" w:themeColor="text1"/>
        </w:rPr>
        <w:t>Onajafe</w:t>
      </w:r>
      <w:proofErr w:type="spellEnd"/>
      <w:r w:rsidRPr="00233C70">
        <w:rPr>
          <w:rFonts w:ascii="Times New Roman" w:hAnsi="Times New Roman" w:cs="Times New Roman"/>
          <w:color w:val="000000" w:themeColor="text1"/>
        </w:rPr>
        <w:t xml:space="preserve">, J. (2022). Microbial diversity and degradation of petroleum hydrocarbon in impacted soils and water bodies in Niger Delta Area of Nigeria. </w:t>
      </w:r>
      <w:r w:rsidRPr="00233C70">
        <w:rPr>
          <w:rStyle w:val="Emphasis"/>
          <w:rFonts w:ascii="Times New Roman" w:hAnsi="Times New Roman" w:cs="Times New Roman"/>
          <w:color w:val="000000" w:themeColor="text1"/>
        </w:rPr>
        <w:t>Journal of Asian Scientific Research, 12</w:t>
      </w:r>
      <w:r w:rsidRPr="00233C70">
        <w:rPr>
          <w:rFonts w:ascii="Times New Roman" w:hAnsi="Times New Roman" w:cs="Times New Roman"/>
          <w:color w:val="000000" w:themeColor="text1"/>
        </w:rPr>
        <w:t>(4), 249–259.</w:t>
      </w:r>
    </w:p>
    <w:p w14:paraId="1FC6A7D6"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r w:rsidRPr="00233C70">
        <w:rPr>
          <w:rFonts w:ascii="Times New Roman" w:eastAsia="Times New Roman" w:hAnsi="Times New Roman" w:cs="Times New Roman"/>
          <w:color w:val="000000" w:themeColor="text1"/>
          <w:kern w:val="0"/>
          <w14:ligatures w14:val="none"/>
        </w:rPr>
        <w:t xml:space="preserve">Pepper, I. L., Gerba, C. P., &amp; Gentry, T. J. (2015). </w:t>
      </w:r>
      <w:r w:rsidRPr="00233C70">
        <w:rPr>
          <w:rFonts w:ascii="Times New Roman" w:eastAsia="Times New Roman" w:hAnsi="Times New Roman" w:cs="Times New Roman"/>
          <w:i/>
          <w:iCs/>
          <w:color w:val="000000" w:themeColor="text1"/>
          <w:kern w:val="0"/>
          <w14:ligatures w14:val="none"/>
        </w:rPr>
        <w:t>Environmental microbiology</w:t>
      </w:r>
      <w:r w:rsidRPr="00233C70">
        <w:rPr>
          <w:rFonts w:ascii="Times New Roman" w:eastAsia="Times New Roman" w:hAnsi="Times New Roman" w:cs="Times New Roman"/>
          <w:color w:val="000000" w:themeColor="text1"/>
          <w:kern w:val="0"/>
          <w14:ligatures w14:val="none"/>
        </w:rPr>
        <w:t xml:space="preserve"> (3rd ed.). Academic Press.</w:t>
      </w:r>
    </w:p>
    <w:p w14:paraId="23217C5C" w14:textId="77777777" w:rsidR="001A6333" w:rsidRPr="00233C70" w:rsidRDefault="001A6333" w:rsidP="00233C70">
      <w:pPr>
        <w:pStyle w:val="ListParagraph"/>
        <w:numPr>
          <w:ilvl w:val="0"/>
          <w:numId w:val="5"/>
        </w:numPr>
        <w:spacing w:after="120" w:line="240" w:lineRule="auto"/>
        <w:jc w:val="both"/>
        <w:rPr>
          <w:rFonts w:ascii="Times New Roman" w:eastAsia="Times New Roman" w:hAnsi="Times New Roman" w:cs="Times New Roman"/>
          <w:color w:val="000000" w:themeColor="text1"/>
          <w:kern w:val="0"/>
          <w14:ligatures w14:val="none"/>
        </w:rPr>
      </w:pPr>
      <w:r w:rsidRPr="00233C70">
        <w:rPr>
          <w:rFonts w:ascii="Times New Roman" w:eastAsia="Times New Roman" w:hAnsi="Times New Roman" w:cs="Times New Roman"/>
          <w:color w:val="000000" w:themeColor="text1"/>
          <w:kern w:val="0"/>
          <w14:ligatures w14:val="none"/>
        </w:rPr>
        <w:t xml:space="preserve">Quesada, N., &amp; Lasker, J. (2019). Soil microbial community dynamics in petroleum-contaminated environments. </w:t>
      </w:r>
      <w:r w:rsidRPr="00233C70">
        <w:rPr>
          <w:rFonts w:ascii="Times New Roman" w:eastAsia="Times New Roman" w:hAnsi="Times New Roman" w:cs="Times New Roman"/>
          <w:i/>
          <w:iCs/>
          <w:color w:val="000000" w:themeColor="text1"/>
          <w:kern w:val="0"/>
          <w14:ligatures w14:val="none"/>
        </w:rPr>
        <w:t>Soil Biology &amp; Biochemistry</w:t>
      </w:r>
      <w:r w:rsidRPr="00233C70">
        <w:rPr>
          <w:rFonts w:ascii="Times New Roman" w:eastAsia="Times New Roman" w:hAnsi="Times New Roman" w:cs="Times New Roman"/>
          <w:color w:val="000000" w:themeColor="text1"/>
          <w:kern w:val="0"/>
          <w14:ligatures w14:val="none"/>
        </w:rPr>
        <w:t xml:space="preserve">, </w:t>
      </w:r>
      <w:r w:rsidRPr="00233C70">
        <w:rPr>
          <w:rFonts w:ascii="Times New Roman" w:eastAsia="Times New Roman" w:hAnsi="Times New Roman" w:cs="Times New Roman"/>
          <w:i/>
          <w:iCs/>
          <w:color w:val="000000" w:themeColor="text1"/>
          <w:kern w:val="0"/>
          <w14:ligatures w14:val="none"/>
        </w:rPr>
        <w:t>132</w:t>
      </w:r>
      <w:r w:rsidRPr="00233C70">
        <w:rPr>
          <w:rFonts w:ascii="Times New Roman" w:eastAsia="Times New Roman" w:hAnsi="Times New Roman" w:cs="Times New Roman"/>
          <w:color w:val="000000" w:themeColor="text1"/>
          <w:kern w:val="0"/>
          <w14:ligatures w14:val="none"/>
        </w:rPr>
        <w:t>, 135–148.</w:t>
      </w:r>
    </w:p>
    <w:p w14:paraId="52009F4E" w14:textId="77777777" w:rsidR="00C759C6" w:rsidRPr="00DB4290" w:rsidRDefault="00C759C6" w:rsidP="000871FA">
      <w:pPr>
        <w:spacing w:after="120" w:line="240" w:lineRule="auto"/>
        <w:jc w:val="both"/>
        <w:rPr>
          <w:rFonts w:ascii="Times New Roman" w:eastAsia="Times New Roman" w:hAnsi="Times New Roman" w:cs="Times New Roman"/>
          <w:color w:val="000000" w:themeColor="text1"/>
          <w:kern w:val="0"/>
          <w14:ligatures w14:val="none"/>
        </w:rPr>
      </w:pPr>
    </w:p>
    <w:p w14:paraId="6AE97816" w14:textId="77777777" w:rsidR="00240981" w:rsidRPr="00DB4290" w:rsidRDefault="00240981" w:rsidP="000871FA">
      <w:pPr>
        <w:spacing w:after="120" w:line="240" w:lineRule="auto"/>
        <w:jc w:val="both"/>
        <w:rPr>
          <w:rFonts w:ascii="Times New Roman" w:hAnsi="Times New Roman" w:cs="Times New Roman"/>
          <w:color w:val="000000" w:themeColor="text1"/>
        </w:rPr>
      </w:pPr>
    </w:p>
    <w:p w14:paraId="5F9E3CA6" w14:textId="77777777" w:rsidR="00934172" w:rsidRPr="00DB4290" w:rsidRDefault="00934172" w:rsidP="000871FA">
      <w:pPr>
        <w:spacing w:after="120" w:line="240" w:lineRule="auto"/>
        <w:jc w:val="both"/>
        <w:rPr>
          <w:rFonts w:ascii="Times New Roman" w:hAnsi="Times New Roman" w:cs="Times New Roman"/>
          <w:color w:val="000000" w:themeColor="text1"/>
        </w:rPr>
      </w:pPr>
    </w:p>
    <w:p w14:paraId="3B8D03DF" w14:textId="77777777" w:rsidR="00934172" w:rsidRPr="00DB4290" w:rsidRDefault="00934172" w:rsidP="000871FA">
      <w:pPr>
        <w:spacing w:after="120" w:line="240" w:lineRule="auto"/>
        <w:jc w:val="both"/>
        <w:rPr>
          <w:rFonts w:ascii="Times New Roman" w:hAnsi="Times New Roman" w:cs="Times New Roman"/>
          <w:color w:val="000000" w:themeColor="text1"/>
        </w:rPr>
      </w:pPr>
    </w:p>
    <w:p w14:paraId="037F640D" w14:textId="0C496272" w:rsidR="00934172" w:rsidRPr="00DB4290" w:rsidRDefault="00934172" w:rsidP="000871FA">
      <w:pPr>
        <w:spacing w:after="120" w:line="240" w:lineRule="auto"/>
        <w:jc w:val="both"/>
        <w:rPr>
          <w:rFonts w:ascii="Times New Roman" w:hAnsi="Times New Roman" w:cs="Times New Roman"/>
          <w:color w:val="000000" w:themeColor="text1"/>
        </w:rPr>
      </w:pPr>
    </w:p>
    <w:p w14:paraId="1C4D09C7" w14:textId="77777777" w:rsidR="00934172" w:rsidRPr="00DB4290" w:rsidRDefault="00934172" w:rsidP="000871FA">
      <w:pPr>
        <w:spacing w:after="120" w:line="240" w:lineRule="auto"/>
        <w:jc w:val="both"/>
        <w:rPr>
          <w:rFonts w:ascii="Times New Roman" w:hAnsi="Times New Roman" w:cs="Times New Roman"/>
          <w:color w:val="000000" w:themeColor="text1"/>
        </w:rPr>
      </w:pPr>
    </w:p>
    <w:p w14:paraId="72DA4DAD" w14:textId="77777777" w:rsidR="00934172" w:rsidRPr="00DB4290" w:rsidRDefault="00934172" w:rsidP="000871FA">
      <w:pPr>
        <w:spacing w:after="120" w:line="240" w:lineRule="auto"/>
        <w:jc w:val="both"/>
        <w:rPr>
          <w:rFonts w:ascii="Times New Roman" w:hAnsi="Times New Roman" w:cs="Times New Roman"/>
          <w:color w:val="000000" w:themeColor="text1"/>
        </w:rPr>
      </w:pPr>
    </w:p>
    <w:sectPr w:rsidR="00934172" w:rsidRPr="00DB42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A119" w14:textId="77777777" w:rsidR="00C07BE9" w:rsidRDefault="00C07BE9" w:rsidP="008A5071">
      <w:pPr>
        <w:spacing w:after="0" w:line="240" w:lineRule="auto"/>
      </w:pPr>
      <w:r>
        <w:separator/>
      </w:r>
    </w:p>
  </w:endnote>
  <w:endnote w:type="continuationSeparator" w:id="0">
    <w:p w14:paraId="051AEC84" w14:textId="77777777" w:rsidR="00C07BE9" w:rsidRDefault="00C07BE9" w:rsidP="008A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5D58" w14:textId="77777777" w:rsidR="008A5071" w:rsidRDefault="008A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A8A1" w14:textId="77777777" w:rsidR="008A5071" w:rsidRDefault="008A5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DE26" w14:textId="77777777" w:rsidR="008A5071" w:rsidRDefault="008A5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843A" w14:textId="77777777" w:rsidR="00C07BE9" w:rsidRDefault="00C07BE9" w:rsidP="008A5071">
      <w:pPr>
        <w:spacing w:after="0" w:line="240" w:lineRule="auto"/>
      </w:pPr>
      <w:r>
        <w:separator/>
      </w:r>
    </w:p>
  </w:footnote>
  <w:footnote w:type="continuationSeparator" w:id="0">
    <w:p w14:paraId="7C2CEC12" w14:textId="77777777" w:rsidR="00C07BE9" w:rsidRDefault="00C07BE9" w:rsidP="008A5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D03F" w14:textId="6A408178" w:rsidR="008A5071" w:rsidRDefault="00000000">
    <w:pPr>
      <w:pStyle w:val="Header"/>
    </w:pPr>
    <w:r>
      <w:rPr>
        <w:noProof/>
      </w:rPr>
      <w:pict w14:anchorId="4B03C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1923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1A21" w14:textId="32E59A22" w:rsidR="008A5071" w:rsidRDefault="00000000">
    <w:pPr>
      <w:pStyle w:val="Header"/>
    </w:pPr>
    <w:r>
      <w:rPr>
        <w:noProof/>
      </w:rPr>
      <w:pict w14:anchorId="7D1F3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1923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458E" w14:textId="1A8C82EF" w:rsidR="008A5071" w:rsidRDefault="00000000">
    <w:pPr>
      <w:pStyle w:val="Header"/>
    </w:pPr>
    <w:r>
      <w:rPr>
        <w:noProof/>
      </w:rPr>
      <w:pict w14:anchorId="4EE3F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1923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345"/>
    <w:multiLevelType w:val="multilevel"/>
    <w:tmpl w:val="249A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4F321F"/>
    <w:multiLevelType w:val="multilevel"/>
    <w:tmpl w:val="28D8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C7311D"/>
    <w:multiLevelType w:val="multilevel"/>
    <w:tmpl w:val="AFAE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00746B"/>
    <w:multiLevelType w:val="multilevel"/>
    <w:tmpl w:val="00B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06D91"/>
    <w:multiLevelType w:val="hybridMultilevel"/>
    <w:tmpl w:val="35D8F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004959">
    <w:abstractNumId w:val="0"/>
  </w:num>
  <w:num w:numId="2" w16cid:durableId="1888223890">
    <w:abstractNumId w:val="3"/>
  </w:num>
  <w:num w:numId="3" w16cid:durableId="995454030">
    <w:abstractNumId w:val="1"/>
  </w:num>
  <w:num w:numId="4" w16cid:durableId="457992259">
    <w:abstractNumId w:val="2"/>
  </w:num>
  <w:num w:numId="5" w16cid:durableId="91316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79"/>
    <w:rsid w:val="000135BD"/>
    <w:rsid w:val="0002384D"/>
    <w:rsid w:val="00063C39"/>
    <w:rsid w:val="00074633"/>
    <w:rsid w:val="000761C5"/>
    <w:rsid w:val="00086FDC"/>
    <w:rsid w:val="000871FA"/>
    <w:rsid w:val="000B766D"/>
    <w:rsid w:val="000E0F11"/>
    <w:rsid w:val="000E29E1"/>
    <w:rsid w:val="000E4A77"/>
    <w:rsid w:val="000F1279"/>
    <w:rsid w:val="0010757C"/>
    <w:rsid w:val="0013506B"/>
    <w:rsid w:val="00170E3B"/>
    <w:rsid w:val="00191604"/>
    <w:rsid w:val="001A6333"/>
    <w:rsid w:val="001D37F1"/>
    <w:rsid w:val="001D3CF6"/>
    <w:rsid w:val="001E3661"/>
    <w:rsid w:val="00233C70"/>
    <w:rsid w:val="00240981"/>
    <w:rsid w:val="002E71FA"/>
    <w:rsid w:val="003150F0"/>
    <w:rsid w:val="003270F1"/>
    <w:rsid w:val="00333805"/>
    <w:rsid w:val="00374A93"/>
    <w:rsid w:val="003A212C"/>
    <w:rsid w:val="003B563C"/>
    <w:rsid w:val="003D64C0"/>
    <w:rsid w:val="003F4993"/>
    <w:rsid w:val="004600C5"/>
    <w:rsid w:val="00460790"/>
    <w:rsid w:val="0048713F"/>
    <w:rsid w:val="004B608D"/>
    <w:rsid w:val="004C464A"/>
    <w:rsid w:val="00501DE0"/>
    <w:rsid w:val="00553193"/>
    <w:rsid w:val="005968BC"/>
    <w:rsid w:val="005B58AE"/>
    <w:rsid w:val="005C3FC4"/>
    <w:rsid w:val="005C68BD"/>
    <w:rsid w:val="005E3BE3"/>
    <w:rsid w:val="005F0F37"/>
    <w:rsid w:val="00600DB9"/>
    <w:rsid w:val="0062161E"/>
    <w:rsid w:val="00621D42"/>
    <w:rsid w:val="00627DEE"/>
    <w:rsid w:val="0068087A"/>
    <w:rsid w:val="006D2391"/>
    <w:rsid w:val="006D5F1A"/>
    <w:rsid w:val="006E5204"/>
    <w:rsid w:val="007D3532"/>
    <w:rsid w:val="00814AA3"/>
    <w:rsid w:val="0082264F"/>
    <w:rsid w:val="00846B9E"/>
    <w:rsid w:val="008601A2"/>
    <w:rsid w:val="008634CD"/>
    <w:rsid w:val="008A5071"/>
    <w:rsid w:val="008E06FF"/>
    <w:rsid w:val="00934172"/>
    <w:rsid w:val="00947DBE"/>
    <w:rsid w:val="00964761"/>
    <w:rsid w:val="009A6059"/>
    <w:rsid w:val="00AA56EC"/>
    <w:rsid w:val="00B22303"/>
    <w:rsid w:val="00B47F6D"/>
    <w:rsid w:val="00B521E0"/>
    <w:rsid w:val="00B72656"/>
    <w:rsid w:val="00BA52AA"/>
    <w:rsid w:val="00C07BE9"/>
    <w:rsid w:val="00C2610C"/>
    <w:rsid w:val="00C40BC0"/>
    <w:rsid w:val="00C61CEC"/>
    <w:rsid w:val="00C759C6"/>
    <w:rsid w:val="00CF1D1E"/>
    <w:rsid w:val="00D26691"/>
    <w:rsid w:val="00D97132"/>
    <w:rsid w:val="00DB4290"/>
    <w:rsid w:val="00DD72C5"/>
    <w:rsid w:val="00E15DAC"/>
    <w:rsid w:val="00E21379"/>
    <w:rsid w:val="00E340A6"/>
    <w:rsid w:val="00E64F47"/>
    <w:rsid w:val="00E66B0C"/>
    <w:rsid w:val="00E80A5A"/>
    <w:rsid w:val="00EB3091"/>
    <w:rsid w:val="00F91E40"/>
    <w:rsid w:val="00F97EFF"/>
    <w:rsid w:val="00FD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C578B"/>
  <w15:chartTrackingRefBased/>
  <w15:docId w15:val="{94445C9E-F899-4B1F-978A-F9661F65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79"/>
  </w:style>
  <w:style w:type="paragraph" w:styleId="Heading1">
    <w:name w:val="heading 1"/>
    <w:basedOn w:val="Normal"/>
    <w:next w:val="Normal"/>
    <w:link w:val="Heading1Char"/>
    <w:uiPriority w:val="9"/>
    <w:qFormat/>
    <w:rsid w:val="000F1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279"/>
    <w:rPr>
      <w:rFonts w:eastAsiaTheme="majorEastAsia" w:cstheme="majorBidi"/>
      <w:color w:val="272727" w:themeColor="text1" w:themeTint="D8"/>
    </w:rPr>
  </w:style>
  <w:style w:type="paragraph" w:styleId="Title">
    <w:name w:val="Title"/>
    <w:basedOn w:val="Normal"/>
    <w:next w:val="Normal"/>
    <w:link w:val="TitleChar"/>
    <w:uiPriority w:val="10"/>
    <w:qFormat/>
    <w:rsid w:val="000F1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279"/>
    <w:pPr>
      <w:spacing w:before="160"/>
      <w:jc w:val="center"/>
    </w:pPr>
    <w:rPr>
      <w:i/>
      <w:iCs/>
      <w:color w:val="404040" w:themeColor="text1" w:themeTint="BF"/>
    </w:rPr>
  </w:style>
  <w:style w:type="character" w:customStyle="1" w:styleId="QuoteChar">
    <w:name w:val="Quote Char"/>
    <w:basedOn w:val="DefaultParagraphFont"/>
    <w:link w:val="Quote"/>
    <w:uiPriority w:val="29"/>
    <w:rsid w:val="000F1279"/>
    <w:rPr>
      <w:i/>
      <w:iCs/>
      <w:color w:val="404040" w:themeColor="text1" w:themeTint="BF"/>
    </w:rPr>
  </w:style>
  <w:style w:type="paragraph" w:styleId="ListParagraph">
    <w:name w:val="List Paragraph"/>
    <w:basedOn w:val="Normal"/>
    <w:uiPriority w:val="34"/>
    <w:qFormat/>
    <w:rsid w:val="000F1279"/>
    <w:pPr>
      <w:ind w:left="720"/>
      <w:contextualSpacing/>
    </w:pPr>
  </w:style>
  <w:style w:type="character" w:styleId="IntenseEmphasis">
    <w:name w:val="Intense Emphasis"/>
    <w:basedOn w:val="DefaultParagraphFont"/>
    <w:uiPriority w:val="21"/>
    <w:qFormat/>
    <w:rsid w:val="000F1279"/>
    <w:rPr>
      <w:i/>
      <w:iCs/>
      <w:color w:val="2F5496" w:themeColor="accent1" w:themeShade="BF"/>
    </w:rPr>
  </w:style>
  <w:style w:type="paragraph" w:styleId="IntenseQuote">
    <w:name w:val="Intense Quote"/>
    <w:basedOn w:val="Normal"/>
    <w:next w:val="Normal"/>
    <w:link w:val="IntenseQuoteChar"/>
    <w:uiPriority w:val="30"/>
    <w:qFormat/>
    <w:rsid w:val="000F1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279"/>
    <w:rPr>
      <w:i/>
      <w:iCs/>
      <w:color w:val="2F5496" w:themeColor="accent1" w:themeShade="BF"/>
    </w:rPr>
  </w:style>
  <w:style w:type="character" w:styleId="IntenseReference">
    <w:name w:val="Intense Reference"/>
    <w:basedOn w:val="DefaultParagraphFont"/>
    <w:uiPriority w:val="32"/>
    <w:qFormat/>
    <w:rsid w:val="000F1279"/>
    <w:rPr>
      <w:b/>
      <w:bCs/>
      <w:smallCaps/>
      <w:color w:val="2F5496" w:themeColor="accent1" w:themeShade="BF"/>
      <w:spacing w:val="5"/>
    </w:rPr>
  </w:style>
  <w:style w:type="table" w:styleId="TableGrid">
    <w:name w:val="Table Grid"/>
    <w:basedOn w:val="TableNormal"/>
    <w:uiPriority w:val="39"/>
    <w:rsid w:val="000F1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36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E3661"/>
    <w:rPr>
      <w:b/>
      <w:bCs/>
    </w:rPr>
  </w:style>
  <w:style w:type="table" w:styleId="PlainTable2">
    <w:name w:val="Plain Table 2"/>
    <w:basedOn w:val="TableNormal"/>
    <w:uiPriority w:val="42"/>
    <w:rsid w:val="005968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62161E"/>
    <w:rPr>
      <w:i/>
      <w:iCs/>
    </w:rPr>
  </w:style>
  <w:style w:type="character" w:styleId="Hyperlink">
    <w:name w:val="Hyperlink"/>
    <w:basedOn w:val="DefaultParagraphFont"/>
    <w:uiPriority w:val="99"/>
    <w:unhideWhenUsed/>
    <w:rsid w:val="00BA52AA"/>
    <w:rPr>
      <w:color w:val="0563C1" w:themeColor="hyperlink"/>
      <w:u w:val="single"/>
    </w:rPr>
  </w:style>
  <w:style w:type="paragraph" w:customStyle="1" w:styleId="Default">
    <w:name w:val="Default"/>
    <w:rsid w:val="003A212C"/>
    <w:pPr>
      <w:autoSpaceDE w:val="0"/>
      <w:autoSpaceDN w:val="0"/>
      <w:adjustRightInd w:val="0"/>
      <w:spacing w:after="0" w:line="240" w:lineRule="auto"/>
    </w:pPr>
    <w:rPr>
      <w:rFonts w:ascii="Times New Roman" w:hAnsi="Times New Roman" w:cs="Times New Roman"/>
      <w:color w:val="000000"/>
      <w:kern w:val="0"/>
    </w:rPr>
  </w:style>
  <w:style w:type="character" w:styleId="UnresolvedMention">
    <w:name w:val="Unresolved Mention"/>
    <w:basedOn w:val="DefaultParagraphFont"/>
    <w:uiPriority w:val="99"/>
    <w:semiHidden/>
    <w:unhideWhenUsed/>
    <w:rsid w:val="00E21379"/>
    <w:rPr>
      <w:color w:val="605E5C"/>
      <w:shd w:val="clear" w:color="auto" w:fill="E1DFDD"/>
    </w:rPr>
  </w:style>
  <w:style w:type="paragraph" w:styleId="Header">
    <w:name w:val="header"/>
    <w:basedOn w:val="Normal"/>
    <w:link w:val="HeaderChar"/>
    <w:uiPriority w:val="99"/>
    <w:unhideWhenUsed/>
    <w:rsid w:val="008A5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071"/>
  </w:style>
  <w:style w:type="paragraph" w:styleId="Footer">
    <w:name w:val="footer"/>
    <w:basedOn w:val="Normal"/>
    <w:link w:val="FooterChar"/>
    <w:uiPriority w:val="99"/>
    <w:unhideWhenUsed/>
    <w:rsid w:val="008A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0160-4120(88)90001-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11</Pages>
  <Words>4692</Words>
  <Characters>26751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36</cp:revision>
  <dcterms:created xsi:type="dcterms:W3CDTF">2026-01-28T11:22:00Z</dcterms:created>
  <dcterms:modified xsi:type="dcterms:W3CDTF">2026-05-16T12:01:00Z</dcterms:modified>
</cp:coreProperties>
</file>