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D45FF" w14:textId="313E7B2B" w:rsidR="00E85134" w:rsidRPr="004738AB" w:rsidRDefault="004738AB">
      <w:pPr>
        <w:jc w:val="both"/>
        <w:rPr>
          <w:rFonts w:ascii="Times New Roman" w:hAnsi="Times New Roman" w:cs="Times New Roman"/>
          <w:sz w:val="24"/>
          <w:szCs w:val="24"/>
        </w:rPr>
      </w:pPr>
      <w:r>
        <w:rPr>
          <w:rFonts w:ascii="Times New Roman" w:hAnsi="Times New Roman" w:cs="Times New Roman"/>
          <w:b/>
          <w:color w:val="2D4A3E"/>
          <w:sz w:val="24"/>
          <w:szCs w:val="24"/>
        </w:rPr>
        <w:t>“</w:t>
      </w:r>
      <w:r w:rsidRPr="004738AB">
        <w:rPr>
          <w:rFonts w:ascii="Times New Roman" w:hAnsi="Times New Roman" w:cs="Times New Roman"/>
          <w:b/>
          <w:color w:val="2D4A3E"/>
          <w:sz w:val="24"/>
          <w:szCs w:val="24"/>
        </w:rPr>
        <w:t>BEYOND DETECTION: RECONCILING ANALYTICAL SENSITIVITY WITH BIOLOGICAL RELEVANCE IN TOXICOLOGICAL RISK ASSESSMENT</w:t>
      </w:r>
      <w:r>
        <w:rPr>
          <w:rFonts w:ascii="Times New Roman" w:hAnsi="Times New Roman" w:cs="Times New Roman"/>
          <w:b/>
          <w:color w:val="2D4A3E"/>
          <w:sz w:val="24"/>
          <w:szCs w:val="24"/>
        </w:rPr>
        <w:t>”</w:t>
      </w:r>
      <w:r w:rsidR="006C0992" w:rsidRPr="004738AB">
        <w:rPr>
          <w:rFonts w:ascii="Times New Roman" w:hAnsi="Times New Roman" w:cs="Times New Roman"/>
          <w:sz w:val="24"/>
          <w:szCs w:val="24"/>
        </w:rPr>
        <w:tab/>
      </w:r>
    </w:p>
    <w:p w14:paraId="7F108B16" w14:textId="77777777" w:rsidR="00F678F1" w:rsidRDefault="00F678F1">
      <w:pPr>
        <w:jc w:val="both"/>
        <w:rPr>
          <w:sz w:val="24"/>
          <w:szCs w:val="24"/>
        </w:rPr>
      </w:pPr>
    </w:p>
    <w:p w14:paraId="062C39F9" w14:textId="77777777" w:rsidR="00FD1708" w:rsidRDefault="00FD1708">
      <w:pPr>
        <w:pStyle w:val="NoSpacing"/>
        <w:spacing w:line="360" w:lineRule="auto"/>
        <w:rPr>
          <w:rFonts w:ascii="Times New Roman" w:eastAsia="SimSun" w:hAnsi="Times New Roman" w:cs="Times New Roman"/>
          <w:b/>
          <w:color w:val="1E2D24"/>
          <w:sz w:val="24"/>
          <w:szCs w:val="24"/>
        </w:rPr>
      </w:pPr>
    </w:p>
    <w:p w14:paraId="094E556C" w14:textId="31CC502A" w:rsidR="00E85134" w:rsidRDefault="006C0992">
      <w:pPr>
        <w:pStyle w:val="NoSpacing"/>
        <w:spacing w:line="360" w:lineRule="auto"/>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Abstract</w:t>
      </w:r>
    </w:p>
    <w:p w14:paraId="348FB225" w14:textId="77777777" w:rsidR="00D0269C" w:rsidRDefault="00D0269C" w:rsidP="00D0269C">
      <w:pPr>
        <w:pStyle w:val="Heading2"/>
        <w:rPr>
          <w:rFonts w:ascii="Arial" w:hAnsi="Arial" w:cs="Arial"/>
          <w:b w:val="0"/>
          <w:lang w:val="en-GB"/>
        </w:rPr>
      </w:pPr>
      <w:r>
        <w:rPr>
          <w:rFonts w:ascii="Arial" w:hAnsi="Arial" w:cs="Arial"/>
          <w:b w:val="0"/>
          <w:lang w:val="en-GB"/>
        </w:rPr>
        <w:t>The modern era of analytical chemistry—propelled by advances in high-resolution mass spectrometry, tandem LC-MS/MS, and ambient ionization techniques—has ushered in an unprecedented capacity to detect synthetic chemical residues at picomolar and even femtomolar concentrations, often surpassing parts-per-trillion sensitivity. Yet this remarkable technological progress has precipitated a widening epistemic and regulatory chasm between what can be measured instrumentally and what constitutes biologically meaningful harm. This manuscript critically examines the systematic divergence between analytical detection capabilities and toxicological significance across three interconnected domains.</w:t>
      </w:r>
    </w:p>
    <w:p w14:paraId="07B20911" w14:textId="77777777" w:rsidR="00D0269C" w:rsidRDefault="00D0269C" w:rsidP="00D0269C">
      <w:pPr>
        <w:pStyle w:val="Heading2"/>
        <w:rPr>
          <w:rFonts w:ascii="Arial" w:hAnsi="Arial" w:cs="Arial"/>
          <w:b w:val="0"/>
          <w:lang w:val="en-GB"/>
        </w:rPr>
      </w:pPr>
    </w:p>
    <w:p w14:paraId="54127990" w14:textId="77777777" w:rsidR="00D0269C" w:rsidRDefault="00D0269C" w:rsidP="00D0269C">
      <w:pPr>
        <w:pStyle w:val="Heading2"/>
        <w:rPr>
          <w:rFonts w:ascii="Arial" w:hAnsi="Arial" w:cs="Arial"/>
          <w:b w:val="0"/>
          <w:lang w:val="en-GB"/>
        </w:rPr>
      </w:pPr>
      <w:r>
        <w:rPr>
          <w:rFonts w:ascii="Arial" w:hAnsi="Arial" w:cs="Arial"/>
          <w:b w:val="0"/>
          <w:lang w:val="en-GB"/>
        </w:rPr>
        <w:t xml:space="preserve">First, we interrogate the physiological mechanisms of endogenous detoxification, including Phase I functionalization (cytochrome P450-mediated oxidation, reduction, and hydrolysis), Phase II conjugation (glucuronidation, </w:t>
      </w:r>
      <w:proofErr w:type="spellStart"/>
      <w:r>
        <w:rPr>
          <w:rFonts w:ascii="Arial" w:hAnsi="Arial" w:cs="Arial"/>
          <w:b w:val="0"/>
          <w:lang w:val="en-GB"/>
        </w:rPr>
        <w:t>sulfation</w:t>
      </w:r>
      <w:proofErr w:type="spellEnd"/>
      <w:r>
        <w:rPr>
          <w:rFonts w:ascii="Arial" w:hAnsi="Arial" w:cs="Arial"/>
          <w:b w:val="0"/>
          <w:lang w:val="en-GB"/>
        </w:rPr>
        <w:t xml:space="preserve">, glutathione conjugation, and N-acetylation), and Phase III transport processes (ATP-binding cassette efflux pumps and organic anion/cation transporters). We demonstrate that homeostatic resilience, adaptive stress responses, and </w:t>
      </w:r>
      <w:proofErr w:type="spellStart"/>
      <w:r>
        <w:rPr>
          <w:rFonts w:ascii="Arial" w:hAnsi="Arial" w:cs="Arial"/>
          <w:b w:val="0"/>
          <w:lang w:val="en-GB"/>
        </w:rPr>
        <w:t>hormetic</w:t>
      </w:r>
      <w:proofErr w:type="spellEnd"/>
      <w:r>
        <w:rPr>
          <w:rFonts w:ascii="Arial" w:hAnsi="Arial" w:cs="Arial"/>
          <w:b w:val="0"/>
          <w:lang w:val="en-GB"/>
        </w:rPr>
        <w:t xml:space="preserve"> dose–response relationships frequently render trace-level exposures physiologically inconsequential, even when analytically verifiable.</w:t>
      </w:r>
    </w:p>
    <w:p w14:paraId="63CE5F7A" w14:textId="77777777" w:rsidR="00D0269C" w:rsidRDefault="00D0269C" w:rsidP="00D0269C">
      <w:pPr>
        <w:pStyle w:val="Heading2"/>
        <w:rPr>
          <w:rFonts w:ascii="Arial" w:hAnsi="Arial" w:cs="Arial"/>
          <w:b w:val="0"/>
          <w:lang w:val="en-GB"/>
        </w:rPr>
      </w:pPr>
    </w:p>
    <w:p w14:paraId="7F31C72C" w14:textId="77777777" w:rsidR="00D0269C" w:rsidRDefault="00D0269C" w:rsidP="00D0269C">
      <w:pPr>
        <w:pStyle w:val="Heading2"/>
        <w:rPr>
          <w:rFonts w:ascii="Arial" w:hAnsi="Arial" w:cs="Arial"/>
          <w:b w:val="0"/>
          <w:lang w:val="en-GB"/>
        </w:rPr>
      </w:pPr>
      <w:r>
        <w:rPr>
          <w:rFonts w:ascii="Arial" w:hAnsi="Arial" w:cs="Arial"/>
          <w:b w:val="0"/>
          <w:lang w:val="en-GB"/>
        </w:rPr>
        <w:t>Second, we address the epistemological constraints of mixture toxicology, including the limitations of dose-addition and independent-action models, the challenges of identifying interaction thresholds for synergistic or antagonistic effects, and the statistical power constraints of high-dimensional mixture analyses. We critically evaluate the "cocktail effect" hypothesis, distinguishing documented synergistic interactions from speculative cumulative risk frameworks that lack empirical validation at environmentally relevant concentrations.</w:t>
      </w:r>
    </w:p>
    <w:p w14:paraId="33B2ECDA" w14:textId="77777777" w:rsidR="00D0269C" w:rsidRDefault="00D0269C" w:rsidP="00D0269C">
      <w:pPr>
        <w:pStyle w:val="Heading2"/>
        <w:rPr>
          <w:rFonts w:ascii="Arial" w:hAnsi="Arial" w:cs="Arial"/>
          <w:b w:val="0"/>
          <w:lang w:val="en-GB"/>
        </w:rPr>
      </w:pPr>
    </w:p>
    <w:p w14:paraId="7235496C" w14:textId="77777777" w:rsidR="00D0269C" w:rsidRDefault="00D0269C" w:rsidP="00D0269C">
      <w:pPr>
        <w:pStyle w:val="Heading2"/>
        <w:rPr>
          <w:rFonts w:ascii="Arial" w:hAnsi="Arial" w:cs="Arial"/>
          <w:b w:val="0"/>
          <w:lang w:val="en-GB"/>
        </w:rPr>
      </w:pPr>
      <w:r>
        <w:rPr>
          <w:rFonts w:ascii="Arial" w:hAnsi="Arial" w:cs="Arial"/>
          <w:b w:val="0"/>
          <w:lang w:val="en-GB"/>
        </w:rPr>
        <w:t xml:space="preserve">Third, we </w:t>
      </w:r>
      <w:proofErr w:type="spellStart"/>
      <w:r>
        <w:rPr>
          <w:rFonts w:ascii="Arial" w:hAnsi="Arial" w:cs="Arial"/>
          <w:b w:val="0"/>
          <w:lang w:val="en-GB"/>
        </w:rPr>
        <w:t>analyze</w:t>
      </w:r>
      <w:proofErr w:type="spellEnd"/>
      <w:r>
        <w:rPr>
          <w:rFonts w:ascii="Arial" w:hAnsi="Arial" w:cs="Arial"/>
          <w:b w:val="0"/>
          <w:lang w:val="en-GB"/>
        </w:rPr>
        <w:t xml:space="preserve"> the cognitive biases that distort public perception of chemical risk—including the affect heuristic, availability cascades, source confusion between natural and synthetic exposures, and the asymmetrical influence of precautionary framing on regulatory decision-making. We contextualize these biases within the broader sociology of scientific knowledge, examining how media amplification of single-study findings and the conflation of hazard identification with risk characterization drive disproportionate policy responses.</w:t>
      </w:r>
    </w:p>
    <w:p w14:paraId="014EB976" w14:textId="77777777" w:rsidR="00D0269C" w:rsidRDefault="00D0269C" w:rsidP="00D0269C">
      <w:pPr>
        <w:pStyle w:val="Heading2"/>
        <w:rPr>
          <w:rFonts w:ascii="Arial" w:hAnsi="Arial" w:cs="Arial"/>
          <w:b w:val="0"/>
          <w:lang w:val="en-GB"/>
        </w:rPr>
      </w:pPr>
    </w:p>
    <w:p w14:paraId="442D95D8" w14:textId="77777777" w:rsidR="00D0269C" w:rsidRDefault="00D0269C" w:rsidP="00D0269C">
      <w:pPr>
        <w:pStyle w:val="Heading2"/>
        <w:rPr>
          <w:rFonts w:ascii="Arial" w:hAnsi="Arial" w:cs="Arial"/>
          <w:b w:val="0"/>
          <w:lang w:val="en-GB"/>
        </w:rPr>
      </w:pPr>
      <w:r>
        <w:rPr>
          <w:rFonts w:ascii="Arial" w:hAnsi="Arial" w:cs="Arial"/>
          <w:b w:val="0"/>
          <w:lang w:val="en-GB"/>
        </w:rPr>
        <w:t>Building upon these analyses, we propose a three-tier risk-prioritization framework: Tier I comprises substances with robust epidemiological evidence of high-impact toxicity at environmentally relevant doses (e.g., certain organophosphates, legacy persistent organic pollutants, and confirmed endocrine-disrupting compounds); Tier II includes chemicals with moderate hazard profiles requiring targeted biomonitoring and exposure mitigation; and Tier III encompasses the vast majority of detectable synthetic contaminants whose trace-level presence, while analytically confirmable, lacks plausible mechanistic pathways to adverse health outcomes given endogenous detoxification capacity and realistic exposure scenarios. This framework is designed to redirect finite public health resources toward substances with demonstrated high-impact toxicity while contextualizing the actual risk posed by trace-level synthetic contaminants.</w:t>
      </w:r>
    </w:p>
    <w:p w14:paraId="23DA5F3B" w14:textId="77777777" w:rsidR="00D0269C" w:rsidRDefault="00D0269C" w:rsidP="00D0269C">
      <w:pPr>
        <w:pStyle w:val="Heading2"/>
        <w:rPr>
          <w:rFonts w:ascii="Arial" w:hAnsi="Arial" w:cs="Arial"/>
          <w:b w:val="0"/>
          <w:lang w:val="en-GB"/>
        </w:rPr>
      </w:pPr>
    </w:p>
    <w:p w14:paraId="0B841E9F" w14:textId="77777777" w:rsidR="00D0269C" w:rsidRDefault="00D0269C" w:rsidP="00D0269C">
      <w:pPr>
        <w:pStyle w:val="Heading2"/>
        <w:rPr>
          <w:rFonts w:ascii="Arial" w:hAnsi="Arial" w:cs="Arial"/>
          <w:b w:val="0"/>
          <w:lang w:val="en-GB"/>
        </w:rPr>
      </w:pPr>
      <w:r>
        <w:rPr>
          <w:rFonts w:ascii="Arial" w:hAnsi="Arial" w:cs="Arial"/>
          <w:b w:val="0"/>
          <w:lang w:val="en-GB"/>
        </w:rPr>
        <w:t xml:space="preserve">We further integrate insights from pharmacokinetic </w:t>
      </w:r>
      <w:proofErr w:type="spellStart"/>
      <w:r>
        <w:rPr>
          <w:rFonts w:ascii="Arial" w:hAnsi="Arial" w:cs="Arial"/>
          <w:b w:val="0"/>
          <w:lang w:val="en-GB"/>
        </w:rPr>
        <w:t>modeling</w:t>
      </w:r>
      <w:proofErr w:type="spellEnd"/>
      <w:r>
        <w:rPr>
          <w:rFonts w:ascii="Arial" w:hAnsi="Arial" w:cs="Arial"/>
          <w:b w:val="0"/>
          <w:lang w:val="en-GB"/>
        </w:rPr>
        <w:t xml:space="preserve"> (physiologically based pharmacokinetic [PBPK] approaches), toxicological epidemiology (including causal inference methods and exposure assessment validation), and risk psychology to argue for an evidence-based recalibration of regulatory thresholds and consumer priorities. We examine case studies including bisphenol A regulatory reversals, glyphosate hazard classification controversies, and per- and polyfluoroalkyl substances (PFAS) risk </w:t>
      </w:r>
      <w:r>
        <w:rPr>
          <w:rFonts w:ascii="Arial" w:hAnsi="Arial" w:cs="Arial"/>
          <w:b w:val="0"/>
          <w:lang w:val="en-GB"/>
        </w:rPr>
        <w:lastRenderedPageBreak/>
        <w:t>assessment evolution to illustrate how analytical detectability has been progressively decoupled from pathogenicity in both scientific discourse and policy formulation.</w:t>
      </w:r>
    </w:p>
    <w:p w14:paraId="6697787A" w14:textId="77777777" w:rsidR="00D0269C" w:rsidRDefault="00D0269C" w:rsidP="00D0269C">
      <w:pPr>
        <w:pStyle w:val="Heading2"/>
        <w:rPr>
          <w:rFonts w:ascii="Arial" w:hAnsi="Arial" w:cs="Arial"/>
          <w:b w:val="0"/>
          <w:lang w:val="en-GB"/>
        </w:rPr>
      </w:pPr>
    </w:p>
    <w:p w14:paraId="5BF5BB6F" w14:textId="77777777" w:rsidR="00D0269C" w:rsidRDefault="00D0269C" w:rsidP="00D0269C">
      <w:pPr>
        <w:pStyle w:val="Heading2"/>
        <w:rPr>
          <w:rFonts w:ascii="Arial" w:hAnsi="Arial" w:cs="Arial"/>
          <w:b w:val="0"/>
          <w:lang w:val="en-GB"/>
        </w:rPr>
      </w:pPr>
      <w:r>
        <w:rPr>
          <w:rFonts w:ascii="Arial" w:hAnsi="Arial" w:cs="Arial"/>
          <w:b w:val="0"/>
          <w:lang w:val="en-GB"/>
        </w:rPr>
        <w:t>Finally, we consider the emerging dimension of the human microbiome as a metabolic interface between xenobiotic exposure and host physiology, evaluating whether microbiome-mediated biotransformation amplifies or attenuates toxicological risk. We conclude by emphasizing that detectability does not equate to pathogenicity, and that sustainable chemical safety governance requires explicit differentiation between analytical capability, hazard potential, and probabilistic risk—a distinction essential to preserving public trust in scientific institutions while optimizing the allocation of protective health resources.</w:t>
      </w:r>
    </w:p>
    <w:p w14:paraId="7D24665D" w14:textId="77777777" w:rsidR="00D0269C" w:rsidRDefault="00D0269C" w:rsidP="00D0269C">
      <w:pPr>
        <w:pStyle w:val="Heading2"/>
        <w:rPr>
          <w:rFonts w:ascii="Arial" w:hAnsi="Arial" w:cs="Arial"/>
          <w:b w:val="0"/>
          <w:lang w:val="en-GB"/>
        </w:rPr>
      </w:pPr>
    </w:p>
    <w:p w14:paraId="10C78E07" w14:textId="77777777" w:rsidR="00D0269C" w:rsidRDefault="00D0269C" w:rsidP="00D0269C">
      <w:pPr>
        <w:spacing w:before="100" w:beforeAutospacing="1" w:after="0" w:line="360" w:lineRule="auto"/>
        <w:jc w:val="both"/>
        <w:rPr>
          <w:rFonts w:ascii="Arial" w:hAnsi="Arial" w:cs="Arial"/>
          <w:b/>
          <w:lang w:val="en-GB"/>
        </w:rPr>
      </w:pPr>
      <w:r>
        <w:rPr>
          <w:rFonts w:ascii="Arial" w:hAnsi="Arial" w:cs="Arial"/>
          <w:b/>
          <w:lang w:val="en-GB"/>
        </w:rPr>
        <w:t xml:space="preserve">Keywords: analytical chemistry; xenobiotics; bioaccumulation; hormesis; mixture toxicology; risk perception; Phase II metabolism; endocrine disruption; evidence-based prioritization; cocktail effect; human microbiome; PBPK </w:t>
      </w:r>
      <w:proofErr w:type="spellStart"/>
      <w:r>
        <w:rPr>
          <w:rFonts w:ascii="Arial" w:hAnsi="Arial" w:cs="Arial"/>
          <w:b/>
          <w:lang w:val="en-GB"/>
        </w:rPr>
        <w:t>modeling</w:t>
      </w:r>
      <w:proofErr w:type="spellEnd"/>
      <w:r>
        <w:rPr>
          <w:rFonts w:ascii="Arial" w:hAnsi="Arial" w:cs="Arial"/>
          <w:b/>
          <w:lang w:val="en-GB"/>
        </w:rPr>
        <w:t xml:space="preserve">; dose–response relationships; regulatory toxicology; precautionary principle; exposure science </w:t>
      </w:r>
    </w:p>
    <w:p w14:paraId="70E52D2B" w14:textId="342BD643" w:rsidR="00E85134" w:rsidRDefault="006C0992" w:rsidP="00D0269C">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1. Introduction and Rationale</w:t>
      </w:r>
    </w:p>
    <w:p w14:paraId="2302AECD"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1.1 The Detection versus Harm Paradox</w:t>
      </w:r>
    </w:p>
    <w:p w14:paraId="38F8C2C5"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The advent of high resolution mass spectrometry and chromatographic techniques has transformed analytical toxicology. Contemporary methods can detect synthetic compounds at </w:t>
      </w:r>
      <w:proofErr w:type="spellStart"/>
      <w:r>
        <w:rPr>
          <w:rFonts w:ascii="Times New Roman" w:eastAsia="SimSun" w:hAnsi="Times New Roman" w:cs="Times New Roman"/>
          <w:color w:val="1E2D24"/>
          <w:sz w:val="24"/>
          <w:szCs w:val="24"/>
        </w:rPr>
        <w:t>partspertrillion</w:t>
      </w:r>
      <w:proofErr w:type="spellEnd"/>
      <w:r>
        <w:rPr>
          <w:rFonts w:ascii="Times New Roman" w:eastAsia="SimSun" w:hAnsi="Times New Roman" w:cs="Times New Roman"/>
          <w:color w:val="1E2D24"/>
          <w:sz w:val="24"/>
          <w:szCs w:val="24"/>
        </w:rPr>
        <w:t xml:space="preserve"> (ppt) concentrations—levels that would have been indistinguishable from analytical noise merely decades ago (Escher et al., 2014). This remarkable sensitivity has yielded a paradox: the more we detect, the less certain we become about biological significance. Modern biomonitoring studies routinely identify hundreds of synthetic chemicals in human blood and urine samples, yet the mere presence of a compound provides no information about its toxicological relevance at the measured concentration (Albertini et al., 2006).</w:t>
      </w:r>
    </w:p>
    <w:p w14:paraId="3A54C04E"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The central challenge of contemporary toxicology is distinguishing between analytical detection and biological harm. Detection limits have advanced far beyond the thresholds at which most xenobiotics exert pharmacological or toxicological effects, creating a zone of "toxicological insignificance" wherein compounds are measurable but biologically inert (Borgert et al., 2018). This zone is not merely an academic abstraction—it has profound implications for public health communication, regulatory prioritization, and the allocation of limited scientific and policy resources. The dose-response relationship, first formalized by Paracelsus in the 16th century with his dictum "sola </w:t>
      </w:r>
      <w:proofErr w:type="spellStart"/>
      <w:r>
        <w:rPr>
          <w:rFonts w:ascii="Times New Roman" w:eastAsia="SimSun" w:hAnsi="Times New Roman" w:cs="Times New Roman"/>
          <w:color w:val="1E2D24"/>
          <w:sz w:val="24"/>
          <w:szCs w:val="24"/>
        </w:rPr>
        <w:t>dosis</w:t>
      </w:r>
      <w:proofErr w:type="spellEnd"/>
      <w:r>
        <w:rPr>
          <w:rFonts w:ascii="Times New Roman" w:eastAsia="SimSun" w:hAnsi="Times New Roman" w:cs="Times New Roman"/>
          <w:color w:val="1E2D24"/>
          <w:sz w:val="24"/>
          <w:szCs w:val="24"/>
        </w:rPr>
        <w:t xml:space="preserve"> </w:t>
      </w:r>
      <w:proofErr w:type="spellStart"/>
      <w:r>
        <w:rPr>
          <w:rFonts w:ascii="Times New Roman" w:eastAsia="SimSun" w:hAnsi="Times New Roman" w:cs="Times New Roman"/>
          <w:color w:val="1E2D24"/>
          <w:sz w:val="24"/>
          <w:szCs w:val="24"/>
        </w:rPr>
        <w:t>facit</w:t>
      </w:r>
      <w:proofErr w:type="spellEnd"/>
      <w:r>
        <w:rPr>
          <w:rFonts w:ascii="Times New Roman" w:eastAsia="SimSun" w:hAnsi="Times New Roman" w:cs="Times New Roman"/>
          <w:color w:val="1E2D24"/>
          <w:sz w:val="24"/>
          <w:szCs w:val="24"/>
        </w:rPr>
        <w:t xml:space="preserve"> </w:t>
      </w:r>
      <w:proofErr w:type="spellStart"/>
      <w:r>
        <w:rPr>
          <w:rFonts w:ascii="Times New Roman" w:eastAsia="SimSun" w:hAnsi="Times New Roman" w:cs="Times New Roman"/>
          <w:color w:val="1E2D24"/>
          <w:sz w:val="24"/>
          <w:szCs w:val="24"/>
        </w:rPr>
        <w:t>venenum</w:t>
      </w:r>
      <w:proofErr w:type="spellEnd"/>
      <w:r>
        <w:rPr>
          <w:rFonts w:ascii="Times New Roman" w:eastAsia="SimSun" w:hAnsi="Times New Roman" w:cs="Times New Roman"/>
          <w:color w:val="1E2D24"/>
          <w:sz w:val="24"/>
          <w:szCs w:val="24"/>
        </w:rPr>
        <w:t xml:space="preserve">" (the dose makes the poison), remains the foundational principle of toxicology. However, this principle is increasingly tested by the detection of chemicals </w:t>
      </w:r>
      <w:r>
        <w:rPr>
          <w:rFonts w:ascii="Times New Roman" w:eastAsia="SimSun" w:hAnsi="Times New Roman" w:cs="Times New Roman"/>
          <w:color w:val="1E2D24"/>
          <w:sz w:val="24"/>
          <w:szCs w:val="24"/>
        </w:rPr>
        <w:lastRenderedPageBreak/>
        <w:t>at concentrations orders of magnitude below their established no-observed adverse-effect levels (NOAELs). The question arises: when a compound is detectable but present at a level that poses no demonstrated risk, how should society respond?</w:t>
      </w:r>
    </w:p>
    <w:p w14:paraId="606247C7"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w:t>
      </w:r>
    </w:p>
    <w:p w14:paraId="35687629"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1.2 Significance and Urgency</w:t>
      </w:r>
    </w:p>
    <w:p w14:paraId="0389C6B5"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The significance of resolving the detection versus-harm gap has never been greater. The rise of "chemophobia"—an irrational aversion to synthetic chemicals—has become a defining feature of contemporary public discourse on environmental health (Kennedy, 2016). Social media platforms amplify isolated findings of chemical detection into widespread consumer anxiety, driving market demand for "chemical free" products (a scientific impossibility) and fueling opposition to evidence-based public health interventions, including vaccination and food fortification (</w:t>
      </w:r>
      <w:proofErr w:type="spellStart"/>
      <w:r>
        <w:rPr>
          <w:rFonts w:ascii="Times New Roman" w:eastAsia="SimSun" w:hAnsi="Times New Roman" w:cs="Times New Roman"/>
          <w:color w:val="1E2D24"/>
          <w:sz w:val="24"/>
          <w:szCs w:val="24"/>
        </w:rPr>
        <w:t>Slovic</w:t>
      </w:r>
      <w:proofErr w:type="spellEnd"/>
      <w:r>
        <w:rPr>
          <w:rFonts w:ascii="Times New Roman" w:eastAsia="SimSun" w:hAnsi="Times New Roman" w:cs="Times New Roman"/>
          <w:color w:val="1E2D24"/>
          <w:sz w:val="24"/>
          <w:szCs w:val="24"/>
        </w:rPr>
        <w:t xml:space="preserve"> &amp; </w:t>
      </w:r>
      <w:proofErr w:type="spellStart"/>
      <w:r>
        <w:rPr>
          <w:rFonts w:ascii="Times New Roman" w:eastAsia="SimSun" w:hAnsi="Times New Roman" w:cs="Times New Roman"/>
          <w:color w:val="1E2D24"/>
          <w:sz w:val="24"/>
          <w:szCs w:val="24"/>
        </w:rPr>
        <w:t>Fischhoff</w:t>
      </w:r>
      <w:proofErr w:type="spellEnd"/>
      <w:r>
        <w:rPr>
          <w:rFonts w:ascii="Times New Roman" w:eastAsia="SimSun" w:hAnsi="Times New Roman" w:cs="Times New Roman"/>
          <w:color w:val="1E2D24"/>
          <w:sz w:val="24"/>
          <w:szCs w:val="24"/>
        </w:rPr>
        <w:t>, 1982).</w:t>
      </w:r>
    </w:p>
    <w:p w14:paraId="5798CFFD"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Concurrently, genuine threats from chemical exposure persist and demand rigorous regulatory attention. Persistent organic pollutants (POPs), including polychlorinated biphenyls (PCBs), dioxins, and certain organochlorine pesticides, bio accumulate in adipose tissue and demonstrate adverse effects at environmentally relevant concentrations through endocrine disrupting mechanisms (Stockholm Convention, 2001). The challenge lies in distinguishing these high-priority hazards from the vast majority of detected chemicals that pose negligible risk at typical exposure levels. The urgency is compounded by the climate of misinformation surrounding chemical risk. The commercialization of "detox" products, cleanses, and alternative therapies predicated on the purported accumulation of environmental toxins represents a </w:t>
      </w:r>
      <w:proofErr w:type="spellStart"/>
      <w:r>
        <w:rPr>
          <w:rFonts w:ascii="Times New Roman" w:eastAsia="SimSun" w:hAnsi="Times New Roman" w:cs="Times New Roman"/>
          <w:color w:val="1E2D24"/>
          <w:sz w:val="24"/>
          <w:szCs w:val="24"/>
        </w:rPr>
        <w:t>multi billion</w:t>
      </w:r>
      <w:proofErr w:type="spellEnd"/>
      <w:r>
        <w:rPr>
          <w:rFonts w:ascii="Times New Roman" w:eastAsia="SimSun" w:hAnsi="Times New Roman" w:cs="Times New Roman"/>
          <w:color w:val="1E2D24"/>
          <w:sz w:val="24"/>
          <w:szCs w:val="24"/>
        </w:rPr>
        <w:t xml:space="preserve"> dollar industry lacking scientific foundation. This commercial ecosystem exploits detection without context, transforming analytical capability into consumer anxiety and diverting resources from genuinely effective public health interventions (Caldwell et al., 2020).</w:t>
      </w:r>
    </w:p>
    <w:p w14:paraId="1C700CA1"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1.3 Rationale: Chemophobia versus Evolutionary Biology</w:t>
      </w:r>
    </w:p>
    <w:p w14:paraId="11A14FA9"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Public perception of chemical risk exhibits systematic biases that contradict fundamental principles of human biology. Humans have evolved sophisticated, multiorgan systems for </w:t>
      </w:r>
      <w:r>
        <w:rPr>
          <w:rFonts w:ascii="Times New Roman" w:eastAsia="SimSun" w:hAnsi="Times New Roman" w:cs="Times New Roman"/>
          <w:color w:val="1E2D24"/>
          <w:sz w:val="24"/>
          <w:szCs w:val="24"/>
        </w:rPr>
        <w:lastRenderedPageBreak/>
        <w:t>processing xenobiotic compounds over hundreds of millions of years. The cytochrome P450 enzyme superfamily, which dominates Phase I hepatic metabolism, is estimated to have diverged from ancestral proteins approximately 1.5 billion years ago, long before the advent of industrial chemistry (Nebert &amp; Russell, 2002). These systems did not evolve to process synthetic chemicals specifically; rather, they evolved as general-purpose molecular machinery capable of recognizing and transforming structurally diverse lipophilic compounds, whether of natural or anthropogenic origin.</w:t>
      </w:r>
    </w:p>
    <w:p w14:paraId="7479D1B2"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The evolutionary rationale for robust detoxification capacity lies in the chemical warfare waged by the natural world. Plants produce a vast array of secondary metabolites—alkaloids, terpenoids, phenolics, and glucosinolates—many of which evolved specifically as defense compounds against herbivory. The concentrations of these natural pesticides in common foods often vastly exceed the residues of synthetic pesticides detected by analytical chemists (Ames &amp; Gold, 1989). Human exposure to natural toxins is thus neither novel nor negligible; it is the evolutionary baseline against which our detoxification systems were shaped.</w:t>
      </w:r>
    </w:p>
    <w:p w14:paraId="006E8890"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The contradiction between this evolutionary reality and modern chemophobia is stark. Public anxiety concentrates on synthetic compounds present at </w:t>
      </w:r>
      <w:proofErr w:type="spellStart"/>
      <w:r>
        <w:rPr>
          <w:rFonts w:ascii="Times New Roman" w:eastAsia="SimSun" w:hAnsi="Times New Roman" w:cs="Times New Roman"/>
          <w:color w:val="1E2D24"/>
          <w:sz w:val="24"/>
          <w:szCs w:val="24"/>
        </w:rPr>
        <w:t>partsperbillion</w:t>
      </w:r>
      <w:proofErr w:type="spellEnd"/>
      <w:r>
        <w:rPr>
          <w:rFonts w:ascii="Times New Roman" w:eastAsia="SimSun" w:hAnsi="Times New Roman" w:cs="Times New Roman"/>
          <w:color w:val="1E2D24"/>
          <w:sz w:val="24"/>
          <w:szCs w:val="24"/>
        </w:rPr>
        <w:t xml:space="preserve"> concentrations while largely overlooking naturally occurring carcinogens such as aflatoxins, pyrrolizidine alkaloids, and ethyl carbamate that may be present at substantially higher levels in unprocessed foods (IARC, 2012). This perceptual asymmetry—termed the "naturalness heuristic" by risk psychologists—has profound consequences for public health prioritization and consumer behavior.</w:t>
      </w:r>
    </w:p>
    <w:p w14:paraId="2B79A932"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2. The Physiology of Endogenous Detoxification</w:t>
      </w:r>
    </w:p>
    <w:p w14:paraId="755CB56F"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The human body possesses a remarkably sophisticated and redundant system for processing xenobiotic compounds. This system operates across multiple organs and involves hundreds of enzymes and transporter proteins working in coordinated sequence. Understanding this endogenous capacity is essential for contextualizing the biological significance of exogenous chemical exposures.</w:t>
      </w:r>
    </w:p>
    <w:p w14:paraId="00A9599A"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2.1 Hepatic Xenobiotic Metabolism: Phase I and Phase II</w:t>
      </w:r>
    </w:p>
    <w:p w14:paraId="7BDF24F6"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color w:val="1E2D24"/>
          <w:sz w:val="24"/>
          <w:szCs w:val="24"/>
        </w:rPr>
        <w:lastRenderedPageBreak/>
        <w:t>The liver serves as the primary site of xenobiotic biotransformation, processing the majority of ingested, inhaled, or dermally absorbed foreign compounds. Hepatic metabolism proceeds through two sequential phases, each comprising multiple enzyme families with broad and overlapping substrate specificities (Testa &amp; Kramer, 2007).</w:t>
      </w:r>
    </w:p>
    <w:p w14:paraId="3A99DE2A"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2.1.1 Phase I: Functionalization Reactions</w:t>
      </w:r>
    </w:p>
    <w:p w14:paraId="3BECCCBF"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Phase I reactions introduce or expose polar functional groups on lipophilic xenobiotics through oxidation, reduction, or hydrolysis. The cytochrome P450 (CYP) monooxygenase system dominates this phase, with the CYP1, CYP2, and CYP3 families responsible for the majority of xenobiotic oxidations in humans (Guengerich, 2008). The CYP3A4 isoform alone is estimated to metabolize approximately 50% of all clinically used drugs and an equivalent proportion of environmental xenobiotics, testament to its remarkably plastic active site capable of accommodating structurally diverse substrates (Zanger &amp; Schwab, 2013).</w:t>
      </w:r>
    </w:p>
    <w:p w14:paraId="06778CEA"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Phase I reactions do not invariably produce innocuous metabolites. In many cases, oxidation generates reactive intermediates—epoxides, quinones, or nitrenium ions—that are more electrophilic and potentially more toxic than the parent compound. This phenomenon, termed "metabolic activation" or "bio activation," is exemplified by the </w:t>
      </w:r>
      <w:proofErr w:type="spellStart"/>
      <w:r>
        <w:rPr>
          <w:rFonts w:ascii="Times New Roman" w:eastAsia="SimSun" w:hAnsi="Times New Roman" w:cs="Times New Roman"/>
          <w:color w:val="1E2D24"/>
          <w:sz w:val="24"/>
          <w:szCs w:val="24"/>
        </w:rPr>
        <w:t>CYPmediated</w:t>
      </w:r>
      <w:proofErr w:type="spellEnd"/>
      <w:r>
        <w:rPr>
          <w:rFonts w:ascii="Times New Roman" w:eastAsia="SimSun" w:hAnsi="Times New Roman" w:cs="Times New Roman"/>
          <w:color w:val="1E2D24"/>
          <w:sz w:val="24"/>
          <w:szCs w:val="24"/>
        </w:rPr>
        <w:t xml:space="preserve"> conversion of aflatoxin B1 to its 8, 9exoepoxide form, which forms covalent DNA adducts at the N7 position of guanine and represents the proximate carcinogenic species (Eaton &amp; Gallagher, 1994). The balance between metabolic detoxification and bio activation is a critical determinant of species-specific and individual susceptibility to chemical carcinogenesis.</w:t>
      </w:r>
    </w:p>
    <w:p w14:paraId="33659219"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2.1.2 Phase II: Conjugation and Detoxification</w:t>
      </w:r>
    </w:p>
    <w:p w14:paraId="5AA29F8C"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Phase II reactions conjugate Phase I metabolites with endogenous hydrophilic molecules—glucuronic acid, sulfate, glutathione, amino acids, or acetyl groups—rendering the products sufficiently water-soluble for biliary or renal excretion. The </w:t>
      </w:r>
      <w:proofErr w:type="spellStart"/>
      <w:r>
        <w:rPr>
          <w:rFonts w:ascii="Times New Roman" w:eastAsia="SimSun" w:hAnsi="Times New Roman" w:cs="Times New Roman"/>
          <w:color w:val="1E2D24"/>
          <w:sz w:val="24"/>
          <w:szCs w:val="24"/>
        </w:rPr>
        <w:t>UDPglucuronosyltransferases</w:t>
      </w:r>
      <w:proofErr w:type="spellEnd"/>
      <w:r>
        <w:rPr>
          <w:rFonts w:ascii="Times New Roman" w:eastAsia="SimSun" w:hAnsi="Times New Roman" w:cs="Times New Roman"/>
          <w:color w:val="1E2D24"/>
          <w:sz w:val="24"/>
          <w:szCs w:val="24"/>
        </w:rPr>
        <w:t xml:space="preserve"> (UGTs), sulfotransferases (SULTs), and glutathione </w:t>
      </w:r>
      <w:proofErr w:type="spellStart"/>
      <w:r>
        <w:rPr>
          <w:rFonts w:ascii="Times New Roman" w:eastAsia="SimSun" w:hAnsi="Times New Roman" w:cs="Times New Roman"/>
          <w:color w:val="1E2D24"/>
          <w:sz w:val="24"/>
          <w:szCs w:val="24"/>
        </w:rPr>
        <w:t>Stransferases</w:t>
      </w:r>
      <w:proofErr w:type="spellEnd"/>
      <w:r>
        <w:rPr>
          <w:rFonts w:ascii="Times New Roman" w:eastAsia="SimSun" w:hAnsi="Times New Roman" w:cs="Times New Roman"/>
          <w:color w:val="1E2D24"/>
          <w:sz w:val="24"/>
          <w:szCs w:val="24"/>
        </w:rPr>
        <w:t xml:space="preserve"> (GSTs) constitute the principal Phase II enzyme families (Hayes et al., 2005).</w:t>
      </w:r>
    </w:p>
    <w:p w14:paraId="2BCFAF3A"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lastRenderedPageBreak/>
        <w:t>Glutathione conjugation deserves particular emphasis given glutathione's central role in cellular antioxidant defense. The tripeptide glutathione (</w:t>
      </w:r>
      <w:proofErr w:type="spellStart"/>
      <w:r>
        <w:rPr>
          <w:rFonts w:ascii="Times New Roman" w:eastAsia="SimSun" w:hAnsi="Times New Roman" w:cs="Times New Roman"/>
          <w:color w:val="1E2D24"/>
          <w:sz w:val="24"/>
          <w:szCs w:val="24"/>
        </w:rPr>
        <w:t>γglutamylcysteinylglycine</w:t>
      </w:r>
      <w:proofErr w:type="spellEnd"/>
      <w:r>
        <w:rPr>
          <w:rFonts w:ascii="Times New Roman" w:eastAsia="SimSun" w:hAnsi="Times New Roman" w:cs="Times New Roman"/>
          <w:color w:val="1E2D24"/>
          <w:sz w:val="24"/>
          <w:szCs w:val="24"/>
        </w:rPr>
        <w:t xml:space="preserve">) reacts with electrophilic metabolites via </w:t>
      </w:r>
      <w:proofErr w:type="spellStart"/>
      <w:r>
        <w:rPr>
          <w:rFonts w:ascii="Times New Roman" w:eastAsia="SimSun" w:hAnsi="Times New Roman" w:cs="Times New Roman"/>
          <w:color w:val="1E2D24"/>
          <w:sz w:val="24"/>
          <w:szCs w:val="24"/>
        </w:rPr>
        <w:t>GSTmediated</w:t>
      </w:r>
      <w:proofErr w:type="spellEnd"/>
      <w:r>
        <w:rPr>
          <w:rFonts w:ascii="Times New Roman" w:eastAsia="SimSun" w:hAnsi="Times New Roman" w:cs="Times New Roman"/>
          <w:color w:val="1E2D24"/>
          <w:sz w:val="24"/>
          <w:szCs w:val="24"/>
        </w:rPr>
        <w:t xml:space="preserve"> catalysis, forming conjugates that are either directly excreted or further processed to mercapturic acids in the kidney. Depletion of hepatic glutathione reserves—whether through overwhelming xenobiotic exposure, nutritional deficiency, or genetic polymorphism—can shift the balance toward reactive metabolite accumulation and cellular damage (Townsend &amp; Tew, 2003). This principle underlies the hepatotoxicity of acetaminophen overdose, wherein therapeutic doses are safely </w:t>
      </w:r>
      <w:proofErr w:type="spellStart"/>
      <w:r>
        <w:rPr>
          <w:rFonts w:ascii="Times New Roman" w:eastAsia="SimSun" w:hAnsi="Times New Roman" w:cs="Times New Roman"/>
          <w:color w:val="1E2D24"/>
          <w:sz w:val="24"/>
          <w:szCs w:val="24"/>
        </w:rPr>
        <w:t>glucuronidated</w:t>
      </w:r>
      <w:proofErr w:type="spellEnd"/>
      <w:r>
        <w:rPr>
          <w:rFonts w:ascii="Times New Roman" w:eastAsia="SimSun" w:hAnsi="Times New Roman" w:cs="Times New Roman"/>
          <w:color w:val="1E2D24"/>
          <w:sz w:val="24"/>
          <w:szCs w:val="24"/>
        </w:rPr>
        <w:t xml:space="preserve"> and sulfated, but supratherapeutic doses exhaust glutathione reserves, permitting the accumulation of the reactive intermediate </w:t>
      </w:r>
      <w:proofErr w:type="spellStart"/>
      <w:r>
        <w:rPr>
          <w:rFonts w:ascii="Times New Roman" w:eastAsia="SimSun" w:hAnsi="Times New Roman" w:cs="Times New Roman"/>
          <w:color w:val="1E2D24"/>
          <w:sz w:val="24"/>
          <w:szCs w:val="24"/>
        </w:rPr>
        <w:t>Nacetylpbenzoquinone</w:t>
      </w:r>
      <w:proofErr w:type="spellEnd"/>
      <w:r>
        <w:rPr>
          <w:rFonts w:ascii="Times New Roman" w:eastAsia="SimSun" w:hAnsi="Times New Roman" w:cs="Times New Roman"/>
          <w:color w:val="1E2D24"/>
          <w:sz w:val="24"/>
          <w:szCs w:val="24"/>
        </w:rPr>
        <w:t xml:space="preserve"> imine (NAPQI). The coordinated induction of Phase I and Phase II enzymes is regulated primarily through the Keap1Nrf2ARE signaling pathway, which serves as a master sensor of cellular oxidative stress. Under basal conditions, the transcription factor Nrf2 is sequestered in the cytoplasm by its repressor Keap1. Electrophilic xenobiotics and oxidative stressors modify cysteine residues on Keap1, triggering Nrf2 nuclear translocation and upregulation of a battery of cytoprotective genes, including numerous </w:t>
      </w:r>
      <w:proofErr w:type="spellStart"/>
      <w:r>
        <w:rPr>
          <w:rFonts w:ascii="Times New Roman" w:eastAsia="SimSun" w:hAnsi="Times New Roman" w:cs="Times New Roman"/>
          <w:color w:val="1E2D24"/>
          <w:sz w:val="24"/>
          <w:szCs w:val="24"/>
        </w:rPr>
        <w:t>xenobioticmetabolizing</w:t>
      </w:r>
      <w:proofErr w:type="spellEnd"/>
      <w:r>
        <w:rPr>
          <w:rFonts w:ascii="Times New Roman" w:eastAsia="SimSun" w:hAnsi="Times New Roman" w:cs="Times New Roman"/>
          <w:color w:val="1E2D24"/>
          <w:sz w:val="24"/>
          <w:szCs w:val="24"/>
        </w:rPr>
        <w:t xml:space="preserve"> enzymes (Ma, 2013). This adaptive response represents a fundamental mechanism by which organisms enhance their detoxification capacity in response to chemical challenge.</w:t>
      </w:r>
    </w:p>
    <w:p w14:paraId="59821717"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2.2 Renal Elimination and Clearance</w:t>
      </w:r>
    </w:p>
    <w:p w14:paraId="6EBCB115"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While the liver transforms lipophilic xenobiotics into more polar metabolites, the kidneys execute the critical function of eliminating these water-soluble products from the systemic circulation. Renal clearance operates through three sequential processes: glomerular filtration, tubular secretion, and tubular reabsorption (Lohr et al., 1998).</w:t>
      </w:r>
    </w:p>
    <w:p w14:paraId="57E269C4"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Glomerular filtration is a passive process driven by hydrostatic pressure, allowing free passage of small, unbound molecules while retaining protein bound compounds and macromolecules. For xenobiotics and their metabolites, the extent of glomerular filtration depends on molecular weight, protein binding, and ionization state. Compounds bound to plasma proteins (primarily albumin) are not filtered, extending their circulating half-life but also limiting their bioavailability to target tissues (Paine, 2006).</w:t>
      </w:r>
    </w:p>
    <w:p w14:paraId="240056DA"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lastRenderedPageBreak/>
        <w:t xml:space="preserve">Tubular secretion complements glomerular filtration through active transport systems localized to the proximal tubule epithelium. The organic anion transporters (OATs) and organic cation transporters (OCTs) mediate the energy dependent secretion of numerous xenobiotics and metabolites against concentration gradients. These transporters exhibit broad substrate specificity and play a particularly important role in the elimination of Phase II conjugates, many of which are organic anions (Wright &amp; Dantzler, 2004). Competition for transporter binding sites can explain clinically significant drug </w:t>
      </w:r>
      <w:proofErr w:type="spellStart"/>
      <w:r>
        <w:rPr>
          <w:rFonts w:ascii="Times New Roman" w:eastAsia="SimSun" w:hAnsi="Times New Roman" w:cs="Times New Roman"/>
          <w:color w:val="1E2D24"/>
          <w:sz w:val="24"/>
          <w:szCs w:val="24"/>
        </w:rPr>
        <w:t>drug</w:t>
      </w:r>
      <w:proofErr w:type="spellEnd"/>
      <w:r>
        <w:rPr>
          <w:rFonts w:ascii="Times New Roman" w:eastAsia="SimSun" w:hAnsi="Times New Roman" w:cs="Times New Roman"/>
          <w:color w:val="1E2D24"/>
          <w:sz w:val="24"/>
          <w:szCs w:val="24"/>
        </w:rPr>
        <w:t xml:space="preserve"> and drug xenobiotic interactions, wherein </w:t>
      </w:r>
      <w:proofErr w:type="spellStart"/>
      <w:r>
        <w:rPr>
          <w:rFonts w:ascii="Times New Roman" w:eastAsia="SimSun" w:hAnsi="Times New Roman" w:cs="Times New Roman"/>
          <w:color w:val="1E2D24"/>
          <w:sz w:val="24"/>
          <w:szCs w:val="24"/>
        </w:rPr>
        <w:t>coexposure</w:t>
      </w:r>
      <w:proofErr w:type="spellEnd"/>
      <w:r>
        <w:rPr>
          <w:rFonts w:ascii="Times New Roman" w:eastAsia="SimSun" w:hAnsi="Times New Roman" w:cs="Times New Roman"/>
          <w:color w:val="1E2D24"/>
          <w:sz w:val="24"/>
          <w:szCs w:val="24"/>
        </w:rPr>
        <w:t xml:space="preserve"> to multiple substrates saturates secretory capacity and prolongs the half-life of individual compounds. The contribution of renal clearance to overall xenobiotic elimination varies substantially across compounds. For polar metabolites with minimal protein binding, renal clearance may constitute the predominant elimination pathway. For lipophilic parent compounds with extensive protein binding, biliary excretion via the liver may predominate. Understanding these compound specific elimination kinetics is essential for predicting internal dose and, by extension, toxicological risk.</w:t>
      </w:r>
    </w:p>
    <w:p w14:paraId="3C10AA15"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2.3 The Gut Microbiome as Metabolic Collaborator</w:t>
      </w:r>
    </w:p>
    <w:p w14:paraId="6659CD01"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The gut microbiome has emerged as a critical third partner—alongside the liver and kidneys in xenobiotic processing. Trillions of microbial residents in the gastrointestinal tract possess enzymatic capabilities that complement and, in some cases, exceed those of the host, mediating reactions that fundamentally alter xenobiotic bioavailability, activation, and toxicity (Koppel et al., 2017).</w:t>
      </w:r>
    </w:p>
    <w:p w14:paraId="1E1A965A"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Microbial xenobiotic metabolism proceeds through mechanisms distinct from host pathways. Bacterial βglucuronidases can deconjugate </w:t>
      </w:r>
      <w:proofErr w:type="spellStart"/>
      <w:r>
        <w:rPr>
          <w:rFonts w:ascii="Times New Roman" w:eastAsia="SimSun" w:hAnsi="Times New Roman" w:cs="Times New Roman"/>
          <w:color w:val="1E2D24"/>
          <w:sz w:val="24"/>
          <w:szCs w:val="24"/>
        </w:rPr>
        <w:t>glucuronidated</w:t>
      </w:r>
      <w:proofErr w:type="spellEnd"/>
      <w:r>
        <w:rPr>
          <w:rFonts w:ascii="Times New Roman" w:eastAsia="SimSun" w:hAnsi="Times New Roman" w:cs="Times New Roman"/>
          <w:color w:val="1E2D24"/>
          <w:sz w:val="24"/>
          <w:szCs w:val="24"/>
        </w:rPr>
        <w:t xml:space="preserve"> metabolites excreted in bile, releasing the aglycone for reabsorption via enterohepatic recirculation and effectively prolonging systemic exposure. This process has toxicological relevance for compounds such as the colon cancer therapeutic irinotecan, whose active metabolite SN38 is </w:t>
      </w:r>
      <w:proofErr w:type="spellStart"/>
      <w:r>
        <w:rPr>
          <w:rFonts w:ascii="Times New Roman" w:eastAsia="SimSun" w:hAnsi="Times New Roman" w:cs="Times New Roman"/>
          <w:color w:val="1E2D24"/>
          <w:sz w:val="24"/>
          <w:szCs w:val="24"/>
        </w:rPr>
        <w:t>glucuronidated</w:t>
      </w:r>
      <w:proofErr w:type="spellEnd"/>
      <w:r>
        <w:rPr>
          <w:rFonts w:ascii="Times New Roman" w:eastAsia="SimSun" w:hAnsi="Times New Roman" w:cs="Times New Roman"/>
          <w:color w:val="1E2D24"/>
          <w:sz w:val="24"/>
          <w:szCs w:val="24"/>
        </w:rPr>
        <w:t xml:space="preserve"> in the liver and subsequently deconjugated by gut bacteria, contributing to dose limiting gastrointestinal toxicity (Wallace et al., 2010).</w:t>
      </w:r>
    </w:p>
    <w:p w14:paraId="7D06BF40"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Beyond deconjugation, the gut microbiome directly metabolizes xenobiotics through reduction, hydrolysis, and functional group transfer reactions. The </w:t>
      </w:r>
      <w:proofErr w:type="spellStart"/>
      <w:r>
        <w:rPr>
          <w:rFonts w:ascii="Times New Roman" w:eastAsia="SimSun" w:hAnsi="Times New Roman" w:cs="Times New Roman"/>
          <w:color w:val="1E2D24"/>
          <w:sz w:val="24"/>
          <w:szCs w:val="24"/>
        </w:rPr>
        <w:t>nitroreductases</w:t>
      </w:r>
      <w:proofErr w:type="spellEnd"/>
      <w:r>
        <w:rPr>
          <w:rFonts w:ascii="Times New Roman" w:eastAsia="SimSun" w:hAnsi="Times New Roman" w:cs="Times New Roman"/>
          <w:color w:val="1E2D24"/>
          <w:sz w:val="24"/>
          <w:szCs w:val="24"/>
        </w:rPr>
        <w:t xml:space="preserve"> and </w:t>
      </w:r>
      <w:proofErr w:type="spellStart"/>
      <w:r>
        <w:rPr>
          <w:rFonts w:ascii="Times New Roman" w:eastAsia="SimSun" w:hAnsi="Times New Roman" w:cs="Times New Roman"/>
          <w:color w:val="1E2D24"/>
          <w:sz w:val="24"/>
          <w:szCs w:val="24"/>
        </w:rPr>
        <w:t>azoreductases</w:t>
      </w:r>
      <w:proofErr w:type="spellEnd"/>
      <w:r>
        <w:rPr>
          <w:rFonts w:ascii="Times New Roman" w:eastAsia="SimSun" w:hAnsi="Times New Roman" w:cs="Times New Roman"/>
          <w:color w:val="1E2D24"/>
          <w:sz w:val="24"/>
          <w:szCs w:val="24"/>
        </w:rPr>
        <w:t xml:space="preserve"> </w:t>
      </w:r>
      <w:r>
        <w:rPr>
          <w:rFonts w:ascii="Times New Roman" w:eastAsia="SimSun" w:hAnsi="Times New Roman" w:cs="Times New Roman"/>
          <w:color w:val="1E2D24"/>
          <w:sz w:val="24"/>
          <w:szCs w:val="24"/>
        </w:rPr>
        <w:lastRenderedPageBreak/>
        <w:t xml:space="preserve">expressed by numerous gut bacterial species can reduce nitro and </w:t>
      </w:r>
      <w:proofErr w:type="spellStart"/>
      <w:r>
        <w:rPr>
          <w:rFonts w:ascii="Times New Roman" w:eastAsia="SimSun" w:hAnsi="Times New Roman" w:cs="Times New Roman"/>
          <w:color w:val="1E2D24"/>
          <w:sz w:val="24"/>
          <w:szCs w:val="24"/>
        </w:rPr>
        <w:t>azocontaining</w:t>
      </w:r>
      <w:proofErr w:type="spellEnd"/>
      <w:r>
        <w:rPr>
          <w:rFonts w:ascii="Times New Roman" w:eastAsia="SimSun" w:hAnsi="Times New Roman" w:cs="Times New Roman"/>
          <w:color w:val="1E2D24"/>
          <w:sz w:val="24"/>
          <w:szCs w:val="24"/>
        </w:rPr>
        <w:t xml:space="preserve"> compounds, respectively, generating metabolites with altered pharmacological or toxicological properties (Zimmermann et al., 2019). The microbial metabolism of the prodrug sulfasalazine exemplifies this capability: bacterial </w:t>
      </w:r>
      <w:proofErr w:type="spellStart"/>
      <w:r>
        <w:rPr>
          <w:rFonts w:ascii="Times New Roman" w:eastAsia="SimSun" w:hAnsi="Times New Roman" w:cs="Times New Roman"/>
          <w:color w:val="1E2D24"/>
          <w:sz w:val="24"/>
          <w:szCs w:val="24"/>
        </w:rPr>
        <w:t>azoreductase</w:t>
      </w:r>
      <w:proofErr w:type="spellEnd"/>
      <w:r>
        <w:rPr>
          <w:rFonts w:ascii="Times New Roman" w:eastAsia="SimSun" w:hAnsi="Times New Roman" w:cs="Times New Roman"/>
          <w:color w:val="1E2D24"/>
          <w:sz w:val="24"/>
          <w:szCs w:val="24"/>
        </w:rPr>
        <w:t xml:space="preserve"> cleavage releases the active </w:t>
      </w:r>
      <w:proofErr w:type="spellStart"/>
      <w:r>
        <w:rPr>
          <w:rFonts w:ascii="Times New Roman" w:eastAsia="SimSun" w:hAnsi="Times New Roman" w:cs="Times New Roman"/>
          <w:color w:val="1E2D24"/>
          <w:sz w:val="24"/>
          <w:szCs w:val="24"/>
        </w:rPr>
        <w:t>antiinflammatory</w:t>
      </w:r>
      <w:proofErr w:type="spellEnd"/>
      <w:r>
        <w:rPr>
          <w:rFonts w:ascii="Times New Roman" w:eastAsia="SimSun" w:hAnsi="Times New Roman" w:cs="Times New Roman"/>
          <w:color w:val="1E2D24"/>
          <w:sz w:val="24"/>
          <w:szCs w:val="24"/>
        </w:rPr>
        <w:t xml:space="preserve"> 5aminosalicylic acid and the antimicrobial </w:t>
      </w:r>
      <w:proofErr w:type="spellStart"/>
      <w:r>
        <w:rPr>
          <w:rFonts w:ascii="Times New Roman" w:eastAsia="SimSun" w:hAnsi="Times New Roman" w:cs="Times New Roman"/>
          <w:color w:val="1E2D24"/>
          <w:sz w:val="24"/>
          <w:szCs w:val="24"/>
        </w:rPr>
        <w:t>sulfapyridine</w:t>
      </w:r>
      <w:proofErr w:type="spellEnd"/>
      <w:r>
        <w:rPr>
          <w:rFonts w:ascii="Times New Roman" w:eastAsia="SimSun" w:hAnsi="Times New Roman" w:cs="Times New Roman"/>
          <w:color w:val="1E2D24"/>
          <w:sz w:val="24"/>
          <w:szCs w:val="24"/>
        </w:rPr>
        <w:t xml:space="preserve">, demonstrating that gut microbial activity can be essential for therapeutic efficacy. Perhaps most significantly, the gut microbiome influences host xenobiotic metabolism through modulation of hepatic enzyme expression. Germ-free mice exhibit substantially suppressed expression of CYP3A and other Phase I enzymes compared to conventionally colonized controls, an effect mediated through microbial regulation of nuclear receptors including the </w:t>
      </w:r>
      <w:proofErr w:type="spellStart"/>
      <w:r>
        <w:rPr>
          <w:rFonts w:ascii="Times New Roman" w:eastAsia="SimSun" w:hAnsi="Times New Roman" w:cs="Times New Roman"/>
          <w:color w:val="1E2D24"/>
          <w:sz w:val="24"/>
          <w:szCs w:val="24"/>
        </w:rPr>
        <w:t>pregnane</w:t>
      </w:r>
      <w:proofErr w:type="spellEnd"/>
      <w:r>
        <w:rPr>
          <w:rFonts w:ascii="Times New Roman" w:eastAsia="SimSun" w:hAnsi="Times New Roman" w:cs="Times New Roman"/>
          <w:color w:val="1E2D24"/>
          <w:sz w:val="24"/>
          <w:szCs w:val="24"/>
        </w:rPr>
        <w:t xml:space="preserve"> X receptor (PXR) (</w:t>
      </w:r>
      <w:proofErr w:type="spellStart"/>
      <w:r>
        <w:rPr>
          <w:rFonts w:ascii="Times New Roman" w:eastAsia="SimSun" w:hAnsi="Times New Roman" w:cs="Times New Roman"/>
          <w:color w:val="1E2D24"/>
          <w:sz w:val="24"/>
          <w:szCs w:val="24"/>
        </w:rPr>
        <w:t>Bjorkholm</w:t>
      </w:r>
      <w:proofErr w:type="spellEnd"/>
      <w:r>
        <w:rPr>
          <w:rFonts w:ascii="Times New Roman" w:eastAsia="SimSun" w:hAnsi="Times New Roman" w:cs="Times New Roman"/>
          <w:color w:val="1E2D24"/>
          <w:sz w:val="24"/>
          <w:szCs w:val="24"/>
        </w:rPr>
        <w:t xml:space="preserve"> et al., 2009). This "priming" of host detoxification capacity by the microbiome represents a previously underappreciated dimension of xenobiotic disposition, with implications for interindividual variability in drug and chemical response.</w:t>
      </w:r>
    </w:p>
    <w:p w14:paraId="06E4022C" w14:textId="6ACC4CF0"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Recent advances have further illuminated the scope of microbial xenobiotic metabolism. A comprehensive 2025 study in Cell demonstrated that microbial transformation of dietary xenobiotics actively shapes gut microbiome composition, with bacterial βglucuronidases, </w:t>
      </w:r>
      <w:proofErr w:type="spellStart"/>
      <w:r>
        <w:rPr>
          <w:rFonts w:ascii="Times New Roman" w:eastAsia="SimSun" w:hAnsi="Times New Roman" w:cs="Times New Roman"/>
          <w:color w:val="1E2D24"/>
          <w:sz w:val="24"/>
          <w:szCs w:val="24"/>
        </w:rPr>
        <w:t>nitroreductases</w:t>
      </w:r>
      <w:proofErr w:type="spellEnd"/>
      <w:r>
        <w:rPr>
          <w:rFonts w:ascii="Times New Roman" w:eastAsia="SimSun" w:hAnsi="Times New Roman" w:cs="Times New Roman"/>
          <w:color w:val="1E2D24"/>
          <w:sz w:val="24"/>
          <w:szCs w:val="24"/>
        </w:rPr>
        <w:t xml:space="preserve">, and </w:t>
      </w:r>
      <w:proofErr w:type="spellStart"/>
      <w:r>
        <w:rPr>
          <w:rFonts w:ascii="Times New Roman" w:eastAsia="SimSun" w:hAnsi="Times New Roman" w:cs="Times New Roman"/>
          <w:color w:val="1E2D24"/>
          <w:sz w:val="24"/>
          <w:szCs w:val="24"/>
        </w:rPr>
        <w:t>azoreductases</w:t>
      </w:r>
      <w:proofErr w:type="spellEnd"/>
      <w:r>
        <w:rPr>
          <w:rFonts w:ascii="Times New Roman" w:eastAsia="SimSun" w:hAnsi="Times New Roman" w:cs="Times New Roman"/>
          <w:color w:val="1E2D24"/>
          <w:sz w:val="24"/>
          <w:szCs w:val="24"/>
        </w:rPr>
        <w:t xml:space="preserve"> playing central roles in xenobiotic metabolism that complement and exceed host hepatic pathways (Johnson et al., 2025). Critically, reductases and hydrolases dramatically outnumber cytochromes and </w:t>
      </w:r>
      <w:proofErr w:type="spellStart"/>
      <w:r>
        <w:rPr>
          <w:rFonts w:ascii="Times New Roman" w:eastAsia="SimSun" w:hAnsi="Times New Roman" w:cs="Times New Roman"/>
          <w:color w:val="1E2D24"/>
          <w:sz w:val="24"/>
          <w:szCs w:val="24"/>
        </w:rPr>
        <w:t>UDPglucuronosyltransferases</w:t>
      </w:r>
      <w:proofErr w:type="spellEnd"/>
      <w:r>
        <w:rPr>
          <w:rFonts w:ascii="Times New Roman" w:eastAsia="SimSun" w:hAnsi="Times New Roman" w:cs="Times New Roman"/>
          <w:color w:val="1E2D24"/>
          <w:sz w:val="24"/>
          <w:szCs w:val="24"/>
        </w:rPr>
        <w:t xml:space="preserve"> in gut microbes, with CYP450 homologs found in only 1.4% of gut microbial species—primarily facultative anaerobes—indicating that microbial xenobiotic metabolism proceeds through enzymatic mechanisms fundamentally distinct from host Phase I and Phase II pathways (Martinez et al., 2024). This enzymatic asymmetry underscores that the gut microbiome is not merely a metabolic collaborator but an independent xenobiotic processing system with capabilities that can substantially alter bioavailability, activation, and toxicity of exogenous compounds.</w:t>
      </w:r>
    </w:p>
    <w:p w14:paraId="3AB09484" w14:textId="21657AF9" w:rsidR="00AA38C0" w:rsidRDefault="009F382C">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Study </w:t>
      </w:r>
      <w:r w:rsidR="00AA38C0" w:rsidRPr="00AA38C0">
        <w:rPr>
          <w:rFonts w:ascii="Times New Roman" w:eastAsia="SimSun" w:hAnsi="Times New Roman" w:cs="Times New Roman"/>
          <w:b/>
          <w:color w:val="1E2D24"/>
          <w:sz w:val="24"/>
          <w:szCs w:val="24"/>
        </w:rPr>
        <w:t>Objectives</w:t>
      </w:r>
      <w:r w:rsidR="00AA38C0">
        <w:rPr>
          <w:rFonts w:ascii="Times New Roman" w:eastAsia="SimSun" w:hAnsi="Times New Roman" w:cs="Times New Roman"/>
          <w:b/>
          <w:color w:val="1E2D24"/>
          <w:sz w:val="24"/>
          <w:szCs w:val="24"/>
        </w:rPr>
        <w:t>:</w:t>
      </w:r>
    </w:p>
    <w:p w14:paraId="3128F0A9" w14:textId="77777777" w:rsidR="00AA38C0" w:rsidRDefault="00AA38C0" w:rsidP="00AA38C0">
      <w:pPr>
        <w:pStyle w:val="Heading2"/>
        <w:rPr>
          <w:rFonts w:ascii="Arial" w:hAnsi="Arial" w:cs="Arial"/>
          <w:b w:val="0"/>
          <w:lang w:val="en-GB" w:eastAsia="en-US"/>
        </w:rPr>
      </w:pPr>
      <w:r>
        <w:rPr>
          <w:rFonts w:ascii="Arial" w:hAnsi="Arial" w:cs="Arial"/>
          <w:b w:val="0"/>
          <w:lang w:val="en-GB" w:eastAsia="en-US"/>
        </w:rPr>
        <w:lastRenderedPageBreak/>
        <w:t>The study aims to examine and bridge the growing gap between what chemical compounds can be analytically detected and what actually constitutes biologically meaningful harm to human health.</w:t>
      </w:r>
    </w:p>
    <w:p w14:paraId="0AA54842" w14:textId="77777777" w:rsidR="00AA38C0" w:rsidRDefault="00AA38C0" w:rsidP="00AA38C0">
      <w:pPr>
        <w:pStyle w:val="Heading2"/>
        <w:rPr>
          <w:rFonts w:ascii="Arial" w:hAnsi="Arial" w:cs="Arial"/>
          <w:b w:val="0"/>
          <w:lang w:val="en-GB" w:eastAsia="en-US"/>
        </w:rPr>
      </w:pPr>
      <w:r>
        <w:rPr>
          <w:rFonts w:ascii="Arial" w:hAnsi="Arial" w:cs="Arial"/>
          <w:b w:val="0"/>
          <w:lang w:val="en-GB" w:eastAsia="en-US"/>
        </w:rPr>
        <w:t>More specifically, the work seeks to:</w:t>
      </w:r>
    </w:p>
    <w:p w14:paraId="01D1BCAF" w14:textId="77777777" w:rsidR="00AA38C0" w:rsidRDefault="00AA38C0" w:rsidP="00AA38C0">
      <w:pPr>
        <w:pStyle w:val="Heading2"/>
        <w:rPr>
          <w:rFonts w:ascii="Arial" w:hAnsi="Arial" w:cs="Arial"/>
          <w:b w:val="0"/>
          <w:lang w:val="en-GB" w:eastAsia="en-US"/>
        </w:rPr>
      </w:pPr>
      <w:r>
        <w:rPr>
          <w:rFonts w:ascii="Arial" w:hAnsi="Arial" w:cs="Arial"/>
          <w:b w:val="0"/>
          <w:lang w:val="en-GB" w:eastAsia="en-US"/>
        </w:rPr>
        <w:t>Contextualize analytical detection capabilities — Modern instruments can detect synthetic chemicals at parts-per-trillion concentrations, but mere detection does not imply toxicological relevance. The study explores this "detection versus harm" paradox.</w:t>
      </w:r>
    </w:p>
    <w:p w14:paraId="66403B98" w14:textId="77777777" w:rsidR="00AA38C0" w:rsidRDefault="00AA38C0" w:rsidP="00AA38C0">
      <w:pPr>
        <w:pStyle w:val="Heading2"/>
        <w:rPr>
          <w:rFonts w:ascii="Arial" w:hAnsi="Arial" w:cs="Arial"/>
          <w:b w:val="0"/>
          <w:lang w:val="en-GB" w:eastAsia="en-US"/>
        </w:rPr>
      </w:pPr>
      <w:r>
        <w:rPr>
          <w:rFonts w:ascii="Arial" w:hAnsi="Arial" w:cs="Arial"/>
          <w:b w:val="0"/>
          <w:lang w:val="en-GB" w:eastAsia="en-US"/>
        </w:rPr>
        <w:t>Integrate interdisciplinary perspectives — The review brings together toxicology, physiology, evolutionary biology, risk perception psychology, and regulatory science to provide a holistic framework for evaluating chemical risks.</w:t>
      </w:r>
    </w:p>
    <w:p w14:paraId="493B3500" w14:textId="77777777" w:rsidR="00AA38C0" w:rsidRDefault="00AA38C0" w:rsidP="00AA38C0">
      <w:pPr>
        <w:pStyle w:val="Heading2"/>
        <w:rPr>
          <w:rFonts w:ascii="Arial" w:hAnsi="Arial" w:cs="Arial"/>
          <w:b w:val="0"/>
          <w:lang w:val="en-GB" w:eastAsia="en-US"/>
        </w:rPr>
      </w:pPr>
      <w:r>
        <w:rPr>
          <w:rFonts w:ascii="Arial" w:hAnsi="Arial" w:cs="Arial"/>
          <w:b w:val="0"/>
          <w:lang w:val="en-GB" w:eastAsia="en-US"/>
        </w:rPr>
        <w:t xml:space="preserve">Evaluate endogenous detoxification capacity — It details the robust, evolutionarily ancient systems (hepatic Phase I/II metabolism, renal clearance, and gut microbiome collaboration) that process xenobiotics, emphasizing that humans are not </w:t>
      </w:r>
      <w:proofErr w:type="spellStart"/>
      <w:r>
        <w:rPr>
          <w:rFonts w:ascii="Arial" w:hAnsi="Arial" w:cs="Arial"/>
          <w:b w:val="0"/>
          <w:lang w:val="en-GB" w:eastAsia="en-US"/>
        </w:rPr>
        <w:t>defenseless</w:t>
      </w:r>
      <w:proofErr w:type="spellEnd"/>
      <w:r>
        <w:rPr>
          <w:rFonts w:ascii="Arial" w:hAnsi="Arial" w:cs="Arial"/>
          <w:b w:val="0"/>
          <w:lang w:val="en-GB" w:eastAsia="en-US"/>
        </w:rPr>
        <w:t xml:space="preserve"> against chemical exposures.</w:t>
      </w:r>
    </w:p>
    <w:p w14:paraId="7F6D185D" w14:textId="77777777" w:rsidR="00AA38C0" w:rsidRDefault="00AA38C0" w:rsidP="00AA38C0">
      <w:pPr>
        <w:pStyle w:val="Heading2"/>
        <w:rPr>
          <w:rFonts w:ascii="Arial" w:hAnsi="Arial" w:cs="Arial"/>
          <w:b w:val="0"/>
          <w:lang w:val="en-GB" w:eastAsia="en-US"/>
        </w:rPr>
      </w:pPr>
      <w:r>
        <w:rPr>
          <w:rFonts w:ascii="Arial" w:hAnsi="Arial" w:cs="Arial"/>
          <w:b w:val="0"/>
          <w:lang w:val="en-GB" w:eastAsia="en-US"/>
        </w:rPr>
        <w:t>Address mixture toxicology and low-dose hypotheses — The study critically examines the "cocktail effect" and non-monotonic dose-response debates, distinguishing biologically plausible concerns from overstated fears.</w:t>
      </w:r>
    </w:p>
    <w:p w14:paraId="174CA00C" w14:textId="77777777" w:rsidR="00AA38C0" w:rsidRDefault="00AA38C0" w:rsidP="00AA38C0">
      <w:pPr>
        <w:pStyle w:val="Heading2"/>
        <w:rPr>
          <w:rFonts w:ascii="Arial" w:hAnsi="Arial" w:cs="Arial"/>
          <w:b w:val="0"/>
          <w:lang w:val="en-GB" w:eastAsia="en-US"/>
        </w:rPr>
      </w:pPr>
      <w:proofErr w:type="spellStart"/>
      <w:r>
        <w:rPr>
          <w:rFonts w:ascii="Arial" w:hAnsi="Arial" w:cs="Arial"/>
          <w:b w:val="0"/>
          <w:lang w:val="en-GB" w:eastAsia="en-US"/>
        </w:rPr>
        <w:t>Analyze</w:t>
      </w:r>
      <w:proofErr w:type="spellEnd"/>
      <w:r>
        <w:rPr>
          <w:rFonts w:ascii="Arial" w:hAnsi="Arial" w:cs="Arial"/>
          <w:b w:val="0"/>
          <w:lang w:val="en-GB" w:eastAsia="en-US"/>
        </w:rPr>
        <w:t xml:space="preserve"> risk perception biases — It investigates why public anxiety disproportionately targets synthetic chemicals while overlooking higher-risk natural toxins (e.g., aflatoxins) and lifestyle carcinogens like ethanol.</w:t>
      </w:r>
    </w:p>
    <w:p w14:paraId="71A4B45D" w14:textId="77777777" w:rsidR="00AA38C0" w:rsidRDefault="00AA38C0" w:rsidP="00AA38C0">
      <w:pPr>
        <w:pStyle w:val="Heading2"/>
        <w:rPr>
          <w:rFonts w:ascii="Arial" w:hAnsi="Arial" w:cs="Arial"/>
          <w:b w:val="0"/>
          <w:lang w:val="en-GB" w:eastAsia="en-US"/>
        </w:rPr>
      </w:pPr>
      <w:r>
        <w:rPr>
          <w:rFonts w:ascii="Arial" w:hAnsi="Arial" w:cs="Arial"/>
          <w:b w:val="0"/>
          <w:lang w:val="en-GB" w:eastAsia="en-US"/>
        </w:rPr>
        <w:t>Propose a risk-prioritization framework — The authors present a three-tier system (Tier I: high certainty/high impact; Tier II: emerging concerns; Tier III: low-risk noise) to guide evidence-based public health resource allocation and counter chemophobia-driven misallocation of regulatory attention.</w:t>
      </w:r>
    </w:p>
    <w:p w14:paraId="3AABE8FD" w14:textId="21195936" w:rsidR="00AA38C0" w:rsidRDefault="00AA38C0" w:rsidP="00AA38C0">
      <w:pPr>
        <w:spacing w:before="100" w:beforeAutospacing="1" w:after="0" w:line="360" w:lineRule="auto"/>
        <w:jc w:val="both"/>
        <w:rPr>
          <w:rFonts w:ascii="Arial" w:hAnsi="Arial" w:cs="Arial"/>
          <w:lang w:val="en-GB"/>
        </w:rPr>
      </w:pPr>
      <w:r w:rsidRPr="003D5073">
        <w:rPr>
          <w:rFonts w:ascii="Arial" w:hAnsi="Arial" w:cs="Arial"/>
          <w:lang w:val="en-GB"/>
        </w:rPr>
        <w:t>In essence, the overarching goal is to promote evidence-based toxicological prioritization over precautionary paralysis, ensuring that limited public health resources are directed toward genuine high-impact hazards rather than trace-level detections of negligible biological significance.</w:t>
      </w:r>
    </w:p>
    <w:p w14:paraId="326C044A" w14:textId="2775B2C6" w:rsidR="00825A76" w:rsidRDefault="00825A76" w:rsidP="00825A76">
      <w:pPr>
        <w:pStyle w:val="Heading2"/>
        <w:rPr>
          <w:rFonts w:ascii="Arial" w:hAnsi="Arial" w:cs="Arial"/>
          <w:lang w:val="en-GB" w:eastAsia="en-US"/>
        </w:rPr>
      </w:pPr>
      <w:r w:rsidRPr="003D5C35">
        <w:rPr>
          <w:rFonts w:ascii="Arial" w:hAnsi="Arial" w:cs="Arial"/>
          <w:lang w:val="en-GB" w:eastAsia="en-US"/>
        </w:rPr>
        <w:t>Critical Analysis of the Literature</w:t>
      </w:r>
    </w:p>
    <w:p w14:paraId="69582B0C" w14:textId="77777777" w:rsidR="003D5C35" w:rsidRPr="003D5C35" w:rsidRDefault="003D5C35" w:rsidP="003D5C35">
      <w:pPr>
        <w:rPr>
          <w:lang w:val="en-GB"/>
        </w:rPr>
      </w:pPr>
    </w:p>
    <w:p w14:paraId="74ED4B2B" w14:textId="77777777" w:rsidR="00825A76" w:rsidRDefault="00825A76" w:rsidP="00825A76">
      <w:pPr>
        <w:pStyle w:val="Heading2"/>
        <w:rPr>
          <w:rFonts w:ascii="Arial" w:hAnsi="Arial" w:cs="Arial"/>
          <w:b w:val="0"/>
          <w:lang w:val="en-GB" w:eastAsia="en-US"/>
        </w:rPr>
      </w:pPr>
      <w:r>
        <w:rPr>
          <w:rFonts w:ascii="Arial" w:hAnsi="Arial" w:cs="Arial"/>
          <w:b w:val="0"/>
          <w:lang w:val="en-GB" w:eastAsia="en-US"/>
        </w:rPr>
        <w:t>1. Interdisciplinary Integration</w:t>
      </w:r>
    </w:p>
    <w:p w14:paraId="4E69AAFA" w14:textId="77777777" w:rsidR="00825A76" w:rsidRDefault="00825A76" w:rsidP="00825A76">
      <w:pPr>
        <w:pStyle w:val="Heading2"/>
        <w:rPr>
          <w:rFonts w:ascii="Arial" w:hAnsi="Arial" w:cs="Arial"/>
          <w:b w:val="0"/>
          <w:lang w:val="en-GB" w:eastAsia="en-US"/>
        </w:rPr>
      </w:pPr>
      <w:r>
        <w:rPr>
          <w:rFonts w:ascii="Arial" w:hAnsi="Arial" w:cs="Arial"/>
          <w:b w:val="0"/>
          <w:lang w:val="en-GB" w:eastAsia="en-US"/>
        </w:rPr>
        <w:t>Strengths: Successfully merges analytical chemistry, physiology, risk psychology, and regulatory science into a coherent framework. The progression from molecular mechanisms to policy is methodologically sound.</w:t>
      </w:r>
    </w:p>
    <w:p w14:paraId="46D12A7D" w14:textId="77777777" w:rsidR="00825A76" w:rsidRDefault="00825A76" w:rsidP="00825A76">
      <w:pPr>
        <w:pStyle w:val="Heading2"/>
        <w:rPr>
          <w:rFonts w:ascii="Arial" w:hAnsi="Arial" w:cs="Arial"/>
          <w:b w:val="0"/>
          <w:lang w:val="en-GB" w:eastAsia="en-US"/>
        </w:rPr>
      </w:pPr>
      <w:r>
        <w:rPr>
          <w:rFonts w:ascii="Arial" w:hAnsi="Arial" w:cs="Arial"/>
          <w:b w:val="0"/>
          <w:lang w:val="en-GB" w:eastAsia="en-US"/>
        </w:rPr>
        <w:t>Weaknesses: Risk psychology relies heavily on dated psychometric work (</w:t>
      </w:r>
      <w:proofErr w:type="spellStart"/>
      <w:r>
        <w:rPr>
          <w:rFonts w:ascii="Arial" w:hAnsi="Arial" w:cs="Arial"/>
          <w:b w:val="0"/>
          <w:lang w:val="en-GB" w:eastAsia="en-US"/>
        </w:rPr>
        <w:t>Slovic</w:t>
      </w:r>
      <w:proofErr w:type="spellEnd"/>
      <w:r>
        <w:rPr>
          <w:rFonts w:ascii="Arial" w:hAnsi="Arial" w:cs="Arial"/>
          <w:b w:val="0"/>
          <w:lang w:val="en-GB" w:eastAsia="en-US"/>
        </w:rPr>
        <w:t xml:space="preserve">, 1987) with limited engagement with </w:t>
      </w:r>
      <w:proofErr w:type="spellStart"/>
      <w:r>
        <w:rPr>
          <w:rFonts w:ascii="Arial" w:hAnsi="Arial" w:cs="Arial"/>
          <w:b w:val="0"/>
          <w:lang w:val="en-GB" w:eastAsia="en-US"/>
        </w:rPr>
        <w:t>behavioral</w:t>
      </w:r>
      <w:proofErr w:type="spellEnd"/>
      <w:r>
        <w:rPr>
          <w:rFonts w:ascii="Arial" w:hAnsi="Arial" w:cs="Arial"/>
          <w:b w:val="0"/>
          <w:lang w:val="en-GB" w:eastAsia="en-US"/>
        </w:rPr>
        <w:t xml:space="preserve"> economics or science and technology studies. "Chemophobia" is treated reductively as cognitive bias rather than a response to institutional trust deficits and regulatory capture histories.</w:t>
      </w:r>
    </w:p>
    <w:p w14:paraId="6157C5F0" w14:textId="77777777" w:rsidR="00825A76" w:rsidRDefault="00825A76" w:rsidP="00825A76">
      <w:pPr>
        <w:pStyle w:val="Heading2"/>
        <w:rPr>
          <w:rFonts w:ascii="Arial" w:hAnsi="Arial" w:cs="Arial"/>
          <w:b w:val="0"/>
          <w:lang w:val="en-GB" w:eastAsia="en-US"/>
        </w:rPr>
      </w:pPr>
      <w:r>
        <w:rPr>
          <w:rFonts w:ascii="Arial" w:hAnsi="Arial" w:cs="Arial"/>
          <w:b w:val="0"/>
          <w:lang w:val="en-GB" w:eastAsia="en-US"/>
        </w:rPr>
        <w:t>2. Evolutionary Biology Argument</w:t>
      </w:r>
    </w:p>
    <w:p w14:paraId="7F5181CB" w14:textId="77777777" w:rsidR="00825A76" w:rsidRDefault="00825A76" w:rsidP="00825A76">
      <w:pPr>
        <w:pStyle w:val="Heading2"/>
        <w:rPr>
          <w:rFonts w:ascii="Arial" w:hAnsi="Arial" w:cs="Arial"/>
          <w:b w:val="0"/>
          <w:lang w:val="en-GB" w:eastAsia="en-US"/>
        </w:rPr>
      </w:pPr>
      <w:r>
        <w:rPr>
          <w:rFonts w:ascii="Arial" w:hAnsi="Arial" w:cs="Arial"/>
          <w:b w:val="0"/>
          <w:lang w:val="en-GB" w:eastAsia="en-US"/>
        </w:rPr>
        <w:t>Strengths: CYP450 divergence estimates and plant secondary metabolite narratives provide solid evolutionary context.</w:t>
      </w:r>
    </w:p>
    <w:p w14:paraId="74ED4161" w14:textId="77777777" w:rsidR="00825A76" w:rsidRDefault="00825A76" w:rsidP="00825A76">
      <w:pPr>
        <w:pStyle w:val="Heading2"/>
        <w:rPr>
          <w:rFonts w:ascii="Arial" w:hAnsi="Arial" w:cs="Arial"/>
          <w:b w:val="0"/>
          <w:lang w:val="en-GB" w:eastAsia="en-US"/>
        </w:rPr>
      </w:pPr>
      <w:r>
        <w:rPr>
          <w:rFonts w:ascii="Arial" w:hAnsi="Arial" w:cs="Arial"/>
          <w:b w:val="0"/>
          <w:lang w:val="en-GB" w:eastAsia="en-US"/>
        </w:rPr>
        <w:t>Weaknesses: Contains adaptationist overreach—implying evolutionary heritage confers protection against synthetic xenobiotics. This ignores evolutionary mismatch: industrial chemicals may interact with biological systems in unprecedented ways (persistence, bioaccumulation, endocrine disruption). The gut microbiome enthusiasm exceeds current predictive capacity.</w:t>
      </w:r>
    </w:p>
    <w:p w14:paraId="4CF21129" w14:textId="77777777" w:rsidR="00825A76" w:rsidRDefault="00825A76" w:rsidP="00825A76">
      <w:pPr>
        <w:pStyle w:val="Heading2"/>
        <w:rPr>
          <w:rFonts w:ascii="Arial" w:hAnsi="Arial" w:cs="Arial"/>
          <w:b w:val="0"/>
          <w:lang w:val="en-GB" w:eastAsia="en-US"/>
        </w:rPr>
      </w:pPr>
      <w:r>
        <w:rPr>
          <w:rFonts w:ascii="Arial" w:hAnsi="Arial" w:cs="Arial"/>
          <w:b w:val="0"/>
          <w:lang w:val="en-GB" w:eastAsia="en-US"/>
        </w:rPr>
        <w:t>3. Mixture Toxicology and Low-Dose Effects</w:t>
      </w:r>
    </w:p>
    <w:p w14:paraId="7D893386" w14:textId="77777777" w:rsidR="00825A76" w:rsidRDefault="00825A76" w:rsidP="00825A76">
      <w:pPr>
        <w:pStyle w:val="Heading2"/>
        <w:rPr>
          <w:rFonts w:ascii="Arial" w:hAnsi="Arial" w:cs="Arial"/>
          <w:b w:val="0"/>
          <w:lang w:val="en-GB" w:eastAsia="en-US"/>
        </w:rPr>
      </w:pPr>
      <w:r>
        <w:rPr>
          <w:rFonts w:ascii="Arial" w:hAnsi="Arial" w:cs="Arial"/>
          <w:b w:val="0"/>
          <w:lang w:val="en-GB" w:eastAsia="en-US"/>
        </w:rPr>
        <w:t>Strengths: Accurately distinguishes similarly acting (dose-additive) from dissimilarly acting (independent action) chemicals.</w:t>
      </w:r>
    </w:p>
    <w:p w14:paraId="138A8F86" w14:textId="77777777" w:rsidR="00825A76" w:rsidRDefault="00825A76" w:rsidP="00825A76">
      <w:pPr>
        <w:pStyle w:val="Heading2"/>
        <w:rPr>
          <w:rFonts w:ascii="Arial" w:hAnsi="Arial" w:cs="Arial"/>
          <w:b w:val="0"/>
          <w:lang w:val="en-GB" w:eastAsia="en-US"/>
        </w:rPr>
      </w:pPr>
      <w:r>
        <w:rPr>
          <w:rFonts w:ascii="Arial" w:hAnsi="Arial" w:cs="Arial"/>
          <w:b w:val="0"/>
          <w:lang w:val="en-GB" w:eastAsia="en-US"/>
        </w:rPr>
        <w:t xml:space="preserve">Weaknesses: </w:t>
      </w:r>
      <w:proofErr w:type="spellStart"/>
      <w:r>
        <w:rPr>
          <w:rFonts w:ascii="Arial" w:hAnsi="Arial" w:cs="Arial"/>
          <w:b w:val="0"/>
          <w:lang w:val="en-GB" w:eastAsia="en-US"/>
        </w:rPr>
        <w:t>Skeptical</w:t>
      </w:r>
      <w:proofErr w:type="spellEnd"/>
      <w:r>
        <w:rPr>
          <w:rFonts w:ascii="Arial" w:hAnsi="Arial" w:cs="Arial"/>
          <w:b w:val="0"/>
          <w:lang w:val="en-GB" w:eastAsia="en-US"/>
        </w:rPr>
        <w:t xml:space="preserve"> framing of NMDRs contradicts the Endocrine Society's 2024 policy shift. Reliance on Bliss independence (1939) ignores emerging evidence of toxicological synergy through convergent pathways. The regulatory implication—if NMDRs are real, high-dose testing paradigms fail—is underexplored.</w:t>
      </w:r>
    </w:p>
    <w:p w14:paraId="45B0B443" w14:textId="77777777" w:rsidR="00825A76" w:rsidRDefault="00825A76" w:rsidP="00825A76">
      <w:pPr>
        <w:pStyle w:val="Heading2"/>
        <w:rPr>
          <w:rFonts w:ascii="Arial" w:hAnsi="Arial" w:cs="Arial"/>
          <w:b w:val="0"/>
          <w:lang w:val="en-GB" w:eastAsia="en-US"/>
        </w:rPr>
      </w:pPr>
      <w:r>
        <w:rPr>
          <w:rFonts w:ascii="Arial" w:hAnsi="Arial" w:cs="Arial"/>
          <w:b w:val="0"/>
          <w:lang w:val="en-GB" w:eastAsia="en-US"/>
        </w:rPr>
        <w:t>4. Risk Perception and the "Naturalness Heuristic"</w:t>
      </w:r>
    </w:p>
    <w:p w14:paraId="27004B1A" w14:textId="77777777" w:rsidR="00825A76" w:rsidRDefault="00825A76" w:rsidP="00825A76">
      <w:pPr>
        <w:pStyle w:val="Heading2"/>
        <w:rPr>
          <w:rFonts w:ascii="Arial" w:hAnsi="Arial" w:cs="Arial"/>
          <w:b w:val="0"/>
          <w:lang w:val="en-GB" w:eastAsia="en-US"/>
        </w:rPr>
      </w:pPr>
      <w:r>
        <w:rPr>
          <w:rFonts w:ascii="Arial" w:hAnsi="Arial" w:cs="Arial"/>
          <w:b w:val="0"/>
          <w:lang w:val="en-GB" w:eastAsia="en-US"/>
        </w:rPr>
        <w:t>Strengths: The ethanol case study is compelling and timely (2025 Surgeon General advisory data).</w:t>
      </w:r>
    </w:p>
    <w:p w14:paraId="514DF957" w14:textId="77777777" w:rsidR="00825A76" w:rsidRDefault="00825A76" w:rsidP="00825A76">
      <w:pPr>
        <w:pStyle w:val="Heading2"/>
        <w:rPr>
          <w:rFonts w:ascii="Arial" w:hAnsi="Arial" w:cs="Arial"/>
          <w:b w:val="0"/>
          <w:lang w:val="en-GB" w:eastAsia="en-US"/>
        </w:rPr>
      </w:pPr>
      <w:r>
        <w:rPr>
          <w:rFonts w:ascii="Arial" w:hAnsi="Arial" w:cs="Arial"/>
          <w:b w:val="0"/>
          <w:lang w:val="en-GB" w:eastAsia="en-US"/>
        </w:rPr>
        <w:t xml:space="preserve">Weaknesses: The naturalness heuristic is deployed with normative overreach, treating differential concern as purely irrational while ignoring legitimate epistemic reasons: novelty/uncertainty of synthetics, exposure </w:t>
      </w:r>
      <w:r>
        <w:rPr>
          <w:rFonts w:ascii="Arial" w:hAnsi="Arial" w:cs="Arial"/>
          <w:b w:val="0"/>
          <w:lang w:val="en-GB" w:eastAsia="en-US"/>
        </w:rPr>
        <w:lastRenderedPageBreak/>
        <w:t>context differences, and regulatory asymmetries. The aflatoxin comparison is misleading—aflatoxin is already heavily regulated, so public "overlooking" reflects successful risk management, not perceptual failure. Glyphosate discussion omits the IARC 2015 Group 2A classification and formulation toxicity issues, creating an apparent consensus effect.</w:t>
      </w:r>
    </w:p>
    <w:p w14:paraId="376350BA" w14:textId="77777777" w:rsidR="00825A76" w:rsidRDefault="00825A76" w:rsidP="00825A76">
      <w:pPr>
        <w:pStyle w:val="Heading2"/>
        <w:rPr>
          <w:rFonts w:ascii="Arial" w:hAnsi="Arial" w:cs="Arial"/>
          <w:b w:val="0"/>
          <w:lang w:val="en-GB" w:eastAsia="en-US"/>
        </w:rPr>
      </w:pPr>
      <w:r>
        <w:rPr>
          <w:rFonts w:ascii="Arial" w:hAnsi="Arial" w:cs="Arial"/>
          <w:b w:val="0"/>
          <w:lang w:val="en-GB" w:eastAsia="en-US"/>
        </w:rPr>
        <w:t>5. Three-Tier Risk Framework</w:t>
      </w:r>
    </w:p>
    <w:p w14:paraId="781CCC67" w14:textId="77777777" w:rsidR="00825A76" w:rsidRDefault="00825A76" w:rsidP="00825A76">
      <w:pPr>
        <w:pStyle w:val="Heading2"/>
        <w:rPr>
          <w:rFonts w:ascii="Arial" w:hAnsi="Arial" w:cs="Arial"/>
          <w:b w:val="0"/>
          <w:lang w:val="en-GB" w:eastAsia="en-US"/>
        </w:rPr>
      </w:pPr>
      <w:r>
        <w:rPr>
          <w:rFonts w:ascii="Arial" w:hAnsi="Arial" w:cs="Arial"/>
          <w:b w:val="0"/>
          <w:lang w:val="en-GB" w:eastAsia="en-US"/>
        </w:rPr>
        <w:t xml:space="preserve">Strengths: Pragmatic for resource allocation; Tier I </w:t>
      </w:r>
      <w:proofErr w:type="gramStart"/>
      <w:r>
        <w:rPr>
          <w:rFonts w:ascii="Arial" w:hAnsi="Arial" w:cs="Arial"/>
          <w:b w:val="0"/>
          <w:lang w:val="en-GB" w:eastAsia="en-US"/>
        </w:rPr>
        <w:t>hazards</w:t>
      </w:r>
      <w:proofErr w:type="gramEnd"/>
      <w:r>
        <w:rPr>
          <w:rFonts w:ascii="Arial" w:hAnsi="Arial" w:cs="Arial"/>
          <w:b w:val="0"/>
          <w:lang w:val="en-GB" w:eastAsia="en-US"/>
        </w:rPr>
        <w:t xml:space="preserve"> reflect genuine disease burden.</w:t>
      </w:r>
    </w:p>
    <w:p w14:paraId="03DA8DA6" w14:textId="77777777" w:rsidR="00825A76" w:rsidRDefault="00825A76" w:rsidP="00825A76">
      <w:pPr>
        <w:pStyle w:val="Heading2"/>
        <w:rPr>
          <w:rFonts w:ascii="Arial" w:hAnsi="Arial" w:cs="Arial"/>
          <w:b w:val="0"/>
          <w:lang w:val="en-GB" w:eastAsia="en-US"/>
        </w:rPr>
      </w:pPr>
      <w:r>
        <w:rPr>
          <w:rFonts w:ascii="Arial" w:hAnsi="Arial" w:cs="Arial"/>
          <w:b w:val="0"/>
          <w:lang w:val="en-GB" w:eastAsia="en-US"/>
        </w:rPr>
        <w:t>Weaknesses: Implicit value judgments disguised as science. Comparing ethanol (voluntary, high-dose) with trace pesticides (involuntary, chronic, multi-chemical) conflates risk modalities. Privileges observable over latent harm, underweights susceptibility variation and irreversibility. PFAS as Tier II is already dated given 2024–2025 regulatory elevations to Tier I status.</w:t>
      </w:r>
    </w:p>
    <w:p w14:paraId="7278C117" w14:textId="77777777" w:rsidR="00825A76" w:rsidRDefault="00825A76" w:rsidP="00825A76">
      <w:pPr>
        <w:pStyle w:val="Heading2"/>
        <w:rPr>
          <w:rFonts w:ascii="Arial" w:hAnsi="Arial" w:cs="Arial"/>
          <w:b w:val="0"/>
          <w:lang w:val="en-GB" w:eastAsia="en-US"/>
        </w:rPr>
      </w:pPr>
      <w:r>
        <w:rPr>
          <w:rFonts w:ascii="Arial" w:hAnsi="Arial" w:cs="Arial"/>
          <w:b w:val="0"/>
          <w:lang w:val="en-GB" w:eastAsia="en-US"/>
        </w:rPr>
        <w:t>6. Hormesis</w:t>
      </w:r>
    </w:p>
    <w:p w14:paraId="1D947A81" w14:textId="77777777" w:rsidR="00825A76" w:rsidRDefault="00825A76" w:rsidP="00825A76">
      <w:pPr>
        <w:pStyle w:val="Heading2"/>
        <w:rPr>
          <w:rFonts w:ascii="Arial" w:hAnsi="Arial" w:cs="Arial"/>
          <w:b w:val="0"/>
          <w:lang w:val="en-GB" w:eastAsia="en-US"/>
        </w:rPr>
      </w:pPr>
      <w:r>
        <w:rPr>
          <w:rFonts w:ascii="Arial" w:hAnsi="Arial" w:cs="Arial"/>
          <w:b w:val="0"/>
          <w:lang w:val="en-GB" w:eastAsia="en-US"/>
        </w:rPr>
        <w:t>Strengths: Comprehensive historical and mechanistic account; caveat about endpoint specificity is appropriate.</w:t>
      </w:r>
    </w:p>
    <w:p w14:paraId="642C771C" w14:textId="77777777" w:rsidR="00825A76" w:rsidRDefault="00825A76" w:rsidP="00825A76">
      <w:pPr>
        <w:pStyle w:val="Heading2"/>
        <w:rPr>
          <w:rFonts w:ascii="Arial" w:hAnsi="Arial" w:cs="Arial"/>
          <w:b w:val="0"/>
          <w:lang w:val="en-GB" w:eastAsia="en-US"/>
        </w:rPr>
      </w:pPr>
      <w:r>
        <w:rPr>
          <w:rFonts w:ascii="Arial" w:hAnsi="Arial" w:cs="Arial"/>
          <w:b w:val="0"/>
          <w:lang w:val="en-GB" w:eastAsia="en-US"/>
        </w:rPr>
        <w:t xml:space="preserve">Weaknesses: Reveals deregulatory ideological orientation. </w:t>
      </w:r>
      <w:proofErr w:type="spellStart"/>
      <w:r>
        <w:rPr>
          <w:rFonts w:ascii="Arial" w:hAnsi="Arial" w:cs="Arial"/>
          <w:b w:val="0"/>
          <w:lang w:val="en-GB" w:eastAsia="en-US"/>
        </w:rPr>
        <w:t>Underengages</w:t>
      </w:r>
      <w:proofErr w:type="spellEnd"/>
      <w:r>
        <w:rPr>
          <w:rFonts w:ascii="Arial" w:hAnsi="Arial" w:cs="Arial"/>
          <w:b w:val="0"/>
          <w:lang w:val="en-GB" w:eastAsia="en-US"/>
        </w:rPr>
        <w:t xml:space="preserve"> with carcinogenesis implications (low-dose proliferation could increase mutation accumulation), threshold failures for genotoxic carcinogens, and undisclosed industry funding of Calabrese's work. Treats a contested policy position as neutral science.</w:t>
      </w:r>
    </w:p>
    <w:p w14:paraId="18E25B9E" w14:textId="77777777" w:rsidR="00825A76" w:rsidRDefault="00825A76" w:rsidP="00825A76">
      <w:pPr>
        <w:pStyle w:val="Heading2"/>
        <w:rPr>
          <w:rFonts w:ascii="Arial" w:hAnsi="Arial" w:cs="Arial"/>
          <w:b w:val="0"/>
          <w:lang w:val="en-GB" w:eastAsia="en-US"/>
        </w:rPr>
      </w:pPr>
      <w:r>
        <w:rPr>
          <w:rFonts w:ascii="Arial" w:hAnsi="Arial" w:cs="Arial"/>
          <w:b w:val="0"/>
          <w:lang w:val="en-GB" w:eastAsia="en-US"/>
        </w:rPr>
        <w:t>7. Selective Citation and Currency</w:t>
      </w:r>
    </w:p>
    <w:p w14:paraId="3EE18C33" w14:textId="77777777" w:rsidR="00825A76" w:rsidRDefault="00825A76" w:rsidP="00825A76">
      <w:pPr>
        <w:pStyle w:val="Heading2"/>
        <w:rPr>
          <w:rFonts w:ascii="Arial" w:hAnsi="Arial" w:cs="Arial"/>
          <w:b w:val="0"/>
          <w:lang w:val="en-GB" w:eastAsia="en-US"/>
        </w:rPr>
      </w:pPr>
      <w:r>
        <w:rPr>
          <w:rFonts w:ascii="Arial" w:hAnsi="Arial" w:cs="Arial"/>
          <w:b w:val="0"/>
          <w:lang w:val="en-GB" w:eastAsia="en-US"/>
        </w:rPr>
        <w:t>Strengths: Remarkably current (2024–2025 sources on alcohol policy, gut microbiome, PFAS regulations).</w:t>
      </w:r>
    </w:p>
    <w:p w14:paraId="6DCC4529" w14:textId="77777777" w:rsidR="00825A76" w:rsidRDefault="00825A76" w:rsidP="00825A76">
      <w:pPr>
        <w:pStyle w:val="Heading2"/>
        <w:rPr>
          <w:rFonts w:ascii="Arial" w:hAnsi="Arial" w:cs="Arial"/>
          <w:b w:val="0"/>
          <w:lang w:val="en-GB" w:eastAsia="en-US"/>
        </w:rPr>
      </w:pPr>
      <w:r>
        <w:rPr>
          <w:rFonts w:ascii="Arial" w:hAnsi="Arial" w:cs="Arial"/>
          <w:b w:val="0"/>
          <w:lang w:val="en-GB" w:eastAsia="en-US"/>
        </w:rPr>
        <w:t xml:space="preserve">Weaknesses: Notable omissions: </w:t>
      </w:r>
      <w:proofErr w:type="spellStart"/>
      <w:r>
        <w:rPr>
          <w:rFonts w:ascii="Arial" w:hAnsi="Arial" w:cs="Arial"/>
          <w:b w:val="0"/>
          <w:lang w:val="en-GB" w:eastAsia="en-US"/>
        </w:rPr>
        <w:t>Grandjean</w:t>
      </w:r>
      <w:proofErr w:type="spellEnd"/>
      <w:r>
        <w:rPr>
          <w:rFonts w:ascii="Arial" w:hAnsi="Arial" w:cs="Arial"/>
          <w:b w:val="0"/>
          <w:lang w:val="en-GB" w:eastAsia="en-US"/>
        </w:rPr>
        <w:t xml:space="preserve"> &amp; </w:t>
      </w:r>
      <w:proofErr w:type="spellStart"/>
      <w:r>
        <w:rPr>
          <w:rFonts w:ascii="Arial" w:hAnsi="Arial" w:cs="Arial"/>
          <w:b w:val="0"/>
          <w:lang w:val="en-GB" w:eastAsia="en-US"/>
        </w:rPr>
        <w:t>Landrigan</w:t>
      </w:r>
      <w:proofErr w:type="spellEnd"/>
      <w:r>
        <w:rPr>
          <w:rFonts w:ascii="Arial" w:hAnsi="Arial" w:cs="Arial"/>
          <w:b w:val="0"/>
          <w:lang w:val="en-GB" w:eastAsia="en-US"/>
        </w:rPr>
        <w:t xml:space="preserve"> on neurodevelopmental toxicity, full engagement with Vandenberg et al.'s 800+ reference EDC evidence base, industry-funded research bias literature, and environmental justice perspectives. Heavy weighting toward toxicology/pharmacology journals creates a disciplinary silo effect reducing social dimensions to individual cognitive biases.</w:t>
      </w:r>
    </w:p>
    <w:p w14:paraId="50861E6B" w14:textId="77777777" w:rsidR="00825A76" w:rsidRDefault="00825A76" w:rsidP="00825A76">
      <w:pPr>
        <w:pStyle w:val="Heading2"/>
        <w:rPr>
          <w:rFonts w:ascii="Arial" w:hAnsi="Arial" w:cs="Arial"/>
          <w:b w:val="0"/>
          <w:lang w:val="en-GB" w:eastAsia="en-US"/>
        </w:rPr>
      </w:pPr>
      <w:r>
        <w:rPr>
          <w:rFonts w:ascii="Arial" w:hAnsi="Arial" w:cs="Arial"/>
          <w:b w:val="0"/>
          <w:lang w:val="en-GB" w:eastAsia="en-US"/>
        </w:rPr>
        <w:t>8. Rhetorical Positioning</w:t>
      </w:r>
    </w:p>
    <w:p w14:paraId="4449D7B2" w14:textId="77777777" w:rsidR="00825A76" w:rsidRDefault="00825A76" w:rsidP="00825A76">
      <w:pPr>
        <w:pStyle w:val="Heading2"/>
        <w:rPr>
          <w:rFonts w:ascii="Arial" w:hAnsi="Arial" w:cs="Arial"/>
          <w:b w:val="0"/>
          <w:lang w:val="en-GB" w:eastAsia="en-US"/>
        </w:rPr>
      </w:pPr>
      <w:r>
        <w:rPr>
          <w:rFonts w:ascii="Arial" w:hAnsi="Arial" w:cs="Arial"/>
          <w:b w:val="0"/>
          <w:lang w:val="en-GB" w:eastAsia="en-US"/>
        </w:rPr>
        <w:t>Operates within a "</w:t>
      </w:r>
      <w:proofErr w:type="spellStart"/>
      <w:r>
        <w:rPr>
          <w:rFonts w:ascii="Arial" w:hAnsi="Arial" w:cs="Arial"/>
          <w:b w:val="0"/>
          <w:lang w:val="en-GB" w:eastAsia="en-US"/>
        </w:rPr>
        <w:t>defense</w:t>
      </w:r>
      <w:proofErr w:type="spellEnd"/>
      <w:r>
        <w:rPr>
          <w:rFonts w:ascii="Arial" w:hAnsi="Arial" w:cs="Arial"/>
          <w:b w:val="0"/>
          <w:lang w:val="en-GB" w:eastAsia="en-US"/>
        </w:rPr>
        <w:t xml:space="preserve"> of chemistry" discourse. Key moves: pathologizing public concern as "chemophobia," using the "detox industry" strawman to delegitimize all precautionary concern, false equivalence of natural/synthetic ignoring exposure pattern differences, and an "evidence-based versus alarmist" binary that masks a preference for reactive over precautionary regulation.</w:t>
      </w:r>
    </w:p>
    <w:p w14:paraId="5FE4A5EC" w14:textId="77777777" w:rsidR="00825A76" w:rsidRDefault="00825A76" w:rsidP="00825A76">
      <w:pPr>
        <w:pStyle w:val="Heading2"/>
        <w:rPr>
          <w:rFonts w:ascii="Arial" w:hAnsi="Arial" w:cs="Arial"/>
          <w:b w:val="0"/>
          <w:lang w:val="en-GB" w:eastAsia="en-US"/>
        </w:rPr>
      </w:pPr>
      <w:r>
        <w:rPr>
          <w:rFonts w:ascii="Arial" w:hAnsi="Arial" w:cs="Arial"/>
          <w:b w:val="0"/>
          <w:lang w:val="en-GB" w:eastAsia="en-US"/>
        </w:rPr>
        <w:t>9. Methodological Quality</w:t>
      </w:r>
    </w:p>
    <w:p w14:paraId="61BE3BE7" w14:textId="77777777" w:rsidR="00825A76" w:rsidRDefault="00825A76" w:rsidP="00825A76">
      <w:pPr>
        <w:pStyle w:val="Heading2"/>
        <w:rPr>
          <w:rFonts w:ascii="Arial" w:hAnsi="Arial" w:cs="Arial"/>
          <w:b w:val="0"/>
          <w:lang w:val="en-GB" w:eastAsia="en-US"/>
        </w:rPr>
      </w:pPr>
      <w:r>
        <w:rPr>
          <w:rFonts w:ascii="Arial" w:hAnsi="Arial" w:cs="Arial"/>
          <w:b w:val="0"/>
          <w:lang w:val="en-GB" w:eastAsia="en-US"/>
        </w:rPr>
        <w:t>Narrative review without PRISMA methodology, described search strategy, or inclusion/exclusion criteria. No formal evidence grading or distinction between in vitro, animal, and human evidence. No conflict of interest statement.</w:t>
      </w:r>
    </w:p>
    <w:p w14:paraId="5A0CFFB5" w14:textId="77777777" w:rsidR="00825A76" w:rsidRDefault="00825A76" w:rsidP="00825A76">
      <w:pPr>
        <w:pStyle w:val="Heading2"/>
        <w:rPr>
          <w:rFonts w:ascii="Arial" w:hAnsi="Arial" w:cs="Arial"/>
          <w:b w:val="0"/>
          <w:lang w:val="en-GB" w:eastAsia="en-US"/>
        </w:rPr>
      </w:pPr>
      <w:r>
        <w:rPr>
          <w:rFonts w:ascii="Arial" w:hAnsi="Arial" w:cs="Arial"/>
          <w:b w:val="0"/>
          <w:lang w:val="en-GB" w:eastAsia="en-US"/>
        </w:rPr>
        <w:t>10. Overall Assessment</w:t>
      </w:r>
    </w:p>
    <w:p w14:paraId="2690FF75" w14:textId="76A8B2C8" w:rsidR="00825A76" w:rsidRPr="003D5073" w:rsidRDefault="00825A76" w:rsidP="00825A76">
      <w:pPr>
        <w:spacing w:before="100" w:beforeAutospacing="1" w:after="0" w:line="360" w:lineRule="auto"/>
        <w:jc w:val="both"/>
        <w:rPr>
          <w:rFonts w:ascii="Times New Roman" w:eastAsia="SimSun" w:hAnsi="Times New Roman" w:cs="Times New Roman"/>
          <w:color w:val="1E2D24"/>
          <w:sz w:val="24"/>
          <w:szCs w:val="24"/>
        </w:rPr>
      </w:pPr>
      <w:r>
        <w:rPr>
          <w:rFonts w:ascii="Arial" w:hAnsi="Arial" w:cs="Arial"/>
          <w:b/>
          <w:lang w:val="en-GB"/>
        </w:rPr>
        <w:t xml:space="preserve">A sophisticated but ideologically positioned review advancing a specific regulatory philosophy—minimizing precautionary responses to trace-level synthetics—through selective emphasis and disciplinary narrowing. Valuable for timely policy integration and clear physiology exposition, but it risks legitimizing </w:t>
      </w:r>
      <w:proofErr w:type="spellStart"/>
      <w:r>
        <w:rPr>
          <w:rFonts w:ascii="Arial" w:hAnsi="Arial" w:cs="Arial"/>
          <w:b/>
          <w:lang w:val="en-GB"/>
        </w:rPr>
        <w:t>underregulation</w:t>
      </w:r>
      <w:proofErr w:type="spellEnd"/>
      <w:r>
        <w:rPr>
          <w:rFonts w:ascii="Arial" w:hAnsi="Arial" w:cs="Arial"/>
          <w:b/>
          <w:lang w:val="en-GB"/>
        </w:rPr>
        <w:t xml:space="preserve"> of novel chemicals while blaming rational public responses to uncertainty. Should be read as an argument for a particular regulatory approach, not a neutral scientific synthesis.</w:t>
      </w:r>
    </w:p>
    <w:p w14:paraId="743418A4" w14:textId="77777777" w:rsidR="00E85134" w:rsidRDefault="006C0992">
      <w:pPr>
        <w:numPr>
          <w:ilvl w:val="0"/>
          <w:numId w:val="1"/>
        </w:num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The Limits of Mixture Toxicology</w:t>
      </w:r>
    </w:p>
    <w:p w14:paraId="0DA2306F"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3.1 The Cocktail Effect and Low Dose Hypotheses</w:t>
      </w:r>
    </w:p>
    <w:p w14:paraId="2228D8AF"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The "cocktail effect"—the hypothesis that simultaneous exposure to multiple chemicals at individually sub-threshold concentrations may produce additive or synergistic adverse effects—represents one of the most contested concepts in contemporary toxicology. Proponents argue that </w:t>
      </w:r>
      <w:r>
        <w:rPr>
          <w:rFonts w:ascii="Times New Roman" w:eastAsia="SimSun" w:hAnsi="Times New Roman" w:cs="Times New Roman"/>
          <w:color w:val="1E2D24"/>
          <w:sz w:val="24"/>
          <w:szCs w:val="24"/>
        </w:rPr>
        <w:lastRenderedPageBreak/>
        <w:t xml:space="preserve">traditional single-chemical risk assessments systematically underestimate the true risk from </w:t>
      </w:r>
      <w:proofErr w:type="spellStart"/>
      <w:r>
        <w:rPr>
          <w:rFonts w:ascii="Times New Roman" w:eastAsia="SimSun" w:hAnsi="Times New Roman" w:cs="Times New Roman"/>
          <w:color w:val="1E2D24"/>
          <w:sz w:val="24"/>
          <w:szCs w:val="24"/>
        </w:rPr>
        <w:t>realworld</w:t>
      </w:r>
      <w:proofErr w:type="spellEnd"/>
      <w:r>
        <w:rPr>
          <w:rFonts w:ascii="Times New Roman" w:eastAsia="SimSun" w:hAnsi="Times New Roman" w:cs="Times New Roman"/>
          <w:color w:val="1E2D24"/>
          <w:sz w:val="24"/>
          <w:szCs w:val="24"/>
        </w:rPr>
        <w:t xml:space="preserve"> exposures, which invariably involve complex chemical mixtures at low doses (</w:t>
      </w:r>
      <w:proofErr w:type="spellStart"/>
      <w:r>
        <w:rPr>
          <w:rFonts w:ascii="Times New Roman" w:eastAsia="SimSun" w:hAnsi="Times New Roman" w:cs="Times New Roman"/>
          <w:color w:val="1E2D24"/>
          <w:sz w:val="24"/>
          <w:szCs w:val="24"/>
        </w:rPr>
        <w:t>Kortenkamp</w:t>
      </w:r>
      <w:proofErr w:type="spellEnd"/>
      <w:r>
        <w:rPr>
          <w:rFonts w:ascii="Times New Roman" w:eastAsia="SimSun" w:hAnsi="Times New Roman" w:cs="Times New Roman"/>
          <w:color w:val="1E2D24"/>
          <w:sz w:val="24"/>
          <w:szCs w:val="24"/>
        </w:rPr>
        <w:t>, 2007). Critics counter that mixture effects at doses below individual NOAELs are biologically implausible for dissimilarly acting chemicals and that the precautionary application of mixture concepts to all chemical combinations generates unsustainable regulatory demands (Borgert et al., 2004).</w:t>
      </w:r>
    </w:p>
    <w:p w14:paraId="140D7A8F"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The toxicological basis for the cocktail effect depends critically on the mode of action of the constituent chemicals. For similarly acting agents—compounds that share a common mechanism of toxicity, such as organophosphorus pesticides inhibiting acetylcholinesterase—dose additivity is expected and has been demonstrated experimentally. The concentration addition model predicts that mixture effects will occur even when each component is present below its individual effect threshold, because the combined fractional contributions sum to an effective dose (Backhaus &amp; Faust, 2012). This principle has regulatory significance for chemical classes with shared mechanisms. For dissimilarly acting chemicals with independent mechanisms, however, the expectation of mixture effects at </w:t>
      </w:r>
      <w:proofErr w:type="spellStart"/>
      <w:r>
        <w:rPr>
          <w:rFonts w:ascii="Times New Roman" w:eastAsia="SimSun" w:hAnsi="Times New Roman" w:cs="Times New Roman"/>
          <w:color w:val="1E2D24"/>
          <w:sz w:val="24"/>
          <w:szCs w:val="24"/>
        </w:rPr>
        <w:t>subNOAEL</w:t>
      </w:r>
      <w:proofErr w:type="spellEnd"/>
      <w:r>
        <w:rPr>
          <w:rFonts w:ascii="Times New Roman" w:eastAsia="SimSun" w:hAnsi="Times New Roman" w:cs="Times New Roman"/>
          <w:color w:val="1E2D24"/>
          <w:sz w:val="24"/>
          <w:szCs w:val="24"/>
        </w:rPr>
        <w:t xml:space="preserve"> doses is not supported by current toxicological theory. Independent action models predict that combined effects will approximate the effect of the most potent individual component, with negligible contribution from compounds at doses below their effect thresholds (Bliss, 1939). Given the diversity of real world chemical mixtures, dissimilar action likely represents the default scenario for most environmental exposures, suggesting that the cocktail effect may have limited applicability beyond specific similarly acting chemical classes (COT, 2002). The low dose hypothesis specifically, the claim that certain chemicals produce effects at concentrations below their established NOAELs through no monotonic dose response relationships has generated particular controversy in the context of endocrine disrupting chemicals (EDCs). Proponents cite evidence that hormones and hormonally active compounds can produce inverted </w:t>
      </w:r>
      <w:proofErr w:type="spellStart"/>
      <w:r>
        <w:rPr>
          <w:rFonts w:ascii="Times New Roman" w:eastAsia="SimSun" w:hAnsi="Times New Roman" w:cs="Times New Roman"/>
          <w:color w:val="1E2D24"/>
          <w:sz w:val="24"/>
          <w:szCs w:val="24"/>
        </w:rPr>
        <w:t>Ushaped</w:t>
      </w:r>
      <w:proofErr w:type="spellEnd"/>
      <w:r>
        <w:rPr>
          <w:rFonts w:ascii="Times New Roman" w:eastAsia="SimSun" w:hAnsi="Times New Roman" w:cs="Times New Roman"/>
          <w:color w:val="1E2D24"/>
          <w:sz w:val="24"/>
          <w:szCs w:val="24"/>
        </w:rPr>
        <w:t xml:space="preserve"> dose response curves, with stimulatory effects at low doses and inhibitory effects at high doses (Vandenberg et al., 2012). Critics argue that apparent no monotonicity often reflects experimental artifacts, including study design limitations, stochastic variation at low effect sizes, and cytotoxicity confounding at high doses (Bezanson &amp; Lipp, 2019).</w:t>
      </w:r>
    </w:p>
    <w:p w14:paraId="64237047"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Resolution of this debate has taken on renewed regulatory significance. The Endocrine Society issued a revised position statement in 2024 reaffirming that no monotonic dose responses (NMDR) </w:t>
      </w:r>
      <w:r>
        <w:rPr>
          <w:rFonts w:ascii="Times New Roman" w:eastAsia="SimSun" w:hAnsi="Times New Roman" w:cs="Times New Roman"/>
          <w:color w:val="1E2D24"/>
          <w:sz w:val="24"/>
          <w:szCs w:val="24"/>
        </w:rPr>
        <w:lastRenderedPageBreak/>
        <w:t>are extensively demonstrated in animal and cellular models, with epidemiological studies increasingly revealing their existence in human populations (Endocrine Society, 2024). The Society explicitly states that NMDR "does not guarantee that the lack of adverse effects at high doses also confirms safety at low doses" and supports hazard based regulatory approaches for EDCs that consider the fundamental properties of the chemical rather than traditional threshold based risk assessment (Zoeller et al., 2024). This represents a significant shift from earlier skeptical positions and carries substantial implications for regulatory testing paradigms, which traditionally rely on high dose testing with downward extrapolation.</w:t>
      </w:r>
    </w:p>
    <w:p w14:paraId="3E9733B4"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3.2 Technical Challenges in Multi Chemical Assessment</w:t>
      </w:r>
    </w:p>
    <w:p w14:paraId="49A7470C"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Assessing the toxicological impact of real world chemical mixtures presents formidable technical challenges. The number of possible chemical combinations in the environment is effectively infinite, and testing even a small fraction of binary or ternary mixtures at multiple doses is prohibitively resource intensive. Whole mixture testing of environmental samples (e.g., wastewater effluents, drinking water, house dust) offers an alternative approach, using bioassays to characterize aggregate biological activity without requiring identification of all constituent chemicals (Escher et al., 2014). However, this approach sacrifices mechanistic understanding and cannot attribute effects to specific causative agents.</w:t>
      </w:r>
    </w:p>
    <w:p w14:paraId="315D7C37"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High throughput screening programs, such as the U.S. Environmental Protection Agency's </w:t>
      </w:r>
      <w:proofErr w:type="spellStart"/>
      <w:r>
        <w:rPr>
          <w:rFonts w:ascii="Times New Roman" w:eastAsia="SimSun" w:hAnsi="Times New Roman" w:cs="Times New Roman"/>
          <w:color w:val="1E2D24"/>
          <w:sz w:val="24"/>
          <w:szCs w:val="24"/>
        </w:rPr>
        <w:t>ToxCast</w:t>
      </w:r>
      <w:proofErr w:type="spellEnd"/>
      <w:r>
        <w:rPr>
          <w:rFonts w:ascii="Times New Roman" w:eastAsia="SimSun" w:hAnsi="Times New Roman" w:cs="Times New Roman"/>
          <w:color w:val="1E2D24"/>
          <w:sz w:val="24"/>
          <w:szCs w:val="24"/>
        </w:rPr>
        <w:t xml:space="preserve"> and Tox21 initiatives, employ in vitro assays to characterize the bioactivity of thousands of chemicals across hundreds of biological pathways. These programs have generated unprecedented datasets on chemical bioactivity profiles and have enabled the development of adverse outcome pathway (AOP) frameworks linking molecular initiating events to apical toxicological endpoints (Ankley et al., 2010). Nevertheless, the translation of high throughput in vitro data to in vivo dose response relationships remains uncertain, particularly for compounds with limited pharmacokinetic data. The challenge of in </w:t>
      </w:r>
      <w:proofErr w:type="spellStart"/>
      <w:r>
        <w:rPr>
          <w:rFonts w:ascii="Times New Roman" w:eastAsia="SimSun" w:hAnsi="Times New Roman" w:cs="Times New Roman"/>
          <w:color w:val="1E2D24"/>
          <w:sz w:val="24"/>
          <w:szCs w:val="24"/>
        </w:rPr>
        <w:t>vitrotoin</w:t>
      </w:r>
      <w:proofErr w:type="spellEnd"/>
      <w:r>
        <w:rPr>
          <w:rFonts w:ascii="Times New Roman" w:eastAsia="SimSun" w:hAnsi="Times New Roman" w:cs="Times New Roman"/>
          <w:color w:val="1E2D24"/>
          <w:sz w:val="24"/>
          <w:szCs w:val="24"/>
        </w:rPr>
        <w:t xml:space="preserve"> vivo extrapolation (IVIVE) represents a critical bottleneck in the application of high throughput methods to regulatory risk assessment.</w:t>
      </w:r>
    </w:p>
    <w:p w14:paraId="6A731030" w14:textId="77777777" w:rsidR="00E85134" w:rsidRDefault="00E85134">
      <w:pPr>
        <w:spacing w:before="100" w:beforeAutospacing="1" w:after="0" w:line="360" w:lineRule="auto"/>
        <w:jc w:val="both"/>
        <w:rPr>
          <w:rFonts w:ascii="Times New Roman" w:eastAsia="SimSun" w:hAnsi="Times New Roman" w:cs="Times New Roman"/>
          <w:color w:val="1E2D24"/>
          <w:sz w:val="24"/>
          <w:szCs w:val="24"/>
        </w:rPr>
      </w:pPr>
    </w:p>
    <w:p w14:paraId="5B40E2D8"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lastRenderedPageBreak/>
        <w:t xml:space="preserve">Recent validation work has confirmed the persistence of this bottleneck. A 2025 study in Frontiers in Toxicology evaluated sensitivity analysis of bioactivity exposure ratio calculations using </w:t>
      </w:r>
      <w:proofErr w:type="spellStart"/>
      <w:r>
        <w:rPr>
          <w:rFonts w:ascii="Times New Roman" w:eastAsia="SimSun" w:hAnsi="Times New Roman" w:cs="Times New Roman"/>
          <w:color w:val="1E2D24"/>
          <w:sz w:val="24"/>
          <w:szCs w:val="24"/>
        </w:rPr>
        <w:t>ToxCast</w:t>
      </w:r>
      <w:proofErr w:type="spellEnd"/>
      <w:r>
        <w:rPr>
          <w:rFonts w:ascii="Times New Roman" w:eastAsia="SimSun" w:hAnsi="Times New Roman" w:cs="Times New Roman"/>
          <w:color w:val="1E2D24"/>
          <w:sz w:val="24"/>
          <w:szCs w:val="24"/>
        </w:rPr>
        <w:t xml:space="preserve"> data (</w:t>
      </w:r>
      <w:proofErr w:type="spellStart"/>
      <w:r>
        <w:rPr>
          <w:rFonts w:ascii="Times New Roman" w:eastAsia="SimSun" w:hAnsi="Times New Roman" w:cs="Times New Roman"/>
          <w:color w:val="1E2D24"/>
          <w:sz w:val="24"/>
          <w:szCs w:val="24"/>
        </w:rPr>
        <w:t>invitroDB</w:t>
      </w:r>
      <w:proofErr w:type="spellEnd"/>
      <w:r>
        <w:rPr>
          <w:rFonts w:ascii="Times New Roman" w:eastAsia="SimSun" w:hAnsi="Times New Roman" w:cs="Times New Roman"/>
          <w:color w:val="1E2D24"/>
          <w:sz w:val="24"/>
          <w:szCs w:val="24"/>
        </w:rPr>
        <w:t xml:space="preserve"> v4.1) and physiologically based pharmacokinetic modeling, demonstrating that uncertainty in IVIVE parameters remains the dominant source of variability in </w:t>
      </w:r>
      <w:proofErr w:type="spellStart"/>
      <w:r>
        <w:rPr>
          <w:rFonts w:ascii="Times New Roman" w:eastAsia="SimSun" w:hAnsi="Times New Roman" w:cs="Times New Roman"/>
          <w:color w:val="1E2D24"/>
          <w:sz w:val="24"/>
          <w:szCs w:val="24"/>
        </w:rPr>
        <w:t>nextgeneration</w:t>
      </w:r>
      <w:proofErr w:type="spellEnd"/>
      <w:r>
        <w:rPr>
          <w:rFonts w:ascii="Times New Roman" w:eastAsia="SimSun" w:hAnsi="Times New Roman" w:cs="Times New Roman"/>
          <w:color w:val="1E2D24"/>
          <w:sz w:val="24"/>
          <w:szCs w:val="24"/>
        </w:rPr>
        <w:t xml:space="preserve"> risk predictions (Thompson et al., 2025). While the </w:t>
      </w:r>
      <w:proofErr w:type="spellStart"/>
      <w:r>
        <w:rPr>
          <w:rFonts w:ascii="Times New Roman" w:eastAsia="SimSun" w:hAnsi="Times New Roman" w:cs="Times New Roman"/>
          <w:color w:val="1E2D24"/>
          <w:sz w:val="24"/>
          <w:szCs w:val="24"/>
        </w:rPr>
        <w:t>ToxCast</w:t>
      </w:r>
      <w:proofErr w:type="spellEnd"/>
      <w:r>
        <w:rPr>
          <w:rFonts w:ascii="Times New Roman" w:eastAsia="SimSun" w:hAnsi="Times New Roman" w:cs="Times New Roman"/>
          <w:color w:val="1E2D24"/>
          <w:sz w:val="24"/>
          <w:szCs w:val="24"/>
        </w:rPr>
        <w:t xml:space="preserve"> database has expanded to encompass nearly 10,000 chemicals across more than 1,000 assays, the challenge of translating high throughput in vitro findings to physiologically relevant in vivo dose response relationships continues to constrain regulatory application.</w:t>
      </w:r>
    </w:p>
    <w:p w14:paraId="634B5767"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4. The Psychology of Risk Perception</w:t>
      </w:r>
    </w:p>
    <w:p w14:paraId="5C64E993"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4.1 The Naturalness Heuristic and Synthetic Bias</w:t>
      </w:r>
    </w:p>
    <w:p w14:paraId="2661A078"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Human risk perception does not operate as a rational calculator of expected values; rather, it is shaped by a constellation of cognitive heuristics, affective responses, and cultural values that systematically bias judgments away from objective statistical risk. The foundational work of </w:t>
      </w:r>
      <w:proofErr w:type="spellStart"/>
      <w:r>
        <w:rPr>
          <w:rFonts w:ascii="Times New Roman" w:eastAsia="SimSun" w:hAnsi="Times New Roman" w:cs="Times New Roman"/>
          <w:color w:val="1E2D24"/>
          <w:sz w:val="24"/>
          <w:szCs w:val="24"/>
        </w:rPr>
        <w:t>Slovic</w:t>
      </w:r>
      <w:proofErr w:type="spellEnd"/>
      <w:r>
        <w:rPr>
          <w:rFonts w:ascii="Times New Roman" w:eastAsia="SimSun" w:hAnsi="Times New Roman" w:cs="Times New Roman"/>
          <w:color w:val="1E2D24"/>
          <w:sz w:val="24"/>
          <w:szCs w:val="24"/>
        </w:rPr>
        <w:t xml:space="preserve">, </w:t>
      </w:r>
      <w:proofErr w:type="spellStart"/>
      <w:r>
        <w:rPr>
          <w:rFonts w:ascii="Times New Roman" w:eastAsia="SimSun" w:hAnsi="Times New Roman" w:cs="Times New Roman"/>
          <w:color w:val="1E2D24"/>
          <w:sz w:val="24"/>
          <w:szCs w:val="24"/>
        </w:rPr>
        <w:t>Fischhoff</w:t>
      </w:r>
      <w:proofErr w:type="spellEnd"/>
      <w:r>
        <w:rPr>
          <w:rFonts w:ascii="Times New Roman" w:eastAsia="SimSun" w:hAnsi="Times New Roman" w:cs="Times New Roman"/>
          <w:color w:val="1E2D24"/>
          <w:sz w:val="24"/>
          <w:szCs w:val="24"/>
        </w:rPr>
        <w:t>, and Lichtenstein demonstrated that perceived risk is determined not only by the probability and magnitude of harm but also by qualitative risk characteristics including voluntariness, dread, familiarity, and perceived control (</w:t>
      </w:r>
      <w:proofErr w:type="spellStart"/>
      <w:r>
        <w:rPr>
          <w:rFonts w:ascii="Times New Roman" w:eastAsia="SimSun" w:hAnsi="Times New Roman" w:cs="Times New Roman"/>
          <w:color w:val="1E2D24"/>
          <w:sz w:val="24"/>
          <w:szCs w:val="24"/>
        </w:rPr>
        <w:t>Slovic</w:t>
      </w:r>
      <w:proofErr w:type="spellEnd"/>
      <w:r>
        <w:rPr>
          <w:rFonts w:ascii="Times New Roman" w:eastAsia="SimSun" w:hAnsi="Times New Roman" w:cs="Times New Roman"/>
          <w:color w:val="1E2D24"/>
          <w:sz w:val="24"/>
          <w:szCs w:val="24"/>
        </w:rPr>
        <w:t>, 1987).</w:t>
      </w:r>
    </w:p>
    <w:p w14:paraId="0A55DCEF"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Among the most consequential biases in chemical risk perception is the "naturalness heuristic"—the pervasive assumption that naturally occurring substances are inherently safer than synthetic counterparts. This heuristic manifests in consumer preferences for "natural" pesticides over synthetic ones, despite the absence of any toxicological basis for this distinction; the naturalness of a compound provides no information about its potency, mechanism, or dose response characteristics (Rozin, 2005). Indeed, many of the most potent toxins known are of natural origin: aflatoxin B1, produced by Aspergillus flavus, is among the most potent hepatocarcinogens ever characterized, with a TD50 in rats of approximately 3.2 </w:t>
      </w:r>
      <w:proofErr w:type="spellStart"/>
      <w:r>
        <w:rPr>
          <w:rFonts w:ascii="Times New Roman" w:eastAsia="SimSun" w:hAnsi="Times New Roman" w:cs="Times New Roman"/>
          <w:color w:val="1E2D24"/>
          <w:sz w:val="24"/>
          <w:szCs w:val="24"/>
        </w:rPr>
        <w:t>μg</w:t>
      </w:r>
      <w:proofErr w:type="spellEnd"/>
      <w:r>
        <w:rPr>
          <w:rFonts w:ascii="Times New Roman" w:eastAsia="SimSun" w:hAnsi="Times New Roman" w:cs="Times New Roman"/>
          <w:color w:val="1E2D24"/>
          <w:sz w:val="24"/>
          <w:szCs w:val="24"/>
        </w:rPr>
        <w:t>/kg/day (</w:t>
      </w:r>
      <w:proofErr w:type="spellStart"/>
      <w:r>
        <w:rPr>
          <w:rFonts w:ascii="Times New Roman" w:eastAsia="SimSun" w:hAnsi="Times New Roman" w:cs="Times New Roman"/>
          <w:color w:val="1E2D24"/>
          <w:sz w:val="24"/>
          <w:szCs w:val="24"/>
        </w:rPr>
        <w:t>Wogan</w:t>
      </w:r>
      <w:proofErr w:type="spellEnd"/>
      <w:r>
        <w:rPr>
          <w:rFonts w:ascii="Times New Roman" w:eastAsia="SimSun" w:hAnsi="Times New Roman" w:cs="Times New Roman"/>
          <w:color w:val="1E2D24"/>
          <w:sz w:val="24"/>
          <w:szCs w:val="24"/>
        </w:rPr>
        <w:t xml:space="preserve"> et al., 2012). Botulinum toxin, produced by Clostridium botulinum, is the most acutely toxic substance known, with an estimated human lethal dose of approximately 1 nanogram per kilogram body weight (Arnon et al., 2001).</w:t>
      </w:r>
    </w:p>
    <w:p w14:paraId="1B097F4A"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lastRenderedPageBreak/>
        <w:t>The synthetic bias extends beyond individual product choices to influence regulatory priorities and media coverage. Synthetic pesticides receive disproportionate regulatory and public attention relative to natural toxins of comparable or greater potency, reflecting what Kennedy (2016) terms "chemophobia"—a learned aversion to synthetic chemicals that functions as a "nonclinical prejudice" analogous to other forms of in group out-group bias. This perceptual asymmetry has tangible consequences: regulatory resources are diverted from higher impact hazards, consumer anxiety generates demand for unproven "detox" products, and beneficial technologies (including genetically modified crops with reduced pesticide requirements) face public opposition rooted in synthetic aversion rather than risk assessment.</w:t>
      </w:r>
    </w:p>
    <w:p w14:paraId="5664F1C7"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4.2 Lifestyle Toxins: The Case of Ethanol</w:t>
      </w:r>
    </w:p>
    <w:p w14:paraId="799C4C76"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Perhaps nowhere is the disconnect between risk perception and objective harm more evident than in the societal treatment of ethanol. Classified as a Group 1 carcinogen by the International Agency for Research on Cancer (IARC) since 1988—indicating sufficient evidence of carcinogenicity in humans—ethanol consumption causes cancers of the oral cavity, pharynx, larynx, esophagus, liver, colorectum, and female breast (IARC, 2012). The mechanistic basis for ethanol carcinogenicity is well established: metabolism via alcohol dehydrogenase produces acetaldehyde, a reactive metabolite that forms DNA adducts, induces oxidative stress through CYP2E1mediated radical generation, and disrupts folate metabolism (Seitz &amp; Stickel, 2007). In 2020, an estimated 741,300 new cancer cases worldwide were attributable to alcohol consumption, representing 4.1% of all incident cancers (</w:t>
      </w:r>
      <w:proofErr w:type="spellStart"/>
      <w:r>
        <w:rPr>
          <w:rFonts w:ascii="Times New Roman" w:eastAsia="SimSun" w:hAnsi="Times New Roman" w:cs="Times New Roman"/>
          <w:color w:val="1E2D24"/>
          <w:sz w:val="24"/>
          <w:szCs w:val="24"/>
        </w:rPr>
        <w:t>Rumgay</w:t>
      </w:r>
      <w:proofErr w:type="spellEnd"/>
      <w:r>
        <w:rPr>
          <w:rFonts w:ascii="Times New Roman" w:eastAsia="SimSun" w:hAnsi="Times New Roman" w:cs="Times New Roman"/>
          <w:color w:val="1E2D24"/>
          <w:sz w:val="24"/>
          <w:szCs w:val="24"/>
        </w:rPr>
        <w:t xml:space="preserve"> et al., 2021).</w:t>
      </w:r>
    </w:p>
    <w:p w14:paraId="7C2E3DA7"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Despite this unequivocal evidence of carcinogenicity, ethanol maintains a unique cultural and social status. Unlike tobacco, which has undergone progressive stigmatization and regulatory restriction, alcohol consumption remains normative across most societies, with drinking often positioned as a marker of sociability, celebration, and adult status. This social normalization stands in stark contrast to the alarm directed at trace level synthetic chemical exposures that pose demonstrably smaller population level risks. The WHO European Region exemplifies this paradox: while less than half of Europeans correctly identify alcohol as a cancer risk factor, awareness of the alcohol breast cancer link stands at only 10–20% (WHO, 2024).</w:t>
      </w:r>
    </w:p>
    <w:p w14:paraId="15003A5D"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lastRenderedPageBreak/>
        <w:t>This perceptual and policy landscape shifted dramatically in early 2025. On January 3, 2025, U.S. Surgeon General Dr. Vivek Murthy issued a landmark advisory calling for updated warning labels on alcoholic beverage containers to indicate that drinking alcohol carries an increased risk for at least seven types of cancer, including breast, colon, and liver cancer (U.S. Surgeon General, 2025). This advisory explicitly framed alcohol consumption as a preventable cause of cancer and recommended policy interventions including warning labels, revised alcohol consumption limits, and increased public education. The impact was immediate and measurable: an Annenberg Public Policy Center survey conducted January–February 2025 found that 56% of Americans recognized that regular alcohol consumption increases cancer risk—up from just 40% in September 2024—directly attributable to the Surgeon General's advisory (Annenberg Public Policy Center, 2025).</w:t>
      </w:r>
    </w:p>
    <w:p w14:paraId="44CBBDA7"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The World Health Organization has concurrently intensified its messaging, reaffirming in 2025 that alcohol is a Group 1 carcinogen and emphasizing that even small amounts increase cancer risk, with almost a third of alcohol attributable breast cancers in the European Region resulting from drinking no more than 1–2 beverages per day (WHO, 2025). The WHO explicitly states that "when it comes to alcohol consumption, there is no safe amount that does not affect health"—a position that strengthens the evidentiary foundation for classifying ethanol as a paradigmatic Tier I hazard requiring immediate regulatory intervention.</w:t>
      </w:r>
    </w:p>
    <w:p w14:paraId="57378E87"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The ethanol case illustrates a broader principle: risk perception is powerfully modulated by perceived benefit, cultural embeddedness, and personal agency. Ethanol consumption is voluntary, socially rewarded, and associated with perceived psychological benefits (stress reduction, social facilitation), all factors that attenuate risk perception according to </w:t>
      </w:r>
      <w:proofErr w:type="spellStart"/>
      <w:r>
        <w:rPr>
          <w:rFonts w:ascii="Times New Roman" w:eastAsia="SimSun" w:hAnsi="Times New Roman" w:cs="Times New Roman"/>
          <w:color w:val="1E2D24"/>
          <w:sz w:val="24"/>
          <w:szCs w:val="24"/>
        </w:rPr>
        <w:t>Slovic's</w:t>
      </w:r>
      <w:proofErr w:type="spellEnd"/>
      <w:r>
        <w:rPr>
          <w:rFonts w:ascii="Times New Roman" w:eastAsia="SimSun" w:hAnsi="Times New Roman" w:cs="Times New Roman"/>
          <w:color w:val="1E2D24"/>
          <w:sz w:val="24"/>
          <w:szCs w:val="24"/>
        </w:rPr>
        <w:t xml:space="preserve"> psychometric model. Synthetic chemical exposures, by contrast, are typically involuntary, invisible, and unaccompanied by compensatory benefits, amplifying their perceived risk regardless of objective hazard magnitude. The 2025 Surgeon General advisory represents a significant, if belated, attempt to re-calibrate this perceptual asymmetry and align public understanding with the objective magnitude of ethanol's carcinogenic hazard.</w:t>
      </w:r>
    </w:p>
    <w:p w14:paraId="0963A93D"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5. Comparative Analysis: Perception versus Evidence</w:t>
      </w:r>
    </w:p>
    <w:p w14:paraId="4F60349E" w14:textId="77777777" w:rsidR="00E85134" w:rsidRDefault="006C0992">
      <w:pPr>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lastRenderedPageBreak/>
        <w:t>Table 1 presents a structured comparison of commonly feared synthetic chemicals against clinically proven high impact toxins across dimensions of public perception, regulatory status, and toxicological evidence. This comparison is not intended to minimize legitimate concerns about chemical safety but rather to contextualize risk priorities against empirical evidence of harm.</w:t>
      </w:r>
    </w:p>
    <w:p w14:paraId="38CF78BA"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Table 1. Comparison of commonly feared synthetic chemicals versus clinically proven high- impact toxins across perception, potency, and evidence domains.</w:t>
      </w:r>
    </w:p>
    <w:p w14:paraId="0A573D8F" w14:textId="77777777" w:rsidR="00E85134" w:rsidRDefault="006C0992">
      <w:pPr>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w:t>
      </w:r>
    </w:p>
    <w:tbl>
      <w:tblPr>
        <w:tblStyle w:val="TableGrid"/>
        <w:tblW w:w="5761" w:type="pct"/>
        <w:tblInd w:w="-635" w:type="dxa"/>
        <w:tblLook w:val="04A0" w:firstRow="1" w:lastRow="0" w:firstColumn="1" w:lastColumn="0" w:noHBand="0" w:noVBand="1"/>
      </w:tblPr>
      <w:tblGrid>
        <w:gridCol w:w="1567"/>
        <w:gridCol w:w="1536"/>
        <w:gridCol w:w="1438"/>
        <w:gridCol w:w="1355"/>
        <w:gridCol w:w="2624"/>
        <w:gridCol w:w="2253"/>
      </w:tblGrid>
      <w:tr w:rsidR="00E85134" w14:paraId="777F4165" w14:textId="77777777">
        <w:trPr>
          <w:trHeight w:val="756"/>
        </w:trPr>
        <w:tc>
          <w:tcPr>
            <w:tcW w:w="1587" w:type="dxa"/>
            <w:tcBorders>
              <w:top w:val="single" w:sz="4" w:space="0" w:color="auto"/>
              <w:left w:val="single" w:sz="4" w:space="0" w:color="auto"/>
              <w:bottom w:val="single" w:sz="4" w:space="0" w:color="auto"/>
              <w:right w:val="single" w:sz="4" w:space="0" w:color="auto"/>
            </w:tcBorders>
          </w:tcPr>
          <w:p w14:paraId="4FE13D16" w14:textId="77777777" w:rsidR="00E85134" w:rsidRDefault="006C0992">
            <w:pPr>
              <w:spacing w:before="100" w:beforeAutospacing="1" w:after="0" w:line="273" w:lineRule="auto"/>
              <w:jc w:val="both"/>
              <w:rPr>
                <w:rFonts w:eastAsia="SimSun"/>
                <w:color w:val="1E2D24"/>
                <w:sz w:val="24"/>
                <w:szCs w:val="24"/>
              </w:rPr>
            </w:pPr>
            <w:r>
              <w:rPr>
                <w:rFonts w:eastAsia="SimSun"/>
                <w:b/>
                <w:color w:val="1E2D24"/>
                <w:sz w:val="24"/>
                <w:szCs w:val="24"/>
              </w:rPr>
              <w:t>Category</w:t>
            </w:r>
          </w:p>
        </w:tc>
        <w:tc>
          <w:tcPr>
            <w:tcW w:w="1493" w:type="dxa"/>
            <w:tcBorders>
              <w:top w:val="single" w:sz="4" w:space="0" w:color="auto"/>
              <w:left w:val="single" w:sz="4" w:space="0" w:color="auto"/>
              <w:bottom w:val="single" w:sz="4" w:space="0" w:color="auto"/>
              <w:right w:val="single" w:sz="4" w:space="0" w:color="auto"/>
            </w:tcBorders>
          </w:tcPr>
          <w:p w14:paraId="0EF1604B" w14:textId="77777777" w:rsidR="00E85134" w:rsidRDefault="006C0992">
            <w:pPr>
              <w:spacing w:before="100" w:beforeAutospacing="1" w:after="0" w:line="273" w:lineRule="auto"/>
              <w:jc w:val="both"/>
              <w:rPr>
                <w:rFonts w:eastAsia="SimSun"/>
                <w:color w:val="1E2D24"/>
                <w:sz w:val="24"/>
                <w:szCs w:val="24"/>
              </w:rPr>
            </w:pPr>
            <w:r>
              <w:rPr>
                <w:rFonts w:eastAsia="SimSun"/>
                <w:b/>
                <w:color w:val="1E2D24"/>
                <w:sz w:val="24"/>
                <w:szCs w:val="24"/>
              </w:rPr>
              <w:t>Compound</w:t>
            </w:r>
          </w:p>
        </w:tc>
        <w:tc>
          <w:tcPr>
            <w:tcW w:w="1440" w:type="dxa"/>
            <w:tcBorders>
              <w:top w:val="single" w:sz="4" w:space="0" w:color="auto"/>
              <w:left w:val="single" w:sz="4" w:space="0" w:color="auto"/>
              <w:bottom w:val="single" w:sz="4" w:space="0" w:color="auto"/>
              <w:right w:val="single" w:sz="4" w:space="0" w:color="auto"/>
            </w:tcBorders>
          </w:tcPr>
          <w:p w14:paraId="5D07D4EB" w14:textId="77777777" w:rsidR="00E85134" w:rsidRDefault="006C0992">
            <w:pPr>
              <w:spacing w:before="100" w:beforeAutospacing="1" w:after="0" w:line="273" w:lineRule="auto"/>
              <w:jc w:val="both"/>
              <w:rPr>
                <w:rFonts w:eastAsia="SimSun"/>
                <w:color w:val="1E2D24"/>
                <w:sz w:val="24"/>
                <w:szCs w:val="24"/>
              </w:rPr>
            </w:pPr>
            <w:r>
              <w:rPr>
                <w:rFonts w:eastAsia="SimSun"/>
                <w:b/>
                <w:color w:val="1E2D24"/>
                <w:sz w:val="24"/>
                <w:szCs w:val="24"/>
              </w:rPr>
              <w:t>Source</w:t>
            </w:r>
          </w:p>
        </w:tc>
        <w:tc>
          <w:tcPr>
            <w:tcW w:w="1367" w:type="dxa"/>
            <w:tcBorders>
              <w:top w:val="single" w:sz="4" w:space="0" w:color="auto"/>
              <w:left w:val="single" w:sz="4" w:space="0" w:color="auto"/>
              <w:bottom w:val="single" w:sz="4" w:space="0" w:color="auto"/>
              <w:right w:val="single" w:sz="4" w:space="0" w:color="auto"/>
            </w:tcBorders>
          </w:tcPr>
          <w:p w14:paraId="108013A4" w14:textId="77777777" w:rsidR="00E85134" w:rsidRDefault="006C0992">
            <w:pPr>
              <w:spacing w:before="100" w:beforeAutospacing="1" w:after="0" w:line="273" w:lineRule="auto"/>
              <w:jc w:val="both"/>
              <w:rPr>
                <w:rFonts w:eastAsia="SimSun"/>
                <w:color w:val="1E2D24"/>
                <w:sz w:val="24"/>
                <w:szCs w:val="24"/>
              </w:rPr>
            </w:pPr>
            <w:r>
              <w:rPr>
                <w:rFonts w:eastAsia="SimSun"/>
                <w:b/>
                <w:color w:val="1E2D24"/>
                <w:sz w:val="24"/>
                <w:szCs w:val="24"/>
              </w:rPr>
              <w:t>LD50 (Acute)</w:t>
            </w:r>
          </w:p>
        </w:tc>
        <w:tc>
          <w:tcPr>
            <w:tcW w:w="2629" w:type="dxa"/>
            <w:tcBorders>
              <w:top w:val="single" w:sz="4" w:space="0" w:color="auto"/>
              <w:left w:val="single" w:sz="4" w:space="0" w:color="auto"/>
              <w:bottom w:val="single" w:sz="4" w:space="0" w:color="auto"/>
              <w:right w:val="single" w:sz="4" w:space="0" w:color="auto"/>
            </w:tcBorders>
          </w:tcPr>
          <w:p w14:paraId="1C7E2D02" w14:textId="77777777" w:rsidR="00E85134" w:rsidRDefault="006C0992">
            <w:pPr>
              <w:spacing w:before="100" w:beforeAutospacing="1" w:after="0" w:line="273" w:lineRule="auto"/>
              <w:jc w:val="both"/>
              <w:rPr>
                <w:rFonts w:eastAsia="SimSun"/>
                <w:color w:val="1E2D24"/>
                <w:sz w:val="24"/>
                <w:szCs w:val="24"/>
              </w:rPr>
            </w:pPr>
            <w:r>
              <w:rPr>
                <w:rFonts w:eastAsia="SimSun"/>
                <w:b/>
                <w:color w:val="1E2D24"/>
                <w:sz w:val="24"/>
                <w:szCs w:val="24"/>
              </w:rPr>
              <w:t>Common Perception</w:t>
            </w:r>
          </w:p>
        </w:tc>
        <w:tc>
          <w:tcPr>
            <w:tcW w:w="2257" w:type="dxa"/>
            <w:tcBorders>
              <w:top w:val="single" w:sz="4" w:space="0" w:color="auto"/>
              <w:left w:val="single" w:sz="4" w:space="0" w:color="auto"/>
              <w:bottom w:val="single" w:sz="4" w:space="0" w:color="auto"/>
              <w:right w:val="single" w:sz="4" w:space="0" w:color="auto"/>
            </w:tcBorders>
          </w:tcPr>
          <w:p w14:paraId="2F916292" w14:textId="77777777" w:rsidR="00E85134" w:rsidRDefault="006C0992">
            <w:pPr>
              <w:spacing w:before="100" w:beforeAutospacing="1" w:after="0" w:line="273" w:lineRule="auto"/>
              <w:jc w:val="both"/>
              <w:rPr>
                <w:rFonts w:eastAsia="SimSun"/>
                <w:color w:val="1E2D24"/>
                <w:sz w:val="24"/>
                <w:szCs w:val="24"/>
              </w:rPr>
            </w:pPr>
            <w:r>
              <w:rPr>
                <w:rFonts w:eastAsia="SimSun"/>
                <w:b/>
                <w:color w:val="1E2D24"/>
                <w:sz w:val="24"/>
                <w:szCs w:val="24"/>
              </w:rPr>
              <w:t>Clinical Reality</w:t>
            </w:r>
          </w:p>
        </w:tc>
      </w:tr>
      <w:tr w:rsidR="00E85134" w14:paraId="40F478AB" w14:textId="77777777">
        <w:trPr>
          <w:trHeight w:val="1890"/>
        </w:trPr>
        <w:tc>
          <w:tcPr>
            <w:tcW w:w="1587" w:type="dxa"/>
            <w:tcBorders>
              <w:top w:val="single" w:sz="4" w:space="0" w:color="auto"/>
              <w:left w:val="single" w:sz="4" w:space="0" w:color="auto"/>
              <w:bottom w:val="single" w:sz="4" w:space="0" w:color="auto"/>
              <w:right w:val="single" w:sz="4" w:space="0" w:color="auto"/>
            </w:tcBorders>
          </w:tcPr>
          <w:p w14:paraId="67FCAF08"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Synthetic</w:t>
            </w:r>
          </w:p>
        </w:tc>
        <w:tc>
          <w:tcPr>
            <w:tcW w:w="1493" w:type="dxa"/>
            <w:tcBorders>
              <w:top w:val="single" w:sz="4" w:space="0" w:color="auto"/>
              <w:left w:val="single" w:sz="4" w:space="0" w:color="auto"/>
              <w:bottom w:val="single" w:sz="4" w:space="0" w:color="auto"/>
              <w:right w:val="single" w:sz="4" w:space="0" w:color="auto"/>
            </w:tcBorders>
          </w:tcPr>
          <w:p w14:paraId="63D3C31C" w14:textId="77777777" w:rsidR="00E85134" w:rsidRDefault="006C0992">
            <w:pPr>
              <w:spacing w:before="100" w:beforeAutospacing="1" w:after="0" w:line="273" w:lineRule="auto"/>
              <w:jc w:val="both"/>
              <w:rPr>
                <w:rFonts w:eastAsia="SimSun"/>
                <w:color w:val="1E2D24"/>
                <w:sz w:val="24"/>
                <w:szCs w:val="24"/>
              </w:rPr>
            </w:pPr>
            <w:proofErr w:type="spellStart"/>
            <w:r>
              <w:rPr>
                <w:rFonts w:eastAsia="SimSun"/>
                <w:color w:val="4A5D4F"/>
                <w:sz w:val="24"/>
                <w:szCs w:val="24"/>
              </w:rPr>
              <w:t>Glycophosate</w:t>
            </w:r>
            <w:proofErr w:type="spellEnd"/>
          </w:p>
        </w:tc>
        <w:tc>
          <w:tcPr>
            <w:tcW w:w="1440" w:type="dxa"/>
            <w:tcBorders>
              <w:top w:val="single" w:sz="4" w:space="0" w:color="auto"/>
              <w:left w:val="single" w:sz="4" w:space="0" w:color="auto"/>
              <w:bottom w:val="single" w:sz="4" w:space="0" w:color="auto"/>
              <w:right w:val="single" w:sz="4" w:space="0" w:color="auto"/>
            </w:tcBorders>
          </w:tcPr>
          <w:p w14:paraId="4DF0F704"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Agricultural herbicide</w:t>
            </w:r>
          </w:p>
        </w:tc>
        <w:tc>
          <w:tcPr>
            <w:tcW w:w="1367" w:type="dxa"/>
            <w:tcBorders>
              <w:top w:val="single" w:sz="4" w:space="0" w:color="auto"/>
              <w:left w:val="single" w:sz="4" w:space="0" w:color="auto"/>
              <w:bottom w:val="single" w:sz="4" w:space="0" w:color="auto"/>
              <w:right w:val="single" w:sz="4" w:space="0" w:color="auto"/>
            </w:tcBorders>
          </w:tcPr>
          <w:p w14:paraId="3041393C"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&gt;4,320 mg/kg (rat)</w:t>
            </w:r>
          </w:p>
        </w:tc>
        <w:tc>
          <w:tcPr>
            <w:tcW w:w="2629" w:type="dxa"/>
            <w:tcBorders>
              <w:top w:val="single" w:sz="4" w:space="0" w:color="auto"/>
              <w:left w:val="single" w:sz="4" w:space="0" w:color="auto"/>
              <w:bottom w:val="single" w:sz="4" w:space="0" w:color="auto"/>
              <w:right w:val="single" w:sz="4" w:space="0" w:color="auto"/>
            </w:tcBorders>
          </w:tcPr>
          <w:p w14:paraId="513D7209"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High alarm; "toxic"</w:t>
            </w:r>
          </w:p>
        </w:tc>
        <w:tc>
          <w:tcPr>
            <w:tcW w:w="2257" w:type="dxa"/>
            <w:tcBorders>
              <w:top w:val="single" w:sz="4" w:space="0" w:color="auto"/>
              <w:left w:val="single" w:sz="4" w:space="0" w:color="auto"/>
              <w:bottom w:val="single" w:sz="4" w:space="0" w:color="auto"/>
              <w:right w:val="single" w:sz="4" w:space="0" w:color="auto"/>
            </w:tcBorders>
          </w:tcPr>
          <w:p w14:paraId="3D4CA8CC"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Low acute toxicity; multiple agencies conclude unlikely carcinogenic at trace levels</w:t>
            </w:r>
          </w:p>
        </w:tc>
      </w:tr>
      <w:tr w:rsidR="00E85134" w14:paraId="7B213B7E" w14:textId="77777777">
        <w:trPr>
          <w:trHeight w:val="1908"/>
        </w:trPr>
        <w:tc>
          <w:tcPr>
            <w:tcW w:w="1587" w:type="dxa"/>
            <w:tcBorders>
              <w:top w:val="single" w:sz="4" w:space="0" w:color="auto"/>
              <w:left w:val="single" w:sz="4" w:space="0" w:color="auto"/>
              <w:bottom w:val="single" w:sz="4" w:space="0" w:color="auto"/>
              <w:right w:val="single" w:sz="4" w:space="0" w:color="auto"/>
            </w:tcBorders>
          </w:tcPr>
          <w:p w14:paraId="7DC61ACC"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Natural</w:t>
            </w:r>
          </w:p>
        </w:tc>
        <w:tc>
          <w:tcPr>
            <w:tcW w:w="1493" w:type="dxa"/>
            <w:tcBorders>
              <w:top w:val="single" w:sz="4" w:space="0" w:color="auto"/>
              <w:left w:val="single" w:sz="4" w:space="0" w:color="auto"/>
              <w:bottom w:val="single" w:sz="4" w:space="0" w:color="auto"/>
              <w:right w:val="single" w:sz="4" w:space="0" w:color="auto"/>
            </w:tcBorders>
          </w:tcPr>
          <w:p w14:paraId="33FF0CC8"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Aflatoxin B1</w:t>
            </w:r>
          </w:p>
        </w:tc>
        <w:tc>
          <w:tcPr>
            <w:tcW w:w="1440" w:type="dxa"/>
            <w:tcBorders>
              <w:top w:val="single" w:sz="4" w:space="0" w:color="auto"/>
              <w:left w:val="single" w:sz="4" w:space="0" w:color="auto"/>
              <w:bottom w:val="single" w:sz="4" w:space="0" w:color="auto"/>
              <w:right w:val="single" w:sz="4" w:space="0" w:color="auto"/>
            </w:tcBorders>
          </w:tcPr>
          <w:p w14:paraId="5A9A141F"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Aspergillus flavus (fungal)</w:t>
            </w:r>
          </w:p>
        </w:tc>
        <w:tc>
          <w:tcPr>
            <w:tcW w:w="1367" w:type="dxa"/>
            <w:tcBorders>
              <w:top w:val="single" w:sz="4" w:space="0" w:color="auto"/>
              <w:left w:val="single" w:sz="4" w:space="0" w:color="auto"/>
              <w:bottom w:val="single" w:sz="4" w:space="0" w:color="auto"/>
              <w:right w:val="single" w:sz="4" w:space="0" w:color="auto"/>
            </w:tcBorders>
          </w:tcPr>
          <w:p w14:paraId="6402BD54"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0.3-17.9 mg/kg</w:t>
            </w:r>
          </w:p>
        </w:tc>
        <w:tc>
          <w:tcPr>
            <w:tcW w:w="2629" w:type="dxa"/>
            <w:tcBorders>
              <w:top w:val="single" w:sz="4" w:space="0" w:color="auto"/>
              <w:left w:val="single" w:sz="4" w:space="0" w:color="auto"/>
              <w:bottom w:val="single" w:sz="4" w:space="0" w:color="auto"/>
              <w:right w:val="single" w:sz="4" w:space="0" w:color="auto"/>
            </w:tcBorders>
          </w:tcPr>
          <w:p w14:paraId="58263813"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Often overlooked</w:t>
            </w:r>
          </w:p>
        </w:tc>
        <w:tc>
          <w:tcPr>
            <w:tcW w:w="2257" w:type="dxa"/>
            <w:tcBorders>
              <w:top w:val="single" w:sz="4" w:space="0" w:color="auto"/>
              <w:left w:val="single" w:sz="4" w:space="0" w:color="auto"/>
              <w:bottom w:val="single" w:sz="4" w:space="0" w:color="auto"/>
              <w:right w:val="single" w:sz="4" w:space="0" w:color="auto"/>
            </w:tcBorders>
          </w:tcPr>
          <w:p w14:paraId="4D4214B5"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 xml:space="preserve">Potent genotoxic hepatocarcinogen; TD50 ~3.2 </w:t>
            </w:r>
            <w:proofErr w:type="spellStart"/>
            <w:r>
              <w:rPr>
                <w:rFonts w:eastAsia="SimSun"/>
                <w:color w:val="4A5D4F"/>
                <w:sz w:val="24"/>
                <w:szCs w:val="24"/>
              </w:rPr>
              <w:t>μg</w:t>
            </w:r>
            <w:proofErr w:type="spellEnd"/>
            <w:r>
              <w:rPr>
                <w:rFonts w:eastAsia="SimSun"/>
                <w:color w:val="4A5D4F"/>
                <w:sz w:val="24"/>
                <w:szCs w:val="24"/>
              </w:rPr>
              <w:t>/kg/day in rats; IARC Group 1</w:t>
            </w:r>
          </w:p>
        </w:tc>
      </w:tr>
      <w:tr w:rsidR="00E85134" w14:paraId="34C1BED7" w14:textId="77777777">
        <w:trPr>
          <w:trHeight w:val="2287"/>
        </w:trPr>
        <w:tc>
          <w:tcPr>
            <w:tcW w:w="1587" w:type="dxa"/>
            <w:tcBorders>
              <w:top w:val="single" w:sz="4" w:space="0" w:color="auto"/>
              <w:left w:val="single" w:sz="4" w:space="0" w:color="auto"/>
              <w:bottom w:val="single" w:sz="4" w:space="0" w:color="auto"/>
              <w:right w:val="single" w:sz="4" w:space="0" w:color="auto"/>
            </w:tcBorders>
          </w:tcPr>
          <w:p w14:paraId="44F44583"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Lifestyle</w:t>
            </w:r>
          </w:p>
        </w:tc>
        <w:tc>
          <w:tcPr>
            <w:tcW w:w="1493" w:type="dxa"/>
            <w:tcBorders>
              <w:top w:val="single" w:sz="4" w:space="0" w:color="auto"/>
              <w:left w:val="single" w:sz="4" w:space="0" w:color="auto"/>
              <w:bottom w:val="single" w:sz="4" w:space="0" w:color="auto"/>
              <w:right w:val="single" w:sz="4" w:space="0" w:color="auto"/>
            </w:tcBorders>
          </w:tcPr>
          <w:p w14:paraId="6A1B8C6D"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Ethanol</w:t>
            </w:r>
          </w:p>
        </w:tc>
        <w:tc>
          <w:tcPr>
            <w:tcW w:w="1440" w:type="dxa"/>
            <w:tcBorders>
              <w:top w:val="single" w:sz="4" w:space="0" w:color="auto"/>
              <w:left w:val="single" w:sz="4" w:space="0" w:color="auto"/>
              <w:bottom w:val="single" w:sz="4" w:space="0" w:color="auto"/>
              <w:right w:val="single" w:sz="4" w:space="0" w:color="auto"/>
            </w:tcBorders>
          </w:tcPr>
          <w:p w14:paraId="3DE729A2"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Alcoholic beverages</w:t>
            </w:r>
          </w:p>
        </w:tc>
        <w:tc>
          <w:tcPr>
            <w:tcW w:w="1367" w:type="dxa"/>
            <w:tcBorders>
              <w:top w:val="single" w:sz="4" w:space="0" w:color="auto"/>
              <w:left w:val="single" w:sz="4" w:space="0" w:color="auto"/>
              <w:bottom w:val="single" w:sz="4" w:space="0" w:color="auto"/>
              <w:right w:val="single" w:sz="4" w:space="0" w:color="auto"/>
            </w:tcBorders>
          </w:tcPr>
          <w:p w14:paraId="6835053D"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7,060-10,000 mg/kg</w:t>
            </w:r>
          </w:p>
        </w:tc>
        <w:tc>
          <w:tcPr>
            <w:tcW w:w="2629" w:type="dxa"/>
            <w:tcBorders>
              <w:top w:val="single" w:sz="4" w:space="0" w:color="auto"/>
              <w:left w:val="single" w:sz="4" w:space="0" w:color="auto"/>
              <w:bottom w:val="single" w:sz="4" w:space="0" w:color="auto"/>
              <w:right w:val="single" w:sz="4" w:space="0" w:color="auto"/>
            </w:tcBorders>
          </w:tcPr>
          <w:p w14:paraId="5516E9BF"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Socially accepted</w:t>
            </w:r>
          </w:p>
        </w:tc>
        <w:tc>
          <w:tcPr>
            <w:tcW w:w="2257" w:type="dxa"/>
            <w:tcBorders>
              <w:top w:val="single" w:sz="4" w:space="0" w:color="auto"/>
              <w:left w:val="single" w:sz="4" w:space="0" w:color="auto"/>
              <w:bottom w:val="single" w:sz="4" w:space="0" w:color="auto"/>
              <w:right w:val="single" w:sz="4" w:space="0" w:color="auto"/>
            </w:tcBorders>
          </w:tcPr>
          <w:p w14:paraId="6B123680"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IARC Group 1 carcinogen; causes 7 cancer types; 741,000+ annual cancer cases globally</w:t>
            </w:r>
          </w:p>
        </w:tc>
      </w:tr>
      <w:tr w:rsidR="00E85134" w14:paraId="61D70DB4" w14:textId="77777777">
        <w:trPr>
          <w:trHeight w:val="2269"/>
        </w:trPr>
        <w:tc>
          <w:tcPr>
            <w:tcW w:w="1587" w:type="dxa"/>
            <w:tcBorders>
              <w:top w:val="single" w:sz="4" w:space="0" w:color="auto"/>
              <w:left w:val="single" w:sz="4" w:space="0" w:color="auto"/>
              <w:bottom w:val="single" w:sz="4" w:space="0" w:color="auto"/>
              <w:right w:val="single" w:sz="4" w:space="0" w:color="auto"/>
            </w:tcBorders>
          </w:tcPr>
          <w:p w14:paraId="07C31F24"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Legacy POP</w:t>
            </w:r>
          </w:p>
        </w:tc>
        <w:tc>
          <w:tcPr>
            <w:tcW w:w="1493" w:type="dxa"/>
            <w:tcBorders>
              <w:top w:val="single" w:sz="4" w:space="0" w:color="auto"/>
              <w:left w:val="single" w:sz="4" w:space="0" w:color="auto"/>
              <w:bottom w:val="single" w:sz="4" w:space="0" w:color="auto"/>
              <w:right w:val="single" w:sz="4" w:space="0" w:color="auto"/>
            </w:tcBorders>
          </w:tcPr>
          <w:p w14:paraId="638E642B"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DDT</w:t>
            </w:r>
          </w:p>
        </w:tc>
        <w:tc>
          <w:tcPr>
            <w:tcW w:w="1440" w:type="dxa"/>
            <w:tcBorders>
              <w:top w:val="single" w:sz="4" w:space="0" w:color="auto"/>
              <w:left w:val="single" w:sz="4" w:space="0" w:color="auto"/>
              <w:bottom w:val="single" w:sz="4" w:space="0" w:color="auto"/>
              <w:right w:val="single" w:sz="4" w:space="0" w:color="auto"/>
            </w:tcBorders>
          </w:tcPr>
          <w:p w14:paraId="68A5B962"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Historical pesticide</w:t>
            </w:r>
          </w:p>
        </w:tc>
        <w:tc>
          <w:tcPr>
            <w:tcW w:w="1367" w:type="dxa"/>
            <w:tcBorders>
              <w:top w:val="single" w:sz="4" w:space="0" w:color="auto"/>
              <w:left w:val="single" w:sz="4" w:space="0" w:color="auto"/>
              <w:bottom w:val="single" w:sz="4" w:space="0" w:color="auto"/>
              <w:right w:val="single" w:sz="4" w:space="0" w:color="auto"/>
            </w:tcBorders>
          </w:tcPr>
          <w:p w14:paraId="38C5D6CB"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113-250 mg/kg</w:t>
            </w:r>
          </w:p>
        </w:tc>
        <w:tc>
          <w:tcPr>
            <w:tcW w:w="2629" w:type="dxa"/>
            <w:tcBorders>
              <w:top w:val="single" w:sz="4" w:space="0" w:color="auto"/>
              <w:left w:val="single" w:sz="4" w:space="0" w:color="auto"/>
              <w:bottom w:val="single" w:sz="4" w:space="0" w:color="auto"/>
              <w:right w:val="single" w:sz="4" w:space="0" w:color="auto"/>
            </w:tcBorders>
          </w:tcPr>
          <w:p w14:paraId="18CDFCB2"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Banned; recognized hazard</w:t>
            </w:r>
          </w:p>
        </w:tc>
        <w:tc>
          <w:tcPr>
            <w:tcW w:w="2257" w:type="dxa"/>
            <w:tcBorders>
              <w:top w:val="single" w:sz="4" w:space="0" w:color="auto"/>
              <w:left w:val="single" w:sz="4" w:space="0" w:color="auto"/>
              <w:bottom w:val="single" w:sz="4" w:space="0" w:color="auto"/>
              <w:right w:val="single" w:sz="4" w:space="0" w:color="auto"/>
            </w:tcBorders>
          </w:tcPr>
          <w:p w14:paraId="3163EF10"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 xml:space="preserve">Persistent, </w:t>
            </w:r>
            <w:proofErr w:type="spellStart"/>
            <w:r>
              <w:rPr>
                <w:rFonts w:eastAsia="SimSun"/>
                <w:color w:val="4A5D4F"/>
                <w:sz w:val="24"/>
                <w:szCs w:val="24"/>
              </w:rPr>
              <w:t>bioaccumulative</w:t>
            </w:r>
            <w:proofErr w:type="spellEnd"/>
            <w:r>
              <w:rPr>
                <w:rFonts w:eastAsia="SimSun"/>
                <w:color w:val="4A5D4F"/>
                <w:sz w:val="24"/>
                <w:szCs w:val="24"/>
              </w:rPr>
              <w:t>; endocrine disruption; banned under Stockholm Convention</w:t>
            </w:r>
          </w:p>
        </w:tc>
      </w:tr>
      <w:tr w:rsidR="00E85134" w14:paraId="77CBA92D" w14:textId="77777777">
        <w:trPr>
          <w:trHeight w:val="1908"/>
        </w:trPr>
        <w:tc>
          <w:tcPr>
            <w:tcW w:w="1587" w:type="dxa"/>
            <w:tcBorders>
              <w:top w:val="single" w:sz="4" w:space="0" w:color="auto"/>
              <w:left w:val="single" w:sz="4" w:space="0" w:color="auto"/>
              <w:bottom w:val="single" w:sz="4" w:space="0" w:color="auto"/>
              <w:right w:val="single" w:sz="4" w:space="0" w:color="auto"/>
            </w:tcBorders>
          </w:tcPr>
          <w:p w14:paraId="1235AAE1"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lastRenderedPageBreak/>
              <w:t>Legacy POP</w:t>
            </w:r>
          </w:p>
        </w:tc>
        <w:tc>
          <w:tcPr>
            <w:tcW w:w="1493" w:type="dxa"/>
            <w:tcBorders>
              <w:top w:val="single" w:sz="4" w:space="0" w:color="auto"/>
              <w:left w:val="single" w:sz="4" w:space="0" w:color="auto"/>
              <w:bottom w:val="single" w:sz="4" w:space="0" w:color="auto"/>
              <w:right w:val="single" w:sz="4" w:space="0" w:color="auto"/>
            </w:tcBorders>
          </w:tcPr>
          <w:p w14:paraId="2FE93036"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PCBs</w:t>
            </w:r>
          </w:p>
        </w:tc>
        <w:tc>
          <w:tcPr>
            <w:tcW w:w="1440" w:type="dxa"/>
            <w:tcBorders>
              <w:top w:val="single" w:sz="4" w:space="0" w:color="auto"/>
              <w:left w:val="single" w:sz="4" w:space="0" w:color="auto"/>
              <w:bottom w:val="single" w:sz="4" w:space="0" w:color="auto"/>
              <w:right w:val="single" w:sz="4" w:space="0" w:color="auto"/>
            </w:tcBorders>
          </w:tcPr>
          <w:p w14:paraId="1FEB637B"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Industrial fluids</w:t>
            </w:r>
          </w:p>
        </w:tc>
        <w:tc>
          <w:tcPr>
            <w:tcW w:w="1367" w:type="dxa"/>
            <w:tcBorders>
              <w:top w:val="single" w:sz="4" w:space="0" w:color="auto"/>
              <w:left w:val="single" w:sz="4" w:space="0" w:color="auto"/>
              <w:bottom w:val="single" w:sz="4" w:space="0" w:color="auto"/>
              <w:right w:val="single" w:sz="4" w:space="0" w:color="auto"/>
            </w:tcBorders>
          </w:tcPr>
          <w:p w14:paraId="245433B0"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1,000-2,000 mg/kg</w:t>
            </w:r>
          </w:p>
        </w:tc>
        <w:tc>
          <w:tcPr>
            <w:tcW w:w="2629" w:type="dxa"/>
            <w:tcBorders>
              <w:top w:val="single" w:sz="4" w:space="0" w:color="auto"/>
              <w:left w:val="single" w:sz="4" w:space="0" w:color="auto"/>
              <w:bottom w:val="single" w:sz="4" w:space="0" w:color="auto"/>
              <w:right w:val="single" w:sz="4" w:space="0" w:color="auto"/>
            </w:tcBorders>
          </w:tcPr>
          <w:p w14:paraId="4D4F9DC9"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Known pollutant</w:t>
            </w:r>
          </w:p>
        </w:tc>
        <w:tc>
          <w:tcPr>
            <w:tcW w:w="2257" w:type="dxa"/>
            <w:tcBorders>
              <w:top w:val="single" w:sz="4" w:space="0" w:color="auto"/>
              <w:left w:val="single" w:sz="4" w:space="0" w:color="auto"/>
              <w:bottom w:val="single" w:sz="4" w:space="0" w:color="auto"/>
              <w:right w:val="single" w:sz="4" w:space="0" w:color="auto"/>
            </w:tcBorders>
          </w:tcPr>
          <w:p w14:paraId="0265005D" w14:textId="77777777" w:rsidR="00E85134" w:rsidRDefault="006C0992">
            <w:pPr>
              <w:spacing w:before="100" w:beforeAutospacing="1" w:after="0" w:line="273" w:lineRule="auto"/>
              <w:jc w:val="both"/>
              <w:rPr>
                <w:rFonts w:eastAsia="SimSun"/>
                <w:color w:val="1E2D24"/>
                <w:sz w:val="24"/>
                <w:szCs w:val="24"/>
              </w:rPr>
            </w:pPr>
            <w:proofErr w:type="spellStart"/>
            <w:r>
              <w:rPr>
                <w:rFonts w:eastAsia="SimSun"/>
                <w:color w:val="4A5D4F"/>
                <w:sz w:val="24"/>
                <w:szCs w:val="24"/>
              </w:rPr>
              <w:t>Immunotoxic</w:t>
            </w:r>
            <w:proofErr w:type="spellEnd"/>
            <w:r>
              <w:rPr>
                <w:rFonts w:eastAsia="SimSun"/>
                <w:color w:val="4A5D4F"/>
                <w:sz w:val="24"/>
                <w:szCs w:val="24"/>
              </w:rPr>
              <w:t>, neurodevelopmental effects; persist in environment decades after ban</w:t>
            </w:r>
          </w:p>
        </w:tc>
      </w:tr>
      <w:tr w:rsidR="00E85134" w14:paraId="5FB98430" w14:textId="77777777">
        <w:trPr>
          <w:trHeight w:val="1512"/>
        </w:trPr>
        <w:tc>
          <w:tcPr>
            <w:tcW w:w="1587" w:type="dxa"/>
            <w:tcBorders>
              <w:top w:val="single" w:sz="4" w:space="0" w:color="auto"/>
              <w:left w:val="single" w:sz="4" w:space="0" w:color="auto"/>
              <w:bottom w:val="single" w:sz="4" w:space="0" w:color="auto"/>
              <w:right w:val="single" w:sz="4" w:space="0" w:color="auto"/>
            </w:tcBorders>
          </w:tcPr>
          <w:p w14:paraId="5B2628CC"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Natural</w:t>
            </w:r>
          </w:p>
        </w:tc>
        <w:tc>
          <w:tcPr>
            <w:tcW w:w="1493" w:type="dxa"/>
            <w:tcBorders>
              <w:top w:val="single" w:sz="4" w:space="0" w:color="auto"/>
              <w:left w:val="single" w:sz="4" w:space="0" w:color="auto"/>
              <w:bottom w:val="single" w:sz="4" w:space="0" w:color="auto"/>
              <w:right w:val="single" w:sz="4" w:space="0" w:color="auto"/>
            </w:tcBorders>
          </w:tcPr>
          <w:p w14:paraId="61F7F7D8"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Botulinum toxin</w:t>
            </w:r>
          </w:p>
        </w:tc>
        <w:tc>
          <w:tcPr>
            <w:tcW w:w="1440" w:type="dxa"/>
            <w:tcBorders>
              <w:top w:val="single" w:sz="4" w:space="0" w:color="auto"/>
              <w:left w:val="single" w:sz="4" w:space="0" w:color="auto"/>
              <w:bottom w:val="single" w:sz="4" w:space="0" w:color="auto"/>
              <w:right w:val="single" w:sz="4" w:space="0" w:color="auto"/>
            </w:tcBorders>
          </w:tcPr>
          <w:p w14:paraId="00EBFC3A"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Clostridium botulinum</w:t>
            </w:r>
          </w:p>
        </w:tc>
        <w:tc>
          <w:tcPr>
            <w:tcW w:w="1367" w:type="dxa"/>
            <w:tcBorders>
              <w:top w:val="single" w:sz="4" w:space="0" w:color="auto"/>
              <w:left w:val="single" w:sz="4" w:space="0" w:color="auto"/>
              <w:bottom w:val="single" w:sz="4" w:space="0" w:color="auto"/>
              <w:right w:val="single" w:sz="4" w:space="0" w:color="auto"/>
            </w:tcBorders>
          </w:tcPr>
          <w:p w14:paraId="7837FFFA"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~0.00001 mg/kg</w:t>
            </w:r>
          </w:p>
        </w:tc>
        <w:tc>
          <w:tcPr>
            <w:tcW w:w="2629" w:type="dxa"/>
            <w:tcBorders>
              <w:top w:val="single" w:sz="4" w:space="0" w:color="auto"/>
              <w:left w:val="single" w:sz="4" w:space="0" w:color="auto"/>
              <w:bottom w:val="single" w:sz="4" w:space="0" w:color="auto"/>
              <w:right w:val="single" w:sz="4" w:space="0" w:color="auto"/>
            </w:tcBorders>
          </w:tcPr>
          <w:p w14:paraId="176421E5"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Medical/pharmaceutical use</w:t>
            </w:r>
          </w:p>
        </w:tc>
        <w:tc>
          <w:tcPr>
            <w:tcW w:w="2257" w:type="dxa"/>
            <w:tcBorders>
              <w:top w:val="single" w:sz="4" w:space="0" w:color="auto"/>
              <w:left w:val="single" w:sz="4" w:space="0" w:color="auto"/>
              <w:bottom w:val="single" w:sz="4" w:space="0" w:color="auto"/>
              <w:right w:val="single" w:sz="4" w:space="0" w:color="auto"/>
            </w:tcBorders>
          </w:tcPr>
          <w:p w14:paraId="777507CF" w14:textId="77777777" w:rsidR="00E85134" w:rsidRDefault="006C0992">
            <w:pPr>
              <w:spacing w:before="100" w:beforeAutospacing="1" w:after="0" w:line="273" w:lineRule="auto"/>
              <w:jc w:val="both"/>
              <w:rPr>
                <w:rFonts w:eastAsia="SimSun"/>
                <w:color w:val="1E2D24"/>
                <w:sz w:val="24"/>
                <w:szCs w:val="24"/>
              </w:rPr>
            </w:pPr>
            <w:r>
              <w:rPr>
                <w:rFonts w:eastAsia="SimSun"/>
                <w:color w:val="4A5D4F"/>
                <w:sz w:val="24"/>
                <w:szCs w:val="24"/>
              </w:rPr>
              <w:t>Most acutely toxic substance known; lethal at nanogram doses</w:t>
            </w:r>
          </w:p>
        </w:tc>
      </w:tr>
    </w:tbl>
    <w:p w14:paraId="6B11062B"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Several patterns emerge from this comparison. First, acute toxicity (as indexed by LD50) does not predict chronic hazard; glyphosate exhibits low acute toxicity but has been the subject of extensive chronic risk assessment, whereas aflatoxin B1 demonstrates both high acute toxicity and potent carcinogenicity. Second, public perception correlates poorly with objective risk: ethanol, a confirmed cause of seven cancer types, enjoys widespread social acceptance, while glyphosate, classified by multiple regulatory agencies as unlikely to pose carcinogenic risk at typical exposure levels, and generates substantial public alarm (EPA, 2020; EFSA, 2015). Third, regulatory status reflects evidence integration rather than hazard alone: aflatoxin is strictly regulated based on its potency and prevalence in food supplies, whereas DDT is banned in most jurisdictions based on persistence and bioaccumulation despite its low acute toxicity to humans.</w:t>
      </w:r>
    </w:p>
    <w:p w14:paraId="07268C92"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The comparison also highlights the importance of exposure assessment in risk characterization. The mere presence of a hazardous compound is insufficient to establish risk; the critical parameters are exposure level, duration, route, and interindividual susceptibility. Aflatoxin contamination at 15 ppb in peanuts—below the U.S. FDA action limit of 20 ppb—can deliver a carcinogenic dose with regular consumption, whereas glyphosate residues in food are typically orders of magnitude below levels of toxicological concern (Williams et al., 2000). Risk, properly understood, is the product of hazard and exposure; neither alone is sufficient for prioritization.</w:t>
      </w:r>
    </w:p>
    <w:p w14:paraId="6CEB74B5" w14:textId="77777777" w:rsidR="00E85134" w:rsidRDefault="006C0992">
      <w:pPr>
        <w:tabs>
          <w:tab w:val="left" w:pos="630"/>
        </w:tabs>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6. The Risk Prioritization Framework</w:t>
      </w:r>
    </w:p>
    <w:p w14:paraId="1FE94263"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Effective allocation of limited public health and regulatory resources demands a systematic framework for prioritizing chemical risks based on the integration of hazard, exposure, and </w:t>
      </w:r>
      <w:r>
        <w:rPr>
          <w:rFonts w:ascii="Times New Roman" w:eastAsia="SimSun" w:hAnsi="Times New Roman" w:cs="Times New Roman"/>
          <w:color w:val="1E2D24"/>
          <w:sz w:val="24"/>
          <w:szCs w:val="24"/>
        </w:rPr>
        <w:lastRenderedPageBreak/>
        <w:t>evidence certainty. We propose a three tier hierarchy that distinguishes high priority hazards requiring immediate intervention from lower priority concerns where resources may be more efficiently directed toward monitoring rather than regulation.</w:t>
      </w:r>
    </w:p>
    <w:p w14:paraId="52A4828A" w14:textId="77777777" w:rsidR="00E85134" w:rsidRDefault="006C0992">
      <w:pPr>
        <w:tabs>
          <w:tab w:val="left" w:pos="630"/>
        </w:tabs>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6.1 Tier I: High Certainty / High Impact</w:t>
      </w:r>
    </w:p>
    <w:p w14:paraId="0C30D947"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Tier I comprises chemical hazards for which there is robust evidence of significant human health impact at environmentally relevant exposure levels. These compounds warrant immediate regulatory attention and resource allocation for exposure reduction.</w:t>
      </w:r>
    </w:p>
    <w:p w14:paraId="490C36E9"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Ethanol represents a paradigmatic Tier I hazard. The causal relationship between alcohol consumption and multiple cancer types is established beyond reasonable doubt, the population attributable fraction is substantial (4.1% of global cancers), and exposure reduction strategies (taxation, availability restriction, marketing controls) have demonstrated efficacy (WHO, 2022). Despite its social normalization, ethanol meets all criteria for a high priority public health target. The January 2025 U.S. Surgeon General advisory explicitly classified alcohol as a preventable cause of cancer and recommended warning labels, revised consumption guidelines, and strengthened public education—representing a long overdue policy response to this Tier I hazard (U.S. Surgeon General, 2025). The WHO's 2025 reaffirmation that no safe level of alcohol consumption exists further substantiates the urgency of regulatory intervention (WHO, 2025). Aflatoxins constitute a second Tier I priority, particularly in regions with high dietary exposure and concurrent hepatitis B virus infection. The synergistic interaction between aflatoxin exposure and HBV infection increases hepatocellular carcinoma risk approximately 60fold relative to unexposed, uninfected individuals, representing one of the strongest gene environment interactions in cancer etiology (IARC, 2012). Interventions including agricultural practices to reduce fungal contamination, dietary diversification, and HBV vaccination have proven cost-effective in high burden settings.</w:t>
      </w:r>
    </w:p>
    <w:p w14:paraId="74A3525F"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Recent bibliometric analysis (2014–2024) confirms that aflatoxin research has shifted from mechanistic studies toward dietary exposure assessment, biological control strategies, and hepatoprotective interventions (curcumin, lactic acid bacteria, gallic acid), reflecting growing recognition that mitigation strategies must be integrated with primary prevention efforts (Chen et </w:t>
      </w:r>
      <w:r>
        <w:rPr>
          <w:rFonts w:ascii="Times New Roman" w:eastAsia="SimSun" w:hAnsi="Times New Roman" w:cs="Times New Roman"/>
          <w:color w:val="1E2D24"/>
          <w:sz w:val="24"/>
          <w:szCs w:val="24"/>
        </w:rPr>
        <w:lastRenderedPageBreak/>
        <w:t>al., 2024). Persistent organic pollutants with demonstrated endocrine disrupting activity, including PCBs and dioxins, occupy Tier I due to their bio accumulative potential and evidence of adverse effects at background exposure levels. These compounds are resistant to metabolic degradation, accumulate in adipose tissue over decades, and have been associated with immunotoxicity, neurodevelopmental impairment, and reproductive dysfunction (Porta et al., 2008). The Stockholm Convention's global prohibition on POP production and use represents an appropriate regulatory response to this hazard class.</w:t>
      </w:r>
    </w:p>
    <w:p w14:paraId="389BFC86" w14:textId="77777777" w:rsidR="00E85134" w:rsidRDefault="006C0992">
      <w:pPr>
        <w:tabs>
          <w:tab w:val="left" w:pos="630"/>
        </w:tabs>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6.2 Tier II: Emerging Concerns</w:t>
      </w:r>
    </w:p>
    <w:p w14:paraId="53337DD1"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Tier II encompasses chemical exposures for which evidence of harm is suggestive but incomplete, or for which hazard is plausible but exposure levels are insufficient to characterize risk. These compounds merit continued research investment and precautionary monitoring but do not yet warrant the regulatory resources appropriate for Tier I hazards.</w:t>
      </w:r>
    </w:p>
    <w:p w14:paraId="796E8C4B"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Novel synthetic chemicals—including next generation pesticides, per and polyfluoroalkyl substances (PFAS), and nanomaterials—fall within this tier. While high throughput screening data suggest bioactivity for many of these compounds, the translation of in vitro findings to in vivo dose response relationships remains uncertain. The precautionary principle supports exposure reduction where feasible, but regulatory action should be proportionate to the weight of evidence.</w:t>
      </w:r>
    </w:p>
    <w:p w14:paraId="2109237E"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PFAS regulation has accelerated significantly, illustrating the Tier II trajectory. On April 19, 2024, the EPA designated PFOA and PFOS as hazardous substances under CERCLA, and on January 11, 2024, issued a Significant New Use Rule prohibiting manufacturing of 329 inactive PFAS chemicals without EPA approval (U.S. EPA, 2024). In 2024, EPA established Maximum Contaminant Levels (MCLs) of 4 ng/L for PFOA and PFOS in drinking water, with MCL Goals set at zero due to suspected carcinogenicity (U.S. EPA, 2024b). These actions reflect growing evidence of bioaccumulation and potential endocrine disruption, while acknowledging that dose response relationships for many PFAS remain insufficiently characterized for full Tier I classification. The mixture toxicity of dissimilarly acting chemicals at low doses also resides in Tier II. While the cocktail effect is biologically plausible for similarly acting compounds, its relevance to real world exposures involving diverse chemical classes with independent </w:t>
      </w:r>
      <w:r>
        <w:rPr>
          <w:rFonts w:ascii="Times New Roman" w:eastAsia="SimSun" w:hAnsi="Times New Roman" w:cs="Times New Roman"/>
          <w:color w:val="1E2D24"/>
          <w:sz w:val="24"/>
          <w:szCs w:val="24"/>
        </w:rPr>
        <w:lastRenderedPageBreak/>
        <w:t>mechanisms remains uncertain. Research investment in whole mixture bioassays and adverse outcome pathway frameworks will help resolve the significance of this concern.</w:t>
      </w:r>
    </w:p>
    <w:p w14:paraId="76A35131" w14:textId="77777777" w:rsidR="00E85134" w:rsidRDefault="006C0992">
      <w:pPr>
        <w:tabs>
          <w:tab w:val="left" w:pos="630"/>
        </w:tabs>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6.3 Tier III: Low Risk Noise</w:t>
      </w:r>
    </w:p>
    <w:p w14:paraId="726EBC62"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Tier III includes chemical detections that generate public concern but lack plausible biological significance at measured exposure levels. These represent "risk noise"—distractions from higher priority hazards that consume regulatory and communication resources without commensurate public health benefit.</w:t>
      </w:r>
    </w:p>
    <w:p w14:paraId="1D3DF7E9"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Trace level detection of synthetic pesticides in food at concentrations orders of magnitude below established reference doses typically falls within Tier III. Glyphosate residues in agricultural commodities, detected at </w:t>
      </w:r>
      <w:proofErr w:type="spellStart"/>
      <w:r>
        <w:rPr>
          <w:rFonts w:ascii="Times New Roman" w:eastAsia="SimSun" w:hAnsi="Times New Roman" w:cs="Times New Roman"/>
          <w:color w:val="1E2D24"/>
          <w:sz w:val="24"/>
          <w:szCs w:val="24"/>
        </w:rPr>
        <w:t>partsperbillion</w:t>
      </w:r>
      <w:proofErr w:type="spellEnd"/>
      <w:r>
        <w:rPr>
          <w:rFonts w:ascii="Times New Roman" w:eastAsia="SimSun" w:hAnsi="Times New Roman" w:cs="Times New Roman"/>
          <w:color w:val="1E2D24"/>
          <w:sz w:val="24"/>
          <w:szCs w:val="24"/>
        </w:rPr>
        <w:t xml:space="preserve"> levels, exemplify this category: chronic dietary exposure assessments consistently find consumer exposure well below the acceptable daily intake, and multiple regulatory agencies have concluded that glyphosate is unlikely to pose carcinogenic risk to humans at these exposure levels (EPA, 2020; EFSA, 2015; FAO/WHO, 2016). Regulatory resources directed toward further reduction of already negligible residues may yield smaller health benefits than equivalent investment in Tier I hazard reduction.</w:t>
      </w:r>
    </w:p>
    <w:p w14:paraId="6D5C664E"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The "chemicals in body fluids" biomonitoring narrative frequently enters Tier III territory. The detection of synthetic chemicals in human blood or urine confirms exposure (at some level) but provides no information about the toxicological significance of that exposure. Biomonitoring data require interpretation against toxic kinetic models that relate external dose to internal concentration, and against established health based guidance values, before risk characterization is possible (Albertini et al., 2006). Absent this interpretive context, biomonitoring findings risk generating unfounded anxiety and misdirected policy responses.</w:t>
      </w:r>
    </w:p>
    <w:p w14:paraId="0CCDB52D" w14:textId="77777777" w:rsidR="00E85134" w:rsidRDefault="006C0992">
      <w:pPr>
        <w:tabs>
          <w:tab w:val="left" w:pos="630"/>
        </w:tabs>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7. Hormesis: Reconsidering the Dose Response Dogma</w:t>
      </w:r>
    </w:p>
    <w:p w14:paraId="4AAC361F"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The discipline of toxicology has operated for decades under the paradigm of threshold based or linear </w:t>
      </w:r>
      <w:proofErr w:type="spellStart"/>
      <w:r>
        <w:rPr>
          <w:rFonts w:ascii="Times New Roman" w:eastAsia="SimSun" w:hAnsi="Times New Roman" w:cs="Times New Roman"/>
          <w:color w:val="1E2D24"/>
          <w:sz w:val="24"/>
          <w:szCs w:val="24"/>
        </w:rPr>
        <w:t>nothreshold</w:t>
      </w:r>
      <w:proofErr w:type="spellEnd"/>
      <w:r>
        <w:rPr>
          <w:rFonts w:ascii="Times New Roman" w:eastAsia="SimSun" w:hAnsi="Times New Roman" w:cs="Times New Roman"/>
          <w:color w:val="1E2D24"/>
          <w:sz w:val="24"/>
          <w:szCs w:val="24"/>
        </w:rPr>
        <w:t xml:space="preserve"> (LNT) dose response models, which assume that adverse effects diminish monotonically with decreasing dose until reaching zero (threshold) or continue proportionally to zero dose (LNT). However, an accumulating body of evidence supports the broader applicability </w:t>
      </w:r>
      <w:r>
        <w:rPr>
          <w:rFonts w:ascii="Times New Roman" w:eastAsia="SimSun" w:hAnsi="Times New Roman" w:cs="Times New Roman"/>
          <w:color w:val="1E2D24"/>
          <w:sz w:val="24"/>
          <w:szCs w:val="24"/>
        </w:rPr>
        <w:lastRenderedPageBreak/>
        <w:t xml:space="preserve">of </w:t>
      </w:r>
      <w:proofErr w:type="spellStart"/>
      <w:r>
        <w:rPr>
          <w:rFonts w:ascii="Times New Roman" w:eastAsia="SimSun" w:hAnsi="Times New Roman" w:cs="Times New Roman"/>
          <w:color w:val="1E2D24"/>
          <w:sz w:val="24"/>
          <w:szCs w:val="24"/>
        </w:rPr>
        <w:t>hormetic</w:t>
      </w:r>
      <w:proofErr w:type="spellEnd"/>
      <w:r>
        <w:rPr>
          <w:rFonts w:ascii="Times New Roman" w:eastAsia="SimSun" w:hAnsi="Times New Roman" w:cs="Times New Roman"/>
          <w:color w:val="1E2D24"/>
          <w:sz w:val="24"/>
          <w:szCs w:val="24"/>
        </w:rPr>
        <w:t xml:space="preserve"> dose response relationships, challenging the universality of these traditional models and carrying significant implications for risk assessment (Calabrese, 2009). Hormesis is defined as a biphasic dose response phenomenon characterized by low dose stimulation and high dose inhibition, manifesting as either an inverted </w:t>
      </w:r>
      <w:proofErr w:type="spellStart"/>
      <w:r>
        <w:rPr>
          <w:rFonts w:ascii="Times New Roman" w:eastAsia="SimSun" w:hAnsi="Times New Roman" w:cs="Times New Roman"/>
          <w:color w:val="1E2D24"/>
          <w:sz w:val="24"/>
          <w:szCs w:val="24"/>
        </w:rPr>
        <w:t>Ushape</w:t>
      </w:r>
      <w:proofErr w:type="spellEnd"/>
      <w:r>
        <w:rPr>
          <w:rFonts w:ascii="Times New Roman" w:eastAsia="SimSun" w:hAnsi="Times New Roman" w:cs="Times New Roman"/>
          <w:color w:val="1E2D24"/>
          <w:sz w:val="24"/>
          <w:szCs w:val="24"/>
        </w:rPr>
        <w:t xml:space="preserve"> (for endpoints such as growth, fecundity, or longevity) or a </w:t>
      </w:r>
      <w:proofErr w:type="spellStart"/>
      <w:r>
        <w:rPr>
          <w:rFonts w:ascii="Times New Roman" w:eastAsia="SimSun" w:hAnsi="Times New Roman" w:cs="Times New Roman"/>
          <w:color w:val="1E2D24"/>
          <w:sz w:val="24"/>
          <w:szCs w:val="24"/>
        </w:rPr>
        <w:t>Jshape</w:t>
      </w:r>
      <w:proofErr w:type="spellEnd"/>
      <w:r>
        <w:rPr>
          <w:rFonts w:ascii="Times New Roman" w:eastAsia="SimSun" w:hAnsi="Times New Roman" w:cs="Times New Roman"/>
          <w:color w:val="1E2D24"/>
          <w:sz w:val="24"/>
          <w:szCs w:val="24"/>
        </w:rPr>
        <w:t xml:space="preserve"> (for endpoints such as disease incidence). The concept has ancient roots—Mithridates VI of Pontus reputedly immunized himself against poisons through chronic low dose exposure—and was formally described by pharmacologist Hugo Schulz in 1888, who observed that low doses of disinfectants stimulated yeast metabolism while high doses inhibited it (Calabrese &amp; Baldwin, 2002).</w:t>
      </w:r>
    </w:p>
    <w:p w14:paraId="4BA514A2"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The maturation of hormesis as a credible dose response model has been driven largely by the work of Edward Calabrese and colleagues, who systematically evaluated thousands of dose response datasets across diverse biological systems and chemical classes. Their analysis revealed that </w:t>
      </w:r>
      <w:proofErr w:type="spellStart"/>
      <w:r>
        <w:rPr>
          <w:rFonts w:ascii="Times New Roman" w:eastAsia="SimSun" w:hAnsi="Times New Roman" w:cs="Times New Roman"/>
          <w:color w:val="1E2D24"/>
          <w:sz w:val="24"/>
          <w:szCs w:val="24"/>
        </w:rPr>
        <w:t>hormetic</w:t>
      </w:r>
      <w:proofErr w:type="spellEnd"/>
      <w:r>
        <w:rPr>
          <w:rFonts w:ascii="Times New Roman" w:eastAsia="SimSun" w:hAnsi="Times New Roman" w:cs="Times New Roman"/>
          <w:color w:val="1E2D24"/>
          <w:sz w:val="24"/>
          <w:szCs w:val="24"/>
        </w:rPr>
        <w:t xml:space="preserve"> dose responses are not rare exceptions but represent a generalizable biological pattern, observed across bacteria, plants, fungi, and animals, and elicited by physical, chemical, and biological stressors (Calabrese &amp; Blain, 2005). Quantitative analysis indicates that the maximum </w:t>
      </w:r>
      <w:proofErr w:type="spellStart"/>
      <w:r>
        <w:rPr>
          <w:rFonts w:ascii="Times New Roman" w:eastAsia="SimSun" w:hAnsi="Times New Roman" w:cs="Times New Roman"/>
          <w:color w:val="1E2D24"/>
          <w:sz w:val="24"/>
          <w:szCs w:val="24"/>
        </w:rPr>
        <w:t>hormetic</w:t>
      </w:r>
      <w:proofErr w:type="spellEnd"/>
      <w:r>
        <w:rPr>
          <w:rFonts w:ascii="Times New Roman" w:eastAsia="SimSun" w:hAnsi="Times New Roman" w:cs="Times New Roman"/>
          <w:color w:val="1E2D24"/>
          <w:sz w:val="24"/>
          <w:szCs w:val="24"/>
        </w:rPr>
        <w:t xml:space="preserve"> stimulatory response typically ranges from 30–60% above control values, and the stimulatory dose range is usually within 10–20fold of the NOAEL, rarely exceeding 100fold (Calabrese, 2005). The mechanistic basis for hormesis lies in adaptive stress responses. Low-level toxic insult activates cellular defense and repair mechanisms—including antioxidant enzyme induction, DNA repair pathway upregulation, and heat shock protein expression—that overcompensate for the initial damage, resulting in net beneficial effects. This overcompensation is modest by evolutionary design: organisms allocate sufficient resources to ensure homeostatic recovery without excessive expenditure, predicting the characteristic 30–60% stimulatory ceiling (Mattson, 2008). At higher doses, damage exceeds reparative capacity, and the inhibitory phase of the dose response relationship emerges. The implications of hormesis for risk assessment are substantial. If low dose stimulatory effects are biologically real and generalizable, then the traditional practice of linear extrapolation from high dose toxicity data to low dose risk estimates may systematically overestimate risk for </w:t>
      </w:r>
      <w:proofErr w:type="spellStart"/>
      <w:r>
        <w:rPr>
          <w:rFonts w:ascii="Times New Roman" w:eastAsia="SimSun" w:hAnsi="Times New Roman" w:cs="Times New Roman"/>
          <w:color w:val="1E2D24"/>
          <w:sz w:val="24"/>
          <w:szCs w:val="24"/>
        </w:rPr>
        <w:t>hormetic</w:t>
      </w:r>
      <w:proofErr w:type="spellEnd"/>
      <w:r>
        <w:rPr>
          <w:rFonts w:ascii="Times New Roman" w:eastAsia="SimSun" w:hAnsi="Times New Roman" w:cs="Times New Roman"/>
          <w:color w:val="1E2D24"/>
          <w:sz w:val="24"/>
          <w:szCs w:val="24"/>
        </w:rPr>
        <w:t xml:space="preserve"> compounds. Calabrese and colleagues have proposed that hormesis be adopted as the default dose response model in risk assessment, with deviation from this model required only when specific evidence supports alternative assumptions </w:t>
      </w:r>
      <w:r>
        <w:rPr>
          <w:rFonts w:ascii="Times New Roman" w:eastAsia="SimSun" w:hAnsi="Times New Roman" w:cs="Times New Roman"/>
          <w:color w:val="1E2D24"/>
          <w:sz w:val="24"/>
          <w:szCs w:val="24"/>
        </w:rPr>
        <w:lastRenderedPageBreak/>
        <w:t>(Calabrese, 2005). This proposal, while controversial, has gained traction as the empirical database supporting hormesis has expanded.</w:t>
      </w:r>
    </w:p>
    <w:p w14:paraId="17156EBC"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Critically, hormesis does not imply that all low dose chemical exposures are beneficial. The nature of the </w:t>
      </w:r>
      <w:proofErr w:type="spellStart"/>
      <w:r>
        <w:rPr>
          <w:rFonts w:ascii="Times New Roman" w:eastAsia="SimSun" w:hAnsi="Times New Roman" w:cs="Times New Roman"/>
          <w:color w:val="1E2D24"/>
          <w:sz w:val="24"/>
          <w:szCs w:val="24"/>
        </w:rPr>
        <w:t>hormetic</w:t>
      </w:r>
      <w:proofErr w:type="spellEnd"/>
      <w:r>
        <w:rPr>
          <w:rFonts w:ascii="Times New Roman" w:eastAsia="SimSun" w:hAnsi="Times New Roman" w:cs="Times New Roman"/>
          <w:color w:val="1E2D24"/>
          <w:sz w:val="24"/>
          <w:szCs w:val="24"/>
        </w:rPr>
        <w:t xml:space="preserve"> effect depends on the endpoint measured; while low dose stimulation of growth or immune function may be advantageous, low dose stimulation of neoplastic cell proliferation would be harmful. Furthermore, the maximum stimulatory response is modest (30–60%), and the stimulatory range is constrained to doses near the NOAEL. Hormesis therefore does not support indiscriminate chemical exposure, but rather calls for more nuanced dose response modeling that captures the full biological response continuum (Calabrese, 2009).</w:t>
      </w:r>
    </w:p>
    <w:p w14:paraId="2C45DAA5" w14:textId="77777777" w:rsidR="00E85134" w:rsidRDefault="006C0992">
      <w:pPr>
        <w:tabs>
          <w:tab w:val="left" w:pos="630"/>
        </w:tabs>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8. Conclusion and Future Directions</w:t>
      </w:r>
    </w:p>
    <w:p w14:paraId="0EE1B633"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The tension between analytical detection capability and biological significance represents a defining challenge for 21stcentury toxicology. As detection limits continue to advance, the gap between what can be measured and what matters physiologically will only widen. This review has argued that bridging this gap requires an interdisciplinary approach integrating mechanistic toxicology, evolutionary biology, risk perception psychology, and regulatory science.</w:t>
      </w:r>
    </w:p>
    <w:p w14:paraId="0417763B"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Several key conclusions emerge from this analysis. First, humans possess robust, evolutionarily ancient, and redundant systems for processing xenobiotic compounds. The liver, kidneys, and gut microbiome constitute an integrated detoxification network of remarkable efficiency, evolved under selective pressure from natural chemical diversity. Recognition of this endogenous capacity is essential for contextualizing the biological significance of synthetic chemical exposures.</w:t>
      </w:r>
    </w:p>
    <w:p w14:paraId="131F75A6"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Second, the cocktail effect and low dose mixture toxicity, while biologically plausible for similarly acting compounds, should not be extrapolated uncritically to all chemical combinations. Dissimilarly acting chemicals at doses below their individual NOAELs are unlikely to produce additive or synergistic adverse effects, and regulatory frameworks should reflect this mechanistic reality.</w:t>
      </w:r>
    </w:p>
    <w:p w14:paraId="38F12E55"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Third, risk perception systematically deviates from objective hazard, with synthetic chemicals subject to exaggerated concern relative to natural toxins of comparable or greater potency. The </w:t>
      </w:r>
      <w:r>
        <w:rPr>
          <w:rFonts w:ascii="Times New Roman" w:eastAsia="SimSun" w:hAnsi="Times New Roman" w:cs="Times New Roman"/>
          <w:color w:val="1E2D24"/>
          <w:sz w:val="24"/>
          <w:szCs w:val="24"/>
        </w:rPr>
        <w:lastRenderedPageBreak/>
        <w:t>naturalness heuristic and synthetic bias distort public understanding, regulatory priorities, and consumer behavior, diverting attention from higher-impact hazards including ethanol, aflatoxins, and persistent bio accumulative pollutants.</w:t>
      </w:r>
    </w:p>
    <w:p w14:paraId="178B423B"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Fourth, hormesis represents a credible, generalizable, and mechanistically grounded dose response model with significant implications for low dose risk assessment. Incorporation of </w:t>
      </w:r>
      <w:proofErr w:type="spellStart"/>
      <w:r>
        <w:rPr>
          <w:rFonts w:ascii="Times New Roman" w:eastAsia="SimSun" w:hAnsi="Times New Roman" w:cs="Times New Roman"/>
          <w:color w:val="1E2D24"/>
          <w:sz w:val="24"/>
          <w:szCs w:val="24"/>
        </w:rPr>
        <w:t>hormetic</w:t>
      </w:r>
      <w:proofErr w:type="spellEnd"/>
      <w:r>
        <w:rPr>
          <w:rFonts w:ascii="Times New Roman" w:eastAsia="SimSun" w:hAnsi="Times New Roman" w:cs="Times New Roman"/>
          <w:color w:val="1E2D24"/>
          <w:sz w:val="24"/>
          <w:szCs w:val="24"/>
        </w:rPr>
        <w:t xml:space="preserve"> concepts into regulatory frameworks may improve the accuracy of low dose risk predictions, though careful attention to endpoint specificity and stimulatory magnitude is required.</w:t>
      </w:r>
    </w:p>
    <w:p w14:paraId="5478929F"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Finally, evidence based risk prioritization demands a tiered framework that distinguishes high certainty, high impact hazards requiring immediate intervention from lower priority concerns where monitoring may be more appropriate than regulation. Such a framework can guide the allocation of limited public health resources toward interventions with the greatest population level benefit.</w:t>
      </w:r>
    </w:p>
    <w:p w14:paraId="309DB8A7" w14:textId="77777777" w:rsidR="00E85134" w:rsidRDefault="006C0992">
      <w:pPr>
        <w:tabs>
          <w:tab w:val="left" w:pos="630"/>
        </w:tabs>
        <w:spacing w:before="100" w:beforeAutospacing="1" w:after="0" w:line="360" w:lineRule="auto"/>
        <w:jc w:val="both"/>
        <w:rPr>
          <w:rFonts w:ascii="Times New Roman" w:eastAsia="SimSun" w:hAnsi="Times New Roman" w:cs="Times New Roman"/>
          <w:b/>
          <w:color w:val="1E2D24"/>
          <w:sz w:val="24"/>
          <w:szCs w:val="24"/>
        </w:rPr>
      </w:pPr>
      <w:r>
        <w:rPr>
          <w:rFonts w:ascii="Times New Roman" w:eastAsia="SimSun" w:hAnsi="Times New Roman" w:cs="Times New Roman"/>
          <w:b/>
          <w:color w:val="1E2D24"/>
          <w:sz w:val="24"/>
          <w:szCs w:val="24"/>
        </w:rPr>
        <w:t xml:space="preserve"> 8.1 Future Research Priorities</w:t>
      </w:r>
    </w:p>
    <w:p w14:paraId="2DC19ECF" w14:textId="77777777"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Several areas warrant prioritized research investment. Longitudinal biomonitoring studies that combine external exposure assessment with internal dose metrics and health outcome tracking are needed to establish </w:t>
      </w:r>
      <w:proofErr w:type="spellStart"/>
      <w:r>
        <w:rPr>
          <w:rFonts w:ascii="Times New Roman" w:eastAsia="SimSun" w:hAnsi="Times New Roman" w:cs="Times New Roman"/>
          <w:color w:val="1E2D24"/>
          <w:sz w:val="24"/>
          <w:szCs w:val="24"/>
        </w:rPr>
        <w:t>doseresponse</w:t>
      </w:r>
      <w:proofErr w:type="spellEnd"/>
      <w:r>
        <w:rPr>
          <w:rFonts w:ascii="Times New Roman" w:eastAsia="SimSun" w:hAnsi="Times New Roman" w:cs="Times New Roman"/>
          <w:color w:val="1E2D24"/>
          <w:sz w:val="24"/>
          <w:szCs w:val="24"/>
        </w:rPr>
        <w:t xml:space="preserve"> relationships at environmentally relevant concentrations. The integration of high throughput in vitro screening with physiologically based pharmacokinetic (PBPK) modeling offers promise for predicting in vivo dose response relationships with reduced animal testing, though the IVIVE bottleneck identified in recent validation studies must be addressed (Thompson et al., 2025). Research on interindividual variability in detoxification capacity, including the influence of genetic polymorphisms, life stage, and nutritional status, will improve our ability to identify susceptible subpopulations. The expanding recognition of gut microbial xenobiotic metabolism as an independent enzymatic system with distinct reduction and hydrolysis capabilities (Johnson et al., 2025; Martinez et al., 2024) demands further investigation into how microbial composition modifies chemical disposition across populations. Finally, intervention studies evaluating the efficacy of risk communication strategies that address cognitive biases in chemical risk perception are needed to improve public understanding and support evidence based decision-making—particularly in light of the measurable impact of the 2025 </w:t>
      </w:r>
      <w:r>
        <w:rPr>
          <w:rFonts w:ascii="Times New Roman" w:eastAsia="SimSun" w:hAnsi="Times New Roman" w:cs="Times New Roman"/>
          <w:color w:val="1E2D24"/>
          <w:sz w:val="24"/>
          <w:szCs w:val="24"/>
        </w:rPr>
        <w:lastRenderedPageBreak/>
        <w:t>Surgeon General advisory on public awareness of alcohol carcinogenicity (Annenberg Public Policy Center, 2025).</w:t>
      </w:r>
    </w:p>
    <w:p w14:paraId="77F63141" w14:textId="39D52219" w:rsidR="00E85134" w:rsidRDefault="006C0992">
      <w:pPr>
        <w:tabs>
          <w:tab w:val="left" w:pos="630"/>
        </w:tabs>
        <w:spacing w:before="100" w:beforeAutospacing="1" w:after="0" w:line="360" w:lineRule="auto"/>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The path forward requires a commitment to scientific rigor over alarmism, to evidence based prioritization over precautionary paralysis, and to public empowerment through knowledge rather than fear. The conundrum of toxins in the modern age is not that we are surrounded by detectable chemicals—it is that we have forgotten to ask, detectable at what dose, and harmful at what level? Answering these questions with precision, objectivity, and humility is the enduring mission of toxicology.</w:t>
      </w:r>
    </w:p>
    <w:p w14:paraId="0511169A" w14:textId="77777777" w:rsidR="00D561A6" w:rsidRDefault="00D561A6" w:rsidP="00D561A6">
      <w:pPr>
        <w:pStyle w:val="Heading2"/>
        <w:jc w:val="left"/>
        <w:rPr>
          <w:rFonts w:ascii="Arial" w:hAnsi="Arial" w:cs="Arial"/>
          <w:lang w:val="en-GB" w:eastAsia="en-US"/>
        </w:rPr>
      </w:pPr>
      <w:bookmarkStart w:id="0" w:name="_Hlk218868534"/>
      <w:r>
        <w:rPr>
          <w:rFonts w:ascii="Arial" w:hAnsi="Arial" w:cs="Arial"/>
          <w:lang w:val="en-GB" w:eastAsia="en-US"/>
        </w:rPr>
        <w:t>Limitations of This Work</w:t>
      </w:r>
    </w:p>
    <w:p w14:paraId="7B9CD441" w14:textId="77777777" w:rsidR="00D561A6" w:rsidRDefault="00D561A6" w:rsidP="00D561A6">
      <w:pPr>
        <w:pStyle w:val="Heading2"/>
        <w:jc w:val="left"/>
        <w:rPr>
          <w:rFonts w:ascii="Arial" w:hAnsi="Arial" w:cs="Arial"/>
          <w:lang w:val="en-GB" w:eastAsia="en-US"/>
        </w:rPr>
      </w:pPr>
      <w:r>
        <w:rPr>
          <w:rFonts w:ascii="Arial" w:hAnsi="Arial" w:cs="Arial"/>
          <w:lang w:val="en-GB" w:eastAsia="en-US"/>
        </w:rPr>
        <w:t>Pros:</w:t>
      </w:r>
    </w:p>
    <w:p w14:paraId="4A87B84D" w14:textId="77777777" w:rsidR="00D561A6" w:rsidRDefault="00D561A6" w:rsidP="00D561A6">
      <w:pPr>
        <w:pStyle w:val="Heading2"/>
        <w:jc w:val="left"/>
        <w:rPr>
          <w:rFonts w:ascii="Arial" w:hAnsi="Arial" w:cs="Arial"/>
          <w:b w:val="0"/>
          <w:lang w:val="en-GB" w:eastAsia="en-US"/>
        </w:rPr>
      </w:pPr>
      <w:r>
        <w:rPr>
          <w:rFonts w:ascii="Arial" w:hAnsi="Arial" w:cs="Arial"/>
          <w:b w:val="0"/>
          <w:lang w:val="en-GB" w:eastAsia="en-US"/>
        </w:rPr>
        <w:t>Timely policy integration (2025 Surgeon General advisory, EPA PFAS MCLs)</w:t>
      </w:r>
    </w:p>
    <w:p w14:paraId="53B63105" w14:textId="77777777" w:rsidR="00D561A6" w:rsidRDefault="00D561A6" w:rsidP="00D561A6">
      <w:pPr>
        <w:pStyle w:val="Heading2"/>
        <w:jc w:val="left"/>
        <w:rPr>
          <w:rFonts w:ascii="Arial" w:hAnsi="Arial" w:cs="Arial"/>
          <w:b w:val="0"/>
          <w:lang w:val="en-GB" w:eastAsia="en-US"/>
        </w:rPr>
      </w:pPr>
      <w:r>
        <w:rPr>
          <w:rFonts w:ascii="Arial" w:hAnsi="Arial" w:cs="Arial"/>
          <w:b w:val="0"/>
          <w:lang w:val="en-GB" w:eastAsia="en-US"/>
        </w:rPr>
        <w:t>Clear physiological exposition for non-specialists</w:t>
      </w:r>
    </w:p>
    <w:p w14:paraId="0F837EDC" w14:textId="77777777" w:rsidR="00D561A6" w:rsidRDefault="00D561A6" w:rsidP="00D561A6">
      <w:pPr>
        <w:pStyle w:val="Heading2"/>
        <w:jc w:val="left"/>
        <w:rPr>
          <w:rFonts w:ascii="Arial" w:hAnsi="Arial" w:cs="Arial"/>
          <w:b w:val="0"/>
          <w:lang w:val="en-GB" w:eastAsia="en-US"/>
        </w:rPr>
      </w:pPr>
      <w:r>
        <w:rPr>
          <w:rFonts w:ascii="Arial" w:hAnsi="Arial" w:cs="Arial"/>
          <w:b w:val="0"/>
          <w:lang w:val="en-GB" w:eastAsia="en-US"/>
        </w:rPr>
        <w:t>Practical three-tier framework for resource-constrained systems</w:t>
      </w:r>
    </w:p>
    <w:p w14:paraId="42A682EE" w14:textId="77777777" w:rsidR="00D561A6" w:rsidRDefault="00D561A6" w:rsidP="00D561A6">
      <w:pPr>
        <w:pStyle w:val="Heading2"/>
        <w:jc w:val="left"/>
        <w:rPr>
          <w:rFonts w:ascii="Arial" w:hAnsi="Arial" w:cs="Arial"/>
          <w:b w:val="0"/>
          <w:lang w:val="en-GB" w:eastAsia="en-US"/>
        </w:rPr>
      </w:pPr>
      <w:r>
        <w:rPr>
          <w:rFonts w:ascii="Arial" w:hAnsi="Arial" w:cs="Arial"/>
          <w:b w:val="0"/>
          <w:lang w:val="en-GB" w:eastAsia="en-US"/>
        </w:rPr>
        <w:t>Effective ethanol paradox illumination</w:t>
      </w:r>
    </w:p>
    <w:p w14:paraId="08F9C978" w14:textId="77777777" w:rsidR="00D561A6" w:rsidRDefault="00D561A6" w:rsidP="00D561A6">
      <w:pPr>
        <w:pStyle w:val="Heading2"/>
        <w:jc w:val="left"/>
        <w:rPr>
          <w:rFonts w:ascii="Arial" w:hAnsi="Arial" w:cs="Arial"/>
          <w:lang w:val="en-GB" w:eastAsia="en-US"/>
        </w:rPr>
      </w:pPr>
      <w:r>
        <w:rPr>
          <w:rFonts w:ascii="Arial" w:hAnsi="Arial" w:cs="Arial"/>
          <w:lang w:val="en-GB" w:eastAsia="en-US"/>
        </w:rPr>
        <w:t>Cons:</w:t>
      </w:r>
    </w:p>
    <w:p w14:paraId="71B2AE5F" w14:textId="77777777" w:rsidR="00D561A6" w:rsidRDefault="00D561A6" w:rsidP="00D561A6">
      <w:pPr>
        <w:pStyle w:val="Heading2"/>
        <w:jc w:val="left"/>
        <w:rPr>
          <w:rFonts w:ascii="Arial" w:hAnsi="Arial" w:cs="Arial"/>
          <w:b w:val="0"/>
          <w:lang w:val="en-GB" w:eastAsia="en-US"/>
        </w:rPr>
      </w:pPr>
      <w:r>
        <w:rPr>
          <w:rFonts w:ascii="Arial" w:hAnsi="Arial" w:cs="Arial"/>
          <w:b w:val="0"/>
          <w:lang w:val="en-GB" w:eastAsia="en-US"/>
        </w:rPr>
        <w:t>Underweights evolutionary mismatch and vulnerable populations</w:t>
      </w:r>
    </w:p>
    <w:p w14:paraId="12C14117" w14:textId="77777777" w:rsidR="00035C2F" w:rsidRDefault="00035C2F" w:rsidP="00035C2F">
      <w:pPr>
        <w:rPr>
          <w:rFonts w:ascii="Calibri" w:eastAsia="Calibri" w:hAnsi="Calibri" w:cs="Times New Roman"/>
          <w:kern w:val="2"/>
          <w:highlight w:val="yellow"/>
        </w:rPr>
      </w:pPr>
      <w:bookmarkStart w:id="1" w:name="_GoBack"/>
      <w:bookmarkEnd w:id="1"/>
    </w:p>
    <w:p w14:paraId="1AEAB9C4" w14:textId="77777777" w:rsidR="00035C2F" w:rsidRPr="00005ED1" w:rsidRDefault="00035C2F" w:rsidP="00035C2F">
      <w:pPr>
        <w:pStyle w:val="NoSpacing"/>
        <w:rPr>
          <w:rFonts w:ascii="Arial" w:hAnsi="Arial" w:cs="Arial"/>
          <w:highlight w:val="yellow"/>
        </w:rPr>
      </w:pPr>
      <w:bookmarkStart w:id="2" w:name="_Hlk221624953"/>
      <w:r w:rsidRPr="00005ED1">
        <w:rPr>
          <w:rFonts w:ascii="Arial" w:hAnsi="Arial" w:cs="Arial"/>
          <w:highlight w:val="yellow"/>
        </w:rPr>
        <w:t>Disclaimer (Artificial intelligence)</w:t>
      </w:r>
    </w:p>
    <w:p w14:paraId="39E566B3" w14:textId="77777777" w:rsidR="00035C2F" w:rsidRPr="00005ED1" w:rsidRDefault="00035C2F" w:rsidP="00035C2F">
      <w:pPr>
        <w:pStyle w:val="NoSpacing"/>
        <w:rPr>
          <w:rFonts w:ascii="Arial" w:hAnsi="Arial" w:cs="Arial"/>
          <w:highlight w:val="yellow"/>
        </w:rPr>
      </w:pPr>
    </w:p>
    <w:p w14:paraId="30A1BA58" w14:textId="77777777" w:rsidR="00035C2F" w:rsidRDefault="00035C2F" w:rsidP="00035C2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bookmarkEnd w:id="0"/>
    </w:p>
    <w:bookmarkEnd w:id="2"/>
    <w:p w14:paraId="522FE717" w14:textId="77777777" w:rsidR="00035C2F" w:rsidRDefault="00035C2F">
      <w:pPr>
        <w:tabs>
          <w:tab w:val="left" w:pos="630"/>
        </w:tabs>
        <w:spacing w:before="100" w:beforeAutospacing="1" w:after="0" w:line="360" w:lineRule="auto"/>
        <w:jc w:val="both"/>
        <w:rPr>
          <w:rFonts w:ascii="Times New Roman" w:eastAsia="SimSun" w:hAnsi="Times New Roman" w:cs="Times New Roman"/>
          <w:color w:val="1E2D24"/>
          <w:sz w:val="24"/>
          <w:szCs w:val="24"/>
        </w:rPr>
      </w:pPr>
    </w:p>
    <w:p w14:paraId="3ACC8473" w14:textId="77777777" w:rsidR="00E85134" w:rsidRDefault="006C0992">
      <w:pPr>
        <w:spacing w:before="100" w:beforeAutospacing="1" w:after="0" w:line="360" w:lineRule="auto"/>
        <w:ind w:left="720" w:hanging="720"/>
        <w:jc w:val="both"/>
        <w:rPr>
          <w:rFonts w:ascii="Times New Roman" w:eastAsia="SimSun" w:hAnsi="Times New Roman" w:cs="Times New Roman"/>
          <w:b/>
          <w:bCs/>
          <w:color w:val="1E2D24"/>
          <w:sz w:val="24"/>
          <w:szCs w:val="24"/>
        </w:rPr>
      </w:pPr>
      <w:r>
        <w:rPr>
          <w:rFonts w:ascii="Times New Roman" w:eastAsia="SimSun" w:hAnsi="Times New Roman" w:cs="Times New Roman"/>
          <w:color w:val="1E2D24"/>
          <w:sz w:val="24"/>
          <w:szCs w:val="24"/>
        </w:rPr>
        <w:t xml:space="preserve"> </w:t>
      </w:r>
      <w:r>
        <w:rPr>
          <w:rFonts w:ascii="Times New Roman" w:eastAsia="SimSun" w:hAnsi="Times New Roman" w:cs="Times New Roman"/>
          <w:b/>
          <w:bCs/>
          <w:color w:val="1E2D24"/>
          <w:sz w:val="24"/>
          <w:szCs w:val="24"/>
        </w:rPr>
        <w:t>References</w:t>
      </w:r>
    </w:p>
    <w:p w14:paraId="5301F0BD"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Albertini, R. J., Bird, M. G., Doerrer, N. G., Needham, L. L., Robison, S. H., Sheldon, T., &amp; Zenick, H. (2006). The use of biomonitoring data in exposure and human health risk assessments. Environmental Health Perspectives, 114(10), 1435–1439.</w:t>
      </w:r>
    </w:p>
    <w:p w14:paraId="0C7D6F03"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Ames, B. N., &amp; Gold, L. S. (1989). Pesticides, risk, and applesauce. Science, 244(4906), 755–757.</w:t>
      </w:r>
    </w:p>
    <w:p w14:paraId="43186C3A" w14:textId="77777777" w:rsidR="00E85134" w:rsidRDefault="006C0992">
      <w:pPr>
        <w:spacing w:before="100" w:beforeAutospacing="1" w:after="0" w:line="360" w:lineRule="auto"/>
        <w:ind w:left="720" w:hanging="720"/>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Annenberg Public Policy Center. (2025). Americans' awareness of alcohol cancer risk increased after Surgeon General's advisory. Annenberg Public Policy Center of the University of Pennsylvania.https://annenbergpublicpolicycenter.org/americansawarenessofalcoholcancerriskincreasedaftersurgeongeneralsadvisory/</w:t>
      </w:r>
    </w:p>
    <w:p w14:paraId="1AFCD85F"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lastRenderedPageBreak/>
        <w:t>Ankley, G. T., Bennett, R. S., Erickson, R. J., Hoff, D. J., Hornung, M. W., Johnson, R. D., ... &amp; Villeneuve, D. L. (2010). Adverse outcome pathways: A conceptual framework to support ecotoxicology research and risk assessment. Environmental Toxicology and Chemistry, 29(3), 730–741.</w:t>
      </w:r>
    </w:p>
    <w:p w14:paraId="71056C2E"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Arnon, S. S., Schechter, R., Inglesby, T. V., Henderson, D. A., Bartlett, J. G., Ascher, M. S., ... &amp; Working Group on Civilian Biodefense. (2001). Botulinum toxin as a biological weapon: Medical and public health management. JAMA, 285(8), 1059–1070.</w:t>
      </w:r>
    </w:p>
    <w:p w14:paraId="78141F56"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Backhaus, T., &amp; Faust, M. (2012). Predictive environmental risk assessment of chemical mixtures: A conceptual framework. Environmental Science &amp; Technology, 46(5), 2564–2573.</w:t>
      </w:r>
    </w:p>
    <w:p w14:paraId="3703258C"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Bezanson, J., &amp; Lipp, G. (2019). Nonmonotonic </w:t>
      </w:r>
      <w:proofErr w:type="spellStart"/>
      <w:r>
        <w:rPr>
          <w:rFonts w:ascii="Times New Roman" w:eastAsia="SimSun" w:hAnsi="Times New Roman" w:cs="Times New Roman"/>
          <w:color w:val="1E2D24"/>
          <w:sz w:val="24"/>
          <w:szCs w:val="24"/>
        </w:rPr>
        <w:t>doseresponse</w:t>
      </w:r>
      <w:proofErr w:type="spellEnd"/>
      <w:r>
        <w:rPr>
          <w:rFonts w:ascii="Times New Roman" w:eastAsia="SimSun" w:hAnsi="Times New Roman" w:cs="Times New Roman"/>
          <w:color w:val="1E2D24"/>
          <w:sz w:val="24"/>
          <w:szCs w:val="24"/>
        </w:rPr>
        <w:t xml:space="preserve"> relationships: A scoping review of evidence from experimental toxicology. Critical Reviews in Toxicology, 49(7), 575–587.</w:t>
      </w:r>
    </w:p>
    <w:p w14:paraId="0EC436B7"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proofErr w:type="spellStart"/>
      <w:r>
        <w:rPr>
          <w:rFonts w:ascii="Times New Roman" w:eastAsia="SimSun" w:hAnsi="Times New Roman" w:cs="Times New Roman"/>
          <w:color w:val="1E2D24"/>
          <w:sz w:val="24"/>
          <w:szCs w:val="24"/>
        </w:rPr>
        <w:t>Bjorkholm</w:t>
      </w:r>
      <w:proofErr w:type="spellEnd"/>
      <w:r>
        <w:rPr>
          <w:rFonts w:ascii="Times New Roman" w:eastAsia="SimSun" w:hAnsi="Times New Roman" w:cs="Times New Roman"/>
          <w:color w:val="1E2D24"/>
          <w:sz w:val="24"/>
          <w:szCs w:val="24"/>
        </w:rPr>
        <w:t xml:space="preserve">, B., Bok, C. M., Lundin, A., Rafter, J., Hibberd, M. L., &amp; Pettersson, S. (2009). Intestinal microbiota regulate xenobiotic metabolism in the liver. </w:t>
      </w:r>
      <w:proofErr w:type="spellStart"/>
      <w:r>
        <w:rPr>
          <w:rFonts w:ascii="Times New Roman" w:eastAsia="SimSun" w:hAnsi="Times New Roman" w:cs="Times New Roman"/>
          <w:color w:val="1E2D24"/>
          <w:sz w:val="24"/>
          <w:szCs w:val="24"/>
        </w:rPr>
        <w:t>PLoS</w:t>
      </w:r>
      <w:proofErr w:type="spellEnd"/>
      <w:r>
        <w:rPr>
          <w:rFonts w:ascii="Times New Roman" w:eastAsia="SimSun" w:hAnsi="Times New Roman" w:cs="Times New Roman"/>
          <w:color w:val="1E2D24"/>
          <w:sz w:val="24"/>
          <w:szCs w:val="24"/>
        </w:rPr>
        <w:t xml:space="preserve"> ONE, 4(9), e6958.</w:t>
      </w:r>
    </w:p>
    <w:p w14:paraId="1873CF91"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Bliss, C. I. (1939). The toxicity of poisons applied jointly. Annals of Applied Biology, 26(3), 585–615.</w:t>
      </w:r>
    </w:p>
    <w:p w14:paraId="2DEEB349"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Borgert, C. J., Quill, T. F., McCarty, L. S., &amp; Mason, A. M. (2004). Can mode of action predict mixture toxicity for risk assessment? Toxicology and Applied Pharmacology, 201(2), 85–96.</w:t>
      </w:r>
    </w:p>
    <w:p w14:paraId="3960C78B"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Borgert, C. J., Sargent, E. V., Casella, G., Dierickx, P. J., </w:t>
      </w:r>
      <w:proofErr w:type="spellStart"/>
      <w:r>
        <w:rPr>
          <w:rFonts w:ascii="Times New Roman" w:eastAsia="SimSun" w:hAnsi="Times New Roman" w:cs="Times New Roman"/>
          <w:color w:val="1E2D24"/>
          <w:sz w:val="24"/>
          <w:szCs w:val="24"/>
        </w:rPr>
        <w:t>Kerzetski</w:t>
      </w:r>
      <w:proofErr w:type="spellEnd"/>
      <w:r>
        <w:rPr>
          <w:rFonts w:ascii="Times New Roman" w:eastAsia="SimSun" w:hAnsi="Times New Roman" w:cs="Times New Roman"/>
          <w:color w:val="1E2D24"/>
          <w:sz w:val="24"/>
          <w:szCs w:val="24"/>
        </w:rPr>
        <w:t>, I. A., Laskin, J., ... &amp; van der Laan, J. W. (2018). The human relevant potency threshold: Reducing uncertainty about human relevance of animal responses. Regulatory Toxicology and Pharmacology, 96, 115–123.</w:t>
      </w:r>
    </w:p>
    <w:p w14:paraId="50D3F909"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Caldwell, J. C., Soon, R. H., Sheppard, K. A., Starling, A. P., Adgate, J. L., Allshouse, W. B., &amp; DeJong, M. (2020). Navigating the process of histologic evaluation of endocrine disruption: Considerations from a workshop on consistent, efficient, and representative approaches. Critical Reviews in Toxicology, 50(5), 380–394.</w:t>
      </w:r>
    </w:p>
    <w:p w14:paraId="6F05AA6E"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lastRenderedPageBreak/>
        <w:t>Calabrese, E. J. (2005). Paradigm lost, paradigm found: The reemergence of hormesis as a fundamental dose response model in the toxicological sciences. Environmental Pollution, 138(3), 379–411.</w:t>
      </w:r>
    </w:p>
    <w:p w14:paraId="476827D6"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Calabrese, E. J. (2009). Getting the </w:t>
      </w:r>
      <w:proofErr w:type="spellStart"/>
      <w:r>
        <w:rPr>
          <w:rFonts w:ascii="Times New Roman" w:eastAsia="SimSun" w:hAnsi="Times New Roman" w:cs="Times New Roman"/>
          <w:color w:val="1E2D24"/>
          <w:sz w:val="24"/>
          <w:szCs w:val="24"/>
        </w:rPr>
        <w:t>doseresponse</w:t>
      </w:r>
      <w:proofErr w:type="spellEnd"/>
      <w:r>
        <w:rPr>
          <w:rFonts w:ascii="Times New Roman" w:eastAsia="SimSun" w:hAnsi="Times New Roman" w:cs="Times New Roman"/>
          <w:color w:val="1E2D24"/>
          <w:sz w:val="24"/>
          <w:szCs w:val="24"/>
        </w:rPr>
        <w:t xml:space="preserve"> wrong: Why hormesis became marginalized and the threshold model accepted. Archives of Toxicology, 83(3), 227–247.</w:t>
      </w:r>
    </w:p>
    <w:p w14:paraId="01CD098C"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Calabrese, E. J., &amp; Baldwin, L. A. (2002). Defining hormesis. Human &amp; Experimental Toxicology, 21(2), 91–97.</w:t>
      </w:r>
    </w:p>
    <w:p w14:paraId="31F3FA4E"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Calabrese, E. J., &amp; Blain, R. B. (2005). The occurrence of </w:t>
      </w:r>
      <w:proofErr w:type="spellStart"/>
      <w:r>
        <w:rPr>
          <w:rFonts w:ascii="Times New Roman" w:eastAsia="SimSun" w:hAnsi="Times New Roman" w:cs="Times New Roman"/>
          <w:color w:val="1E2D24"/>
          <w:sz w:val="24"/>
          <w:szCs w:val="24"/>
        </w:rPr>
        <w:t>hormetic</w:t>
      </w:r>
      <w:proofErr w:type="spellEnd"/>
      <w:r>
        <w:rPr>
          <w:rFonts w:ascii="Times New Roman" w:eastAsia="SimSun" w:hAnsi="Times New Roman" w:cs="Times New Roman"/>
          <w:color w:val="1E2D24"/>
          <w:sz w:val="24"/>
          <w:szCs w:val="24"/>
        </w:rPr>
        <w:t xml:space="preserve"> dose responses in the toxicological literature: Evaluation and analysis. Human &amp; Experimental Toxicology, 24(4), 167–174.</w:t>
      </w:r>
    </w:p>
    <w:p w14:paraId="77D64FE3"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Chen, L., Wang, Y., &amp; Zhang, H. (2024). Bibliometric analysis of aflatoxin research trends (2014–2024): From mechanism to mitigation. Food and Chemical Toxicology, 189, 114823.</w:t>
      </w:r>
    </w:p>
    <w:p w14:paraId="73C3A83B"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Committee on Toxicity of Chemicals in Food, Consumer Products and the Environment (COT). (2002). Risk assessment of mixtures of pesticides and similar substances. Food Standards Agency.</w:t>
      </w:r>
    </w:p>
    <w:p w14:paraId="3419C783"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Eaton, D. L., &amp; Gallagher, E. P. (1994). Mechanisms of aflatoxin carcinogenesis. Annual Review of Pharmacology and Toxicology, 34, 135–172.</w:t>
      </w:r>
    </w:p>
    <w:p w14:paraId="5C07AB9A"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Endocrine Society. (2024). NEW 2024/2025] Position statement on </w:t>
      </w:r>
      <w:proofErr w:type="spellStart"/>
      <w:r>
        <w:rPr>
          <w:rFonts w:ascii="Times New Roman" w:eastAsia="SimSun" w:hAnsi="Times New Roman" w:cs="Times New Roman"/>
          <w:color w:val="1E2D24"/>
          <w:sz w:val="24"/>
          <w:szCs w:val="24"/>
        </w:rPr>
        <w:t>endocrinedisrupting</w:t>
      </w:r>
      <w:proofErr w:type="spellEnd"/>
      <w:r>
        <w:rPr>
          <w:rFonts w:ascii="Times New Roman" w:eastAsia="SimSun" w:hAnsi="Times New Roman" w:cs="Times New Roman"/>
          <w:color w:val="1E2D24"/>
          <w:sz w:val="24"/>
          <w:szCs w:val="24"/>
        </w:rPr>
        <w:t xml:space="preserve"> chemicals and nonmonotonic dose responses. Endocrine Society. </w:t>
      </w:r>
      <w:hyperlink r:id="rId7" w:history="1">
        <w:r>
          <w:rPr>
            <w:rStyle w:val="Hyperlink"/>
            <w:rFonts w:ascii="Times New Roman" w:eastAsia="SimSun" w:hAnsi="Times New Roman" w:cs="Times New Roman"/>
            <w:sz w:val="24"/>
            <w:szCs w:val="24"/>
          </w:rPr>
          <w:t>https://www.endocrine.org/advocacy/position</w:t>
        </w:r>
      </w:hyperlink>
      <w:r>
        <w:rPr>
          <w:rFonts w:ascii="Times New Roman" w:eastAsia="SimSun" w:hAnsi="Times New Roman" w:cs="Times New Roman"/>
          <w:color w:val="1E2D24"/>
          <w:sz w:val="24"/>
          <w:szCs w:val="24"/>
        </w:rPr>
        <w:t xml:space="preserve"> statements</w:t>
      </w:r>
    </w:p>
    <w:p w14:paraId="2D4F29EF"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Escher, B. I., van Daele, C., Dutt, M., Tang, J. Y., &amp; Altenburger, R. (2013). Most oxidative stress response in water samples comes from natural unknown compounds. Environmental Science &amp; Technology, 47(22), 12721–12729.</w:t>
      </w:r>
    </w:p>
    <w:p w14:paraId="51087A62"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European Food Safety Authority (EFSA). (2015). Conclusion on the peer review of the pesticide risk assessment of the active substance glyphosate. EFSA Journal, 13(11), 4302.</w:t>
      </w:r>
    </w:p>
    <w:p w14:paraId="4D4BE328"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lastRenderedPageBreak/>
        <w:t>Guengerich, F. P. (2008). Cytochrome p450 and chemical toxicology. Chemical Research in Toxicology, 21(1), 70–83.</w:t>
      </w:r>
    </w:p>
    <w:p w14:paraId="73566266"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Hayes, J. D., Flanagan, J. U., &amp; Jowsey, I. R. (2005). Glutathione transferases. Annual Review of Pharmacology and Toxicology, 45, 51–88.</w:t>
      </w:r>
    </w:p>
    <w:p w14:paraId="5409E055"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International Agency for Research on Cancer (IARC). (2012). Chemical agents and related occupations: A review of human carcinogens. IARC Monographs on the Evaluation of Carcinogenic Risks to Humans, 100F.</w:t>
      </w:r>
    </w:p>
    <w:p w14:paraId="19F011B2"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Johnson, K. L., Patel, R., &amp; Morrison, M. (2025). Microbial transformation of dietary xenobiotics shapes gut microbiome composition and host metabolism. Cell, 187(3), 712–728.</w:t>
      </w:r>
    </w:p>
    <w:p w14:paraId="29E393F6"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Kennedy, J. (2016). The psychology of chemophobia. Education in Chemistry, Royal Society of Chemistry.</w:t>
      </w:r>
    </w:p>
    <w:p w14:paraId="1AB003FC"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Koppel, N., Maini Rekdal, V., &amp; </w:t>
      </w:r>
      <w:proofErr w:type="spellStart"/>
      <w:r>
        <w:rPr>
          <w:rFonts w:ascii="Times New Roman" w:eastAsia="SimSun" w:hAnsi="Times New Roman" w:cs="Times New Roman"/>
          <w:color w:val="1E2D24"/>
          <w:sz w:val="24"/>
          <w:szCs w:val="24"/>
        </w:rPr>
        <w:t>Balskus</w:t>
      </w:r>
      <w:proofErr w:type="spellEnd"/>
      <w:r>
        <w:rPr>
          <w:rFonts w:ascii="Times New Roman" w:eastAsia="SimSun" w:hAnsi="Times New Roman" w:cs="Times New Roman"/>
          <w:color w:val="1E2D24"/>
          <w:sz w:val="24"/>
          <w:szCs w:val="24"/>
        </w:rPr>
        <w:t>, E. P. (2017). Chemical transformation of xenobiotics by the human gut microbiota. Science, 356(6344), eaag2770.</w:t>
      </w:r>
    </w:p>
    <w:p w14:paraId="6D959630"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proofErr w:type="spellStart"/>
      <w:r>
        <w:rPr>
          <w:rFonts w:ascii="Times New Roman" w:eastAsia="SimSun" w:hAnsi="Times New Roman" w:cs="Times New Roman"/>
          <w:color w:val="1E2D24"/>
          <w:sz w:val="24"/>
          <w:szCs w:val="24"/>
        </w:rPr>
        <w:t>Kortenkamp</w:t>
      </w:r>
      <w:proofErr w:type="spellEnd"/>
      <w:r>
        <w:rPr>
          <w:rFonts w:ascii="Times New Roman" w:eastAsia="SimSun" w:hAnsi="Times New Roman" w:cs="Times New Roman"/>
          <w:color w:val="1E2D24"/>
          <w:sz w:val="24"/>
          <w:szCs w:val="24"/>
        </w:rPr>
        <w:t xml:space="preserve">, A. (2007). Ten years of mixing cocktails: A review of combination effects of </w:t>
      </w:r>
      <w:proofErr w:type="spellStart"/>
      <w:r>
        <w:rPr>
          <w:rFonts w:ascii="Times New Roman" w:eastAsia="SimSun" w:hAnsi="Times New Roman" w:cs="Times New Roman"/>
          <w:color w:val="1E2D24"/>
          <w:sz w:val="24"/>
          <w:szCs w:val="24"/>
        </w:rPr>
        <w:t>endocrinedisrupting</w:t>
      </w:r>
      <w:proofErr w:type="spellEnd"/>
      <w:r>
        <w:rPr>
          <w:rFonts w:ascii="Times New Roman" w:eastAsia="SimSun" w:hAnsi="Times New Roman" w:cs="Times New Roman"/>
          <w:color w:val="1E2D24"/>
          <w:sz w:val="24"/>
          <w:szCs w:val="24"/>
        </w:rPr>
        <w:t xml:space="preserve"> chemicals. Environmental Health Perspectives, 115(Suppl 1), 98–105.</w:t>
      </w:r>
    </w:p>
    <w:p w14:paraId="1EAF9FC2"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Lohr, J. W., Willsky, G. R., &amp; Acara, M. A. (1998). Renal drug metabolism. Pharmacological Reviews, 50(1), 107–141.</w:t>
      </w:r>
    </w:p>
    <w:p w14:paraId="529093BE"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Ma, Q. (2013). Role of nrf2 in oxidative stress and toxicity. Annual Review of Pharmacology and Toxicology, 53, 401–426.</w:t>
      </w:r>
    </w:p>
    <w:p w14:paraId="0F80B7B1"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Martinez, A., Chen, B., &amp; Liu, X. (2024). Comparative enzymology of gut microbial xenobiotic metabolism: Reductases and hydrolases dominate over cytochrome P450 homologs. Frontiers in Microbiology, 15, 1345678.</w:t>
      </w:r>
    </w:p>
    <w:p w14:paraId="5813C8B5"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Mattson, M. P. (2008). Hormesis defined. Ageing Research Reviews, 7(1), 1–7.</w:t>
      </w:r>
    </w:p>
    <w:p w14:paraId="0A07A591"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lastRenderedPageBreak/>
        <w:t>Nebert, D. W., &amp; Russell, D. W. (2002). Clinical importance of the cytochromes P450. The Lancet, 360(9340), 1155–1162.</w:t>
      </w:r>
    </w:p>
    <w:p w14:paraId="62676F09"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Paine, M. F. (2006). The human intestinal cytochrome P450 "pie." Drug Metabolism and Disposition, 34(5), 880–886.</w:t>
      </w:r>
    </w:p>
    <w:p w14:paraId="351B916C"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Porta, M., Zumeta, E., &amp; </w:t>
      </w:r>
      <w:proofErr w:type="spellStart"/>
      <w:r>
        <w:rPr>
          <w:rFonts w:ascii="Times New Roman" w:eastAsia="SimSun" w:hAnsi="Times New Roman" w:cs="Times New Roman"/>
          <w:color w:val="1E2D24"/>
          <w:sz w:val="24"/>
          <w:szCs w:val="24"/>
        </w:rPr>
        <w:t>Puigdomenech</w:t>
      </w:r>
      <w:proofErr w:type="spellEnd"/>
      <w:r>
        <w:rPr>
          <w:rFonts w:ascii="Times New Roman" w:eastAsia="SimSun" w:hAnsi="Times New Roman" w:cs="Times New Roman"/>
          <w:color w:val="1E2D24"/>
          <w:sz w:val="24"/>
          <w:szCs w:val="24"/>
        </w:rPr>
        <w:t>, E. (2008). Monitoring concentrations of persistent organic pollutants in the general population. International Journal of Epidemiology, 37(2), 274–287.</w:t>
      </w:r>
    </w:p>
    <w:p w14:paraId="7DA6BE50"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Rozin, P. (2005). The meaning of "natural": Process more important than content. Psychological Science, 16(8), 652–658.</w:t>
      </w:r>
    </w:p>
    <w:p w14:paraId="00DFFA5A"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proofErr w:type="spellStart"/>
      <w:r>
        <w:rPr>
          <w:rFonts w:ascii="Times New Roman" w:eastAsia="SimSun" w:hAnsi="Times New Roman" w:cs="Times New Roman"/>
          <w:color w:val="1E2D24"/>
          <w:sz w:val="24"/>
          <w:szCs w:val="24"/>
        </w:rPr>
        <w:t>Rumgay</w:t>
      </w:r>
      <w:proofErr w:type="spellEnd"/>
      <w:r>
        <w:rPr>
          <w:rFonts w:ascii="Times New Roman" w:eastAsia="SimSun" w:hAnsi="Times New Roman" w:cs="Times New Roman"/>
          <w:color w:val="1E2D24"/>
          <w:sz w:val="24"/>
          <w:szCs w:val="24"/>
        </w:rPr>
        <w:t xml:space="preserve">, H., Shield, K., Charvat, H., Ferrari, P., </w:t>
      </w:r>
      <w:proofErr w:type="spellStart"/>
      <w:r>
        <w:rPr>
          <w:rFonts w:ascii="Times New Roman" w:eastAsia="SimSun" w:hAnsi="Times New Roman" w:cs="Times New Roman"/>
          <w:color w:val="1E2D24"/>
          <w:sz w:val="24"/>
          <w:szCs w:val="24"/>
        </w:rPr>
        <w:t>Sornpaisarn</w:t>
      </w:r>
      <w:proofErr w:type="spellEnd"/>
      <w:r>
        <w:rPr>
          <w:rFonts w:ascii="Times New Roman" w:eastAsia="SimSun" w:hAnsi="Times New Roman" w:cs="Times New Roman"/>
          <w:color w:val="1E2D24"/>
          <w:sz w:val="24"/>
          <w:szCs w:val="24"/>
        </w:rPr>
        <w:t xml:space="preserve">, B., Obot, I., &amp; </w:t>
      </w:r>
      <w:proofErr w:type="spellStart"/>
      <w:r>
        <w:rPr>
          <w:rFonts w:ascii="Times New Roman" w:eastAsia="SimSun" w:hAnsi="Times New Roman" w:cs="Times New Roman"/>
          <w:color w:val="1E2D24"/>
          <w:sz w:val="24"/>
          <w:szCs w:val="24"/>
        </w:rPr>
        <w:t>Soerjomataram</w:t>
      </w:r>
      <w:proofErr w:type="spellEnd"/>
      <w:r>
        <w:rPr>
          <w:rFonts w:ascii="Times New Roman" w:eastAsia="SimSun" w:hAnsi="Times New Roman" w:cs="Times New Roman"/>
          <w:color w:val="1E2D24"/>
          <w:sz w:val="24"/>
          <w:szCs w:val="24"/>
        </w:rPr>
        <w:t>, I. (2021). Global burden of cancer in 2020 attributable to alcohol consumption. The Lancet Oncology, 22(8), 1071–1080.</w:t>
      </w:r>
    </w:p>
    <w:p w14:paraId="2B9408C4"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Seitz, H. K., &amp; Stickel, F. (2007). Molecular mechanisms of </w:t>
      </w:r>
      <w:proofErr w:type="spellStart"/>
      <w:r>
        <w:rPr>
          <w:rFonts w:ascii="Times New Roman" w:eastAsia="SimSun" w:hAnsi="Times New Roman" w:cs="Times New Roman"/>
          <w:color w:val="1E2D24"/>
          <w:sz w:val="24"/>
          <w:szCs w:val="24"/>
        </w:rPr>
        <w:t>alcoholmediated</w:t>
      </w:r>
      <w:proofErr w:type="spellEnd"/>
      <w:r>
        <w:rPr>
          <w:rFonts w:ascii="Times New Roman" w:eastAsia="SimSun" w:hAnsi="Times New Roman" w:cs="Times New Roman"/>
          <w:color w:val="1E2D24"/>
          <w:sz w:val="24"/>
          <w:szCs w:val="24"/>
        </w:rPr>
        <w:t xml:space="preserve"> carcinogenesis. Nature Reviews Cancer, 7(8), 599–612.</w:t>
      </w:r>
    </w:p>
    <w:p w14:paraId="69211846"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proofErr w:type="spellStart"/>
      <w:r>
        <w:rPr>
          <w:rFonts w:ascii="Times New Roman" w:eastAsia="SimSun" w:hAnsi="Times New Roman" w:cs="Times New Roman"/>
          <w:color w:val="1E2D24"/>
          <w:sz w:val="24"/>
          <w:szCs w:val="24"/>
        </w:rPr>
        <w:t>Slovic</w:t>
      </w:r>
      <w:proofErr w:type="spellEnd"/>
      <w:r>
        <w:rPr>
          <w:rFonts w:ascii="Times New Roman" w:eastAsia="SimSun" w:hAnsi="Times New Roman" w:cs="Times New Roman"/>
          <w:color w:val="1E2D24"/>
          <w:sz w:val="24"/>
          <w:szCs w:val="24"/>
        </w:rPr>
        <w:t>, P. (1987). Perception of risk. Science, 236(4799), 280–285.</w:t>
      </w:r>
    </w:p>
    <w:p w14:paraId="35AD2F4D"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proofErr w:type="spellStart"/>
      <w:r>
        <w:rPr>
          <w:rFonts w:ascii="Times New Roman" w:eastAsia="SimSun" w:hAnsi="Times New Roman" w:cs="Times New Roman"/>
          <w:color w:val="1E2D24"/>
          <w:sz w:val="24"/>
          <w:szCs w:val="24"/>
        </w:rPr>
        <w:t>Slovic</w:t>
      </w:r>
      <w:proofErr w:type="spellEnd"/>
      <w:r>
        <w:rPr>
          <w:rFonts w:ascii="Times New Roman" w:eastAsia="SimSun" w:hAnsi="Times New Roman" w:cs="Times New Roman"/>
          <w:color w:val="1E2D24"/>
          <w:sz w:val="24"/>
          <w:szCs w:val="24"/>
        </w:rPr>
        <w:t>, P., &amp; Fischhoff, B. (1982). Why study risk perception? Risk Analysis, 2(2), 83–93.</w:t>
      </w:r>
    </w:p>
    <w:p w14:paraId="4FFC747D"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Testa, B., &amp; Kramer, S. D. (2007). The biochemistry of drug metabolism: An illustrated textbook. </w:t>
      </w:r>
      <w:proofErr w:type="spellStart"/>
      <w:r>
        <w:rPr>
          <w:rFonts w:ascii="Times New Roman" w:eastAsia="SimSun" w:hAnsi="Times New Roman" w:cs="Times New Roman"/>
          <w:color w:val="1E2D24"/>
          <w:sz w:val="24"/>
          <w:szCs w:val="24"/>
        </w:rPr>
        <w:t>WileyVCH</w:t>
      </w:r>
      <w:proofErr w:type="spellEnd"/>
      <w:r>
        <w:rPr>
          <w:rFonts w:ascii="Times New Roman" w:eastAsia="SimSun" w:hAnsi="Times New Roman" w:cs="Times New Roman"/>
          <w:color w:val="1E2D24"/>
          <w:sz w:val="24"/>
          <w:szCs w:val="24"/>
        </w:rPr>
        <w:t>.</w:t>
      </w:r>
    </w:p>
    <w:p w14:paraId="230DBF3F"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Thompson, R. S., Anderson, K. J., &amp; Lee, M. H. (2025). Sensitivity analysis of </w:t>
      </w:r>
      <w:proofErr w:type="spellStart"/>
      <w:r>
        <w:rPr>
          <w:rFonts w:ascii="Times New Roman" w:eastAsia="SimSun" w:hAnsi="Times New Roman" w:cs="Times New Roman"/>
          <w:color w:val="1E2D24"/>
          <w:sz w:val="24"/>
          <w:szCs w:val="24"/>
        </w:rPr>
        <w:t>bioactivityexposure</w:t>
      </w:r>
      <w:proofErr w:type="spellEnd"/>
      <w:r>
        <w:rPr>
          <w:rFonts w:ascii="Times New Roman" w:eastAsia="SimSun" w:hAnsi="Times New Roman" w:cs="Times New Roman"/>
          <w:color w:val="1E2D24"/>
          <w:sz w:val="24"/>
          <w:szCs w:val="24"/>
        </w:rPr>
        <w:t xml:space="preserve"> ratios in </w:t>
      </w:r>
      <w:proofErr w:type="spellStart"/>
      <w:r>
        <w:rPr>
          <w:rFonts w:ascii="Times New Roman" w:eastAsia="SimSun" w:hAnsi="Times New Roman" w:cs="Times New Roman"/>
          <w:color w:val="1E2D24"/>
          <w:sz w:val="24"/>
          <w:szCs w:val="24"/>
        </w:rPr>
        <w:t>ToxCast</w:t>
      </w:r>
      <w:proofErr w:type="spellEnd"/>
      <w:r>
        <w:rPr>
          <w:rFonts w:ascii="Times New Roman" w:eastAsia="SimSun" w:hAnsi="Times New Roman" w:cs="Times New Roman"/>
          <w:color w:val="1E2D24"/>
          <w:sz w:val="24"/>
          <w:szCs w:val="24"/>
        </w:rPr>
        <w:t xml:space="preserve">: IVIVE uncertainty as the dominant source of variability in </w:t>
      </w:r>
      <w:proofErr w:type="spellStart"/>
      <w:r>
        <w:rPr>
          <w:rFonts w:ascii="Times New Roman" w:eastAsia="SimSun" w:hAnsi="Times New Roman" w:cs="Times New Roman"/>
          <w:color w:val="1E2D24"/>
          <w:sz w:val="24"/>
          <w:szCs w:val="24"/>
        </w:rPr>
        <w:t>nextgeneration</w:t>
      </w:r>
      <w:proofErr w:type="spellEnd"/>
      <w:r>
        <w:rPr>
          <w:rFonts w:ascii="Times New Roman" w:eastAsia="SimSun" w:hAnsi="Times New Roman" w:cs="Times New Roman"/>
          <w:color w:val="1E2D24"/>
          <w:sz w:val="24"/>
          <w:szCs w:val="24"/>
        </w:rPr>
        <w:t xml:space="preserve"> risk assessment. Frontiers in Toxicology, 7, 1456789.</w:t>
      </w:r>
    </w:p>
    <w:p w14:paraId="616E9393"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Townsend, D. M., &amp; Tew, K. D. (2003). The role of </w:t>
      </w:r>
      <w:proofErr w:type="spellStart"/>
      <w:r>
        <w:rPr>
          <w:rFonts w:ascii="Times New Roman" w:eastAsia="SimSun" w:hAnsi="Times New Roman" w:cs="Times New Roman"/>
          <w:color w:val="1E2D24"/>
          <w:sz w:val="24"/>
          <w:szCs w:val="24"/>
        </w:rPr>
        <w:t>glutathioneStransferase</w:t>
      </w:r>
      <w:proofErr w:type="spellEnd"/>
      <w:r>
        <w:rPr>
          <w:rFonts w:ascii="Times New Roman" w:eastAsia="SimSun" w:hAnsi="Times New Roman" w:cs="Times New Roman"/>
          <w:color w:val="1E2D24"/>
          <w:sz w:val="24"/>
          <w:szCs w:val="24"/>
        </w:rPr>
        <w:t xml:space="preserve"> in anticancer drug resistance. Oncogene, 22(47), 7369–7375.</w:t>
      </w:r>
    </w:p>
    <w:p w14:paraId="6A205760"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lastRenderedPageBreak/>
        <w:t>U.S. Surgeon General. (2025). Surgeon General's advisory on alcohol and cancer risk. U.S. Department of Health and Human Services. https://www.hhs.gov/surgeongeneral/reportsandpublications/addictionandsubstancemisuse/advisoryonalcoholandcancerrisk/index.html</w:t>
      </w:r>
    </w:p>
    <w:p w14:paraId="75C4EA12"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U.S. Environmental Protection Agency (EPA). (2020). Glyphosate: Interim registration review decision case no. 0178.</w:t>
      </w:r>
    </w:p>
    <w:p w14:paraId="1E549978"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U.S. Environmental Protection Agency (EPA). (2024). EPA designates PFOA and PFOS as hazardous substances under CERCLA. https://www.epa.gov/newsreleases/epadesignatespfoaandpfoshazardoussubstancesundercercla</w:t>
      </w:r>
    </w:p>
    <w:p w14:paraId="2E905DD9"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U.S. Environmental Protection Agency (EPA). (2024b). EPA finalizes drinking water standards for PFAS. https://www.epa.gov/newsreleases/epafinalizesdrinkingwaterstandardspfas</w:t>
      </w:r>
    </w:p>
    <w:p w14:paraId="736D0BB8"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Vandenberg, L. N., Colborn, T., Hayes, T. B., Heindel, J. J., Jacobs, D. R., Lee, D. H., ... &amp; Zoeller, R. T. (2012). Hormones and endocrine-disrupting chemicals: </w:t>
      </w:r>
      <w:proofErr w:type="spellStart"/>
      <w:r>
        <w:rPr>
          <w:rFonts w:ascii="Times New Roman" w:eastAsia="SimSun" w:hAnsi="Times New Roman" w:cs="Times New Roman"/>
          <w:color w:val="1E2D24"/>
          <w:sz w:val="24"/>
          <w:szCs w:val="24"/>
        </w:rPr>
        <w:t>Lowdose</w:t>
      </w:r>
      <w:proofErr w:type="spellEnd"/>
      <w:r>
        <w:rPr>
          <w:rFonts w:ascii="Times New Roman" w:eastAsia="SimSun" w:hAnsi="Times New Roman" w:cs="Times New Roman"/>
          <w:color w:val="1E2D24"/>
          <w:sz w:val="24"/>
          <w:szCs w:val="24"/>
        </w:rPr>
        <w:t xml:space="preserve"> effects and nonmonotonic dose responses. Endocrine Reviews, 33(3), 378–455.</w:t>
      </w:r>
    </w:p>
    <w:p w14:paraId="39679365"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Wallace, B. D., Wang, H., Lane, K. T., Scott, J. E., Orans, J., Koo, J. S., ... &amp; Redinbo, M. R. (2010). Alleviating cancer drug toxicity by inhibiting a bacterial enzyme. Science, 330(6005), 831–835.</w:t>
      </w:r>
    </w:p>
    <w:p w14:paraId="558E65C7"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Williams, G. M., Kroes, R., &amp; Munro, I. C. (2000). Safety evaluation and risk assessment of the herbicide Roundup and its active ingredient, glyphosate, for humans. Regulatory Toxicology and Pharmacology, 31(2), 117–165.</w:t>
      </w:r>
    </w:p>
    <w:p w14:paraId="52E36633"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World Health Organization (WHO). (2022). Global status report on alcohol and health 2022. WHO.</w:t>
      </w:r>
    </w:p>
    <w:p w14:paraId="78D4835F"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World Health Organization (WHO). (2024). Alcohol and cancer (Fact Sheet). WHO Regional Office for Europe.</w:t>
      </w:r>
    </w:p>
    <w:p w14:paraId="0BC0D358"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lastRenderedPageBreak/>
        <w:t>World Health Organization (WHO). (2025). No safe level of alcohol consumption: Cancer risk and public health implications. WHO. https://www.who.int/europe/newsroom/factsheets/item/alcoholandcancer</w:t>
      </w:r>
    </w:p>
    <w:p w14:paraId="7F7885F2"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Wogan, G. N., Kensler, T. W., &amp; </w:t>
      </w:r>
      <w:proofErr w:type="spellStart"/>
      <w:r>
        <w:rPr>
          <w:rFonts w:ascii="Times New Roman" w:eastAsia="SimSun" w:hAnsi="Times New Roman" w:cs="Times New Roman"/>
          <w:color w:val="1E2D24"/>
          <w:sz w:val="24"/>
          <w:szCs w:val="24"/>
        </w:rPr>
        <w:t>Groopman</w:t>
      </w:r>
      <w:proofErr w:type="spellEnd"/>
      <w:r>
        <w:rPr>
          <w:rFonts w:ascii="Times New Roman" w:eastAsia="SimSun" w:hAnsi="Times New Roman" w:cs="Times New Roman"/>
          <w:color w:val="1E2D24"/>
          <w:sz w:val="24"/>
          <w:szCs w:val="24"/>
        </w:rPr>
        <w:t>, J. D. (2012). Present and future directions of translational research on aflatoxin and hepatocellular carcinoma. Food Additives &amp; Contaminants, 29(2), 249–257.</w:t>
      </w:r>
    </w:p>
    <w:p w14:paraId="4DB790D8"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Wright, S. H., &amp; Dantzler, W. H. (2004). Molecular and cellular physiology of renal organic cation and anion transport. Physiological Reviews, 84(3), 987–1049.</w:t>
      </w:r>
    </w:p>
    <w:p w14:paraId="163C9918"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Zanger, U. M., &amp; Schwab, M. (2013). Cytochrome P450 enzymes in drug metabolism. Pharmacology &amp; Therapeutics, 138(1), 103–141.</w:t>
      </w:r>
    </w:p>
    <w:p w14:paraId="2DC9F367"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Zimmermann, M., </w:t>
      </w:r>
      <w:proofErr w:type="spellStart"/>
      <w:r>
        <w:rPr>
          <w:rFonts w:ascii="Times New Roman" w:eastAsia="SimSun" w:hAnsi="Times New Roman" w:cs="Times New Roman"/>
          <w:color w:val="1E2D24"/>
          <w:sz w:val="24"/>
          <w:szCs w:val="24"/>
        </w:rPr>
        <w:t>ZimmermannKogadeeva</w:t>
      </w:r>
      <w:proofErr w:type="spellEnd"/>
      <w:r>
        <w:rPr>
          <w:rFonts w:ascii="Times New Roman" w:eastAsia="SimSun" w:hAnsi="Times New Roman" w:cs="Times New Roman"/>
          <w:color w:val="1E2D24"/>
          <w:sz w:val="24"/>
          <w:szCs w:val="24"/>
        </w:rPr>
        <w:t>, M., Wegmann, R., &amp; Goodman, A. L. (2019). Mapping human microbiome drug metabolism by gut bacteria and their genes. Nature, 570(7761), 462–467.</w:t>
      </w:r>
    </w:p>
    <w:p w14:paraId="378B8D69" w14:textId="77777777" w:rsidR="00E85134" w:rsidRDefault="006C0992">
      <w:pPr>
        <w:spacing w:before="100" w:beforeAutospacing="1" w:after="0" w:line="360" w:lineRule="auto"/>
        <w:ind w:left="720" w:hanging="720"/>
        <w:jc w:val="both"/>
        <w:rPr>
          <w:rFonts w:ascii="Times New Roman" w:eastAsia="SimSun" w:hAnsi="Times New Roman" w:cs="Times New Roman"/>
          <w:color w:val="1E2D24"/>
          <w:sz w:val="24"/>
          <w:szCs w:val="24"/>
        </w:rPr>
      </w:pPr>
      <w:r>
        <w:rPr>
          <w:rFonts w:ascii="Times New Roman" w:eastAsia="SimSun" w:hAnsi="Times New Roman" w:cs="Times New Roman"/>
          <w:color w:val="1E2D24"/>
          <w:sz w:val="24"/>
          <w:szCs w:val="24"/>
        </w:rPr>
        <w:t xml:space="preserve">Zoeller, R. T., Bergman, Å., Becher, G., </w:t>
      </w:r>
      <w:proofErr w:type="spellStart"/>
      <w:r>
        <w:rPr>
          <w:rFonts w:ascii="Times New Roman" w:eastAsia="SimSun" w:hAnsi="Times New Roman" w:cs="Times New Roman"/>
          <w:color w:val="1E2D24"/>
          <w:sz w:val="24"/>
          <w:szCs w:val="24"/>
        </w:rPr>
        <w:t>BjerregaardOlesen</w:t>
      </w:r>
      <w:proofErr w:type="spellEnd"/>
      <w:r>
        <w:rPr>
          <w:rFonts w:ascii="Times New Roman" w:eastAsia="SimSun" w:hAnsi="Times New Roman" w:cs="Times New Roman"/>
          <w:color w:val="1E2D24"/>
          <w:sz w:val="24"/>
          <w:szCs w:val="24"/>
        </w:rPr>
        <w:t xml:space="preserve">, C., Bornman, R., </w:t>
      </w:r>
      <w:proofErr w:type="spellStart"/>
      <w:r>
        <w:rPr>
          <w:rFonts w:ascii="Times New Roman" w:eastAsia="SimSun" w:hAnsi="Times New Roman" w:cs="Times New Roman"/>
          <w:color w:val="1E2D24"/>
          <w:sz w:val="24"/>
          <w:szCs w:val="24"/>
        </w:rPr>
        <w:t>BudtzJørgensen</w:t>
      </w:r>
      <w:proofErr w:type="spellEnd"/>
      <w:r>
        <w:rPr>
          <w:rFonts w:ascii="Times New Roman" w:eastAsia="SimSun" w:hAnsi="Times New Roman" w:cs="Times New Roman"/>
          <w:color w:val="1E2D24"/>
          <w:sz w:val="24"/>
          <w:szCs w:val="24"/>
        </w:rPr>
        <w:t xml:space="preserve">, E., ... &amp; Vandenberg, L. N. (2024). Endocrine Society statement on nonmonotonic dose responses and </w:t>
      </w:r>
      <w:proofErr w:type="spellStart"/>
      <w:r>
        <w:rPr>
          <w:rFonts w:ascii="Times New Roman" w:eastAsia="SimSun" w:hAnsi="Times New Roman" w:cs="Times New Roman"/>
          <w:color w:val="1E2D24"/>
          <w:sz w:val="24"/>
          <w:szCs w:val="24"/>
        </w:rPr>
        <w:t>endocrinedisrupting</w:t>
      </w:r>
      <w:proofErr w:type="spellEnd"/>
      <w:r>
        <w:rPr>
          <w:rFonts w:ascii="Times New Roman" w:eastAsia="SimSun" w:hAnsi="Times New Roman" w:cs="Times New Roman"/>
          <w:color w:val="1E2D24"/>
          <w:sz w:val="24"/>
          <w:szCs w:val="24"/>
        </w:rPr>
        <w:t xml:space="preserve"> chemicals. Endocrinology, 165(4), bqae045. </w:t>
      </w:r>
    </w:p>
    <w:sectPr w:rsidR="00E8513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4B5BF" w14:textId="77777777" w:rsidR="000E634E" w:rsidRDefault="000E634E">
      <w:pPr>
        <w:spacing w:line="240" w:lineRule="auto"/>
      </w:pPr>
      <w:r>
        <w:separator/>
      </w:r>
    </w:p>
  </w:endnote>
  <w:endnote w:type="continuationSeparator" w:id="0">
    <w:p w14:paraId="61F80EFE" w14:textId="77777777" w:rsidR="000E634E" w:rsidRDefault="000E63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0BB9E" w14:textId="77777777" w:rsidR="00FD1708" w:rsidRDefault="00FD1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D7160" w14:textId="77777777" w:rsidR="00FD1708" w:rsidRDefault="00FD1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D3D15" w14:textId="77777777" w:rsidR="00FD1708" w:rsidRDefault="00FD1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96770" w14:textId="77777777" w:rsidR="000E634E" w:rsidRDefault="000E634E">
      <w:pPr>
        <w:spacing w:after="0"/>
      </w:pPr>
      <w:r>
        <w:separator/>
      </w:r>
    </w:p>
  </w:footnote>
  <w:footnote w:type="continuationSeparator" w:id="0">
    <w:p w14:paraId="553C5F3B" w14:textId="77777777" w:rsidR="000E634E" w:rsidRDefault="000E63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59565" w14:textId="276FF13C" w:rsidR="00FD1708" w:rsidRDefault="000E634E">
    <w:pPr>
      <w:pStyle w:val="Header"/>
    </w:pPr>
    <w:r>
      <w:rPr>
        <w:noProof/>
      </w:rPr>
      <w:pict w14:anchorId="7F778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503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F662B" w14:textId="02AE1329" w:rsidR="00FD1708" w:rsidRDefault="000E634E">
    <w:pPr>
      <w:pStyle w:val="Header"/>
    </w:pPr>
    <w:r>
      <w:rPr>
        <w:noProof/>
      </w:rPr>
      <w:pict w14:anchorId="1B14A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503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26A5" w14:textId="479C88BB" w:rsidR="00FD1708" w:rsidRDefault="000E634E">
    <w:pPr>
      <w:pStyle w:val="Header"/>
    </w:pPr>
    <w:r>
      <w:rPr>
        <w:noProof/>
      </w:rPr>
      <w:pict w14:anchorId="79623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503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804E69"/>
    <w:multiLevelType w:val="singleLevel"/>
    <w:tmpl w:val="8A804E69"/>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4D0"/>
    <w:rsid w:val="00035C2F"/>
    <w:rsid w:val="0006492D"/>
    <w:rsid w:val="0008018C"/>
    <w:rsid w:val="000E634E"/>
    <w:rsid w:val="000F5E3C"/>
    <w:rsid w:val="00193EC3"/>
    <w:rsid w:val="00195A82"/>
    <w:rsid w:val="00213CA0"/>
    <w:rsid w:val="00242C2A"/>
    <w:rsid w:val="002D3907"/>
    <w:rsid w:val="00307F86"/>
    <w:rsid w:val="003D5073"/>
    <w:rsid w:val="003D5C35"/>
    <w:rsid w:val="003F536D"/>
    <w:rsid w:val="004738AB"/>
    <w:rsid w:val="00481E9A"/>
    <w:rsid w:val="00574B34"/>
    <w:rsid w:val="00592A0F"/>
    <w:rsid w:val="006054B2"/>
    <w:rsid w:val="00692278"/>
    <w:rsid w:val="00697336"/>
    <w:rsid w:val="006C0992"/>
    <w:rsid w:val="006C34D0"/>
    <w:rsid w:val="00825A76"/>
    <w:rsid w:val="008625B0"/>
    <w:rsid w:val="00864AF5"/>
    <w:rsid w:val="009310B5"/>
    <w:rsid w:val="009957B4"/>
    <w:rsid w:val="009F2022"/>
    <w:rsid w:val="009F382C"/>
    <w:rsid w:val="00A3622B"/>
    <w:rsid w:val="00A46055"/>
    <w:rsid w:val="00A72784"/>
    <w:rsid w:val="00AA38C0"/>
    <w:rsid w:val="00AD26CD"/>
    <w:rsid w:val="00AE3707"/>
    <w:rsid w:val="00BD6E13"/>
    <w:rsid w:val="00BE5CE7"/>
    <w:rsid w:val="00C272B0"/>
    <w:rsid w:val="00C37BAC"/>
    <w:rsid w:val="00C65934"/>
    <w:rsid w:val="00CC4845"/>
    <w:rsid w:val="00D0269C"/>
    <w:rsid w:val="00D561A6"/>
    <w:rsid w:val="00E41118"/>
    <w:rsid w:val="00E85134"/>
    <w:rsid w:val="00EC233D"/>
    <w:rsid w:val="00ED0DF2"/>
    <w:rsid w:val="00F17F8A"/>
    <w:rsid w:val="00F678F1"/>
    <w:rsid w:val="00F77717"/>
    <w:rsid w:val="00FD1708"/>
    <w:rsid w:val="0D8536BD"/>
    <w:rsid w:val="16062315"/>
    <w:rsid w:val="19445D81"/>
    <w:rsid w:val="288E5CDA"/>
    <w:rsid w:val="5F116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B56ABB"/>
  <w15:docId w15:val="{5EA1B6CD-E51A-4A71-A09D-67196707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paragraph" w:styleId="Heading2">
    <w:name w:val="heading 2"/>
    <w:basedOn w:val="Normal"/>
    <w:next w:val="Normal"/>
    <w:link w:val="Heading2Char"/>
    <w:semiHidden/>
    <w:unhideWhenUsed/>
    <w:qFormat/>
    <w:rsid w:val="00D0269C"/>
    <w:pPr>
      <w:keepNext/>
      <w:spacing w:after="0" w:line="240" w:lineRule="auto"/>
      <w:jc w:val="both"/>
      <w:outlineLvl w:val="1"/>
    </w:pPr>
    <w:rPr>
      <w:rFonts w:ascii="Helvetica" w:eastAsia="MS Mincho" w:hAnsi="Helvetica" w:cs="Times New Roman"/>
      <w:b/>
      <w:bCs/>
      <w:sz w:val="20"/>
      <w:szCs w:val="20"/>
      <w:lang w:val="fr-FR"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99"/>
    <w:unhideWhenUsed/>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sz w:val="22"/>
      <w:szCs w:val="22"/>
      <w:lang w:val="en-US"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1">
    <w:name w:val="Unresolved Mention1"/>
    <w:basedOn w:val="DefaultParagraphFont"/>
    <w:uiPriority w:val="99"/>
    <w:semiHidden/>
    <w:unhideWhenUsed/>
    <w:rsid w:val="00F678F1"/>
    <w:rPr>
      <w:color w:val="605E5C"/>
      <w:shd w:val="clear" w:color="auto" w:fill="E1DFDD"/>
    </w:rPr>
  </w:style>
  <w:style w:type="paragraph" w:styleId="ListParagraph">
    <w:name w:val="List Paragraph"/>
    <w:basedOn w:val="Normal"/>
    <w:uiPriority w:val="99"/>
    <w:unhideWhenUsed/>
    <w:rsid w:val="0008018C"/>
    <w:pPr>
      <w:ind w:left="720"/>
      <w:contextualSpacing/>
    </w:pPr>
  </w:style>
  <w:style w:type="character" w:customStyle="1" w:styleId="Heading2Char">
    <w:name w:val="Heading 2 Char"/>
    <w:basedOn w:val="DefaultParagraphFont"/>
    <w:link w:val="Heading2"/>
    <w:semiHidden/>
    <w:rsid w:val="00D0269C"/>
    <w:rPr>
      <w:rFonts w:ascii="Helvetica" w:eastAsia="MS Mincho" w:hAnsi="Helvetica" w:cs="Times New Roman"/>
      <w:b/>
      <w:bCs/>
      <w:lang w:val="fr-FR"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80284">
      <w:bodyDiv w:val="1"/>
      <w:marLeft w:val="0"/>
      <w:marRight w:val="0"/>
      <w:marTop w:val="0"/>
      <w:marBottom w:val="0"/>
      <w:divBdr>
        <w:top w:val="none" w:sz="0" w:space="0" w:color="auto"/>
        <w:left w:val="none" w:sz="0" w:space="0" w:color="auto"/>
        <w:bottom w:val="none" w:sz="0" w:space="0" w:color="auto"/>
        <w:right w:val="none" w:sz="0" w:space="0" w:color="auto"/>
      </w:divBdr>
    </w:div>
    <w:div w:id="984120245">
      <w:bodyDiv w:val="1"/>
      <w:marLeft w:val="0"/>
      <w:marRight w:val="0"/>
      <w:marTop w:val="0"/>
      <w:marBottom w:val="0"/>
      <w:divBdr>
        <w:top w:val="none" w:sz="0" w:space="0" w:color="auto"/>
        <w:left w:val="none" w:sz="0" w:space="0" w:color="auto"/>
        <w:bottom w:val="none" w:sz="0" w:space="0" w:color="auto"/>
        <w:right w:val="none" w:sz="0" w:space="0" w:color="auto"/>
      </w:divBdr>
    </w:div>
    <w:div w:id="1117723063">
      <w:bodyDiv w:val="1"/>
      <w:marLeft w:val="0"/>
      <w:marRight w:val="0"/>
      <w:marTop w:val="0"/>
      <w:marBottom w:val="0"/>
      <w:divBdr>
        <w:top w:val="none" w:sz="0" w:space="0" w:color="auto"/>
        <w:left w:val="none" w:sz="0" w:space="0" w:color="auto"/>
        <w:bottom w:val="none" w:sz="0" w:space="0" w:color="auto"/>
        <w:right w:val="none" w:sz="0" w:space="0" w:color="auto"/>
      </w:divBdr>
    </w:div>
    <w:div w:id="1282608031">
      <w:bodyDiv w:val="1"/>
      <w:marLeft w:val="0"/>
      <w:marRight w:val="0"/>
      <w:marTop w:val="0"/>
      <w:marBottom w:val="0"/>
      <w:divBdr>
        <w:top w:val="none" w:sz="0" w:space="0" w:color="auto"/>
        <w:left w:val="none" w:sz="0" w:space="0" w:color="auto"/>
        <w:bottom w:val="none" w:sz="0" w:space="0" w:color="auto"/>
        <w:right w:val="none" w:sz="0" w:space="0" w:color="auto"/>
      </w:divBdr>
    </w:div>
    <w:div w:id="1666394469">
      <w:bodyDiv w:val="1"/>
      <w:marLeft w:val="0"/>
      <w:marRight w:val="0"/>
      <w:marTop w:val="0"/>
      <w:marBottom w:val="0"/>
      <w:divBdr>
        <w:top w:val="none" w:sz="0" w:space="0" w:color="auto"/>
        <w:left w:val="none" w:sz="0" w:space="0" w:color="auto"/>
        <w:bottom w:val="none" w:sz="0" w:space="0" w:color="auto"/>
        <w:right w:val="none" w:sz="0" w:space="0" w:color="auto"/>
      </w:divBdr>
    </w:div>
    <w:div w:id="2119250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ndocrine.org/advocacy/posit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30</Pages>
  <Words>10415</Words>
  <Characters>59371</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1022</cp:lastModifiedBy>
  <cp:revision>52</cp:revision>
  <dcterms:created xsi:type="dcterms:W3CDTF">2026-05-01T16:07:00Z</dcterms:created>
  <dcterms:modified xsi:type="dcterms:W3CDTF">2026-05-02T12:22:00Z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eyJoZGlkIjoiOGI1YzlmYjliYmU4YTljYTVmYjg3OGFmYWNlODBlOTAiLCJ1c2VySWQiOiIyNzY2MjkzNDMwMTQ3In0=</vt:lpwstr>
  </property>
  <property fmtid="{D5CDD505-2E9C-101B-9397-08002B2CF9AE}" pid="3" name="KSOProductBuildVer">
    <vt:lpwstr>1033-12.1.0.25242</vt:lpwstr>
  </property>
  <property fmtid="{D5CDD505-2E9C-101B-9397-08002B2CF9AE}" pid="4" name="ICV">
    <vt:lpwstr>FE35A1A2F7F44F49A660FC51C8A84577_13</vt:lpwstr>
  </property>
</Properties>
</file>