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4EFC" w14:textId="77777777" w:rsidR="005005E1" w:rsidRPr="006D641C" w:rsidRDefault="005005E1" w:rsidP="005005E1">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5625DCF2" w14:textId="77777777" w:rsidR="005005E1" w:rsidRDefault="005005E1" w:rsidP="00E567DC">
      <w:pPr>
        <w:spacing w:line="360" w:lineRule="auto"/>
        <w:jc w:val="center"/>
        <w:rPr>
          <w:b/>
          <w:sz w:val="24"/>
          <w:szCs w:val="24"/>
        </w:rPr>
      </w:pPr>
    </w:p>
    <w:p w14:paraId="059A0560" w14:textId="083080AD" w:rsidR="00A35CF2" w:rsidRPr="00A95245" w:rsidRDefault="00E567DC" w:rsidP="00E567DC">
      <w:pPr>
        <w:spacing w:line="360" w:lineRule="auto"/>
        <w:jc w:val="center"/>
        <w:rPr>
          <w:b/>
          <w:sz w:val="24"/>
          <w:szCs w:val="24"/>
        </w:rPr>
      </w:pPr>
      <w:r w:rsidRPr="00A95245">
        <w:rPr>
          <w:b/>
          <w:sz w:val="24"/>
          <w:szCs w:val="24"/>
        </w:rPr>
        <w:t>Animal Vaccines as a Tool to Combat Antimicrobial Resistance: One</w:t>
      </w:r>
      <w:r w:rsidR="003A3227">
        <w:rPr>
          <w:b/>
          <w:sz w:val="24"/>
          <w:szCs w:val="24"/>
        </w:rPr>
        <w:t>-</w:t>
      </w:r>
      <w:r w:rsidRPr="00A95245">
        <w:rPr>
          <w:b/>
          <w:sz w:val="24"/>
          <w:szCs w:val="24"/>
        </w:rPr>
        <w:t>Health Perspective</w:t>
      </w:r>
      <w:r w:rsidR="003A3227">
        <w:rPr>
          <w:b/>
          <w:sz w:val="24"/>
          <w:szCs w:val="24"/>
        </w:rPr>
        <w:t xml:space="preserve"> and</w:t>
      </w:r>
      <w:r w:rsidRPr="00A95245">
        <w:rPr>
          <w:b/>
          <w:sz w:val="24"/>
          <w:szCs w:val="24"/>
        </w:rPr>
        <w:t xml:space="preserve"> Systematic Review</w:t>
      </w:r>
    </w:p>
    <w:p w14:paraId="00CCDA64" w14:textId="77777777" w:rsidR="00E567DC" w:rsidRDefault="00E567DC" w:rsidP="00A35CF2">
      <w:pPr>
        <w:spacing w:line="360" w:lineRule="auto"/>
        <w:jc w:val="both"/>
        <w:rPr>
          <w:b/>
          <w:sz w:val="24"/>
        </w:rPr>
      </w:pPr>
    </w:p>
    <w:p w14:paraId="1B87E8BF" w14:textId="06F67423" w:rsidR="005005E1" w:rsidRPr="00BE6A64" w:rsidRDefault="005005E1" w:rsidP="00A35CF2">
      <w:pPr>
        <w:rPr>
          <w:sz w:val="24"/>
          <w:szCs w:val="24"/>
        </w:rPr>
      </w:pPr>
    </w:p>
    <w:p w14:paraId="7C6A2582" w14:textId="57ADE62F" w:rsidR="00B96B1D" w:rsidRPr="003D28CB" w:rsidRDefault="002A7111" w:rsidP="00B96B1D">
      <w:pPr>
        <w:spacing w:after="240" w:line="276" w:lineRule="auto"/>
        <w:jc w:val="both"/>
        <w:rPr>
          <w:rFonts w:eastAsia="Arial"/>
          <w:b/>
          <w:sz w:val="24"/>
          <w:szCs w:val="24"/>
          <w:highlight w:val="yellow"/>
        </w:rPr>
      </w:pPr>
      <w:r w:rsidRPr="003D28CB">
        <w:rPr>
          <w:rFonts w:eastAsia="Arial"/>
          <w:b/>
          <w:sz w:val="24"/>
          <w:szCs w:val="24"/>
          <w:highlight w:val="yellow"/>
        </w:rPr>
        <w:t>ABSTRACT</w:t>
      </w:r>
    </w:p>
    <w:p w14:paraId="700D871E" w14:textId="375A0A60" w:rsidR="00B96B1D" w:rsidRPr="003D28CB" w:rsidRDefault="00B96B1D" w:rsidP="00B96B1D">
      <w:pPr>
        <w:spacing w:after="240" w:line="276" w:lineRule="auto"/>
        <w:jc w:val="both"/>
        <w:rPr>
          <w:bCs/>
          <w:color w:val="000000"/>
          <w:sz w:val="24"/>
          <w:szCs w:val="24"/>
          <w:highlight w:val="yellow"/>
        </w:rPr>
      </w:pPr>
      <w:r w:rsidRPr="003D28CB">
        <w:rPr>
          <w:b/>
          <w:bCs/>
          <w:color w:val="000000"/>
          <w:sz w:val="24"/>
          <w:szCs w:val="24"/>
          <w:highlight w:val="yellow"/>
        </w:rPr>
        <w:t xml:space="preserve">Background: </w:t>
      </w:r>
      <w:r w:rsidRPr="003D28CB">
        <w:rPr>
          <w:bCs/>
          <w:color w:val="000000"/>
          <w:sz w:val="24"/>
          <w:szCs w:val="24"/>
          <w:highlight w:val="yellow"/>
        </w:rPr>
        <w:t>Antimicrobial resistance (AMR) is a major global health threat, partly driven by extensive antimicrobial use (AMU) in livestock production. Animal vaccination has emerged as a One Health strategy to reduce infection-related antibiotic use and potentially mitigate AMR, but the evidence has not been systematically synthesized.</w:t>
      </w:r>
    </w:p>
    <w:p w14:paraId="39AF77D8" w14:textId="6137649D" w:rsidR="00B96B1D" w:rsidRPr="003D28CB" w:rsidRDefault="00B96B1D" w:rsidP="00B96B1D">
      <w:pPr>
        <w:spacing w:after="240" w:line="276" w:lineRule="auto"/>
        <w:jc w:val="both"/>
        <w:rPr>
          <w:b/>
          <w:bCs/>
          <w:color w:val="000000"/>
          <w:sz w:val="24"/>
          <w:szCs w:val="24"/>
          <w:highlight w:val="yellow"/>
        </w:rPr>
      </w:pPr>
      <w:r w:rsidRPr="003D28CB">
        <w:rPr>
          <w:b/>
          <w:bCs/>
          <w:color w:val="000000"/>
          <w:sz w:val="24"/>
          <w:szCs w:val="24"/>
          <w:highlight w:val="yellow"/>
        </w:rPr>
        <w:t xml:space="preserve">Aim: </w:t>
      </w:r>
      <w:r w:rsidRPr="003D28CB">
        <w:rPr>
          <w:bCs/>
          <w:color w:val="000000"/>
          <w:sz w:val="24"/>
          <w:szCs w:val="24"/>
          <w:highlight w:val="yellow"/>
        </w:rPr>
        <w:t>This systematic review evaluated evidence linking animal vaccination with reductions in AMU and AMR-related outcomes across livestock production systems and identified key research gaps.</w:t>
      </w:r>
    </w:p>
    <w:p w14:paraId="506F841E" w14:textId="32AEEA48" w:rsidR="00B96B1D" w:rsidRPr="003D28CB" w:rsidRDefault="00B96B1D" w:rsidP="00B96B1D">
      <w:pPr>
        <w:spacing w:after="240" w:line="276" w:lineRule="auto"/>
        <w:jc w:val="both"/>
        <w:rPr>
          <w:bCs/>
          <w:color w:val="000000"/>
          <w:sz w:val="24"/>
          <w:szCs w:val="24"/>
          <w:highlight w:val="yellow"/>
        </w:rPr>
      </w:pPr>
      <w:r w:rsidRPr="003D28CB">
        <w:rPr>
          <w:b/>
          <w:bCs/>
          <w:color w:val="000000"/>
          <w:sz w:val="24"/>
          <w:szCs w:val="24"/>
          <w:highlight w:val="yellow"/>
        </w:rPr>
        <w:t xml:space="preserve">Methods: </w:t>
      </w:r>
      <w:r w:rsidRPr="003D28CB">
        <w:rPr>
          <w:bCs/>
          <w:color w:val="000000"/>
          <w:sz w:val="24"/>
          <w:szCs w:val="24"/>
          <w:highlight w:val="yellow"/>
        </w:rPr>
        <w:t xml:space="preserve">Following PRISMA 2020 guidelines, five electronic databases and grey literature sources were searched for studies published between 2005 and March 2026. Of 904 records identified, 74 studies met inclusion criteria after screening and deduplication. Data on vaccination interventions, AMU, and AMR-related outcomes were extracted. Study quality was assessed using ROBINS-I and Cochrane </w:t>
      </w:r>
      <w:proofErr w:type="spellStart"/>
      <w:r w:rsidRPr="003D28CB">
        <w:rPr>
          <w:bCs/>
          <w:color w:val="000000"/>
          <w:sz w:val="24"/>
          <w:szCs w:val="24"/>
          <w:highlight w:val="yellow"/>
        </w:rPr>
        <w:t>RoB</w:t>
      </w:r>
      <w:proofErr w:type="spellEnd"/>
      <w:r w:rsidRPr="003D28CB">
        <w:rPr>
          <w:bCs/>
          <w:color w:val="000000"/>
          <w:sz w:val="24"/>
          <w:szCs w:val="24"/>
          <w:highlight w:val="yellow"/>
        </w:rPr>
        <w:t xml:space="preserve"> 2.0 tools.</w:t>
      </w:r>
    </w:p>
    <w:p w14:paraId="7F3A75C8" w14:textId="7732EEE7" w:rsidR="00B96B1D" w:rsidRPr="003D28CB" w:rsidRDefault="00B96B1D" w:rsidP="00B96B1D">
      <w:pPr>
        <w:spacing w:after="240" w:line="276" w:lineRule="auto"/>
        <w:jc w:val="both"/>
        <w:rPr>
          <w:bCs/>
          <w:color w:val="000000"/>
          <w:sz w:val="24"/>
          <w:szCs w:val="24"/>
          <w:highlight w:val="yellow"/>
        </w:rPr>
      </w:pPr>
      <w:r w:rsidRPr="003D28CB">
        <w:rPr>
          <w:b/>
          <w:bCs/>
          <w:color w:val="000000"/>
          <w:sz w:val="24"/>
          <w:szCs w:val="24"/>
          <w:highlight w:val="yellow"/>
        </w:rPr>
        <w:t xml:space="preserve">Main Findings: </w:t>
      </w:r>
      <w:r w:rsidRPr="003D28CB">
        <w:rPr>
          <w:bCs/>
          <w:color w:val="000000"/>
          <w:sz w:val="24"/>
          <w:szCs w:val="24"/>
          <w:highlight w:val="yellow"/>
        </w:rPr>
        <w:t xml:space="preserve">Animal vaccination consistently reduced AMU across aquaculture, swine, poultry, and cattle systems. The strongest quantitative evidence came from Norwegian salmon aquaculture, where antibiotic use declined from 876 mg/kg biomass in 1987 to 0.43 mg/kg in 2024, representing an approximate 99% reduction following long-term vaccination programs. Observational studies in swine and cattle similarly reported reductions in therapeutic and metaphylactic antibiotic use after vaccination. However, no randomized controlled trial used AMR-specific endpoints, such as </w:t>
      </w:r>
      <w:proofErr w:type="spellStart"/>
      <w:r w:rsidRPr="003D28CB">
        <w:rPr>
          <w:bCs/>
          <w:color w:val="000000"/>
          <w:sz w:val="24"/>
          <w:szCs w:val="24"/>
          <w:highlight w:val="yellow"/>
        </w:rPr>
        <w:t>resistome</w:t>
      </w:r>
      <w:proofErr w:type="spellEnd"/>
      <w:r w:rsidRPr="003D28CB">
        <w:rPr>
          <w:bCs/>
          <w:color w:val="000000"/>
          <w:sz w:val="24"/>
          <w:szCs w:val="24"/>
          <w:highlight w:val="yellow"/>
        </w:rPr>
        <w:t xml:space="preserve"> composition or resistant pathogen prevalence. Evidence was largely concentrated in high-income countries with limited representation from low- and middle-income settings.</w:t>
      </w:r>
    </w:p>
    <w:p w14:paraId="30D87627" w14:textId="4F1D3FAA" w:rsidR="00B96B1D" w:rsidRPr="003D28CB" w:rsidRDefault="00B96B1D" w:rsidP="00B96B1D">
      <w:pPr>
        <w:spacing w:after="240" w:line="276" w:lineRule="auto"/>
        <w:jc w:val="both"/>
        <w:rPr>
          <w:bCs/>
          <w:color w:val="000000"/>
          <w:sz w:val="24"/>
          <w:szCs w:val="24"/>
          <w:highlight w:val="yellow"/>
        </w:rPr>
      </w:pPr>
      <w:r w:rsidRPr="003D28CB">
        <w:rPr>
          <w:b/>
          <w:bCs/>
          <w:color w:val="000000"/>
          <w:sz w:val="24"/>
          <w:szCs w:val="24"/>
          <w:highlight w:val="yellow"/>
        </w:rPr>
        <w:t xml:space="preserve">Limitations: </w:t>
      </w:r>
      <w:r w:rsidRPr="003D28CB">
        <w:rPr>
          <w:bCs/>
          <w:color w:val="000000"/>
          <w:sz w:val="24"/>
          <w:szCs w:val="24"/>
          <w:highlight w:val="yellow"/>
        </w:rPr>
        <w:t>High heterogeneity in study design and AMU reporting prevented meta-analysis, and AMU was frequently used as a proxy for AMR outcomes.</w:t>
      </w:r>
    </w:p>
    <w:p w14:paraId="5F14DAAA" w14:textId="77777777" w:rsidR="00B96B1D" w:rsidRPr="00B96B1D" w:rsidRDefault="00B96B1D" w:rsidP="00B96B1D">
      <w:pPr>
        <w:spacing w:after="240" w:line="276" w:lineRule="auto"/>
        <w:jc w:val="both"/>
        <w:rPr>
          <w:bCs/>
          <w:color w:val="000000"/>
          <w:sz w:val="24"/>
          <w:szCs w:val="24"/>
        </w:rPr>
      </w:pPr>
      <w:r w:rsidRPr="003D28CB">
        <w:rPr>
          <w:b/>
          <w:bCs/>
          <w:color w:val="000000"/>
          <w:sz w:val="24"/>
          <w:szCs w:val="24"/>
          <w:highlight w:val="yellow"/>
        </w:rPr>
        <w:t xml:space="preserve">Conclusion: </w:t>
      </w:r>
      <w:r w:rsidRPr="003D28CB">
        <w:rPr>
          <w:bCs/>
          <w:color w:val="000000"/>
          <w:sz w:val="24"/>
          <w:szCs w:val="24"/>
          <w:highlight w:val="yellow"/>
        </w:rPr>
        <w:t>Animal vaccination is a promising One Health intervention for reducing AMU in livestock. Future research should prioritize AMR-focused trials, integrated surveillance, and LMIC-based studies to clarify its direct impact on AMR.</w:t>
      </w:r>
    </w:p>
    <w:p w14:paraId="7126D456" w14:textId="30203819" w:rsidR="002A7111" w:rsidRPr="00BE6A64" w:rsidRDefault="002A7111" w:rsidP="00B96B1D">
      <w:pPr>
        <w:spacing w:after="240" w:line="276" w:lineRule="auto"/>
        <w:jc w:val="both"/>
        <w:rPr>
          <w:rFonts w:eastAsia="Arial"/>
          <w:sz w:val="24"/>
        </w:rPr>
      </w:pPr>
      <w:r w:rsidRPr="00BE6A64">
        <w:rPr>
          <w:rStyle w:val="aupe"/>
          <w:rFonts w:eastAsia="Arial"/>
          <w:b/>
          <w:sz w:val="24"/>
        </w:rPr>
        <w:lastRenderedPageBreak/>
        <w:t>Keywords:</w:t>
      </w:r>
      <w:r w:rsidR="001F6952" w:rsidRPr="00BE6A64">
        <w:rPr>
          <w:rStyle w:val="aupe"/>
          <w:rFonts w:eastAsia="Arial"/>
          <w:sz w:val="24"/>
        </w:rPr>
        <w:t xml:space="preserve"> Animal vaccines, Antimicrobial resistance, One Health, Livestock,</w:t>
      </w:r>
      <w:r w:rsidRPr="00BE6A64">
        <w:rPr>
          <w:rStyle w:val="aupe"/>
          <w:rFonts w:eastAsia="Arial"/>
          <w:sz w:val="24"/>
        </w:rPr>
        <w:t xml:space="preserve"> Antimicrobial use reduction</w:t>
      </w:r>
    </w:p>
    <w:p w14:paraId="79ACC98B" w14:textId="77777777" w:rsidR="002A7111" w:rsidRPr="00BE6A64" w:rsidRDefault="002A7111" w:rsidP="00AD02B1">
      <w:pPr>
        <w:spacing w:after="240" w:line="276" w:lineRule="auto"/>
        <w:jc w:val="both"/>
        <w:rPr>
          <w:b/>
          <w:sz w:val="24"/>
          <w:szCs w:val="24"/>
        </w:rPr>
      </w:pPr>
      <w:r w:rsidRPr="00BE6A64">
        <w:rPr>
          <w:rFonts w:eastAsia="Arial"/>
          <w:b/>
          <w:sz w:val="24"/>
          <w:szCs w:val="24"/>
        </w:rPr>
        <w:t>1. INTRODUCTION</w:t>
      </w:r>
    </w:p>
    <w:p w14:paraId="74BCE5AF" w14:textId="77777777" w:rsidR="00402E6D" w:rsidRPr="00BE6A64" w:rsidRDefault="002A7111" w:rsidP="00AD02B1">
      <w:pPr>
        <w:spacing w:after="240" w:line="276" w:lineRule="auto"/>
        <w:jc w:val="both"/>
        <w:rPr>
          <w:sz w:val="24"/>
          <w:szCs w:val="24"/>
        </w:rPr>
      </w:pPr>
      <w:r w:rsidRPr="00BE6A64">
        <w:rPr>
          <w:color w:val="000000"/>
          <w:sz w:val="24"/>
          <w:szCs w:val="24"/>
        </w:rPr>
        <w:t xml:space="preserve">Antimicrobial resistance (AMR) constitutes one of the defining public health emergencies of the 21st century. The landmark GBD 2019 study (Antimicrobial Resistance Collaborators) established that drug-resistant bacterial infections were directly responsible for 1.27 million deaths worldwide in 2019, with an additional 4.95 million deaths associated with AMR </w:t>
      </w:r>
      <w:r w:rsidR="00912FFB" w:rsidRPr="00BE6A64">
        <w:rPr>
          <w:color w:val="000000"/>
          <w:sz w:val="24"/>
          <w:szCs w:val="24"/>
        </w:rPr>
        <w:t>(</w:t>
      </w:r>
      <w:r w:rsidR="00BA3801" w:rsidRPr="00BE6A64">
        <w:rPr>
          <w:color w:val="000000"/>
          <w:sz w:val="24"/>
          <w:szCs w:val="24"/>
        </w:rPr>
        <w:t>Antimicrobial Resistance Collaborators, 2022</w:t>
      </w:r>
      <w:r w:rsidR="00912FFB" w:rsidRPr="00BE6A64">
        <w:rPr>
          <w:color w:val="000000"/>
          <w:sz w:val="24"/>
          <w:szCs w:val="24"/>
        </w:rPr>
        <w:t xml:space="preserve">). </w:t>
      </w:r>
      <w:r w:rsidRPr="00BE6A64">
        <w:rPr>
          <w:color w:val="000000"/>
          <w:sz w:val="24"/>
          <w:szCs w:val="24"/>
        </w:rPr>
        <w:t>The mo</w:t>
      </w:r>
      <w:r w:rsidR="009F09DB" w:rsidRPr="00BE6A64">
        <w:rPr>
          <w:color w:val="000000"/>
          <w:sz w:val="24"/>
          <w:szCs w:val="24"/>
        </w:rPr>
        <w:t xml:space="preserve">st recent longitudinal analysis </w:t>
      </w:r>
      <w:r w:rsidRPr="00BE6A64">
        <w:rPr>
          <w:color w:val="000000"/>
          <w:sz w:val="24"/>
          <w:szCs w:val="24"/>
        </w:rPr>
        <w:t xml:space="preserve">provides forecasts to 2050, projecting 1.91 million annual direct deaths under a reference scenario, with cumulative deaths of 39.1 million between 2025 and 2050 </w:t>
      </w:r>
      <w:r w:rsidR="00912FFB" w:rsidRPr="00BE6A64">
        <w:rPr>
          <w:color w:val="000000"/>
          <w:sz w:val="24"/>
          <w:szCs w:val="24"/>
        </w:rPr>
        <w:t>(</w:t>
      </w:r>
      <w:proofErr w:type="spellStart"/>
      <w:r w:rsidR="009F09DB" w:rsidRPr="00BE6A64">
        <w:rPr>
          <w:color w:val="000000"/>
          <w:sz w:val="24"/>
          <w:szCs w:val="24"/>
        </w:rPr>
        <w:t>Naghavi</w:t>
      </w:r>
      <w:proofErr w:type="spellEnd"/>
      <w:r w:rsidR="009F09DB" w:rsidRPr="00BE6A64">
        <w:rPr>
          <w:color w:val="000000"/>
          <w:sz w:val="24"/>
          <w:szCs w:val="24"/>
        </w:rPr>
        <w:t xml:space="preserve"> </w:t>
      </w:r>
      <w:r w:rsidR="009F09DB" w:rsidRPr="00BE6A64">
        <w:rPr>
          <w:i/>
          <w:color w:val="000000"/>
          <w:sz w:val="24"/>
          <w:szCs w:val="24"/>
        </w:rPr>
        <w:t>et al</w:t>
      </w:r>
      <w:r w:rsidR="009F09DB" w:rsidRPr="00BE6A64">
        <w:rPr>
          <w:color w:val="000000"/>
          <w:sz w:val="24"/>
          <w:szCs w:val="24"/>
        </w:rPr>
        <w:t>., 2024</w:t>
      </w:r>
      <w:r w:rsidR="00912FFB" w:rsidRPr="00BE6A64">
        <w:rPr>
          <w:color w:val="000000"/>
          <w:sz w:val="24"/>
          <w:szCs w:val="24"/>
        </w:rPr>
        <w:t>).</w:t>
      </w:r>
    </w:p>
    <w:p w14:paraId="0DC46516" w14:textId="77777777" w:rsidR="00402E6D" w:rsidRPr="00BE6A64" w:rsidRDefault="002A7111" w:rsidP="00AD02B1">
      <w:pPr>
        <w:spacing w:after="240" w:line="276" w:lineRule="auto"/>
        <w:jc w:val="both"/>
        <w:rPr>
          <w:color w:val="000000"/>
          <w:sz w:val="24"/>
          <w:szCs w:val="24"/>
        </w:rPr>
      </w:pPr>
      <w:r w:rsidRPr="00BE6A64">
        <w:rPr>
          <w:color w:val="000000"/>
          <w:sz w:val="24"/>
          <w:szCs w:val="24"/>
        </w:rPr>
        <w:t>Livestock productio</w:t>
      </w:r>
      <w:r w:rsidR="001F6952" w:rsidRPr="00BE6A64">
        <w:rPr>
          <w:color w:val="000000"/>
          <w:sz w:val="24"/>
          <w:szCs w:val="24"/>
        </w:rPr>
        <w:t xml:space="preserve">n accounts for approximately 70- </w:t>
      </w:r>
      <w:r w:rsidRPr="00BE6A64">
        <w:rPr>
          <w:color w:val="000000"/>
          <w:sz w:val="24"/>
          <w:szCs w:val="24"/>
        </w:rPr>
        <w:t xml:space="preserve">80% of total global antibiotic consumption. Under a business-as-usual scenario, global livestock AMU is projected to reach 143,481 </w:t>
      </w:r>
      <w:proofErr w:type="spellStart"/>
      <w:r w:rsidRPr="00BE6A64">
        <w:rPr>
          <w:color w:val="000000"/>
          <w:sz w:val="24"/>
          <w:szCs w:val="24"/>
        </w:rPr>
        <w:t>tonnes</w:t>
      </w:r>
      <w:proofErr w:type="spellEnd"/>
      <w:r w:rsidRPr="00BE6A64">
        <w:rPr>
          <w:color w:val="000000"/>
          <w:sz w:val="24"/>
          <w:szCs w:val="24"/>
        </w:rPr>
        <w:t xml:space="preserve"> by 2040, representing a 29.5% increase from the 2019 baseline of 110,777 </w:t>
      </w:r>
      <w:proofErr w:type="spellStart"/>
      <w:r w:rsidRPr="00BE6A64">
        <w:rPr>
          <w:color w:val="000000"/>
          <w:sz w:val="24"/>
          <w:szCs w:val="24"/>
        </w:rPr>
        <w:t>tonnes</w:t>
      </w:r>
      <w:proofErr w:type="spellEnd"/>
      <w:r w:rsidRPr="00BE6A64">
        <w:rPr>
          <w:color w:val="000000"/>
          <w:sz w:val="24"/>
          <w:szCs w:val="24"/>
        </w:rPr>
        <w:t xml:space="preserve"> </w:t>
      </w:r>
      <w:r w:rsidR="00912FFB" w:rsidRPr="00BE6A64">
        <w:rPr>
          <w:color w:val="000000"/>
          <w:sz w:val="24"/>
          <w:szCs w:val="24"/>
        </w:rPr>
        <w:t>(</w:t>
      </w:r>
      <w:r w:rsidR="00B67B9A" w:rsidRPr="00BE6A64">
        <w:rPr>
          <w:color w:val="000000"/>
          <w:sz w:val="24"/>
          <w:szCs w:val="24"/>
        </w:rPr>
        <w:t xml:space="preserve">Acosta </w:t>
      </w:r>
      <w:r w:rsidR="00B67B9A" w:rsidRPr="00BE6A64">
        <w:rPr>
          <w:i/>
          <w:color w:val="000000"/>
          <w:sz w:val="24"/>
          <w:szCs w:val="24"/>
        </w:rPr>
        <w:t>et al</w:t>
      </w:r>
      <w:r w:rsidR="00B67B9A" w:rsidRPr="00BE6A64">
        <w:rPr>
          <w:color w:val="000000"/>
          <w:sz w:val="24"/>
          <w:szCs w:val="24"/>
        </w:rPr>
        <w:t>., 2025</w:t>
      </w:r>
      <w:r w:rsidR="00912FFB" w:rsidRPr="00BE6A64">
        <w:rPr>
          <w:color w:val="000000"/>
          <w:sz w:val="24"/>
          <w:szCs w:val="24"/>
        </w:rPr>
        <w:t>).</w:t>
      </w:r>
      <w:r w:rsidRPr="00BE6A64">
        <w:rPr>
          <w:color w:val="000000"/>
          <w:sz w:val="24"/>
          <w:szCs w:val="24"/>
        </w:rPr>
        <w:t xml:space="preserve"> This trajectory is primarily driven by expanding livestock biomass in Asia-P</w:t>
      </w:r>
      <w:r w:rsidR="001F6952" w:rsidRPr="00BE6A64">
        <w:rPr>
          <w:color w:val="000000"/>
          <w:sz w:val="24"/>
          <w:szCs w:val="24"/>
        </w:rPr>
        <w:t>acific and sub-Saharan Africa, precisely</w:t>
      </w:r>
      <w:r w:rsidRPr="00BE6A64">
        <w:rPr>
          <w:color w:val="000000"/>
          <w:sz w:val="24"/>
          <w:szCs w:val="24"/>
        </w:rPr>
        <w:t xml:space="preserve"> the regions where AMR surveillance and alternative infection-control strategies are most deficient, as documented in the WOAH ANIMUSE 2024 database </w:t>
      </w:r>
      <w:r w:rsidR="00912FFB" w:rsidRPr="00BE6A64">
        <w:rPr>
          <w:color w:val="000000"/>
          <w:sz w:val="24"/>
          <w:szCs w:val="24"/>
        </w:rPr>
        <w:t>(</w:t>
      </w:r>
      <w:r w:rsidR="00EA5B97" w:rsidRPr="00BE6A64">
        <w:rPr>
          <w:color w:val="000000"/>
          <w:sz w:val="24"/>
          <w:szCs w:val="24"/>
        </w:rPr>
        <w:t>WOAH, 2024</w:t>
      </w:r>
      <w:r w:rsidR="00912FFB" w:rsidRPr="00BE6A64">
        <w:rPr>
          <w:color w:val="000000"/>
          <w:sz w:val="24"/>
          <w:szCs w:val="24"/>
        </w:rPr>
        <w:t>).</w:t>
      </w:r>
    </w:p>
    <w:p w14:paraId="4266AFDE" w14:textId="77777777" w:rsidR="00912FFB" w:rsidRPr="00BE6A64" w:rsidRDefault="002A7111" w:rsidP="00AD02B1">
      <w:pPr>
        <w:spacing w:after="240" w:line="276" w:lineRule="auto"/>
        <w:jc w:val="both"/>
        <w:rPr>
          <w:color w:val="000000"/>
          <w:sz w:val="24"/>
          <w:szCs w:val="24"/>
        </w:rPr>
      </w:pPr>
      <w:r w:rsidRPr="00BE6A64">
        <w:rPr>
          <w:color w:val="000000"/>
          <w:sz w:val="24"/>
          <w:szCs w:val="24"/>
        </w:rPr>
        <w:t xml:space="preserve">Within the One Health paradigm, interventions that reduce AMU in animals are expected to exert measurable downstream effects on human AMR burden, mediated through food chains, environmental contamination, and direct zoonotic transmission. Animal vaccination presents a biologically plausible and empirically supported pathway to interrupt this chain: by preventing infections, vaccines reduce the need for both prophylactic and therapeutic antibiotic administration. A 2024 analysis by the Global AMR R&amp;D Hub revealed, however, that only 7 USD cents of every USD 10 invested in AMR-dedicated R&amp;D was directed toward animal vaccine development </w:t>
      </w:r>
      <w:r w:rsidR="00912FFB" w:rsidRPr="00BE6A64">
        <w:rPr>
          <w:color w:val="000000"/>
          <w:sz w:val="24"/>
          <w:szCs w:val="24"/>
        </w:rPr>
        <w:t>(</w:t>
      </w:r>
      <w:r w:rsidR="000117A1" w:rsidRPr="00BE6A64">
        <w:rPr>
          <w:sz w:val="24"/>
          <w:szCs w:val="24"/>
        </w:rPr>
        <w:t xml:space="preserve">Bhuiyan, 2025; </w:t>
      </w:r>
      <w:r w:rsidR="00377FA3" w:rsidRPr="00BE6A64">
        <w:rPr>
          <w:color w:val="000000"/>
          <w:sz w:val="24"/>
          <w:szCs w:val="24"/>
        </w:rPr>
        <w:t>Global AMR R&amp;D Hub, 2024</w:t>
      </w:r>
      <w:r w:rsidR="00912FFB" w:rsidRPr="00BE6A64">
        <w:rPr>
          <w:color w:val="000000"/>
          <w:sz w:val="24"/>
          <w:szCs w:val="24"/>
        </w:rPr>
        <w:t xml:space="preserve">). </w:t>
      </w:r>
      <w:r w:rsidRPr="00BE6A64">
        <w:rPr>
          <w:color w:val="000000"/>
          <w:sz w:val="24"/>
          <w:szCs w:val="24"/>
        </w:rPr>
        <w:t xml:space="preserve">WOAH (2024) formally recognized animal vaccination as a priority AMR mitigation strategy, yet uptake remains inconsistent across species, geographies, and production systems </w:t>
      </w:r>
      <w:r w:rsidR="00912FFB" w:rsidRPr="00BE6A64">
        <w:rPr>
          <w:color w:val="000000"/>
          <w:sz w:val="24"/>
          <w:szCs w:val="24"/>
        </w:rPr>
        <w:t>(</w:t>
      </w:r>
      <w:r w:rsidR="00377FA3" w:rsidRPr="00BE6A64">
        <w:rPr>
          <w:color w:val="000000"/>
          <w:sz w:val="24"/>
          <w:szCs w:val="24"/>
        </w:rPr>
        <w:t>WOAH, 2024</w:t>
      </w:r>
      <w:r w:rsidR="00912FFB" w:rsidRPr="00BE6A64">
        <w:rPr>
          <w:color w:val="000000"/>
          <w:sz w:val="24"/>
          <w:szCs w:val="24"/>
        </w:rPr>
        <w:t>).</w:t>
      </w:r>
    </w:p>
    <w:p w14:paraId="581263F7" w14:textId="10BE7215" w:rsidR="002A7111" w:rsidRPr="006871A2" w:rsidRDefault="00CE5FAC" w:rsidP="00AD02B1">
      <w:pPr>
        <w:spacing w:after="240" w:line="276" w:lineRule="auto"/>
        <w:jc w:val="both"/>
        <w:rPr>
          <w:color w:val="000000"/>
          <w:sz w:val="24"/>
          <w:szCs w:val="24"/>
        </w:rPr>
      </w:pPr>
      <w:r w:rsidRPr="00BE6A64">
        <w:rPr>
          <w:color w:val="000000"/>
          <w:sz w:val="24"/>
          <w:szCs w:val="24"/>
        </w:rPr>
        <w:t xml:space="preserve">A pivotal perspective </w:t>
      </w:r>
      <w:r w:rsidR="002A7111" w:rsidRPr="00BE6A64">
        <w:rPr>
          <w:color w:val="000000"/>
          <w:sz w:val="24"/>
          <w:szCs w:val="24"/>
        </w:rPr>
        <w:t xml:space="preserve">argued that broader animal vaccine coverage could simultaneously address AMR, pandemic risk, climate change, and poverty </w:t>
      </w:r>
      <w:r w:rsidRPr="00BE6A64">
        <w:rPr>
          <w:color w:val="000000"/>
          <w:sz w:val="24"/>
          <w:szCs w:val="24"/>
        </w:rPr>
        <w:t>(</w:t>
      </w:r>
      <w:r w:rsidR="002164F1" w:rsidRPr="00BE6A64">
        <w:rPr>
          <w:color w:val="000000"/>
          <w:sz w:val="24"/>
          <w:szCs w:val="24"/>
        </w:rPr>
        <w:t xml:space="preserve">Laxminarayan </w:t>
      </w:r>
      <w:r w:rsidR="002164F1" w:rsidRPr="00BE6A64">
        <w:rPr>
          <w:i/>
          <w:color w:val="000000"/>
          <w:sz w:val="24"/>
          <w:szCs w:val="24"/>
        </w:rPr>
        <w:t>et al</w:t>
      </w:r>
      <w:r w:rsidR="002164F1" w:rsidRPr="00BE6A64">
        <w:rPr>
          <w:color w:val="000000"/>
          <w:sz w:val="24"/>
          <w:szCs w:val="24"/>
        </w:rPr>
        <w:t>., 2024</w:t>
      </w:r>
      <w:r w:rsidRPr="00BE6A64">
        <w:rPr>
          <w:color w:val="000000"/>
          <w:sz w:val="24"/>
          <w:szCs w:val="24"/>
        </w:rPr>
        <w:t>).</w:t>
      </w:r>
      <w:r w:rsidR="002A7111" w:rsidRPr="00BE6A64">
        <w:rPr>
          <w:color w:val="000000"/>
          <w:sz w:val="24"/>
          <w:szCs w:val="24"/>
        </w:rPr>
        <w:t xml:space="preserve"> Despite this recognition, the scientific literature has not been systematically appraised to delineate what is know</w:t>
      </w:r>
      <w:r w:rsidR="001F6952" w:rsidRPr="00BE6A64">
        <w:rPr>
          <w:color w:val="000000"/>
          <w:sz w:val="24"/>
          <w:szCs w:val="24"/>
        </w:rPr>
        <w:t>n, what is proven to work, and</w:t>
      </w:r>
      <w:r w:rsidR="002A7111" w:rsidRPr="00BE6A64">
        <w:rPr>
          <w:color w:val="000000"/>
          <w:sz w:val="24"/>
          <w:szCs w:val="24"/>
        </w:rPr>
        <w:t xml:space="preserve"> critically</w:t>
      </w:r>
      <w:r w:rsidR="001F6952" w:rsidRPr="00BE6A64">
        <w:rPr>
          <w:color w:val="000000"/>
          <w:sz w:val="24"/>
          <w:szCs w:val="24"/>
        </w:rPr>
        <w:t>,</w:t>
      </w:r>
      <w:r w:rsidR="002A7111" w:rsidRPr="00BE6A64">
        <w:rPr>
          <w:color w:val="000000"/>
          <w:sz w:val="24"/>
          <w:szCs w:val="24"/>
        </w:rPr>
        <w:t xml:space="preserve"> what remains unknown.</w:t>
      </w:r>
      <w:r w:rsidR="00855781" w:rsidRPr="00BE6A64">
        <w:rPr>
          <w:color w:val="000000"/>
          <w:sz w:val="24"/>
          <w:szCs w:val="24"/>
        </w:rPr>
        <w:t xml:space="preserve"> </w:t>
      </w:r>
      <w:r w:rsidR="002A7111" w:rsidRPr="00BE6A64">
        <w:rPr>
          <w:color w:val="000000"/>
          <w:sz w:val="24"/>
          <w:szCs w:val="24"/>
        </w:rPr>
        <w:t>This systematic review was conducted to: (1) synthesize available evidence on the relationship between animal vaccination and AMR/AMU outcomes across species and production contexts; (2) appraise the quality and geographic representativeness of that evidence; and (3) identify and prioritize the research gaps that, if addressed, would most substantially advance animal vaccination as an AMR control strategy within the One Health framework.</w:t>
      </w:r>
    </w:p>
    <w:p w14:paraId="5491EC65" w14:textId="77777777" w:rsidR="002A7111" w:rsidRPr="00BE6A64" w:rsidRDefault="002A7111" w:rsidP="00AD02B1">
      <w:pPr>
        <w:pStyle w:val="ListParagraph"/>
        <w:spacing w:after="240" w:line="276" w:lineRule="auto"/>
        <w:rPr>
          <w:b/>
          <w:sz w:val="24"/>
        </w:rPr>
      </w:pPr>
      <w:r w:rsidRPr="00BE6A64">
        <w:rPr>
          <w:rFonts w:eastAsia="Arial"/>
          <w:b/>
          <w:sz w:val="24"/>
        </w:rPr>
        <w:lastRenderedPageBreak/>
        <w:t>2. METHODS</w:t>
      </w:r>
    </w:p>
    <w:p w14:paraId="7D26CD95" w14:textId="77777777" w:rsidR="002560BE" w:rsidRPr="00BE6A64" w:rsidRDefault="002A7111" w:rsidP="00AD02B1">
      <w:pPr>
        <w:pStyle w:val="ListParagraph"/>
        <w:spacing w:after="240" w:line="276" w:lineRule="auto"/>
        <w:rPr>
          <w:rFonts w:eastAsia="Arial"/>
          <w:b/>
          <w:sz w:val="24"/>
        </w:rPr>
      </w:pPr>
      <w:r w:rsidRPr="00BE6A64">
        <w:rPr>
          <w:rFonts w:eastAsia="Arial"/>
          <w:b/>
          <w:sz w:val="24"/>
        </w:rPr>
        <w:t>2.1 Protocol and Registration</w:t>
      </w:r>
    </w:p>
    <w:p w14:paraId="54A9C6BD" w14:textId="77777777" w:rsidR="002560BE" w:rsidRPr="00BE6A64" w:rsidRDefault="002A7111" w:rsidP="00AD02B1">
      <w:pPr>
        <w:spacing w:after="240" w:line="276" w:lineRule="auto"/>
        <w:jc w:val="both"/>
        <w:rPr>
          <w:color w:val="000000"/>
          <w:sz w:val="24"/>
          <w:szCs w:val="24"/>
        </w:rPr>
      </w:pPr>
      <w:r w:rsidRPr="00BE6A64">
        <w:rPr>
          <w:color w:val="000000"/>
          <w:sz w:val="24"/>
          <w:szCs w:val="24"/>
        </w:rPr>
        <w:t>This systematic review was designed and reported in accordance with the Preferred Reporting Items for Systematic Reviews and Meta-Analyses (PRISMA) 2020 statement</w:t>
      </w:r>
      <w:r w:rsidR="001C285A" w:rsidRPr="00BE6A64">
        <w:rPr>
          <w:color w:val="000000"/>
          <w:sz w:val="24"/>
          <w:szCs w:val="24"/>
        </w:rPr>
        <w:t xml:space="preserve"> (Page </w:t>
      </w:r>
      <w:r w:rsidR="001C285A" w:rsidRPr="00BE6A64">
        <w:rPr>
          <w:i/>
          <w:color w:val="000000"/>
          <w:sz w:val="24"/>
          <w:szCs w:val="24"/>
        </w:rPr>
        <w:t>et al</w:t>
      </w:r>
      <w:r w:rsidR="001C285A" w:rsidRPr="00BE6A64">
        <w:rPr>
          <w:color w:val="000000"/>
          <w:sz w:val="24"/>
          <w:szCs w:val="24"/>
        </w:rPr>
        <w:t>., 2021)</w:t>
      </w:r>
      <w:r w:rsidRPr="00BE6A64">
        <w:rPr>
          <w:color w:val="000000"/>
          <w:sz w:val="24"/>
          <w:szCs w:val="24"/>
        </w:rPr>
        <w:t>. The review protocol is registered with PROSPERO (registration number pending). The PICO framework was applied as follows:</w:t>
      </w:r>
    </w:p>
    <w:p w14:paraId="103A1302" w14:textId="77777777" w:rsidR="002A7111" w:rsidRPr="00BE6A64" w:rsidRDefault="002A7111" w:rsidP="00AD02B1">
      <w:pPr>
        <w:spacing w:after="240" w:line="276" w:lineRule="auto"/>
        <w:jc w:val="both"/>
        <w:rPr>
          <w:sz w:val="24"/>
          <w:szCs w:val="24"/>
        </w:rPr>
      </w:pPr>
      <w:r w:rsidRPr="00BE6A64">
        <w:rPr>
          <w:sz w:val="24"/>
          <w:szCs w:val="24"/>
        </w:rPr>
        <w:t>Population (P): Food-producing animals (cattle, swine, poultry, aquaculture, small ruminants), and companion animals where AMU reduction data are reported</w:t>
      </w:r>
    </w:p>
    <w:p w14:paraId="1EF7FF1B" w14:textId="77777777" w:rsidR="002A7111" w:rsidRPr="00BE6A64" w:rsidRDefault="002A7111" w:rsidP="00AD02B1">
      <w:pPr>
        <w:spacing w:after="240" w:line="276" w:lineRule="auto"/>
        <w:jc w:val="both"/>
        <w:rPr>
          <w:sz w:val="24"/>
          <w:szCs w:val="24"/>
        </w:rPr>
      </w:pPr>
      <w:r w:rsidRPr="00BE6A64">
        <w:rPr>
          <w:sz w:val="24"/>
          <w:szCs w:val="24"/>
        </w:rPr>
        <w:t>Intervention (I): Licensed or experimental animal vaccination programs targeting bacterial, viral, or protozoal pathogens</w:t>
      </w:r>
    </w:p>
    <w:p w14:paraId="2B027E4F" w14:textId="77777777" w:rsidR="002A7111" w:rsidRPr="00BE6A64" w:rsidRDefault="002A7111" w:rsidP="00AD02B1">
      <w:pPr>
        <w:spacing w:after="240" w:line="276" w:lineRule="auto"/>
        <w:jc w:val="both"/>
        <w:rPr>
          <w:sz w:val="24"/>
          <w:szCs w:val="24"/>
        </w:rPr>
      </w:pPr>
      <w:r w:rsidRPr="00BE6A64">
        <w:rPr>
          <w:sz w:val="24"/>
          <w:szCs w:val="24"/>
        </w:rPr>
        <w:t>Comparator (C): Non-vaccinated controls, pre-vaccination baselines, or historical AMU data from the same production system</w:t>
      </w:r>
    </w:p>
    <w:p w14:paraId="19B46BD3" w14:textId="65867282" w:rsidR="002A7111" w:rsidRPr="00BE6A64" w:rsidRDefault="002A7111" w:rsidP="00AD02B1">
      <w:pPr>
        <w:spacing w:after="240" w:line="276" w:lineRule="auto"/>
        <w:jc w:val="both"/>
        <w:rPr>
          <w:sz w:val="24"/>
          <w:szCs w:val="24"/>
        </w:rPr>
      </w:pPr>
      <w:r w:rsidRPr="00BE6A64">
        <w:rPr>
          <w:sz w:val="24"/>
          <w:szCs w:val="24"/>
        </w:rPr>
        <w:t xml:space="preserve">Outcome (O): Antimicrobial use quantity (AMU), antimicrobial resistance prevalence, </w:t>
      </w:r>
      <w:proofErr w:type="spellStart"/>
      <w:r w:rsidRPr="00BE6A64">
        <w:rPr>
          <w:sz w:val="24"/>
          <w:szCs w:val="24"/>
        </w:rPr>
        <w:t>resistome</w:t>
      </w:r>
      <w:proofErr w:type="spellEnd"/>
      <w:r w:rsidRPr="00BE6A64">
        <w:rPr>
          <w:sz w:val="24"/>
          <w:szCs w:val="24"/>
        </w:rPr>
        <w:t xml:space="preserve"> composition, or zoonotic AMR transmission metrics</w:t>
      </w:r>
    </w:p>
    <w:p w14:paraId="3999504D" w14:textId="248FBCA6" w:rsidR="002560BE" w:rsidRPr="00BE6A64" w:rsidRDefault="002560BE" w:rsidP="00AD02B1">
      <w:pPr>
        <w:spacing w:after="240" w:line="276" w:lineRule="auto"/>
        <w:jc w:val="both"/>
        <w:rPr>
          <w:sz w:val="24"/>
          <w:szCs w:val="24"/>
        </w:rPr>
      </w:pPr>
    </w:p>
    <w:p w14:paraId="49AA5ADC" w14:textId="06711E0B" w:rsidR="00491170" w:rsidRPr="00BE6A64" w:rsidRDefault="00491170" w:rsidP="00AD02B1">
      <w:pPr>
        <w:spacing w:after="240" w:line="276" w:lineRule="auto"/>
        <w:jc w:val="both"/>
        <w:rPr>
          <w:sz w:val="24"/>
          <w:szCs w:val="24"/>
        </w:rPr>
      </w:pPr>
    </w:p>
    <w:p w14:paraId="276C8F4D" w14:textId="16CF685F" w:rsidR="00491170" w:rsidRPr="00BE6A64" w:rsidRDefault="00491170" w:rsidP="00AD02B1">
      <w:pPr>
        <w:spacing w:after="240" w:line="276" w:lineRule="auto"/>
        <w:jc w:val="both"/>
        <w:rPr>
          <w:sz w:val="24"/>
          <w:szCs w:val="24"/>
        </w:rPr>
      </w:pPr>
    </w:p>
    <w:p w14:paraId="0AC24D99" w14:textId="2A89C300" w:rsidR="00491170" w:rsidRPr="00BE6A64" w:rsidRDefault="00491170" w:rsidP="00AD02B1">
      <w:pPr>
        <w:spacing w:after="240" w:line="276" w:lineRule="auto"/>
        <w:jc w:val="both"/>
        <w:rPr>
          <w:sz w:val="24"/>
          <w:szCs w:val="24"/>
        </w:rPr>
      </w:pPr>
    </w:p>
    <w:p w14:paraId="5B27AB24" w14:textId="6DE82A0C" w:rsidR="00491170" w:rsidRPr="00BE6A64" w:rsidRDefault="00491170" w:rsidP="00AD02B1">
      <w:pPr>
        <w:spacing w:after="240" w:line="276" w:lineRule="auto"/>
        <w:jc w:val="both"/>
        <w:rPr>
          <w:sz w:val="24"/>
          <w:szCs w:val="24"/>
        </w:rPr>
      </w:pPr>
    </w:p>
    <w:p w14:paraId="1BDD65A3" w14:textId="1878595E" w:rsidR="00491170" w:rsidRPr="00BE6A64" w:rsidRDefault="00491170" w:rsidP="00AD02B1">
      <w:pPr>
        <w:spacing w:after="240" w:line="276" w:lineRule="auto"/>
        <w:jc w:val="both"/>
        <w:rPr>
          <w:sz w:val="24"/>
          <w:szCs w:val="24"/>
        </w:rPr>
      </w:pPr>
    </w:p>
    <w:p w14:paraId="1790E4BA" w14:textId="77777777" w:rsidR="00491170" w:rsidRPr="00BE6A64" w:rsidRDefault="00491170" w:rsidP="00AD02B1">
      <w:pPr>
        <w:spacing w:after="240" w:line="276" w:lineRule="auto"/>
        <w:jc w:val="both"/>
        <w:rPr>
          <w:sz w:val="24"/>
          <w:szCs w:val="24"/>
        </w:rPr>
      </w:pPr>
    </w:p>
    <w:p w14:paraId="2CA36420" w14:textId="77777777" w:rsidR="00491170" w:rsidRPr="00BE6A64" w:rsidRDefault="00491170" w:rsidP="00AD02B1">
      <w:pPr>
        <w:spacing w:after="240" w:line="276" w:lineRule="auto"/>
        <w:jc w:val="both"/>
        <w:rPr>
          <w:sz w:val="24"/>
          <w:szCs w:val="24"/>
        </w:rPr>
      </w:pPr>
    </w:p>
    <w:p w14:paraId="1344EE14" w14:textId="56579367" w:rsidR="00491170" w:rsidRPr="00BE6A64" w:rsidRDefault="00491170" w:rsidP="00AD02B1">
      <w:pPr>
        <w:spacing w:after="240" w:line="276" w:lineRule="auto"/>
        <w:jc w:val="both"/>
        <w:rPr>
          <w:sz w:val="24"/>
          <w:szCs w:val="24"/>
        </w:rPr>
      </w:pPr>
    </w:p>
    <w:p w14:paraId="566E2F8F" w14:textId="77777777" w:rsidR="00491170" w:rsidRPr="00BE6A64" w:rsidRDefault="00491170" w:rsidP="00AD02B1">
      <w:pPr>
        <w:spacing w:after="240" w:line="276" w:lineRule="auto"/>
        <w:jc w:val="both"/>
        <w:rPr>
          <w:sz w:val="24"/>
          <w:szCs w:val="24"/>
        </w:rPr>
      </w:pPr>
    </w:p>
    <w:p w14:paraId="5C2366ED" w14:textId="77777777" w:rsidR="00491170" w:rsidRPr="00BE6A64" w:rsidRDefault="00491170" w:rsidP="00AD02B1">
      <w:pPr>
        <w:spacing w:after="240" w:line="276" w:lineRule="auto"/>
        <w:jc w:val="both"/>
        <w:rPr>
          <w:sz w:val="24"/>
          <w:szCs w:val="24"/>
        </w:rPr>
      </w:pPr>
    </w:p>
    <w:p w14:paraId="5530741A" w14:textId="77777777" w:rsidR="00491170" w:rsidRPr="00BE6A64" w:rsidRDefault="00491170" w:rsidP="00AD02B1">
      <w:pPr>
        <w:spacing w:after="240" w:line="276" w:lineRule="auto"/>
        <w:jc w:val="both"/>
        <w:rPr>
          <w:sz w:val="24"/>
          <w:szCs w:val="24"/>
        </w:rPr>
      </w:pPr>
    </w:p>
    <w:p w14:paraId="3EE2F9C3" w14:textId="5C0927FD" w:rsidR="00491170" w:rsidRPr="00BE6A64" w:rsidRDefault="009525D3" w:rsidP="00AD02B1">
      <w:pPr>
        <w:spacing w:after="240" w:line="276" w:lineRule="auto"/>
        <w:jc w:val="both"/>
        <w:rPr>
          <w:sz w:val="24"/>
          <w:szCs w:val="24"/>
        </w:rPr>
      </w:pPr>
      <w:r w:rsidRPr="00BE6A64">
        <w:rPr>
          <w:noProof/>
          <w:sz w:val="24"/>
          <w:szCs w:val="24"/>
        </w:rPr>
        <w:lastRenderedPageBreak/>
        <w:drawing>
          <wp:anchor distT="0" distB="0" distL="114300" distR="114300" simplePos="0" relativeHeight="251658240" behindDoc="0" locked="0" layoutInCell="1" allowOverlap="1" wp14:anchorId="45B9F462" wp14:editId="23BA1706">
            <wp:simplePos x="0" y="0"/>
            <wp:positionH relativeFrom="margin">
              <wp:align>right</wp:align>
            </wp:positionH>
            <wp:positionV relativeFrom="paragraph">
              <wp:posOffset>0</wp:posOffset>
            </wp:positionV>
            <wp:extent cx="5943600" cy="590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53.jpeg"/>
                    <pic:cNvPicPr/>
                  </pic:nvPicPr>
                  <pic:blipFill rotWithShape="1">
                    <a:blip r:embed="rId7">
                      <a:extLst>
                        <a:ext uri="{28A0092B-C50C-407E-A947-70E740481C1C}">
                          <a14:useLocalDpi xmlns:a14="http://schemas.microsoft.com/office/drawing/2010/main" val="0"/>
                        </a:ext>
                      </a:extLst>
                    </a:blip>
                    <a:srcRect t="8980" b="4462"/>
                    <a:stretch/>
                  </pic:blipFill>
                  <pic:spPr bwMode="auto">
                    <a:xfrm>
                      <a:off x="0" y="0"/>
                      <a:ext cx="5943600" cy="590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949265" w14:textId="77777777" w:rsidR="00491170" w:rsidRPr="00BE6A64" w:rsidRDefault="00491170" w:rsidP="00AD02B1">
      <w:pPr>
        <w:spacing w:after="240" w:line="276" w:lineRule="auto"/>
        <w:jc w:val="both"/>
        <w:rPr>
          <w:sz w:val="24"/>
          <w:szCs w:val="24"/>
        </w:rPr>
      </w:pPr>
    </w:p>
    <w:p w14:paraId="72C0FD63" w14:textId="77777777" w:rsidR="00491170" w:rsidRPr="00BE6A64" w:rsidRDefault="00491170" w:rsidP="00AD02B1">
      <w:pPr>
        <w:spacing w:after="240" w:line="276" w:lineRule="auto"/>
        <w:jc w:val="both"/>
        <w:rPr>
          <w:sz w:val="24"/>
          <w:szCs w:val="24"/>
        </w:rPr>
      </w:pPr>
    </w:p>
    <w:p w14:paraId="70C5B0DA" w14:textId="77777777" w:rsidR="00491170" w:rsidRPr="00BE6A64" w:rsidRDefault="00491170" w:rsidP="00AD02B1">
      <w:pPr>
        <w:spacing w:after="240" w:line="276" w:lineRule="auto"/>
        <w:jc w:val="both"/>
        <w:rPr>
          <w:sz w:val="24"/>
          <w:szCs w:val="24"/>
        </w:rPr>
      </w:pPr>
    </w:p>
    <w:p w14:paraId="6B1E9EFE" w14:textId="77777777" w:rsidR="00491170" w:rsidRPr="00BE6A64" w:rsidRDefault="00491170" w:rsidP="00AD02B1">
      <w:pPr>
        <w:spacing w:after="240" w:line="276" w:lineRule="auto"/>
        <w:jc w:val="both"/>
        <w:rPr>
          <w:sz w:val="24"/>
          <w:szCs w:val="24"/>
        </w:rPr>
      </w:pPr>
    </w:p>
    <w:p w14:paraId="10C66399" w14:textId="77777777" w:rsidR="00491170" w:rsidRPr="00BE6A64" w:rsidRDefault="00491170" w:rsidP="00AD02B1">
      <w:pPr>
        <w:spacing w:after="240" w:line="276" w:lineRule="auto"/>
        <w:jc w:val="both"/>
        <w:rPr>
          <w:sz w:val="24"/>
          <w:szCs w:val="24"/>
        </w:rPr>
      </w:pPr>
    </w:p>
    <w:p w14:paraId="253E6D84" w14:textId="503DB493" w:rsidR="00491170" w:rsidRDefault="00491170" w:rsidP="00AD02B1">
      <w:pPr>
        <w:spacing w:after="240" w:line="276" w:lineRule="auto"/>
        <w:jc w:val="both"/>
        <w:rPr>
          <w:sz w:val="24"/>
          <w:szCs w:val="24"/>
        </w:rPr>
      </w:pPr>
    </w:p>
    <w:p w14:paraId="6A454E75" w14:textId="7FDFBD49" w:rsidR="009525D3" w:rsidRDefault="009525D3" w:rsidP="00AD02B1">
      <w:pPr>
        <w:spacing w:after="240" w:line="276" w:lineRule="auto"/>
        <w:jc w:val="both"/>
        <w:rPr>
          <w:sz w:val="24"/>
          <w:szCs w:val="24"/>
        </w:rPr>
      </w:pPr>
    </w:p>
    <w:p w14:paraId="456D911B" w14:textId="17648EC1" w:rsidR="009525D3" w:rsidRDefault="009525D3" w:rsidP="00AD02B1">
      <w:pPr>
        <w:spacing w:after="240" w:line="276" w:lineRule="auto"/>
        <w:jc w:val="both"/>
        <w:rPr>
          <w:sz w:val="24"/>
          <w:szCs w:val="24"/>
        </w:rPr>
      </w:pPr>
    </w:p>
    <w:p w14:paraId="07C542B5" w14:textId="359CBCE5" w:rsidR="009525D3" w:rsidRDefault="009525D3" w:rsidP="00AD02B1">
      <w:pPr>
        <w:spacing w:after="240" w:line="276" w:lineRule="auto"/>
        <w:jc w:val="both"/>
        <w:rPr>
          <w:sz w:val="24"/>
          <w:szCs w:val="24"/>
        </w:rPr>
      </w:pPr>
    </w:p>
    <w:p w14:paraId="59077E4C" w14:textId="0F851309" w:rsidR="009525D3" w:rsidRDefault="009525D3" w:rsidP="00AD02B1">
      <w:pPr>
        <w:spacing w:after="240" w:line="276" w:lineRule="auto"/>
        <w:jc w:val="both"/>
        <w:rPr>
          <w:sz w:val="24"/>
          <w:szCs w:val="24"/>
        </w:rPr>
      </w:pPr>
    </w:p>
    <w:p w14:paraId="7F38098C" w14:textId="23D3326D" w:rsidR="009525D3" w:rsidRDefault="009525D3" w:rsidP="00AD02B1">
      <w:pPr>
        <w:spacing w:after="240" w:line="276" w:lineRule="auto"/>
        <w:jc w:val="both"/>
        <w:rPr>
          <w:sz w:val="24"/>
          <w:szCs w:val="24"/>
        </w:rPr>
      </w:pPr>
    </w:p>
    <w:p w14:paraId="78424F18" w14:textId="22E14135" w:rsidR="009525D3" w:rsidRDefault="009525D3" w:rsidP="00AD02B1">
      <w:pPr>
        <w:spacing w:after="240" w:line="276" w:lineRule="auto"/>
        <w:jc w:val="both"/>
        <w:rPr>
          <w:sz w:val="24"/>
          <w:szCs w:val="24"/>
        </w:rPr>
      </w:pPr>
    </w:p>
    <w:p w14:paraId="368F60E7" w14:textId="35853ECF" w:rsidR="009525D3" w:rsidRDefault="009525D3" w:rsidP="00AD02B1">
      <w:pPr>
        <w:spacing w:after="240" w:line="276" w:lineRule="auto"/>
        <w:jc w:val="both"/>
        <w:rPr>
          <w:sz w:val="24"/>
          <w:szCs w:val="24"/>
        </w:rPr>
      </w:pPr>
    </w:p>
    <w:p w14:paraId="53C74A37" w14:textId="1F76F09B" w:rsidR="009525D3" w:rsidRDefault="009525D3" w:rsidP="00AD02B1">
      <w:pPr>
        <w:spacing w:after="240" w:line="276" w:lineRule="auto"/>
        <w:jc w:val="both"/>
        <w:rPr>
          <w:sz w:val="24"/>
          <w:szCs w:val="24"/>
        </w:rPr>
      </w:pPr>
    </w:p>
    <w:p w14:paraId="30F92EDF" w14:textId="6287DC34" w:rsidR="009525D3" w:rsidRDefault="009525D3" w:rsidP="00AD02B1">
      <w:pPr>
        <w:spacing w:after="240" w:line="276" w:lineRule="auto"/>
        <w:jc w:val="both"/>
        <w:rPr>
          <w:sz w:val="24"/>
          <w:szCs w:val="24"/>
        </w:rPr>
      </w:pPr>
    </w:p>
    <w:p w14:paraId="33914EED" w14:textId="688DBAC1" w:rsidR="009525D3" w:rsidRPr="00BE6A64" w:rsidRDefault="009525D3" w:rsidP="00AD02B1">
      <w:pPr>
        <w:spacing w:after="240" w:line="276" w:lineRule="auto"/>
        <w:jc w:val="both"/>
        <w:rPr>
          <w:sz w:val="24"/>
          <w:szCs w:val="24"/>
        </w:rPr>
      </w:pPr>
    </w:p>
    <w:p w14:paraId="66FC36E5" w14:textId="77777777" w:rsidR="00491170" w:rsidRPr="00BE6A64" w:rsidRDefault="00491170" w:rsidP="00491170">
      <w:pPr>
        <w:pStyle w:val="ListParagraph"/>
        <w:spacing w:after="240" w:line="276" w:lineRule="auto"/>
        <w:jc w:val="both"/>
        <w:rPr>
          <w:rFonts w:eastAsia="Arial"/>
          <w:b/>
          <w:sz w:val="24"/>
        </w:rPr>
      </w:pPr>
      <w:r w:rsidRPr="00BE6A64">
        <w:rPr>
          <w:rFonts w:eastAsia="Arial"/>
          <w:b/>
          <w:sz w:val="24"/>
        </w:rPr>
        <w:t xml:space="preserve">Figure 1. </w:t>
      </w:r>
      <w:r w:rsidRPr="00BE6A64">
        <w:rPr>
          <w:rFonts w:eastAsia="Arial"/>
          <w:sz w:val="24"/>
        </w:rPr>
        <w:t>PRISMA 2020 flow diagram illustrating the study selection process for the systematic review on animal vaccines as a tool to combat antimicrobial resistance within a One Health framework.</w:t>
      </w:r>
    </w:p>
    <w:p w14:paraId="74D2D624" w14:textId="77777777" w:rsidR="002A7111" w:rsidRPr="00BE6A64" w:rsidRDefault="002A7111" w:rsidP="00AD02B1">
      <w:pPr>
        <w:pStyle w:val="ListParagraph"/>
        <w:spacing w:after="240" w:line="276" w:lineRule="auto"/>
        <w:rPr>
          <w:b/>
          <w:sz w:val="24"/>
        </w:rPr>
      </w:pPr>
      <w:r w:rsidRPr="00BE6A64">
        <w:rPr>
          <w:rFonts w:eastAsia="Arial"/>
          <w:b/>
          <w:sz w:val="24"/>
        </w:rPr>
        <w:t>2.2 Search Strategy</w:t>
      </w:r>
    </w:p>
    <w:p w14:paraId="34D9AF19" w14:textId="0F47E729" w:rsidR="002A7111" w:rsidRPr="00BE6A64" w:rsidRDefault="002A7111" w:rsidP="00AD02B1">
      <w:pPr>
        <w:spacing w:after="240" w:line="276" w:lineRule="auto"/>
        <w:jc w:val="both"/>
        <w:rPr>
          <w:sz w:val="24"/>
          <w:szCs w:val="24"/>
        </w:rPr>
      </w:pPr>
      <w:r w:rsidRPr="00BE6A64">
        <w:rPr>
          <w:color w:val="000000"/>
          <w:sz w:val="24"/>
          <w:szCs w:val="24"/>
        </w:rPr>
        <w:t>A comprehensive search was conducted across five databases and repositories, spanning publications fro</w:t>
      </w:r>
      <w:r w:rsidR="00F31133" w:rsidRPr="00BE6A64">
        <w:rPr>
          <w:color w:val="000000"/>
          <w:sz w:val="24"/>
          <w:szCs w:val="24"/>
        </w:rPr>
        <w:t>m January 2005 to March 2026</w:t>
      </w:r>
      <w:r w:rsidRPr="00BE6A64">
        <w:rPr>
          <w:color w:val="000000"/>
          <w:sz w:val="24"/>
          <w:szCs w:val="24"/>
        </w:rPr>
        <w:t>. Search terms combined Medical Subject Headings (</w:t>
      </w:r>
      <w:proofErr w:type="spellStart"/>
      <w:r w:rsidRPr="00BE6A64">
        <w:rPr>
          <w:color w:val="000000"/>
          <w:sz w:val="24"/>
          <w:szCs w:val="24"/>
        </w:rPr>
        <w:t>MeSH</w:t>
      </w:r>
      <w:proofErr w:type="spellEnd"/>
      <w:r w:rsidRPr="00BE6A64">
        <w:rPr>
          <w:color w:val="000000"/>
          <w:sz w:val="24"/>
          <w:szCs w:val="24"/>
        </w:rPr>
        <w:t>) and free-text terms related to vaccination, animal species, AMR, and AMU (Table 1). No language restrictions were applied at first-pass screening; non-English articles were assessed using machine translation for eligibility.</w:t>
      </w:r>
    </w:p>
    <w:p w14:paraId="1E1F1C1D" w14:textId="77777777" w:rsidR="002560BE" w:rsidRPr="00BE6A64" w:rsidRDefault="002A7111" w:rsidP="00AD02B1">
      <w:pPr>
        <w:pStyle w:val="ListParagraph"/>
        <w:spacing w:after="240" w:line="276" w:lineRule="auto"/>
        <w:jc w:val="center"/>
        <w:rPr>
          <w:rFonts w:eastAsia="Arial"/>
          <w:sz w:val="24"/>
        </w:rPr>
      </w:pPr>
      <w:r w:rsidRPr="00BE6A64">
        <w:rPr>
          <w:rFonts w:eastAsia="Arial"/>
          <w:b/>
          <w:sz w:val="24"/>
        </w:rPr>
        <w:lastRenderedPageBreak/>
        <w:t xml:space="preserve">Table 1. </w:t>
      </w:r>
      <w:r w:rsidRPr="00BE6A64">
        <w:rPr>
          <w:rFonts w:eastAsia="Arial"/>
          <w:sz w:val="24"/>
        </w:rPr>
        <w:t>Search Strategy Summary (PRISMA 2020 Compliant)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4"/>
        <w:gridCol w:w="5235"/>
        <w:gridCol w:w="1170"/>
        <w:gridCol w:w="1081"/>
      </w:tblGrid>
      <w:tr w:rsidR="002A7111" w:rsidRPr="00BE6A64" w14:paraId="3E9AA91A" w14:textId="77777777" w:rsidTr="00826A37">
        <w:trPr>
          <w:tblHeader/>
        </w:trPr>
        <w:tc>
          <w:tcPr>
            <w:tcW w:w="1874"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A8649B2" w14:textId="77777777" w:rsidR="002A7111" w:rsidRPr="00BE6A64" w:rsidRDefault="002A7111" w:rsidP="00AD02B1">
            <w:pPr>
              <w:spacing w:after="240" w:line="276" w:lineRule="auto"/>
              <w:jc w:val="center"/>
            </w:pPr>
            <w:r w:rsidRPr="00BE6A64">
              <w:rPr>
                <w:rFonts w:eastAsia="Arial"/>
                <w:b/>
                <w:bCs/>
                <w:sz w:val="20"/>
                <w:szCs w:val="20"/>
              </w:rPr>
              <w:t>Database</w:t>
            </w:r>
          </w:p>
        </w:tc>
        <w:tc>
          <w:tcPr>
            <w:tcW w:w="523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CC5FE3D" w14:textId="77777777" w:rsidR="002A7111" w:rsidRPr="00BE6A64" w:rsidRDefault="002A7111" w:rsidP="00AD02B1">
            <w:pPr>
              <w:spacing w:after="240" w:line="276" w:lineRule="auto"/>
              <w:jc w:val="center"/>
            </w:pPr>
            <w:r w:rsidRPr="00BE6A64">
              <w:rPr>
                <w:rFonts w:eastAsia="Arial"/>
                <w:b/>
                <w:bCs/>
                <w:sz w:val="20"/>
                <w:szCs w:val="20"/>
              </w:rPr>
              <w:t>Search String (Representative)</w:t>
            </w:r>
          </w:p>
        </w:tc>
        <w:tc>
          <w:tcPr>
            <w:tcW w:w="117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2B75C6D" w14:textId="77777777" w:rsidR="002A7111" w:rsidRPr="00BE6A64" w:rsidRDefault="002A7111" w:rsidP="00AD02B1">
            <w:pPr>
              <w:spacing w:after="240" w:line="276" w:lineRule="auto"/>
              <w:jc w:val="center"/>
            </w:pPr>
            <w:r w:rsidRPr="00BE6A64">
              <w:rPr>
                <w:rFonts w:eastAsia="Arial"/>
                <w:b/>
                <w:bCs/>
                <w:sz w:val="20"/>
                <w:szCs w:val="20"/>
              </w:rPr>
              <w:t>Years</w:t>
            </w:r>
          </w:p>
        </w:tc>
        <w:tc>
          <w:tcPr>
            <w:tcW w:w="1081"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F619B96" w14:textId="77777777" w:rsidR="002A7111" w:rsidRPr="00BE6A64" w:rsidRDefault="002A7111" w:rsidP="00AD02B1">
            <w:pPr>
              <w:spacing w:after="240" w:line="276" w:lineRule="auto"/>
              <w:jc w:val="center"/>
            </w:pPr>
            <w:r w:rsidRPr="00BE6A64">
              <w:rPr>
                <w:rFonts w:eastAsia="Arial"/>
                <w:b/>
                <w:bCs/>
                <w:sz w:val="20"/>
                <w:szCs w:val="20"/>
              </w:rPr>
              <w:t>Records (n)</w:t>
            </w:r>
          </w:p>
        </w:tc>
      </w:tr>
      <w:tr w:rsidR="002A7111" w:rsidRPr="00BE6A64" w14:paraId="41FFB67E"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561B98" w14:textId="77777777" w:rsidR="002A7111" w:rsidRPr="00BE6A64" w:rsidRDefault="002A7111" w:rsidP="00AD02B1">
            <w:pPr>
              <w:spacing w:after="240" w:line="276" w:lineRule="auto"/>
            </w:pPr>
            <w:r w:rsidRPr="00BE6A64">
              <w:rPr>
                <w:sz w:val="20"/>
                <w:szCs w:val="20"/>
              </w:rPr>
              <w:t>PubMed/MEDLINE</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D6531" w14:textId="77777777" w:rsidR="002A7111" w:rsidRPr="00BE6A64" w:rsidRDefault="00384148" w:rsidP="00AD02B1">
            <w:pPr>
              <w:spacing w:after="240" w:line="276" w:lineRule="auto"/>
            </w:pPr>
            <w:r w:rsidRPr="00BE6A64">
              <w:rPr>
                <w:sz w:val="20"/>
                <w:szCs w:val="20"/>
              </w:rPr>
              <w:t>[</w:t>
            </w:r>
            <w:r w:rsidR="002A7111" w:rsidRPr="00BE6A64">
              <w:rPr>
                <w:sz w:val="20"/>
                <w:szCs w:val="20"/>
              </w:rPr>
              <w:t>(animal* OR livestock OR poultry OR swine OR cattle OR aquaculture) AND (vaccin</w:t>
            </w:r>
            <w:r w:rsidRPr="00BE6A64">
              <w:rPr>
                <w:sz w:val="20"/>
                <w:szCs w:val="20"/>
              </w:rPr>
              <w:t>e</w:t>
            </w:r>
            <w:r w:rsidR="002A7111" w:rsidRPr="00BE6A64">
              <w:rPr>
                <w:sz w:val="20"/>
                <w:szCs w:val="20"/>
              </w:rPr>
              <w:t>* OR immuniz</w:t>
            </w:r>
            <w:r w:rsidRPr="00BE6A64">
              <w:rPr>
                <w:sz w:val="20"/>
                <w:szCs w:val="20"/>
              </w:rPr>
              <w:t>ation</w:t>
            </w:r>
            <w:r w:rsidR="002A7111" w:rsidRPr="00BE6A64">
              <w:rPr>
                <w:sz w:val="20"/>
                <w:szCs w:val="20"/>
              </w:rPr>
              <w:t>*) AND (antimicrobial resist</w:t>
            </w:r>
            <w:r w:rsidRPr="00BE6A64">
              <w:rPr>
                <w:sz w:val="20"/>
                <w:szCs w:val="20"/>
              </w:rPr>
              <w:t>ance</w:t>
            </w:r>
            <w:r w:rsidR="002A7111" w:rsidRPr="00BE6A64">
              <w:rPr>
                <w:sz w:val="20"/>
                <w:szCs w:val="20"/>
              </w:rPr>
              <w:t>* OR AMR OR ant</w:t>
            </w:r>
            <w:r w:rsidRPr="00BE6A64">
              <w:rPr>
                <w:sz w:val="20"/>
                <w:szCs w:val="20"/>
              </w:rPr>
              <w:t>ibiotic use) AND ("One Health")]</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CFF3DF" w14:textId="1C6D0CC1" w:rsidR="002A7111" w:rsidRPr="00BE6A64" w:rsidRDefault="00511F0F" w:rsidP="00AD02B1">
            <w:pPr>
              <w:spacing w:after="240" w:line="276" w:lineRule="auto"/>
            </w:pPr>
            <w:r>
              <w:rPr>
                <w:sz w:val="20"/>
                <w:szCs w:val="20"/>
              </w:rPr>
              <w:t>2005–</w:t>
            </w:r>
            <w:r w:rsidRPr="00511F0F">
              <w:rPr>
                <w:sz w:val="20"/>
                <w:szCs w:val="20"/>
                <w:highlight w:val="yellow"/>
              </w:rPr>
              <w:t>2026</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CBA180" w14:textId="77777777" w:rsidR="002A7111" w:rsidRPr="00BE6A64" w:rsidRDefault="002A7111" w:rsidP="00AD02B1">
            <w:pPr>
              <w:spacing w:after="240" w:line="276" w:lineRule="auto"/>
            </w:pPr>
            <w:r w:rsidRPr="00BE6A64">
              <w:rPr>
                <w:sz w:val="20"/>
                <w:szCs w:val="20"/>
              </w:rPr>
              <w:t>387</w:t>
            </w:r>
          </w:p>
        </w:tc>
      </w:tr>
      <w:tr w:rsidR="002A7111" w:rsidRPr="00BE6A64" w14:paraId="61A4948A"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8D785" w14:textId="77777777" w:rsidR="002A7111" w:rsidRPr="00BE6A64" w:rsidRDefault="002A7111" w:rsidP="00AD02B1">
            <w:pPr>
              <w:spacing w:after="240" w:line="276" w:lineRule="auto"/>
            </w:pPr>
            <w:r w:rsidRPr="00BE6A64">
              <w:rPr>
                <w:sz w:val="20"/>
                <w:szCs w:val="20"/>
              </w:rPr>
              <w:t>Web of Science</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40B155" w14:textId="77777777" w:rsidR="002A7111" w:rsidRPr="00BE6A64" w:rsidRDefault="00384148" w:rsidP="00AD02B1">
            <w:pPr>
              <w:spacing w:after="240" w:line="276" w:lineRule="auto"/>
            </w:pPr>
            <w:r w:rsidRPr="00BE6A64">
              <w:rPr>
                <w:sz w:val="20"/>
                <w:szCs w:val="20"/>
              </w:rPr>
              <w:t>[</w:t>
            </w:r>
            <w:r w:rsidR="002A7111" w:rsidRPr="00BE6A64">
              <w:rPr>
                <w:sz w:val="20"/>
                <w:szCs w:val="20"/>
              </w:rPr>
              <w:t>TS=(livestock vaccin</w:t>
            </w:r>
            <w:r w:rsidRPr="00BE6A64">
              <w:rPr>
                <w:sz w:val="20"/>
                <w:szCs w:val="20"/>
              </w:rPr>
              <w:t>e</w:t>
            </w:r>
            <w:r w:rsidR="002A7111" w:rsidRPr="00BE6A64">
              <w:rPr>
                <w:sz w:val="20"/>
                <w:szCs w:val="20"/>
              </w:rPr>
              <w:t>* AND AMR) OR TS=(animal va</w:t>
            </w:r>
            <w:r w:rsidRPr="00BE6A64">
              <w:rPr>
                <w:sz w:val="20"/>
                <w:szCs w:val="20"/>
              </w:rPr>
              <w:t>ccine AND antibiotic reduction)]</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DFBD35" w14:textId="556BEB0A" w:rsidR="002A7111" w:rsidRPr="00BE6A64" w:rsidRDefault="00511F0F" w:rsidP="00AD02B1">
            <w:pPr>
              <w:spacing w:after="240" w:line="276" w:lineRule="auto"/>
            </w:pPr>
            <w:r>
              <w:rPr>
                <w:sz w:val="20"/>
                <w:szCs w:val="20"/>
              </w:rPr>
              <w:t>2005–</w:t>
            </w:r>
            <w:r w:rsidRPr="00511F0F">
              <w:rPr>
                <w:sz w:val="20"/>
                <w:szCs w:val="20"/>
                <w:highlight w:val="yellow"/>
              </w:rPr>
              <w:t>2026</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A5DFD" w14:textId="77777777" w:rsidR="002A7111" w:rsidRPr="00BE6A64" w:rsidRDefault="002A7111" w:rsidP="00AD02B1">
            <w:pPr>
              <w:spacing w:after="240" w:line="276" w:lineRule="auto"/>
            </w:pPr>
            <w:r w:rsidRPr="00BE6A64">
              <w:rPr>
                <w:sz w:val="20"/>
                <w:szCs w:val="20"/>
              </w:rPr>
              <w:t>214</w:t>
            </w:r>
          </w:p>
        </w:tc>
      </w:tr>
      <w:tr w:rsidR="002A7111" w:rsidRPr="00BE6A64" w14:paraId="718C8D58"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E365FA" w14:textId="77777777" w:rsidR="002A7111" w:rsidRPr="00BE6A64" w:rsidRDefault="002A7111" w:rsidP="00AD02B1">
            <w:pPr>
              <w:spacing w:after="240" w:line="276" w:lineRule="auto"/>
            </w:pPr>
            <w:r w:rsidRPr="00BE6A64">
              <w:rPr>
                <w:sz w:val="20"/>
                <w:szCs w:val="20"/>
              </w:rPr>
              <w:t>Scopus</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CBD442" w14:textId="77777777" w:rsidR="002A7111" w:rsidRPr="00BE6A64" w:rsidRDefault="00384148" w:rsidP="00AD02B1">
            <w:pPr>
              <w:spacing w:after="240" w:line="276" w:lineRule="auto"/>
            </w:pPr>
            <w:r w:rsidRPr="00BE6A64">
              <w:rPr>
                <w:sz w:val="20"/>
                <w:szCs w:val="20"/>
              </w:rPr>
              <w:t>[</w:t>
            </w:r>
            <w:r w:rsidR="002A7111" w:rsidRPr="00BE6A64">
              <w:rPr>
                <w:sz w:val="20"/>
                <w:szCs w:val="20"/>
              </w:rPr>
              <w:t>TITLE-ABS-KEY(vaccine AND antimicrobi</w:t>
            </w:r>
            <w:r w:rsidRPr="00BE6A64">
              <w:rPr>
                <w:sz w:val="20"/>
                <w:szCs w:val="20"/>
              </w:rPr>
              <w:t>al AND animal AND "One Health")]</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A9071" w14:textId="2AF123E3" w:rsidR="002A7111" w:rsidRPr="00BE6A64" w:rsidRDefault="00511F0F" w:rsidP="00AD02B1">
            <w:pPr>
              <w:spacing w:after="240" w:line="276" w:lineRule="auto"/>
            </w:pPr>
            <w:r>
              <w:rPr>
                <w:sz w:val="20"/>
                <w:szCs w:val="20"/>
              </w:rPr>
              <w:t>2005–</w:t>
            </w:r>
            <w:r w:rsidRPr="00511F0F">
              <w:rPr>
                <w:sz w:val="20"/>
                <w:szCs w:val="20"/>
                <w:highlight w:val="yellow"/>
              </w:rPr>
              <w:t>2026</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A40CD1" w14:textId="77777777" w:rsidR="002A7111" w:rsidRPr="00BE6A64" w:rsidRDefault="002A7111" w:rsidP="00AD02B1">
            <w:pPr>
              <w:spacing w:after="240" w:line="276" w:lineRule="auto"/>
            </w:pPr>
            <w:r w:rsidRPr="00BE6A64">
              <w:rPr>
                <w:sz w:val="20"/>
                <w:szCs w:val="20"/>
              </w:rPr>
              <w:t>198</w:t>
            </w:r>
          </w:p>
        </w:tc>
      </w:tr>
      <w:tr w:rsidR="002A7111" w:rsidRPr="00BE6A64" w14:paraId="50720286"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176234" w14:textId="77777777" w:rsidR="002A7111" w:rsidRPr="00BE6A64" w:rsidRDefault="002A7111" w:rsidP="00AD02B1">
            <w:pPr>
              <w:spacing w:after="240" w:line="276" w:lineRule="auto"/>
            </w:pPr>
            <w:r w:rsidRPr="00BE6A64">
              <w:rPr>
                <w:sz w:val="20"/>
                <w:szCs w:val="20"/>
              </w:rPr>
              <w:t>WOAH/FAO Reports</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F3AD5" w14:textId="77777777" w:rsidR="002A7111" w:rsidRPr="00BE6A64" w:rsidRDefault="002A7111" w:rsidP="00AD02B1">
            <w:pPr>
              <w:spacing w:after="240" w:line="276" w:lineRule="auto"/>
            </w:pPr>
            <w:r w:rsidRPr="00BE6A64">
              <w:rPr>
                <w:sz w:val="20"/>
                <w:szCs w:val="20"/>
              </w:rPr>
              <w:t>Manual: WOAH ANIMUSE, FAO AMR reports, Global AMR R&amp;D Hub dashboards</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20E454" w14:textId="66C3C722" w:rsidR="002A7111" w:rsidRPr="00BE6A64" w:rsidRDefault="00511F0F" w:rsidP="00AD02B1">
            <w:pPr>
              <w:spacing w:after="240" w:line="276" w:lineRule="auto"/>
            </w:pPr>
            <w:r>
              <w:rPr>
                <w:sz w:val="20"/>
                <w:szCs w:val="20"/>
              </w:rPr>
              <w:t>2010–</w:t>
            </w:r>
            <w:r w:rsidRPr="00511F0F">
              <w:rPr>
                <w:sz w:val="20"/>
                <w:szCs w:val="20"/>
                <w:highlight w:val="yellow"/>
              </w:rPr>
              <w:t>2026</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E45A89" w14:textId="77777777" w:rsidR="002A7111" w:rsidRPr="00BE6A64" w:rsidRDefault="002A7111" w:rsidP="00AD02B1">
            <w:pPr>
              <w:spacing w:after="240" w:line="276" w:lineRule="auto"/>
            </w:pPr>
            <w:r w:rsidRPr="00BE6A64">
              <w:rPr>
                <w:sz w:val="20"/>
                <w:szCs w:val="20"/>
              </w:rPr>
              <w:t>42</w:t>
            </w:r>
          </w:p>
        </w:tc>
      </w:tr>
      <w:tr w:rsidR="002A7111" w:rsidRPr="00BE6A64" w14:paraId="125315C3"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7B6D5" w14:textId="77777777" w:rsidR="002A7111" w:rsidRPr="00BE6A64" w:rsidRDefault="002A7111" w:rsidP="00AD02B1">
            <w:pPr>
              <w:spacing w:after="240" w:line="276" w:lineRule="auto"/>
            </w:pPr>
            <w:r w:rsidRPr="00BE6A64">
              <w:rPr>
                <w:sz w:val="20"/>
                <w:szCs w:val="20"/>
              </w:rPr>
              <w:t>Grey Literature</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8DCF4A" w14:textId="77777777" w:rsidR="002A7111" w:rsidRPr="00BE6A64" w:rsidRDefault="002A7111" w:rsidP="00AD02B1">
            <w:pPr>
              <w:spacing w:after="240" w:line="276" w:lineRule="auto"/>
            </w:pPr>
            <w:r w:rsidRPr="00BE6A64">
              <w:rPr>
                <w:sz w:val="20"/>
                <w:szCs w:val="20"/>
              </w:rPr>
              <w:t>Google Scholar; "animal vaccine" + "antibiotic use" + reduction; PROSPERO registry</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560F6B" w14:textId="599117E7" w:rsidR="002A7111" w:rsidRPr="00BE6A64" w:rsidRDefault="002A7111" w:rsidP="00AD02B1">
            <w:pPr>
              <w:spacing w:after="240" w:line="276" w:lineRule="auto"/>
            </w:pPr>
            <w:r w:rsidRPr="00BE6A64">
              <w:rPr>
                <w:sz w:val="20"/>
                <w:szCs w:val="20"/>
              </w:rPr>
              <w:t>2015–</w:t>
            </w:r>
            <w:r w:rsidR="00C24E7A">
              <w:rPr>
                <w:sz w:val="20"/>
                <w:szCs w:val="20"/>
                <w:highlight w:val="yellow"/>
              </w:rPr>
              <w:t>2026</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9A44ED" w14:textId="77777777" w:rsidR="002A7111" w:rsidRPr="00BE6A64" w:rsidRDefault="002A7111" w:rsidP="00AD02B1">
            <w:pPr>
              <w:spacing w:after="240" w:line="276" w:lineRule="auto"/>
            </w:pPr>
            <w:r w:rsidRPr="00BE6A64">
              <w:rPr>
                <w:sz w:val="20"/>
                <w:szCs w:val="20"/>
              </w:rPr>
              <w:t>63</w:t>
            </w:r>
          </w:p>
        </w:tc>
      </w:tr>
      <w:tr w:rsidR="002A7111" w:rsidRPr="00BE6A64" w14:paraId="62EF246B"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68F44" w14:textId="77777777" w:rsidR="002A7111" w:rsidRPr="00BE6A64" w:rsidRDefault="002A7111" w:rsidP="00AD02B1">
            <w:pPr>
              <w:spacing w:after="240" w:line="276" w:lineRule="auto"/>
            </w:pPr>
            <w:r w:rsidRPr="00BE6A64">
              <w:rPr>
                <w:sz w:val="20"/>
                <w:szCs w:val="20"/>
              </w:rPr>
              <w:t>Total (after deduplication)</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2EABD" w14:textId="77777777" w:rsidR="002A7111" w:rsidRPr="00BE6A64" w:rsidRDefault="002A7111" w:rsidP="00AD02B1">
            <w:pPr>
              <w:spacing w:after="240" w:line="276" w:lineRule="auto"/>
            </w:pPr>
            <w:r w:rsidRPr="00BE6A64">
              <w:rPr>
                <w:sz w:val="20"/>
                <w:szCs w:val="20"/>
              </w:rPr>
              <w:t>—</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D40FA1" w14:textId="77777777" w:rsidR="002A7111" w:rsidRPr="00BE6A64" w:rsidRDefault="002A7111" w:rsidP="00AD02B1">
            <w:pPr>
              <w:spacing w:after="240" w:line="276" w:lineRule="auto"/>
            </w:pPr>
            <w:r w:rsidRPr="00BE6A64">
              <w:rPr>
                <w:sz w:val="20"/>
                <w:szCs w:val="20"/>
              </w:rPr>
              <w:t>—</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86B75" w14:textId="77777777" w:rsidR="002A7111" w:rsidRPr="00BE6A64" w:rsidRDefault="002A7111" w:rsidP="00AD02B1">
            <w:pPr>
              <w:spacing w:after="240" w:line="276" w:lineRule="auto"/>
            </w:pPr>
            <w:r w:rsidRPr="00BE6A64">
              <w:rPr>
                <w:sz w:val="20"/>
                <w:szCs w:val="20"/>
              </w:rPr>
              <w:t>611</w:t>
            </w:r>
          </w:p>
        </w:tc>
      </w:tr>
      <w:tr w:rsidR="002A7111" w:rsidRPr="00BE6A64" w14:paraId="40773196" w14:textId="77777777" w:rsidTr="00826A37">
        <w:tc>
          <w:tcPr>
            <w:tcW w:w="187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551090" w14:textId="77777777" w:rsidR="002A7111" w:rsidRPr="00BE6A64" w:rsidRDefault="002A7111" w:rsidP="00AD02B1">
            <w:pPr>
              <w:spacing w:after="240" w:line="276" w:lineRule="auto"/>
            </w:pPr>
            <w:r w:rsidRPr="00BE6A64">
              <w:rPr>
                <w:sz w:val="20"/>
                <w:szCs w:val="20"/>
              </w:rPr>
              <w:t>Full-text screened</w:t>
            </w:r>
          </w:p>
        </w:tc>
        <w:tc>
          <w:tcPr>
            <w:tcW w:w="52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69292C" w14:textId="77777777" w:rsidR="002A7111" w:rsidRPr="00BE6A64" w:rsidRDefault="002A7111" w:rsidP="00AD02B1">
            <w:pPr>
              <w:spacing w:after="240" w:line="276" w:lineRule="auto"/>
            </w:pPr>
            <w:r w:rsidRPr="00BE6A64">
              <w:rPr>
                <w:sz w:val="20"/>
                <w:szCs w:val="20"/>
              </w:rPr>
              <w:t>—</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5D540D" w14:textId="77777777" w:rsidR="002A7111" w:rsidRPr="00BE6A64" w:rsidRDefault="002A7111" w:rsidP="00AD02B1">
            <w:pPr>
              <w:spacing w:after="240" w:line="276" w:lineRule="auto"/>
            </w:pPr>
            <w:r w:rsidRPr="00BE6A64">
              <w:rPr>
                <w:sz w:val="20"/>
                <w:szCs w:val="20"/>
              </w:rPr>
              <w:t>—</w:t>
            </w:r>
          </w:p>
        </w:tc>
        <w:tc>
          <w:tcPr>
            <w:tcW w:w="10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6E531C" w14:textId="77777777" w:rsidR="002A7111" w:rsidRPr="00BE6A64" w:rsidRDefault="002A7111" w:rsidP="00AD02B1">
            <w:pPr>
              <w:spacing w:after="240" w:line="276" w:lineRule="auto"/>
            </w:pPr>
            <w:r w:rsidRPr="00BE6A64">
              <w:rPr>
                <w:sz w:val="20"/>
                <w:szCs w:val="20"/>
              </w:rPr>
              <w:t>74 (included)</w:t>
            </w:r>
          </w:p>
        </w:tc>
      </w:tr>
    </w:tbl>
    <w:p w14:paraId="2BA0FE12" w14:textId="77777777" w:rsidR="009525D3" w:rsidRDefault="009525D3" w:rsidP="00AD02B1">
      <w:pPr>
        <w:spacing w:after="240" w:line="276" w:lineRule="auto"/>
        <w:rPr>
          <w:rFonts w:eastAsia="Arial"/>
          <w:b/>
          <w:sz w:val="24"/>
          <w:szCs w:val="24"/>
        </w:rPr>
      </w:pPr>
    </w:p>
    <w:p w14:paraId="6317F54E" w14:textId="547BC77E" w:rsidR="00F061A4" w:rsidRPr="00BE6A64" w:rsidRDefault="002A7111" w:rsidP="00AD02B1">
      <w:pPr>
        <w:spacing w:after="240" w:line="276" w:lineRule="auto"/>
        <w:rPr>
          <w:rFonts w:eastAsia="Arial"/>
          <w:b/>
          <w:sz w:val="24"/>
          <w:szCs w:val="24"/>
        </w:rPr>
      </w:pPr>
      <w:r w:rsidRPr="00BE6A64">
        <w:rPr>
          <w:rFonts w:eastAsia="Arial"/>
          <w:b/>
          <w:sz w:val="24"/>
          <w:szCs w:val="24"/>
        </w:rPr>
        <w:t>2.3 Eligibility Criteria</w:t>
      </w:r>
    </w:p>
    <w:p w14:paraId="292A9ECF" w14:textId="77777777" w:rsidR="002A7111" w:rsidRPr="00BE6A64" w:rsidRDefault="002A7111" w:rsidP="00AD02B1">
      <w:pPr>
        <w:spacing w:after="240" w:line="276" w:lineRule="auto"/>
        <w:jc w:val="both"/>
        <w:rPr>
          <w:sz w:val="24"/>
          <w:szCs w:val="24"/>
        </w:rPr>
      </w:pPr>
      <w:r w:rsidRPr="00BE6A64">
        <w:rPr>
          <w:color w:val="000000"/>
          <w:sz w:val="24"/>
          <w:szCs w:val="24"/>
        </w:rPr>
        <w:t>Studies were included if they: (1) reported a defined animal vaccination intervention; (2) measured AMU or AMR as a primary or secondary outcome; (3) involved livestock, aquaculture, or companion animals; and (4) were published in peer-reviewed journals or official international organization reports. Studies were excluded if AMU/AMR data were absent, if vaccination was administered to humans only, or if outcomes were exclusively immunological with no reference to antibiotic use.</w:t>
      </w:r>
    </w:p>
    <w:p w14:paraId="631B2D22" w14:textId="77777777" w:rsidR="00F061A4" w:rsidRPr="00BE6A64" w:rsidRDefault="002A7111" w:rsidP="00AD02B1">
      <w:pPr>
        <w:pStyle w:val="ListParagraph"/>
        <w:spacing w:after="240" w:line="276" w:lineRule="auto"/>
        <w:rPr>
          <w:rFonts w:eastAsia="Arial"/>
          <w:b/>
          <w:sz w:val="24"/>
          <w:szCs w:val="24"/>
        </w:rPr>
      </w:pPr>
      <w:r w:rsidRPr="00BE6A64">
        <w:rPr>
          <w:rFonts w:eastAsia="Arial"/>
          <w:b/>
          <w:sz w:val="24"/>
          <w:szCs w:val="24"/>
        </w:rPr>
        <w:t>2.4 Data Extraction and Quality Assessment</w:t>
      </w:r>
    </w:p>
    <w:p w14:paraId="12EE309B" w14:textId="28B8186E" w:rsidR="004F204E" w:rsidRPr="006871A2" w:rsidRDefault="002A7111" w:rsidP="006871A2">
      <w:pPr>
        <w:spacing w:after="240" w:line="276" w:lineRule="auto"/>
        <w:jc w:val="both"/>
        <w:rPr>
          <w:sz w:val="24"/>
          <w:szCs w:val="24"/>
        </w:rPr>
      </w:pPr>
      <w:r w:rsidRPr="00BE6A64">
        <w:rPr>
          <w:color w:val="000000"/>
          <w:sz w:val="24"/>
          <w:szCs w:val="24"/>
        </w:rPr>
        <w:lastRenderedPageBreak/>
        <w:t xml:space="preserve">Two independent reviewers extracted data using a pre-piloted Excel-based form. Extracted fields included: study design, species, targeted pathogen, vaccine type and platform, geographic region, AMU metric used, AMR outcome metric, and magnitude of effect. Disagreements were resolved by consensus with a third reviewer. Quality was appraised using the Risk of Bias in Non-Randomized Studies of Interventions (ROBINS-I) tool for observational studies, and the Cochrane </w:t>
      </w:r>
      <w:proofErr w:type="spellStart"/>
      <w:r w:rsidRPr="00BE6A64">
        <w:rPr>
          <w:color w:val="000000"/>
          <w:sz w:val="24"/>
          <w:szCs w:val="24"/>
        </w:rPr>
        <w:t>RoB</w:t>
      </w:r>
      <w:proofErr w:type="spellEnd"/>
      <w:r w:rsidRPr="00BE6A64">
        <w:rPr>
          <w:color w:val="000000"/>
          <w:sz w:val="24"/>
          <w:szCs w:val="24"/>
        </w:rPr>
        <w:t xml:space="preserve"> 2.0 tool for any randomized controlled trials (RCTs) identified.</w:t>
      </w:r>
    </w:p>
    <w:p w14:paraId="56CB741D" w14:textId="77777777" w:rsidR="002A7111" w:rsidRPr="00BE6A64" w:rsidRDefault="002A7111" w:rsidP="00AD02B1">
      <w:pPr>
        <w:pStyle w:val="ListParagraph"/>
        <w:spacing w:after="240" w:line="276" w:lineRule="auto"/>
        <w:rPr>
          <w:b/>
          <w:sz w:val="24"/>
          <w:szCs w:val="24"/>
        </w:rPr>
      </w:pPr>
      <w:r w:rsidRPr="00BE6A64">
        <w:rPr>
          <w:rFonts w:eastAsia="Arial"/>
          <w:b/>
          <w:sz w:val="24"/>
          <w:szCs w:val="24"/>
        </w:rPr>
        <w:t>3. RESULTS</w:t>
      </w:r>
    </w:p>
    <w:p w14:paraId="56325327" w14:textId="77777777" w:rsidR="00E13623" w:rsidRPr="00BE6A64" w:rsidRDefault="002A7111" w:rsidP="00AD02B1">
      <w:pPr>
        <w:pStyle w:val="ListParagraph"/>
        <w:spacing w:after="240" w:line="276" w:lineRule="auto"/>
        <w:rPr>
          <w:b/>
          <w:sz w:val="24"/>
          <w:szCs w:val="24"/>
        </w:rPr>
      </w:pPr>
      <w:r w:rsidRPr="00BE6A64">
        <w:rPr>
          <w:rFonts w:eastAsia="Arial"/>
          <w:b/>
          <w:iCs/>
          <w:sz w:val="24"/>
          <w:szCs w:val="24"/>
        </w:rPr>
        <w:t>3.1 Literature Search Outcomes</w:t>
      </w:r>
    </w:p>
    <w:p w14:paraId="63ACD81B" w14:textId="77777777" w:rsidR="002A7111" w:rsidRPr="00BE6A64" w:rsidRDefault="002A7111" w:rsidP="00AD02B1">
      <w:pPr>
        <w:spacing w:after="240" w:line="276" w:lineRule="auto"/>
        <w:jc w:val="both"/>
        <w:rPr>
          <w:sz w:val="24"/>
        </w:rPr>
      </w:pPr>
      <w:r w:rsidRPr="00BE6A64">
        <w:rPr>
          <w:color w:val="000000"/>
          <w:sz w:val="24"/>
        </w:rPr>
        <w:t>The combined database search yielded 904 records. After removal of 293 duplicates, 611 records underwent title and abstract screening. Of these, 537 were excluded at first-pass. Full-text assessment of 74 records confirmed eligibility for all included in the synthesis. No RCT was identified that used AMR burden (</w:t>
      </w:r>
      <w:proofErr w:type="spellStart"/>
      <w:r w:rsidRPr="00BE6A64">
        <w:rPr>
          <w:color w:val="000000"/>
          <w:sz w:val="24"/>
        </w:rPr>
        <w:t>resistome</w:t>
      </w:r>
      <w:proofErr w:type="spellEnd"/>
      <w:r w:rsidRPr="00BE6A64">
        <w:rPr>
          <w:color w:val="000000"/>
          <w:sz w:val="24"/>
        </w:rPr>
        <w:t xml:space="preserve"> diversity, ARG prevalence, or resistant pathogen incidence) as a primary endpoint. Two RCTs measured AMU reduction post-vacci</w:t>
      </w:r>
      <w:r w:rsidR="00593707" w:rsidRPr="00BE6A64">
        <w:rPr>
          <w:color w:val="000000"/>
          <w:sz w:val="24"/>
        </w:rPr>
        <w:t>nation as a secondary endpoint-</w:t>
      </w:r>
      <w:r w:rsidRPr="00BE6A64">
        <w:rPr>
          <w:color w:val="000000"/>
          <w:sz w:val="24"/>
        </w:rPr>
        <w:t xml:space="preserve"> one in swine (PCV2), one in dairy cattle (BRD complex). The remainder comprised cohort studies (n = 31), before-after observational studies (n = 24), systematic reviews of vaccine efficacy (n = 11), and institutional or governmental reports (n = 6).</w:t>
      </w:r>
    </w:p>
    <w:p w14:paraId="78EB74F2" w14:textId="77777777" w:rsidR="006510BD" w:rsidRPr="00BE6A64" w:rsidRDefault="002A7111" w:rsidP="00AD02B1">
      <w:pPr>
        <w:spacing w:after="240" w:line="276" w:lineRule="auto"/>
        <w:rPr>
          <w:rFonts w:eastAsia="Arial"/>
          <w:b/>
          <w:sz w:val="24"/>
        </w:rPr>
      </w:pPr>
      <w:r w:rsidRPr="00BE6A64">
        <w:rPr>
          <w:rFonts w:eastAsia="Arial"/>
          <w:b/>
          <w:sz w:val="24"/>
        </w:rPr>
        <w:t>3.2 Evidence Summary: Vaccination and AMU Reduction</w:t>
      </w:r>
    </w:p>
    <w:p w14:paraId="1F294649" w14:textId="61F6171F" w:rsidR="006510BD" w:rsidRDefault="002A7111" w:rsidP="006871A2">
      <w:pPr>
        <w:spacing w:after="240" w:line="276" w:lineRule="auto"/>
        <w:jc w:val="both"/>
        <w:rPr>
          <w:color w:val="000000"/>
        </w:rPr>
      </w:pPr>
      <w:r w:rsidRPr="00BE6A64">
        <w:rPr>
          <w:color w:val="000000"/>
        </w:rPr>
        <w:t>Table 2 summarizes the most well-documented case studies linking animal vaccination to reduced AMU or AMR outcomes. The evidence base is strongly skewed toward high-income countries and specific production sectors.</w:t>
      </w:r>
    </w:p>
    <w:p w14:paraId="38E1FBBF" w14:textId="77777777" w:rsidR="006871A2" w:rsidRPr="00BE6A64" w:rsidRDefault="006871A2" w:rsidP="006871A2">
      <w:pPr>
        <w:spacing w:after="240" w:line="276" w:lineRule="auto"/>
        <w:jc w:val="both"/>
      </w:pPr>
    </w:p>
    <w:p w14:paraId="0D7A0EDA" w14:textId="77777777" w:rsidR="006510BD" w:rsidRPr="00BE6A64" w:rsidRDefault="002A7111" w:rsidP="00AD02B1">
      <w:pPr>
        <w:spacing w:after="240" w:line="276" w:lineRule="auto"/>
        <w:jc w:val="center"/>
        <w:rPr>
          <w:rFonts w:eastAsia="Arial"/>
          <w:b/>
          <w:sz w:val="24"/>
          <w:szCs w:val="24"/>
        </w:rPr>
      </w:pPr>
      <w:r w:rsidRPr="00BE6A64">
        <w:rPr>
          <w:rFonts w:eastAsia="Arial"/>
          <w:b/>
          <w:sz w:val="24"/>
          <w:szCs w:val="24"/>
        </w:rPr>
        <w:t xml:space="preserve">Table 2. </w:t>
      </w:r>
      <w:r w:rsidRPr="00BE6A64">
        <w:rPr>
          <w:rFonts w:eastAsia="Arial"/>
          <w:sz w:val="24"/>
          <w:szCs w:val="24"/>
        </w:rPr>
        <w:t>Representative Evidence: Animal Vaccination and AMR/AMU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8"/>
        <w:gridCol w:w="1518"/>
        <w:gridCol w:w="1735"/>
        <w:gridCol w:w="2878"/>
        <w:gridCol w:w="1711"/>
      </w:tblGrid>
      <w:tr w:rsidR="002A7111" w:rsidRPr="00BE6A64" w14:paraId="077173AA" w14:textId="77777777" w:rsidTr="00826A37">
        <w:trPr>
          <w:tblHeader/>
        </w:trPr>
        <w:tc>
          <w:tcPr>
            <w:tcW w:w="1518"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E987ABE" w14:textId="77777777" w:rsidR="002A7111" w:rsidRPr="00BE6A64" w:rsidRDefault="002A7111" w:rsidP="00AD02B1">
            <w:pPr>
              <w:spacing w:after="240" w:line="276" w:lineRule="auto"/>
              <w:jc w:val="center"/>
            </w:pPr>
            <w:r w:rsidRPr="00BE6A64">
              <w:rPr>
                <w:rFonts w:eastAsia="Arial"/>
                <w:b/>
                <w:bCs/>
                <w:sz w:val="20"/>
                <w:szCs w:val="20"/>
              </w:rPr>
              <w:t>Disease / Sector</w:t>
            </w:r>
          </w:p>
        </w:tc>
        <w:tc>
          <w:tcPr>
            <w:tcW w:w="1518"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AA991AE" w14:textId="77777777" w:rsidR="002A7111" w:rsidRPr="00BE6A64" w:rsidRDefault="002A7111" w:rsidP="00AD02B1">
            <w:pPr>
              <w:spacing w:after="240" w:line="276" w:lineRule="auto"/>
              <w:jc w:val="center"/>
            </w:pPr>
            <w:r w:rsidRPr="00BE6A64">
              <w:rPr>
                <w:rFonts w:eastAsia="Arial"/>
                <w:b/>
                <w:bCs/>
                <w:sz w:val="20"/>
                <w:szCs w:val="20"/>
              </w:rPr>
              <w:t>Pathogen</w:t>
            </w:r>
          </w:p>
        </w:tc>
        <w:tc>
          <w:tcPr>
            <w:tcW w:w="173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646A511" w14:textId="77777777" w:rsidR="002A7111" w:rsidRPr="00BE6A64" w:rsidRDefault="002A7111" w:rsidP="00AD02B1">
            <w:pPr>
              <w:spacing w:after="240" w:line="276" w:lineRule="auto"/>
              <w:jc w:val="center"/>
            </w:pPr>
            <w:r w:rsidRPr="00BE6A64">
              <w:rPr>
                <w:rFonts w:eastAsia="Arial"/>
                <w:b/>
                <w:bCs/>
                <w:sz w:val="20"/>
                <w:szCs w:val="20"/>
              </w:rPr>
              <w:t>Vaccine Type</w:t>
            </w:r>
          </w:p>
        </w:tc>
        <w:tc>
          <w:tcPr>
            <w:tcW w:w="2878"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F374362" w14:textId="77777777" w:rsidR="002A7111" w:rsidRPr="00BE6A64" w:rsidRDefault="002A7111" w:rsidP="00AD02B1">
            <w:pPr>
              <w:spacing w:after="240" w:line="276" w:lineRule="auto"/>
              <w:jc w:val="center"/>
            </w:pPr>
            <w:r w:rsidRPr="00BE6A64">
              <w:rPr>
                <w:rFonts w:eastAsia="Arial"/>
                <w:b/>
                <w:bCs/>
                <w:sz w:val="20"/>
                <w:szCs w:val="20"/>
              </w:rPr>
              <w:t>AMR-Related Outcome</w:t>
            </w:r>
          </w:p>
        </w:tc>
        <w:tc>
          <w:tcPr>
            <w:tcW w:w="1711"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620E803" w14:textId="77777777" w:rsidR="002A7111" w:rsidRPr="00BE6A64" w:rsidRDefault="002A7111" w:rsidP="00AD02B1">
            <w:pPr>
              <w:spacing w:after="240" w:line="276" w:lineRule="auto"/>
              <w:jc w:val="center"/>
            </w:pPr>
            <w:r w:rsidRPr="00BE6A64">
              <w:rPr>
                <w:rFonts w:eastAsia="Arial"/>
                <w:b/>
                <w:bCs/>
                <w:sz w:val="20"/>
                <w:szCs w:val="20"/>
              </w:rPr>
              <w:t>Region / Reference</w:t>
            </w:r>
          </w:p>
        </w:tc>
      </w:tr>
      <w:tr w:rsidR="002A7111" w:rsidRPr="00BE6A64" w14:paraId="3E94AEE9"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EF98E" w14:textId="77777777" w:rsidR="002A7111" w:rsidRPr="00BE6A64" w:rsidRDefault="002A7111" w:rsidP="00AD02B1">
            <w:pPr>
              <w:spacing w:after="240" w:line="276" w:lineRule="auto"/>
            </w:pPr>
            <w:r w:rsidRPr="00BE6A64">
              <w:rPr>
                <w:sz w:val="20"/>
                <w:szCs w:val="20"/>
              </w:rPr>
              <w:t>Norwegian Salmon Aquaculture</w:t>
            </w:r>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88A4A" w14:textId="77777777" w:rsidR="002A7111" w:rsidRPr="00BE6A64" w:rsidRDefault="002A7111" w:rsidP="00AD02B1">
            <w:pPr>
              <w:spacing w:after="240" w:line="276" w:lineRule="auto"/>
            </w:pPr>
            <w:r w:rsidRPr="00BE6A64">
              <w:rPr>
                <w:sz w:val="20"/>
                <w:szCs w:val="20"/>
              </w:rPr>
              <w:t xml:space="preserve">Vibrio spp.; Aeromonas </w:t>
            </w:r>
            <w:proofErr w:type="spellStart"/>
            <w:r w:rsidRPr="00BE6A64">
              <w:rPr>
                <w:sz w:val="20"/>
                <w:szCs w:val="20"/>
              </w:rPr>
              <w:t>salmonicida</w:t>
            </w:r>
            <w:proofErr w:type="spellEnd"/>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8DFA38" w14:textId="77777777" w:rsidR="002A7111" w:rsidRPr="00BE6A64" w:rsidRDefault="002A7111" w:rsidP="00AD02B1">
            <w:pPr>
              <w:spacing w:after="240" w:line="276" w:lineRule="auto"/>
            </w:pPr>
            <w:r w:rsidRPr="00BE6A64">
              <w:rPr>
                <w:sz w:val="20"/>
                <w:szCs w:val="20"/>
              </w:rPr>
              <w:t>Multivalent oil-adjuvanted inactivated vaccines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C51F2B" w14:textId="77777777" w:rsidR="002A7111" w:rsidRPr="00BE6A64" w:rsidRDefault="002A7111" w:rsidP="00AD02B1">
            <w:pPr>
              <w:spacing w:after="240" w:line="276" w:lineRule="auto"/>
            </w:pPr>
            <w:r w:rsidRPr="00BE6A64">
              <w:rPr>
                <w:sz w:val="20"/>
                <w:szCs w:val="20"/>
              </w:rPr>
              <w:t xml:space="preserve">AMU reduced from 876 mg/kg (1987) to 0.43 </w:t>
            </w:r>
            <w:r w:rsidR="006947C0" w:rsidRPr="00BE6A64">
              <w:rPr>
                <w:sz w:val="20"/>
                <w:szCs w:val="20"/>
              </w:rPr>
              <w:t>mg/kg (2024): ~99% reduction (</w:t>
            </w:r>
            <w:proofErr w:type="spellStart"/>
            <w:r w:rsidR="00E466F5" w:rsidRPr="00BE6A64">
              <w:rPr>
                <w:sz w:val="20"/>
                <w:szCs w:val="20"/>
              </w:rPr>
              <w:t>Yugueros</w:t>
            </w:r>
            <w:proofErr w:type="spellEnd"/>
            <w:r w:rsidR="00E466F5" w:rsidRPr="00BE6A64">
              <w:rPr>
                <w:sz w:val="20"/>
                <w:szCs w:val="20"/>
              </w:rPr>
              <w:t>-Marcos &amp; Etienne, 2026</w:t>
            </w:r>
            <w:r w:rsidR="006947C0" w:rsidRPr="00BE6A64">
              <w:rPr>
                <w:sz w:val="20"/>
                <w:szCs w:val="20"/>
              </w:rPr>
              <w:t>)</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992E2" w14:textId="77777777" w:rsidR="002A7111" w:rsidRPr="00BE6A64" w:rsidRDefault="006947C0" w:rsidP="00AD02B1">
            <w:pPr>
              <w:spacing w:after="240" w:line="276" w:lineRule="auto"/>
            </w:pPr>
            <w:r w:rsidRPr="00BE6A64">
              <w:rPr>
                <w:sz w:val="20"/>
                <w:szCs w:val="20"/>
              </w:rPr>
              <w:t>Norway (</w:t>
            </w:r>
            <w:proofErr w:type="spellStart"/>
            <w:r w:rsidR="00E466F5" w:rsidRPr="00BE6A64">
              <w:rPr>
                <w:sz w:val="20"/>
                <w:szCs w:val="20"/>
              </w:rPr>
              <w:t>Yugueros</w:t>
            </w:r>
            <w:proofErr w:type="spellEnd"/>
            <w:r w:rsidR="00E466F5" w:rsidRPr="00BE6A64">
              <w:rPr>
                <w:sz w:val="20"/>
                <w:szCs w:val="20"/>
              </w:rPr>
              <w:t>-Marcos &amp; Etienne, 2026</w:t>
            </w:r>
            <w:r w:rsidRPr="00BE6A64">
              <w:rPr>
                <w:sz w:val="20"/>
                <w:szCs w:val="20"/>
              </w:rPr>
              <w:t>)</w:t>
            </w:r>
          </w:p>
        </w:tc>
      </w:tr>
      <w:tr w:rsidR="002A7111" w:rsidRPr="00BE6A64" w14:paraId="558C218C"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06ED12" w14:textId="77777777" w:rsidR="002A7111" w:rsidRPr="00BE6A64" w:rsidRDefault="002A7111" w:rsidP="00AD02B1">
            <w:pPr>
              <w:spacing w:after="240" w:line="276" w:lineRule="auto"/>
            </w:pPr>
            <w:r w:rsidRPr="00BE6A64">
              <w:rPr>
                <w:sz w:val="20"/>
                <w:szCs w:val="20"/>
              </w:rPr>
              <w:t>Porcine Circovirus Type 2 (PCV2)</w:t>
            </w:r>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1AFDE" w14:textId="77777777" w:rsidR="002A7111" w:rsidRPr="00BE6A64" w:rsidRDefault="002A7111" w:rsidP="00AD02B1">
            <w:pPr>
              <w:spacing w:after="240" w:line="276" w:lineRule="auto"/>
            </w:pPr>
            <w:r w:rsidRPr="00BE6A64">
              <w:rPr>
                <w:sz w:val="20"/>
                <w:szCs w:val="20"/>
              </w:rPr>
              <w:t>Porcine circovirus type 2</w:t>
            </w:r>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84B9CE" w14:textId="77777777" w:rsidR="002A7111" w:rsidRPr="00BE6A64" w:rsidRDefault="002A7111" w:rsidP="00AD02B1">
            <w:pPr>
              <w:spacing w:after="240" w:line="276" w:lineRule="auto"/>
            </w:pPr>
            <w:r w:rsidRPr="00BE6A64">
              <w:rPr>
                <w:sz w:val="20"/>
                <w:szCs w:val="20"/>
              </w:rPr>
              <w:t>PCV2 subunit / inactivated vaccines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D8EBBA" w14:textId="77777777" w:rsidR="002A7111" w:rsidRPr="00BE6A64" w:rsidRDefault="002A7111" w:rsidP="00AD02B1">
            <w:pPr>
              <w:spacing w:after="240" w:line="276" w:lineRule="auto"/>
            </w:pPr>
            <w:r w:rsidRPr="00BE6A64">
              <w:rPr>
                <w:sz w:val="20"/>
                <w:szCs w:val="20"/>
              </w:rPr>
              <w:t>Significant reduction in antibiotic consumption post-vaccination across 65 Au</w:t>
            </w:r>
            <w:r w:rsidR="006947C0" w:rsidRPr="00BE6A64">
              <w:rPr>
                <w:sz w:val="20"/>
                <w:szCs w:val="20"/>
              </w:rPr>
              <w:t xml:space="preserve">strian pig farms (2008–2011) (Raith </w:t>
            </w:r>
            <w:r w:rsidR="006947C0" w:rsidRPr="00BE6A64">
              <w:rPr>
                <w:i/>
                <w:sz w:val="20"/>
                <w:szCs w:val="20"/>
              </w:rPr>
              <w:t>et al</w:t>
            </w:r>
            <w:r w:rsidR="006947C0" w:rsidRPr="00BE6A64">
              <w:rPr>
                <w:sz w:val="20"/>
                <w:szCs w:val="20"/>
              </w:rPr>
              <w:t>., 2016)</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81AE2" w14:textId="77777777" w:rsidR="002A7111" w:rsidRPr="00BE6A64" w:rsidRDefault="006947C0" w:rsidP="00AD02B1">
            <w:pPr>
              <w:spacing w:after="240" w:line="276" w:lineRule="auto"/>
            </w:pPr>
            <w:r w:rsidRPr="00BE6A64">
              <w:rPr>
                <w:sz w:val="20"/>
                <w:szCs w:val="20"/>
              </w:rPr>
              <w:t xml:space="preserve">Austria / EU (Raith </w:t>
            </w:r>
            <w:r w:rsidRPr="00BE6A64">
              <w:rPr>
                <w:i/>
                <w:sz w:val="20"/>
                <w:szCs w:val="20"/>
              </w:rPr>
              <w:t>et al</w:t>
            </w:r>
            <w:r w:rsidRPr="00BE6A64">
              <w:rPr>
                <w:sz w:val="20"/>
                <w:szCs w:val="20"/>
              </w:rPr>
              <w:t>., 2016)</w:t>
            </w:r>
          </w:p>
        </w:tc>
      </w:tr>
      <w:tr w:rsidR="002A7111" w:rsidRPr="00BE6A64" w14:paraId="69042FAF"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EFE2B4" w14:textId="77777777" w:rsidR="002A7111" w:rsidRPr="00BE6A64" w:rsidRDefault="002A7111" w:rsidP="00AD02B1">
            <w:pPr>
              <w:spacing w:after="240" w:line="276" w:lineRule="auto"/>
            </w:pPr>
            <w:r w:rsidRPr="00BE6A64">
              <w:rPr>
                <w:sz w:val="20"/>
                <w:szCs w:val="20"/>
              </w:rPr>
              <w:lastRenderedPageBreak/>
              <w:t>Bovine Brucellosis</w:t>
            </w:r>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D91458" w14:textId="77777777" w:rsidR="002A7111" w:rsidRPr="00BE6A64" w:rsidRDefault="002A7111" w:rsidP="00AD02B1">
            <w:pPr>
              <w:spacing w:after="240" w:line="276" w:lineRule="auto"/>
            </w:pPr>
            <w:r w:rsidRPr="00BE6A64">
              <w:rPr>
                <w:sz w:val="20"/>
                <w:szCs w:val="20"/>
              </w:rPr>
              <w:t>Brucella abortus</w:t>
            </w:r>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EE3EAB" w14:textId="77777777" w:rsidR="002A7111" w:rsidRPr="00BE6A64" w:rsidRDefault="002A7111" w:rsidP="00AD02B1">
            <w:pPr>
              <w:spacing w:after="240" w:line="276" w:lineRule="auto"/>
            </w:pPr>
            <w:r w:rsidRPr="00BE6A64">
              <w:rPr>
                <w:sz w:val="20"/>
                <w:szCs w:val="20"/>
              </w:rPr>
              <w:t>RB51 / S19 live attenuated vaccines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E729FF" w14:textId="77777777" w:rsidR="002A7111" w:rsidRPr="00BE6A64" w:rsidRDefault="002A7111" w:rsidP="00AD02B1">
            <w:pPr>
              <w:spacing w:after="240" w:line="276" w:lineRule="auto"/>
            </w:pPr>
            <w:r w:rsidRPr="00BE6A64">
              <w:rPr>
                <w:sz w:val="20"/>
                <w:szCs w:val="20"/>
              </w:rPr>
              <w:t xml:space="preserve">Reduced antibiotic use for brucellosis treatment; reduced zoonotic spillover to humans </w:t>
            </w:r>
            <w:r w:rsidR="006947C0" w:rsidRPr="00BE6A64">
              <w:rPr>
                <w:sz w:val="20"/>
                <w:szCs w:val="20"/>
              </w:rPr>
              <w:t xml:space="preserve">(Roth </w:t>
            </w:r>
            <w:r w:rsidR="006947C0" w:rsidRPr="00BE6A64">
              <w:rPr>
                <w:i/>
                <w:sz w:val="20"/>
                <w:szCs w:val="20"/>
              </w:rPr>
              <w:t>et al</w:t>
            </w:r>
            <w:r w:rsidR="006947C0" w:rsidRPr="00BE6A64">
              <w:rPr>
                <w:sz w:val="20"/>
                <w:szCs w:val="20"/>
              </w:rPr>
              <w:t>., 2003)</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2E97C" w14:textId="77777777" w:rsidR="002A7111" w:rsidRPr="00BE6A64" w:rsidRDefault="002A7111" w:rsidP="00AD02B1">
            <w:pPr>
              <w:spacing w:after="240" w:line="276" w:lineRule="auto"/>
            </w:pPr>
            <w:r w:rsidRPr="00BE6A64">
              <w:rPr>
                <w:sz w:val="20"/>
                <w:szCs w:val="20"/>
              </w:rPr>
              <w:t xml:space="preserve">USA, EU, Global </w:t>
            </w:r>
            <w:r w:rsidR="006947C0" w:rsidRPr="00BE6A64">
              <w:rPr>
                <w:sz w:val="20"/>
                <w:szCs w:val="20"/>
              </w:rPr>
              <w:t xml:space="preserve">(Roth </w:t>
            </w:r>
            <w:r w:rsidR="006947C0" w:rsidRPr="00BE6A64">
              <w:rPr>
                <w:i/>
                <w:sz w:val="20"/>
                <w:szCs w:val="20"/>
              </w:rPr>
              <w:t>et al</w:t>
            </w:r>
            <w:r w:rsidR="006947C0" w:rsidRPr="00BE6A64">
              <w:rPr>
                <w:sz w:val="20"/>
                <w:szCs w:val="20"/>
              </w:rPr>
              <w:t>., 2003)</w:t>
            </w:r>
          </w:p>
        </w:tc>
      </w:tr>
      <w:tr w:rsidR="002A7111" w:rsidRPr="00BE6A64" w14:paraId="662F6887"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62D4E" w14:textId="77777777" w:rsidR="002A7111" w:rsidRPr="00BE6A64" w:rsidRDefault="002A7111" w:rsidP="00AD02B1">
            <w:pPr>
              <w:spacing w:after="240" w:line="276" w:lineRule="auto"/>
            </w:pPr>
            <w:r w:rsidRPr="00BE6A64">
              <w:rPr>
                <w:sz w:val="20"/>
                <w:szCs w:val="20"/>
              </w:rPr>
              <w:t>Avian Influenza (H5N1/H5N8)</w:t>
            </w:r>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24F648" w14:textId="77777777" w:rsidR="002A7111" w:rsidRPr="00BE6A64" w:rsidRDefault="002A7111" w:rsidP="00AD02B1">
            <w:pPr>
              <w:spacing w:after="240" w:line="276" w:lineRule="auto"/>
            </w:pPr>
            <w:r w:rsidRPr="00BE6A64">
              <w:rPr>
                <w:sz w:val="20"/>
                <w:szCs w:val="20"/>
              </w:rPr>
              <w:t>Highly Pathogenic Avian Influenza Virus</w:t>
            </w:r>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9060B" w14:textId="77777777" w:rsidR="002A7111" w:rsidRPr="00BE6A64" w:rsidRDefault="002A7111" w:rsidP="00AD02B1">
            <w:pPr>
              <w:spacing w:after="240" w:line="276" w:lineRule="auto"/>
            </w:pPr>
            <w:r w:rsidRPr="00BE6A64">
              <w:rPr>
                <w:sz w:val="20"/>
                <w:szCs w:val="20"/>
              </w:rPr>
              <w:t>Inactivated / recombinant DIVA vaccines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99E53" w14:textId="77777777" w:rsidR="002A7111" w:rsidRPr="00BE6A64" w:rsidRDefault="002A7111" w:rsidP="00AD02B1">
            <w:pPr>
              <w:spacing w:after="240" w:line="276" w:lineRule="auto"/>
            </w:pPr>
            <w:r w:rsidRPr="00BE6A64">
              <w:rPr>
                <w:sz w:val="20"/>
                <w:szCs w:val="20"/>
              </w:rPr>
              <w:t>Reduced flock mortality; indirect reduction of prophylacti</w:t>
            </w:r>
            <w:r w:rsidR="005A550C" w:rsidRPr="00BE6A64">
              <w:rPr>
                <w:sz w:val="20"/>
                <w:szCs w:val="20"/>
              </w:rPr>
              <w:t xml:space="preserve">c AMU in co-infected flocks (Tseng </w:t>
            </w:r>
            <w:r w:rsidR="005A550C" w:rsidRPr="00BE6A64">
              <w:rPr>
                <w:i/>
                <w:sz w:val="20"/>
                <w:szCs w:val="20"/>
              </w:rPr>
              <w:t>et al</w:t>
            </w:r>
            <w:r w:rsidR="005A550C" w:rsidRPr="00BE6A64">
              <w:rPr>
                <w:sz w:val="20"/>
                <w:szCs w:val="20"/>
              </w:rPr>
              <w:t>., 2024)</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7BB72F" w14:textId="77777777" w:rsidR="002A7111" w:rsidRPr="00BE6A64" w:rsidRDefault="005A550C" w:rsidP="00AD02B1">
            <w:pPr>
              <w:spacing w:after="240" w:line="276" w:lineRule="auto"/>
            </w:pPr>
            <w:r w:rsidRPr="00BE6A64">
              <w:rPr>
                <w:sz w:val="20"/>
                <w:szCs w:val="20"/>
              </w:rPr>
              <w:t>Asia, Africa, EU ((Tseng et al., 2024)</w:t>
            </w:r>
          </w:p>
        </w:tc>
      </w:tr>
      <w:tr w:rsidR="002A7111" w:rsidRPr="00BE6A64" w14:paraId="3B45D7EF"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C9F6CF" w14:textId="77777777" w:rsidR="002A7111" w:rsidRPr="00BE6A64" w:rsidRDefault="002A7111" w:rsidP="00AD02B1">
            <w:pPr>
              <w:spacing w:after="240" w:line="276" w:lineRule="auto"/>
            </w:pPr>
            <w:r w:rsidRPr="00BE6A64">
              <w:rPr>
                <w:sz w:val="20"/>
                <w:szCs w:val="20"/>
              </w:rPr>
              <w:t xml:space="preserve">Swine Mycoplasma </w:t>
            </w:r>
            <w:proofErr w:type="spellStart"/>
            <w:r w:rsidRPr="00BE6A64">
              <w:rPr>
                <w:sz w:val="20"/>
                <w:szCs w:val="20"/>
              </w:rPr>
              <w:t>hyopneumoniae</w:t>
            </w:r>
            <w:proofErr w:type="spellEnd"/>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E2F07" w14:textId="77777777" w:rsidR="002A7111" w:rsidRPr="00BE6A64" w:rsidRDefault="002A7111" w:rsidP="00AD02B1">
            <w:pPr>
              <w:spacing w:after="240" w:line="276" w:lineRule="auto"/>
            </w:pPr>
            <w:r w:rsidRPr="00BE6A64">
              <w:rPr>
                <w:sz w:val="20"/>
                <w:szCs w:val="20"/>
              </w:rPr>
              <w:t xml:space="preserve">Mycoplasma </w:t>
            </w:r>
            <w:proofErr w:type="spellStart"/>
            <w:r w:rsidRPr="00BE6A64">
              <w:rPr>
                <w:sz w:val="20"/>
                <w:szCs w:val="20"/>
              </w:rPr>
              <w:t>hyopneumoniae</w:t>
            </w:r>
            <w:proofErr w:type="spellEnd"/>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EF27D" w14:textId="77777777" w:rsidR="002A7111" w:rsidRPr="00BE6A64" w:rsidRDefault="002A7111" w:rsidP="00AD02B1">
            <w:pPr>
              <w:spacing w:after="240" w:line="276" w:lineRule="auto"/>
            </w:pPr>
            <w:r w:rsidRPr="00BE6A64">
              <w:rPr>
                <w:sz w:val="20"/>
                <w:szCs w:val="20"/>
              </w:rPr>
              <w:t>Bacterin vaccines (multiple platforms)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9822B" w14:textId="77777777" w:rsidR="002A7111" w:rsidRPr="00BE6A64" w:rsidRDefault="002A7111" w:rsidP="00AD02B1">
            <w:pPr>
              <w:spacing w:after="240" w:line="276" w:lineRule="auto"/>
            </w:pPr>
            <w:r w:rsidRPr="00BE6A64">
              <w:rPr>
                <w:sz w:val="20"/>
                <w:szCs w:val="20"/>
              </w:rPr>
              <w:t xml:space="preserve">Reduced respiratory antibiotic treatments; S. suis &amp; E. coli vaccines identified as critical unmet needs </w:t>
            </w:r>
            <w:r w:rsidR="00626277" w:rsidRPr="00BE6A64">
              <w:rPr>
                <w:sz w:val="20"/>
                <w:szCs w:val="20"/>
              </w:rPr>
              <w:t>(</w:t>
            </w:r>
            <w:r w:rsidR="00690EA7" w:rsidRPr="00BE6A64">
              <w:rPr>
                <w:sz w:val="20"/>
              </w:rPr>
              <w:t xml:space="preserve">Zhang </w:t>
            </w:r>
            <w:r w:rsidR="00690EA7" w:rsidRPr="00BE6A64">
              <w:rPr>
                <w:i/>
                <w:sz w:val="20"/>
              </w:rPr>
              <w:t>et al</w:t>
            </w:r>
            <w:r w:rsidR="00690EA7" w:rsidRPr="00BE6A64">
              <w:rPr>
                <w:sz w:val="20"/>
              </w:rPr>
              <w:t>., 2025</w:t>
            </w:r>
            <w:r w:rsidR="00626277" w:rsidRPr="00BE6A64">
              <w:rPr>
                <w:sz w:val="18"/>
                <w:szCs w:val="20"/>
              </w:rPr>
              <w:t>)</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A3A6E0" w14:textId="77777777" w:rsidR="002A7111" w:rsidRPr="00BE6A64" w:rsidRDefault="004B14B1" w:rsidP="00AD02B1">
            <w:pPr>
              <w:spacing w:after="240" w:line="276" w:lineRule="auto"/>
            </w:pPr>
            <w:r w:rsidRPr="00BE6A64">
              <w:rPr>
                <w:sz w:val="20"/>
                <w:szCs w:val="20"/>
              </w:rPr>
              <w:t>Global (</w:t>
            </w:r>
            <w:r w:rsidR="00690EA7" w:rsidRPr="00BE6A64">
              <w:rPr>
                <w:sz w:val="20"/>
              </w:rPr>
              <w:t xml:space="preserve">Zhang </w:t>
            </w:r>
            <w:r w:rsidR="00690EA7" w:rsidRPr="00BE6A64">
              <w:rPr>
                <w:i/>
                <w:sz w:val="20"/>
              </w:rPr>
              <w:t>et al</w:t>
            </w:r>
            <w:r w:rsidR="00690EA7" w:rsidRPr="00BE6A64">
              <w:rPr>
                <w:sz w:val="20"/>
              </w:rPr>
              <w:t>., 2025</w:t>
            </w:r>
            <w:r w:rsidRPr="00BE6A64">
              <w:rPr>
                <w:sz w:val="18"/>
                <w:szCs w:val="20"/>
              </w:rPr>
              <w:t>)</w:t>
            </w:r>
          </w:p>
        </w:tc>
      </w:tr>
      <w:tr w:rsidR="002A7111" w:rsidRPr="00BE6A64" w14:paraId="310896F5" w14:textId="77777777" w:rsidTr="00826A37">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79CFA2" w14:textId="77777777" w:rsidR="002A7111" w:rsidRPr="00BE6A64" w:rsidRDefault="002A7111" w:rsidP="00AD02B1">
            <w:pPr>
              <w:spacing w:after="240" w:line="276" w:lineRule="auto"/>
            </w:pPr>
            <w:r w:rsidRPr="00BE6A64">
              <w:rPr>
                <w:sz w:val="20"/>
                <w:szCs w:val="20"/>
              </w:rPr>
              <w:t>Bovine Respiratory Disease (BRD)</w:t>
            </w:r>
          </w:p>
        </w:tc>
        <w:tc>
          <w:tcPr>
            <w:tcW w:w="151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1F2B3B" w14:textId="77777777" w:rsidR="002A7111" w:rsidRPr="00BE6A64" w:rsidRDefault="002A7111" w:rsidP="00AD02B1">
            <w:pPr>
              <w:spacing w:after="240" w:line="276" w:lineRule="auto"/>
            </w:pPr>
            <w:proofErr w:type="spellStart"/>
            <w:r w:rsidRPr="00BE6A64">
              <w:rPr>
                <w:sz w:val="20"/>
                <w:szCs w:val="20"/>
              </w:rPr>
              <w:t>Mannheimia</w:t>
            </w:r>
            <w:proofErr w:type="spellEnd"/>
            <w:r w:rsidRPr="00BE6A64">
              <w:rPr>
                <w:sz w:val="20"/>
                <w:szCs w:val="20"/>
              </w:rPr>
              <w:t xml:space="preserve"> </w:t>
            </w:r>
            <w:proofErr w:type="spellStart"/>
            <w:r w:rsidRPr="00BE6A64">
              <w:rPr>
                <w:sz w:val="20"/>
                <w:szCs w:val="20"/>
              </w:rPr>
              <w:t>haemolytica</w:t>
            </w:r>
            <w:proofErr w:type="spellEnd"/>
            <w:r w:rsidRPr="00BE6A64">
              <w:rPr>
                <w:sz w:val="20"/>
                <w:szCs w:val="20"/>
              </w:rPr>
              <w:t>, BRSV, IBR, PI3</w:t>
            </w:r>
          </w:p>
        </w:tc>
        <w:tc>
          <w:tcPr>
            <w:tcW w:w="17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CA44CE" w14:textId="77777777" w:rsidR="002A7111" w:rsidRPr="00BE6A64" w:rsidRDefault="002A7111" w:rsidP="00AD02B1">
            <w:pPr>
              <w:spacing w:after="240" w:line="276" w:lineRule="auto"/>
            </w:pPr>
            <w:r w:rsidRPr="00BE6A64">
              <w:rPr>
                <w:sz w:val="20"/>
                <w:szCs w:val="20"/>
              </w:rPr>
              <w:t>Combination viral + bacterial vaccines</w:t>
            </w:r>
          </w:p>
        </w:tc>
        <w:tc>
          <w:tcPr>
            <w:tcW w:w="287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BE9E5B" w14:textId="77777777" w:rsidR="002A7111" w:rsidRPr="00BE6A64" w:rsidRDefault="002A7111" w:rsidP="00AD02B1">
            <w:pPr>
              <w:spacing w:after="240" w:line="276" w:lineRule="auto"/>
            </w:pPr>
            <w:r w:rsidRPr="00BE6A64">
              <w:rPr>
                <w:sz w:val="20"/>
                <w:szCs w:val="20"/>
              </w:rPr>
              <w:t>Reduction in metaphylactic antibiotic use</w:t>
            </w:r>
            <w:r w:rsidR="00000D2B" w:rsidRPr="00BE6A64">
              <w:rPr>
                <w:sz w:val="20"/>
                <w:szCs w:val="20"/>
              </w:rPr>
              <w:t xml:space="preserve">; limited RCT-level evidence (Laxminarayan </w:t>
            </w:r>
            <w:r w:rsidR="00000D2B" w:rsidRPr="00BE6A64">
              <w:rPr>
                <w:i/>
                <w:sz w:val="20"/>
                <w:szCs w:val="20"/>
              </w:rPr>
              <w:t>et al</w:t>
            </w:r>
            <w:r w:rsidR="00000D2B" w:rsidRPr="00BE6A64">
              <w:rPr>
                <w:sz w:val="20"/>
                <w:szCs w:val="20"/>
              </w:rPr>
              <w:t>., 2024)</w:t>
            </w:r>
          </w:p>
        </w:tc>
        <w:tc>
          <w:tcPr>
            <w:tcW w:w="17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CDC4ED" w14:textId="77777777" w:rsidR="002A7111" w:rsidRPr="00BE6A64" w:rsidRDefault="00000D2B" w:rsidP="00AD02B1">
            <w:pPr>
              <w:spacing w:after="240" w:line="276" w:lineRule="auto"/>
            </w:pPr>
            <w:r w:rsidRPr="00BE6A64">
              <w:rPr>
                <w:sz w:val="20"/>
                <w:szCs w:val="20"/>
              </w:rPr>
              <w:t xml:space="preserve">North America, EU (Laxminarayan </w:t>
            </w:r>
            <w:r w:rsidRPr="00BE6A64">
              <w:rPr>
                <w:i/>
                <w:sz w:val="20"/>
                <w:szCs w:val="20"/>
              </w:rPr>
              <w:t>et al</w:t>
            </w:r>
            <w:r w:rsidRPr="00BE6A64">
              <w:rPr>
                <w:sz w:val="20"/>
                <w:szCs w:val="20"/>
              </w:rPr>
              <w:t>., 2024)</w:t>
            </w:r>
          </w:p>
        </w:tc>
      </w:tr>
    </w:tbl>
    <w:p w14:paraId="31940D32" w14:textId="77777777" w:rsidR="002A7111" w:rsidRPr="00BE6A64" w:rsidRDefault="002A7111" w:rsidP="00AD02B1">
      <w:pPr>
        <w:spacing w:after="240" w:line="276" w:lineRule="auto"/>
      </w:pPr>
    </w:p>
    <w:p w14:paraId="17CB08FD" w14:textId="77777777" w:rsidR="00600DFE" w:rsidRPr="00BE6A64" w:rsidRDefault="002A7111" w:rsidP="00AD02B1">
      <w:pPr>
        <w:spacing w:after="240" w:line="276" w:lineRule="auto"/>
        <w:rPr>
          <w:b/>
          <w:sz w:val="24"/>
        </w:rPr>
      </w:pPr>
      <w:r w:rsidRPr="00BE6A64">
        <w:rPr>
          <w:rFonts w:eastAsia="Arial"/>
          <w:b/>
          <w:sz w:val="24"/>
        </w:rPr>
        <w:t>3.2.1 Aquaculture: The Norwegian Model</w:t>
      </w:r>
    </w:p>
    <w:p w14:paraId="632492DF" w14:textId="77777777" w:rsidR="00600DFE" w:rsidRPr="00BE6A64" w:rsidRDefault="002A7111" w:rsidP="00AD02B1">
      <w:pPr>
        <w:spacing w:after="240" w:line="276" w:lineRule="auto"/>
        <w:jc w:val="both"/>
        <w:rPr>
          <w:color w:val="000000"/>
        </w:rPr>
      </w:pPr>
      <w:r w:rsidRPr="00BE6A64">
        <w:rPr>
          <w:color w:val="000000"/>
        </w:rPr>
        <w:t xml:space="preserve">The most compelling evidence for vaccine-mediated AMU reduction comes from </w:t>
      </w:r>
      <w:r w:rsidR="00B22034" w:rsidRPr="00BE6A64">
        <w:rPr>
          <w:color w:val="000000"/>
        </w:rPr>
        <w:t>Norwegian salmon aquaculture (</w:t>
      </w:r>
      <w:proofErr w:type="spellStart"/>
      <w:r w:rsidR="0073634C" w:rsidRPr="00BE6A64">
        <w:rPr>
          <w:color w:val="000000"/>
        </w:rPr>
        <w:t>Yugueros</w:t>
      </w:r>
      <w:proofErr w:type="spellEnd"/>
      <w:r w:rsidR="0073634C" w:rsidRPr="00BE6A64">
        <w:rPr>
          <w:color w:val="000000"/>
        </w:rPr>
        <w:t>-Marcos &amp; Etienne, 2026</w:t>
      </w:r>
      <w:r w:rsidR="00B22034" w:rsidRPr="00BE6A64">
        <w:rPr>
          <w:color w:val="000000"/>
        </w:rPr>
        <w:t>)</w:t>
      </w:r>
      <w:r w:rsidRPr="00BE6A64">
        <w:rPr>
          <w:color w:val="000000"/>
        </w:rPr>
        <w:t>. Following a government-mandated ban on antimicrobial growth promoters in 1995 and concurrent investment in multivalent inactivated vaccines against furunculosis (</w:t>
      </w:r>
      <w:r w:rsidRPr="00BE6A64">
        <w:rPr>
          <w:i/>
          <w:iCs/>
          <w:color w:val="000000"/>
        </w:rPr>
        <w:t xml:space="preserve">Aeromonas </w:t>
      </w:r>
      <w:proofErr w:type="spellStart"/>
      <w:r w:rsidRPr="00BE6A64">
        <w:rPr>
          <w:i/>
          <w:iCs/>
          <w:color w:val="000000"/>
        </w:rPr>
        <w:t>salmonicida</w:t>
      </w:r>
      <w:proofErr w:type="spellEnd"/>
      <w:r w:rsidRPr="00BE6A64">
        <w:rPr>
          <w:color w:val="000000"/>
        </w:rPr>
        <w:t>) and vibriosis (</w:t>
      </w:r>
      <w:r w:rsidRPr="00BE6A64">
        <w:rPr>
          <w:i/>
          <w:iCs/>
          <w:color w:val="000000"/>
        </w:rPr>
        <w:t xml:space="preserve">Vibrio </w:t>
      </w:r>
      <w:proofErr w:type="spellStart"/>
      <w:r w:rsidRPr="00BE6A64">
        <w:rPr>
          <w:i/>
          <w:iCs/>
          <w:color w:val="000000"/>
        </w:rPr>
        <w:t>anguillarum</w:t>
      </w:r>
      <w:proofErr w:type="spellEnd"/>
      <w:r w:rsidRPr="00BE6A64">
        <w:rPr>
          <w:color w:val="000000"/>
        </w:rPr>
        <w:t xml:space="preserve">, </w:t>
      </w:r>
      <w:r w:rsidRPr="00BE6A64">
        <w:rPr>
          <w:i/>
          <w:iCs/>
          <w:color w:val="000000"/>
        </w:rPr>
        <w:t xml:space="preserve">V. </w:t>
      </w:r>
      <w:proofErr w:type="spellStart"/>
      <w:r w:rsidRPr="00BE6A64">
        <w:rPr>
          <w:i/>
          <w:iCs/>
          <w:color w:val="000000"/>
        </w:rPr>
        <w:t>salmonicida</w:t>
      </w:r>
      <w:proofErr w:type="spellEnd"/>
      <w:r w:rsidRPr="00BE6A64">
        <w:rPr>
          <w:color w:val="000000"/>
        </w:rPr>
        <w:t>), AMU declined from approximately 876 mg/kg biomass</w:t>
      </w:r>
      <w:r w:rsidR="00593707" w:rsidRPr="00BE6A64">
        <w:rPr>
          <w:color w:val="000000"/>
        </w:rPr>
        <w:t xml:space="preserve"> in 1987 to 0.43 mg/kg by 2024-</w:t>
      </w:r>
      <w:r w:rsidRPr="00BE6A64">
        <w:rPr>
          <w:color w:val="000000"/>
        </w:rPr>
        <w:t xml:space="preserve"> a 99% reduction. Vaccination now constitutes an estimated 15% of smolt production costs, demonstrating sustained economic viability over three decades. This remains the most quantitatively robust demonstration in the global literature of vaccines as AMR-mitigation tools in animal production </w:t>
      </w:r>
      <w:r w:rsidR="00B22034" w:rsidRPr="00BE6A64">
        <w:rPr>
          <w:color w:val="000000"/>
        </w:rPr>
        <w:t>(</w:t>
      </w:r>
      <w:proofErr w:type="spellStart"/>
      <w:r w:rsidR="0073634C" w:rsidRPr="00BE6A64">
        <w:rPr>
          <w:color w:val="000000"/>
        </w:rPr>
        <w:t>Yugueros</w:t>
      </w:r>
      <w:proofErr w:type="spellEnd"/>
      <w:r w:rsidR="0073634C" w:rsidRPr="00BE6A64">
        <w:rPr>
          <w:color w:val="000000"/>
        </w:rPr>
        <w:t>-Marcos &amp; Etienne, 2026</w:t>
      </w:r>
      <w:r w:rsidR="00B22034" w:rsidRPr="00BE6A64">
        <w:rPr>
          <w:color w:val="000000"/>
        </w:rPr>
        <w:t>).</w:t>
      </w:r>
    </w:p>
    <w:p w14:paraId="0D23615D" w14:textId="77777777" w:rsidR="00600DFE" w:rsidRPr="00BE6A64" w:rsidRDefault="002A7111" w:rsidP="00AD02B1">
      <w:pPr>
        <w:spacing w:after="240" w:line="276" w:lineRule="auto"/>
        <w:rPr>
          <w:rFonts w:eastAsia="Arial"/>
          <w:b/>
          <w:sz w:val="24"/>
        </w:rPr>
      </w:pPr>
      <w:r w:rsidRPr="00BE6A64">
        <w:rPr>
          <w:rFonts w:eastAsia="Arial"/>
          <w:b/>
          <w:sz w:val="24"/>
        </w:rPr>
        <w:t>3.2.2 Swine: PCV2 and Unmet Vaccine Needs</w:t>
      </w:r>
    </w:p>
    <w:p w14:paraId="215AD2ED" w14:textId="77777777" w:rsidR="002A7111" w:rsidRPr="00BE6A64" w:rsidRDefault="002A7111" w:rsidP="00AD02B1">
      <w:pPr>
        <w:spacing w:after="240" w:line="276" w:lineRule="auto"/>
        <w:jc w:val="both"/>
      </w:pPr>
      <w:r w:rsidRPr="00BE6A64">
        <w:rPr>
          <w:color w:val="000000"/>
        </w:rPr>
        <w:t>A retrospective cohort study across 65 Au</w:t>
      </w:r>
      <w:r w:rsidR="009A395F" w:rsidRPr="00BE6A64">
        <w:rPr>
          <w:color w:val="000000"/>
        </w:rPr>
        <w:t xml:space="preserve">strian pig farms (Raith </w:t>
      </w:r>
      <w:r w:rsidR="009A395F" w:rsidRPr="00BE6A64">
        <w:rPr>
          <w:i/>
          <w:color w:val="000000"/>
        </w:rPr>
        <w:t>et al</w:t>
      </w:r>
      <w:r w:rsidR="009A395F" w:rsidRPr="00BE6A64">
        <w:rPr>
          <w:color w:val="000000"/>
        </w:rPr>
        <w:t>., 2016</w:t>
      </w:r>
      <w:r w:rsidRPr="00BE6A64">
        <w:rPr>
          <w:color w:val="000000"/>
        </w:rPr>
        <w:t xml:space="preserve">) documented a significant reduction in antibiotic consumption following large-scale PCV2 vaccination programs initiated in 2008 </w:t>
      </w:r>
      <w:r w:rsidR="00293C0A" w:rsidRPr="00BE6A64">
        <w:rPr>
          <w:color w:val="000000"/>
        </w:rPr>
        <w:t xml:space="preserve">(Raith </w:t>
      </w:r>
      <w:r w:rsidR="00293C0A" w:rsidRPr="00BE6A64">
        <w:rPr>
          <w:i/>
          <w:color w:val="000000"/>
        </w:rPr>
        <w:t>et al</w:t>
      </w:r>
      <w:r w:rsidR="00293C0A" w:rsidRPr="00BE6A64">
        <w:rPr>
          <w:color w:val="000000"/>
        </w:rPr>
        <w:t xml:space="preserve">., 2016). </w:t>
      </w:r>
      <w:r w:rsidRPr="00BE6A64">
        <w:rPr>
          <w:color w:val="000000"/>
        </w:rPr>
        <w:t>A 2025 survey of US s</w:t>
      </w:r>
      <w:r w:rsidR="00293C0A" w:rsidRPr="00BE6A64">
        <w:rPr>
          <w:color w:val="000000"/>
        </w:rPr>
        <w:t>wine veterinarians (</w:t>
      </w:r>
      <w:r w:rsidR="00690EA7" w:rsidRPr="00BE6A64">
        <w:t xml:space="preserve">Zhang </w:t>
      </w:r>
      <w:r w:rsidR="00690EA7" w:rsidRPr="00BE6A64">
        <w:rPr>
          <w:i/>
        </w:rPr>
        <w:t>et al</w:t>
      </w:r>
      <w:r w:rsidR="00690EA7" w:rsidRPr="00BE6A64">
        <w:t>., 2025</w:t>
      </w:r>
      <w:r w:rsidRPr="00BE6A64">
        <w:rPr>
          <w:color w:val="000000"/>
        </w:rPr>
        <w:t xml:space="preserve">) identified </w:t>
      </w:r>
      <w:r w:rsidRPr="00BE6A64">
        <w:rPr>
          <w:i/>
          <w:iCs/>
          <w:color w:val="000000"/>
        </w:rPr>
        <w:t>Streptococcus suis</w:t>
      </w:r>
      <w:r w:rsidRPr="00BE6A64">
        <w:rPr>
          <w:color w:val="000000"/>
        </w:rPr>
        <w:t xml:space="preserve">, </w:t>
      </w:r>
      <w:r w:rsidRPr="00BE6A64">
        <w:rPr>
          <w:i/>
          <w:iCs/>
          <w:color w:val="000000"/>
        </w:rPr>
        <w:t>Escherichia coli</w:t>
      </w:r>
      <w:r w:rsidRPr="00BE6A64">
        <w:rPr>
          <w:color w:val="000000"/>
        </w:rPr>
        <w:t xml:space="preserve">, </w:t>
      </w:r>
      <w:r w:rsidRPr="00BE6A64">
        <w:rPr>
          <w:i/>
          <w:iCs/>
          <w:color w:val="000000"/>
        </w:rPr>
        <w:t xml:space="preserve">Mycoplasma </w:t>
      </w:r>
      <w:proofErr w:type="spellStart"/>
      <w:r w:rsidRPr="00BE6A64">
        <w:rPr>
          <w:i/>
          <w:iCs/>
          <w:color w:val="000000"/>
        </w:rPr>
        <w:t>hyopneumoniae</w:t>
      </w:r>
      <w:proofErr w:type="spellEnd"/>
      <w:r w:rsidRPr="00BE6A64">
        <w:rPr>
          <w:color w:val="000000"/>
        </w:rPr>
        <w:t xml:space="preserve">, and </w:t>
      </w:r>
      <w:proofErr w:type="spellStart"/>
      <w:r w:rsidRPr="00BE6A64">
        <w:rPr>
          <w:i/>
          <w:iCs/>
          <w:color w:val="000000"/>
        </w:rPr>
        <w:t>Glaesserella</w:t>
      </w:r>
      <w:proofErr w:type="spellEnd"/>
      <w:r w:rsidRPr="00BE6A64">
        <w:rPr>
          <w:i/>
          <w:iCs/>
          <w:color w:val="000000"/>
        </w:rPr>
        <w:t xml:space="preserve"> </w:t>
      </w:r>
      <w:proofErr w:type="spellStart"/>
      <w:r w:rsidRPr="00BE6A64">
        <w:rPr>
          <w:i/>
          <w:iCs/>
          <w:color w:val="000000"/>
        </w:rPr>
        <w:t>parasuis</w:t>
      </w:r>
      <w:proofErr w:type="spellEnd"/>
      <w:r w:rsidRPr="00BE6A64">
        <w:rPr>
          <w:color w:val="000000"/>
        </w:rPr>
        <w:t xml:space="preserve"> as the highest-priority </w:t>
      </w:r>
      <w:r w:rsidRPr="00BE6A64">
        <w:rPr>
          <w:color w:val="000000"/>
        </w:rPr>
        <w:lastRenderedPageBreak/>
        <w:t>pathogens lacking efficacious commercial vaccines, with veterinarians ex</w:t>
      </w:r>
      <w:r w:rsidR="00E970C8" w:rsidRPr="00BE6A64">
        <w:rPr>
          <w:color w:val="000000"/>
        </w:rPr>
        <w:t>pressing willingness to pay 1.8-</w:t>
      </w:r>
      <w:r w:rsidRPr="00BE6A64">
        <w:rPr>
          <w:color w:val="000000"/>
        </w:rPr>
        <w:t xml:space="preserve">1.9 times current prices for improved vaccines </w:t>
      </w:r>
      <w:r w:rsidR="00293C0A" w:rsidRPr="00BE6A64">
        <w:rPr>
          <w:color w:val="000000"/>
        </w:rPr>
        <w:t>(</w:t>
      </w:r>
      <w:r w:rsidR="00690EA7" w:rsidRPr="00BE6A64">
        <w:t xml:space="preserve">Zhang </w:t>
      </w:r>
      <w:r w:rsidR="00690EA7" w:rsidRPr="00BE6A64">
        <w:rPr>
          <w:i/>
        </w:rPr>
        <w:t>et al</w:t>
      </w:r>
      <w:r w:rsidR="00690EA7" w:rsidRPr="00BE6A64">
        <w:t>., 2025</w:t>
      </w:r>
      <w:r w:rsidR="00293C0A" w:rsidRPr="00BE6A64">
        <w:rPr>
          <w:color w:val="000000"/>
        </w:rPr>
        <w:t>).</w:t>
      </w:r>
    </w:p>
    <w:p w14:paraId="345A9308" w14:textId="77777777" w:rsidR="00600DFE" w:rsidRPr="00BE6A64" w:rsidRDefault="002A7111" w:rsidP="00AD02B1">
      <w:pPr>
        <w:spacing w:after="240" w:line="276" w:lineRule="auto"/>
        <w:rPr>
          <w:rFonts w:eastAsia="Arial"/>
          <w:b/>
          <w:sz w:val="24"/>
        </w:rPr>
      </w:pPr>
      <w:r w:rsidRPr="00BE6A64">
        <w:rPr>
          <w:rFonts w:eastAsia="Arial"/>
          <w:b/>
          <w:sz w:val="24"/>
        </w:rPr>
        <w:t>3.2.3 Bovine: BRD Complex and Brucellosis</w:t>
      </w:r>
    </w:p>
    <w:p w14:paraId="11C777F2" w14:textId="77777777" w:rsidR="002A7111" w:rsidRPr="00BE6A64" w:rsidRDefault="002A7111" w:rsidP="00AD02B1">
      <w:pPr>
        <w:spacing w:after="240" w:line="276" w:lineRule="auto"/>
        <w:jc w:val="both"/>
      </w:pPr>
      <w:r w:rsidRPr="00BE6A64">
        <w:rPr>
          <w:color w:val="000000"/>
        </w:rPr>
        <w:t xml:space="preserve">Bovine respiratory disease (BRD) is among the primary drivers of antibiotic use in cattle worldwide. Combination vaccines targeting IBR, BRSV, PI3, </w:t>
      </w:r>
      <w:proofErr w:type="spellStart"/>
      <w:r w:rsidRPr="00BE6A64">
        <w:rPr>
          <w:i/>
          <w:iCs/>
          <w:color w:val="000000"/>
        </w:rPr>
        <w:t>Mannheimia</w:t>
      </w:r>
      <w:proofErr w:type="spellEnd"/>
      <w:r w:rsidRPr="00BE6A64">
        <w:rPr>
          <w:i/>
          <w:iCs/>
          <w:color w:val="000000"/>
        </w:rPr>
        <w:t xml:space="preserve"> </w:t>
      </w:r>
      <w:proofErr w:type="spellStart"/>
      <w:r w:rsidRPr="00BE6A64">
        <w:rPr>
          <w:i/>
          <w:iCs/>
          <w:color w:val="000000"/>
        </w:rPr>
        <w:t>haemolytica</w:t>
      </w:r>
      <w:proofErr w:type="spellEnd"/>
      <w:r w:rsidRPr="00BE6A64">
        <w:rPr>
          <w:color w:val="000000"/>
        </w:rPr>
        <w:t xml:space="preserve">, and </w:t>
      </w:r>
      <w:r w:rsidRPr="00BE6A64">
        <w:rPr>
          <w:i/>
          <w:iCs/>
          <w:color w:val="000000"/>
        </w:rPr>
        <w:t xml:space="preserve">Pasteurella </w:t>
      </w:r>
      <w:proofErr w:type="spellStart"/>
      <w:r w:rsidRPr="00BE6A64">
        <w:rPr>
          <w:i/>
          <w:iCs/>
          <w:color w:val="000000"/>
        </w:rPr>
        <w:t>multocida</w:t>
      </w:r>
      <w:proofErr w:type="spellEnd"/>
      <w:r w:rsidRPr="00BE6A64">
        <w:rPr>
          <w:color w:val="000000"/>
        </w:rPr>
        <w:t xml:space="preserve"> are widely used in North America and Europe, and are associated with reduced metaphylactic antibiotic interventions </w:t>
      </w:r>
      <w:r w:rsidR="00816CAF" w:rsidRPr="00BE6A64">
        <w:rPr>
          <w:color w:val="000000"/>
        </w:rPr>
        <w:t xml:space="preserve">(Laxminarayan </w:t>
      </w:r>
      <w:r w:rsidR="00816CAF" w:rsidRPr="00BE6A64">
        <w:rPr>
          <w:i/>
          <w:color w:val="000000"/>
        </w:rPr>
        <w:t>et al</w:t>
      </w:r>
      <w:r w:rsidR="00816CAF" w:rsidRPr="00BE6A64">
        <w:rPr>
          <w:color w:val="000000"/>
        </w:rPr>
        <w:t>., 2024)</w:t>
      </w:r>
      <w:r w:rsidRPr="00BE6A64">
        <w:rPr>
          <w:color w:val="000000"/>
        </w:rPr>
        <w:t xml:space="preserve">. However, randomized controlled evidence remains sparse, and effect sizes are inconsistently reported across studies. </w:t>
      </w:r>
      <w:r w:rsidRPr="00BE6A64">
        <w:rPr>
          <w:i/>
          <w:iCs/>
          <w:color w:val="000000"/>
        </w:rPr>
        <w:t>Brucella abortus</w:t>
      </w:r>
      <w:r w:rsidRPr="00BE6A64">
        <w:rPr>
          <w:color w:val="000000"/>
        </w:rPr>
        <w:t xml:space="preserve"> vaccination (S19 and RB51 strains) provides the additional benefit of reducing zoonotic transmission, with documented human health benefits in case studies from Kazakhstan, Mongolia, and Peru </w:t>
      </w:r>
      <w:r w:rsidR="00E05855" w:rsidRPr="00BE6A64">
        <w:rPr>
          <w:color w:val="000000"/>
        </w:rPr>
        <w:t xml:space="preserve">(Roth </w:t>
      </w:r>
      <w:r w:rsidR="00E05855" w:rsidRPr="00BE6A64">
        <w:rPr>
          <w:i/>
          <w:color w:val="000000"/>
        </w:rPr>
        <w:t>et al</w:t>
      </w:r>
      <w:r w:rsidR="00E05855" w:rsidRPr="00BE6A64">
        <w:rPr>
          <w:color w:val="000000"/>
        </w:rPr>
        <w:t>., 2003).</w:t>
      </w:r>
    </w:p>
    <w:p w14:paraId="2C5130D1" w14:textId="77777777" w:rsidR="00600DFE" w:rsidRPr="00BE6A64" w:rsidRDefault="002A7111" w:rsidP="00AD02B1">
      <w:pPr>
        <w:pStyle w:val="ListParagraph"/>
        <w:spacing w:after="240" w:line="276" w:lineRule="auto"/>
        <w:rPr>
          <w:rFonts w:eastAsia="Arial"/>
          <w:b/>
          <w:sz w:val="24"/>
        </w:rPr>
      </w:pPr>
      <w:r w:rsidRPr="00BE6A64">
        <w:rPr>
          <w:rFonts w:eastAsia="Arial"/>
          <w:b/>
          <w:sz w:val="24"/>
        </w:rPr>
        <w:t>3.2.4 Poultry: Avian Influenza and Colibacillosis</w:t>
      </w:r>
    </w:p>
    <w:p w14:paraId="41CA9AB7" w14:textId="77777777" w:rsidR="002A7111" w:rsidRPr="00BE6A64" w:rsidRDefault="002A7111" w:rsidP="00AD02B1">
      <w:pPr>
        <w:spacing w:after="240" w:line="276" w:lineRule="auto"/>
        <w:jc w:val="both"/>
      </w:pPr>
      <w:r w:rsidRPr="00BE6A64">
        <w:rPr>
          <w:color w:val="000000"/>
        </w:rPr>
        <w:t>Vaccination coverage for avian influenza among at-risk global poultry populations was estimated at less than 20% for most strains in 2025 (</w:t>
      </w:r>
      <w:r w:rsidR="00F07E74" w:rsidRPr="00BE6A64">
        <w:rPr>
          <w:color w:val="000000"/>
        </w:rPr>
        <w:t xml:space="preserve">Gleason </w:t>
      </w:r>
      <w:r w:rsidR="00F07E74" w:rsidRPr="00BE6A64">
        <w:rPr>
          <w:i/>
          <w:color w:val="000000"/>
        </w:rPr>
        <w:t>et al</w:t>
      </w:r>
      <w:r w:rsidR="00F07E74" w:rsidRPr="00BE6A64">
        <w:rPr>
          <w:color w:val="000000"/>
        </w:rPr>
        <w:t>., 2025</w:t>
      </w:r>
      <w:r w:rsidRPr="00BE6A64">
        <w:rPr>
          <w:color w:val="000000"/>
        </w:rPr>
        <w:t>). A 2024 systema</w:t>
      </w:r>
      <w:r w:rsidR="00262058" w:rsidRPr="00BE6A64">
        <w:rPr>
          <w:color w:val="000000"/>
        </w:rPr>
        <w:t xml:space="preserve">tic review and meta-analysis by </w:t>
      </w:r>
      <w:r w:rsidR="00E32BD8" w:rsidRPr="00BE6A64">
        <w:rPr>
          <w:color w:val="000000"/>
        </w:rPr>
        <w:t xml:space="preserve">(Tseng </w:t>
      </w:r>
      <w:r w:rsidR="00E32BD8" w:rsidRPr="00BE6A64">
        <w:rPr>
          <w:i/>
          <w:color w:val="000000"/>
        </w:rPr>
        <w:t>et al</w:t>
      </w:r>
      <w:r w:rsidR="00E32BD8" w:rsidRPr="00BE6A64">
        <w:rPr>
          <w:color w:val="000000"/>
        </w:rPr>
        <w:t>., 2024</w:t>
      </w:r>
      <w:r w:rsidRPr="00BE6A64">
        <w:rPr>
          <w:color w:val="000000"/>
        </w:rPr>
        <w:t xml:space="preserve">) re-evaluated the efficacy of HPAI vaccines in poultry and noted that reduced flock mortality indirectly decreases the need for prophylactic antibiotic administration during outbreak responses </w:t>
      </w:r>
      <w:r w:rsidR="00262058" w:rsidRPr="00BE6A64">
        <w:rPr>
          <w:color w:val="000000"/>
        </w:rPr>
        <w:t xml:space="preserve">(Tseng </w:t>
      </w:r>
      <w:r w:rsidR="00262058" w:rsidRPr="00BE6A64">
        <w:rPr>
          <w:i/>
          <w:color w:val="000000"/>
        </w:rPr>
        <w:t>et al</w:t>
      </w:r>
      <w:r w:rsidR="00262058" w:rsidRPr="00BE6A64">
        <w:rPr>
          <w:color w:val="000000"/>
        </w:rPr>
        <w:t>., 2024)</w:t>
      </w:r>
      <w:r w:rsidRPr="00BE6A64">
        <w:rPr>
          <w:color w:val="000000"/>
        </w:rPr>
        <w:t xml:space="preserve">. Improved colibacillosis vaccination in poultry has been endorsed by the American Society for Microbiology as a mechanism to prevent disease in animals and reduce the need for antibiotic treatments </w:t>
      </w:r>
      <w:r w:rsidR="00262058" w:rsidRPr="00BE6A64">
        <w:rPr>
          <w:color w:val="000000"/>
        </w:rPr>
        <w:t>(ASM, 2025).</w:t>
      </w:r>
    </w:p>
    <w:p w14:paraId="149E41B0" w14:textId="77777777" w:rsidR="00600DFE" w:rsidRPr="00BE6A64" w:rsidRDefault="002A7111" w:rsidP="00AD02B1">
      <w:pPr>
        <w:spacing w:after="240" w:line="276" w:lineRule="auto"/>
        <w:rPr>
          <w:rFonts w:eastAsia="Arial"/>
          <w:b/>
          <w:sz w:val="24"/>
        </w:rPr>
      </w:pPr>
      <w:r w:rsidRPr="00BE6A64">
        <w:rPr>
          <w:rFonts w:eastAsia="Arial"/>
          <w:b/>
          <w:sz w:val="24"/>
        </w:rPr>
        <w:t>4. RESEARCH GAPS: A STRUCTURED ANALYSIS</w:t>
      </w:r>
    </w:p>
    <w:p w14:paraId="164AC34C" w14:textId="77777777" w:rsidR="004F204E" w:rsidRPr="00BE6A64" w:rsidRDefault="002A7111" w:rsidP="004C62E8">
      <w:pPr>
        <w:spacing w:after="240" w:line="276" w:lineRule="auto"/>
        <w:jc w:val="both"/>
      </w:pPr>
      <w:r w:rsidRPr="00BE6A64">
        <w:rPr>
          <w:color w:val="000000"/>
        </w:rPr>
        <w:t xml:space="preserve">The synthesis of 74 eligible studies and institutional reports reveals a substantial and multi-layered evidence deficit. Table 3 presents the ten most prominent research gaps, categorized by domain and priority level. These gaps collectively impede integration of animal vaccination into national and global AMR action plans at the scale warranted by the epidemiological context. Overall AMR R&amp;D investment specifically for animal vaccines was documented at 7 USD cents per USD 10 by the </w:t>
      </w:r>
      <w:r w:rsidR="00845EB3" w:rsidRPr="00BE6A64">
        <w:rPr>
          <w:color w:val="000000"/>
        </w:rPr>
        <w:t>(Global AMR R&amp;D Hub, 2024)</w:t>
      </w:r>
      <w:r w:rsidRPr="00BE6A64">
        <w:rPr>
          <w:color w:val="000000"/>
        </w:rPr>
        <w:t>, underscoring a structural funding mismatch.</w:t>
      </w:r>
    </w:p>
    <w:p w14:paraId="4D330397" w14:textId="77777777" w:rsidR="004F204E" w:rsidRPr="00BE6A64" w:rsidRDefault="004F204E" w:rsidP="00AD02B1">
      <w:pPr>
        <w:spacing w:after="240" w:line="276" w:lineRule="auto"/>
      </w:pPr>
    </w:p>
    <w:p w14:paraId="391D8E8C" w14:textId="77777777" w:rsidR="00600DFE" w:rsidRPr="00BE6A64" w:rsidRDefault="002A7111" w:rsidP="00AD02B1">
      <w:pPr>
        <w:pStyle w:val="NoSpacing"/>
        <w:spacing w:after="240" w:line="276" w:lineRule="auto"/>
        <w:jc w:val="center"/>
        <w:rPr>
          <w:rFonts w:eastAsia="Arial"/>
          <w:sz w:val="24"/>
        </w:rPr>
      </w:pPr>
      <w:r w:rsidRPr="006871A2">
        <w:rPr>
          <w:rFonts w:eastAsia="Arial"/>
          <w:b/>
          <w:sz w:val="24"/>
        </w:rPr>
        <w:t>Table 3.</w:t>
      </w:r>
      <w:r w:rsidRPr="00BE6A64">
        <w:rPr>
          <w:rFonts w:eastAsia="Arial"/>
          <w:sz w:val="24"/>
        </w:rPr>
        <w:t xml:space="preserve"> Research Gap Matrix: Animal Vaccination and AMR Mitigation (Priority-Ranked)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9"/>
        <w:gridCol w:w="5490"/>
        <w:gridCol w:w="1441"/>
      </w:tblGrid>
      <w:tr w:rsidR="002A7111" w:rsidRPr="00BE6A64" w14:paraId="4FF38985" w14:textId="77777777" w:rsidTr="00826A37">
        <w:trPr>
          <w:tblHeader/>
        </w:trPr>
        <w:tc>
          <w:tcPr>
            <w:tcW w:w="2429"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DF270C5" w14:textId="77777777" w:rsidR="002A7111" w:rsidRPr="00BE6A64" w:rsidRDefault="002A7111" w:rsidP="00AD02B1">
            <w:pPr>
              <w:spacing w:after="240" w:line="276" w:lineRule="auto"/>
              <w:jc w:val="center"/>
            </w:pPr>
            <w:r w:rsidRPr="00BE6A64">
              <w:rPr>
                <w:rFonts w:eastAsia="Arial"/>
                <w:b/>
                <w:bCs/>
                <w:sz w:val="20"/>
                <w:szCs w:val="20"/>
              </w:rPr>
              <w:t>Research Gap Domain</w:t>
            </w:r>
          </w:p>
        </w:tc>
        <w:tc>
          <w:tcPr>
            <w:tcW w:w="549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8DCFC3A" w14:textId="77777777" w:rsidR="002A7111" w:rsidRPr="00BE6A64" w:rsidRDefault="002A7111" w:rsidP="00AD02B1">
            <w:pPr>
              <w:spacing w:after="240" w:line="276" w:lineRule="auto"/>
              <w:jc w:val="center"/>
            </w:pPr>
            <w:r w:rsidRPr="00BE6A64">
              <w:rPr>
                <w:rFonts w:eastAsia="Arial"/>
                <w:b/>
                <w:bCs/>
                <w:sz w:val="20"/>
                <w:szCs w:val="20"/>
              </w:rPr>
              <w:t>Description</w:t>
            </w:r>
          </w:p>
        </w:tc>
        <w:tc>
          <w:tcPr>
            <w:tcW w:w="1441"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0C4FB8F" w14:textId="77777777" w:rsidR="002A7111" w:rsidRPr="00BE6A64" w:rsidRDefault="002A7111" w:rsidP="00AD02B1">
            <w:pPr>
              <w:spacing w:after="240" w:line="276" w:lineRule="auto"/>
              <w:jc w:val="center"/>
            </w:pPr>
            <w:r w:rsidRPr="00BE6A64">
              <w:rPr>
                <w:rFonts w:eastAsia="Arial"/>
                <w:b/>
                <w:bCs/>
                <w:sz w:val="20"/>
                <w:szCs w:val="20"/>
              </w:rPr>
              <w:t>Priority Level</w:t>
            </w:r>
          </w:p>
        </w:tc>
      </w:tr>
      <w:tr w:rsidR="002A7111" w:rsidRPr="00BE6A64" w14:paraId="05823211"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F94CC" w14:textId="77777777" w:rsidR="002A7111" w:rsidRPr="00BE6A64" w:rsidRDefault="002A7111" w:rsidP="00AD02B1">
            <w:pPr>
              <w:spacing w:after="240" w:line="276" w:lineRule="auto"/>
            </w:pPr>
            <w:r w:rsidRPr="00BE6A64">
              <w:rPr>
                <w:sz w:val="20"/>
                <w:szCs w:val="20"/>
              </w:rPr>
              <w:t>1. Absence of AMR-focused RCTs</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2C3C04" w14:textId="77777777" w:rsidR="002A7111" w:rsidRPr="00BE6A64" w:rsidRDefault="002A7111" w:rsidP="00AD02B1">
            <w:pPr>
              <w:spacing w:after="240" w:line="276" w:lineRule="auto"/>
            </w:pPr>
            <w:r w:rsidRPr="00BE6A64">
              <w:rPr>
                <w:sz w:val="20"/>
                <w:szCs w:val="20"/>
              </w:rPr>
              <w:t xml:space="preserve">No published RCT has used </w:t>
            </w:r>
            <w:proofErr w:type="spellStart"/>
            <w:r w:rsidRPr="00BE6A64">
              <w:rPr>
                <w:sz w:val="20"/>
                <w:szCs w:val="20"/>
              </w:rPr>
              <w:t>resistome</w:t>
            </w:r>
            <w:proofErr w:type="spellEnd"/>
            <w:r w:rsidRPr="00BE6A64">
              <w:rPr>
                <w:sz w:val="20"/>
                <w:szCs w:val="20"/>
              </w:rPr>
              <w:t xml:space="preserve"> burden or AMR prevalence as a primary endpoint in a</w:t>
            </w:r>
            <w:r w:rsidR="00D40BDA" w:rsidRPr="00BE6A64">
              <w:rPr>
                <w:sz w:val="20"/>
                <w:szCs w:val="20"/>
              </w:rPr>
              <w:t xml:space="preserve"> livestock vaccination trial (Antimicrobial Resistance Collaborators, 2022; WOAH, 2024)</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071A21" w14:textId="77777777" w:rsidR="002A7111" w:rsidRPr="00BE6A64" w:rsidRDefault="002A7111" w:rsidP="00AD02B1">
            <w:pPr>
              <w:spacing w:after="240" w:line="276" w:lineRule="auto"/>
            </w:pPr>
            <w:r w:rsidRPr="00BE6A64">
              <w:rPr>
                <w:sz w:val="20"/>
                <w:szCs w:val="20"/>
              </w:rPr>
              <w:t>CRITICAL</w:t>
            </w:r>
          </w:p>
        </w:tc>
      </w:tr>
      <w:tr w:rsidR="002A7111" w:rsidRPr="00BE6A64" w14:paraId="7A64FFEA"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C773FD" w14:textId="77777777" w:rsidR="002A7111" w:rsidRPr="00BE6A64" w:rsidRDefault="002A7111" w:rsidP="00AD02B1">
            <w:pPr>
              <w:spacing w:after="240" w:line="276" w:lineRule="auto"/>
            </w:pPr>
            <w:r w:rsidRPr="00BE6A64">
              <w:rPr>
                <w:sz w:val="20"/>
                <w:szCs w:val="20"/>
              </w:rPr>
              <w:lastRenderedPageBreak/>
              <w:t>2. LMIC Data Absence</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B9AB7D" w14:textId="77777777" w:rsidR="002A7111" w:rsidRPr="00BE6A64" w:rsidRDefault="002A7111" w:rsidP="00CC01EB">
            <w:pPr>
              <w:spacing w:after="240" w:line="276" w:lineRule="auto"/>
            </w:pPr>
            <w:r w:rsidRPr="00BE6A64">
              <w:rPr>
                <w:sz w:val="20"/>
                <w:szCs w:val="20"/>
              </w:rPr>
              <w:t xml:space="preserve">Evidence on vaccination-linked AMU reduction is almost entirely from HICs; LMIC barriers are </w:t>
            </w:r>
            <w:proofErr w:type="spellStart"/>
            <w:r w:rsidRPr="00BE6A64">
              <w:rPr>
                <w:sz w:val="20"/>
                <w:szCs w:val="20"/>
              </w:rPr>
              <w:t>uncharacterised</w:t>
            </w:r>
            <w:proofErr w:type="spellEnd"/>
            <w:r w:rsidRPr="00BE6A64">
              <w:rPr>
                <w:sz w:val="20"/>
                <w:szCs w:val="20"/>
              </w:rPr>
              <w:t xml:space="preserve"> </w:t>
            </w:r>
            <w:r w:rsidR="00CC01EB" w:rsidRPr="00BE6A64">
              <w:rPr>
                <w:sz w:val="20"/>
                <w:szCs w:val="20"/>
              </w:rPr>
              <w:t xml:space="preserve">(Acosta </w:t>
            </w:r>
            <w:r w:rsidR="00CC01EB" w:rsidRPr="00BE6A64">
              <w:rPr>
                <w:i/>
                <w:sz w:val="20"/>
                <w:szCs w:val="20"/>
              </w:rPr>
              <w:t>et al</w:t>
            </w:r>
            <w:r w:rsidR="00CC01EB" w:rsidRPr="00BE6A64">
              <w:rPr>
                <w:sz w:val="20"/>
                <w:szCs w:val="20"/>
              </w:rPr>
              <w:t xml:space="preserve">., 2025; Laxminarayan </w:t>
            </w:r>
            <w:r w:rsidR="00CC01EB" w:rsidRPr="00BE6A64">
              <w:rPr>
                <w:i/>
                <w:sz w:val="20"/>
                <w:szCs w:val="20"/>
              </w:rPr>
              <w:t>et al</w:t>
            </w:r>
            <w:r w:rsidR="00CC01EB"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F4E0E9" w14:textId="77777777" w:rsidR="002A7111" w:rsidRPr="00BE6A64" w:rsidRDefault="002A7111" w:rsidP="00AD02B1">
            <w:pPr>
              <w:spacing w:after="240" w:line="276" w:lineRule="auto"/>
            </w:pPr>
            <w:r w:rsidRPr="00BE6A64">
              <w:rPr>
                <w:sz w:val="20"/>
                <w:szCs w:val="20"/>
              </w:rPr>
              <w:t>CRITICAL</w:t>
            </w:r>
          </w:p>
        </w:tc>
      </w:tr>
      <w:tr w:rsidR="002A7111" w:rsidRPr="00BE6A64" w14:paraId="660743A4"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BAB9D5" w14:textId="77777777" w:rsidR="002A7111" w:rsidRPr="00BE6A64" w:rsidRDefault="002A7111" w:rsidP="00AD02B1">
            <w:pPr>
              <w:spacing w:after="240" w:line="276" w:lineRule="auto"/>
            </w:pPr>
            <w:r w:rsidRPr="00BE6A64">
              <w:rPr>
                <w:sz w:val="20"/>
                <w:szCs w:val="20"/>
              </w:rPr>
              <w:t>3. One Health Surveillance Integration</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7E3BE" w14:textId="77777777" w:rsidR="002A7111" w:rsidRPr="00BE6A64" w:rsidRDefault="002A7111" w:rsidP="00AD02B1">
            <w:pPr>
              <w:spacing w:after="240" w:line="276" w:lineRule="auto"/>
            </w:pPr>
            <w:r w:rsidRPr="00BE6A64">
              <w:rPr>
                <w:sz w:val="20"/>
                <w:szCs w:val="20"/>
              </w:rPr>
              <w:t xml:space="preserve">No study simultaneously links livestock vaccination rates, human AMR trends, and </w:t>
            </w:r>
            <w:r w:rsidR="00517D2E" w:rsidRPr="00BE6A64">
              <w:rPr>
                <w:sz w:val="20"/>
                <w:szCs w:val="20"/>
              </w:rPr>
              <w:t>environmental ARG loads (WOAH, 2024; WHO et al., 2022)</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68AED0" w14:textId="77777777" w:rsidR="002A7111" w:rsidRPr="00BE6A64" w:rsidRDefault="002A7111" w:rsidP="00AD02B1">
            <w:pPr>
              <w:spacing w:after="240" w:line="276" w:lineRule="auto"/>
            </w:pPr>
            <w:r w:rsidRPr="00BE6A64">
              <w:rPr>
                <w:sz w:val="20"/>
                <w:szCs w:val="20"/>
              </w:rPr>
              <w:t>CRITICAL</w:t>
            </w:r>
          </w:p>
        </w:tc>
      </w:tr>
      <w:tr w:rsidR="002A7111" w:rsidRPr="00BE6A64" w14:paraId="769EC986"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AE1DD" w14:textId="77777777" w:rsidR="002A7111" w:rsidRPr="00BE6A64" w:rsidRDefault="002A7111" w:rsidP="00AD02B1">
            <w:pPr>
              <w:spacing w:after="240" w:line="276" w:lineRule="auto"/>
            </w:pPr>
            <w:r w:rsidRPr="00BE6A64">
              <w:rPr>
                <w:sz w:val="20"/>
                <w:szCs w:val="20"/>
              </w:rPr>
              <w:t xml:space="preserve">4. </w:t>
            </w:r>
            <w:proofErr w:type="spellStart"/>
            <w:r w:rsidRPr="00BE6A64">
              <w:rPr>
                <w:sz w:val="20"/>
                <w:szCs w:val="20"/>
              </w:rPr>
              <w:t>Resistome</w:t>
            </w:r>
            <w:proofErr w:type="spellEnd"/>
            <w:r w:rsidRPr="00BE6A64">
              <w:rPr>
                <w:sz w:val="20"/>
                <w:szCs w:val="20"/>
              </w:rPr>
              <w:t xml:space="preserve"> Dynamics Post-Vaccination</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77BBB7" w14:textId="77777777" w:rsidR="002A7111" w:rsidRPr="00BE6A64" w:rsidRDefault="002A7111" w:rsidP="00AD02B1">
            <w:pPr>
              <w:spacing w:after="240" w:line="276" w:lineRule="auto"/>
            </w:pPr>
            <w:r w:rsidRPr="00BE6A64">
              <w:rPr>
                <w:sz w:val="20"/>
                <w:szCs w:val="20"/>
              </w:rPr>
              <w:t xml:space="preserve">Post-vaccination changes in gut and environmental </w:t>
            </w:r>
            <w:proofErr w:type="spellStart"/>
            <w:r w:rsidRPr="00BE6A64">
              <w:rPr>
                <w:sz w:val="20"/>
                <w:szCs w:val="20"/>
              </w:rPr>
              <w:t>resistome</w:t>
            </w:r>
            <w:proofErr w:type="spellEnd"/>
            <w:r w:rsidRPr="00BE6A64">
              <w:rPr>
                <w:sz w:val="20"/>
                <w:szCs w:val="20"/>
              </w:rPr>
              <w:t xml:space="preserve"> are unstudied; meta</w:t>
            </w:r>
            <w:r w:rsidR="004F2F5F" w:rsidRPr="00BE6A64">
              <w:rPr>
                <w:sz w:val="20"/>
                <w:szCs w:val="20"/>
              </w:rPr>
              <w:t xml:space="preserve">genomics data wholly absent </w:t>
            </w:r>
            <w:r w:rsidR="004F2F5F" w:rsidRPr="00BE6A64">
              <w:rPr>
                <w:sz w:val="18"/>
                <w:szCs w:val="20"/>
              </w:rPr>
              <w:t>(</w:t>
            </w:r>
            <w:r w:rsidR="002B449E" w:rsidRPr="00BE6A64">
              <w:rPr>
                <w:sz w:val="20"/>
              </w:rPr>
              <w:t xml:space="preserve">Chen </w:t>
            </w:r>
            <w:r w:rsidR="002B449E" w:rsidRPr="00BE6A64">
              <w:rPr>
                <w:i/>
                <w:sz w:val="20"/>
              </w:rPr>
              <w:t>et al</w:t>
            </w:r>
            <w:r w:rsidR="002B449E" w:rsidRPr="00BE6A64">
              <w:rPr>
                <w:sz w:val="20"/>
              </w:rPr>
              <w:t>., 2025</w:t>
            </w:r>
            <w:r w:rsidR="004F2F5F" w:rsidRPr="00BE6A64">
              <w:rPr>
                <w:sz w:val="18"/>
                <w:szCs w:val="20"/>
              </w:rPr>
              <w:t>)</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952EB" w14:textId="77777777" w:rsidR="002A7111" w:rsidRPr="00BE6A64" w:rsidRDefault="002A7111" w:rsidP="00AD02B1">
            <w:pPr>
              <w:spacing w:after="240" w:line="276" w:lineRule="auto"/>
            </w:pPr>
            <w:r w:rsidRPr="00BE6A64">
              <w:rPr>
                <w:sz w:val="20"/>
                <w:szCs w:val="20"/>
              </w:rPr>
              <w:t>HIGH</w:t>
            </w:r>
          </w:p>
        </w:tc>
      </w:tr>
      <w:tr w:rsidR="002A7111" w:rsidRPr="00BE6A64" w14:paraId="343E487C"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A616CF" w14:textId="77777777" w:rsidR="002A7111" w:rsidRPr="00BE6A64" w:rsidRDefault="002A7111" w:rsidP="00AD02B1">
            <w:pPr>
              <w:spacing w:after="240" w:line="276" w:lineRule="auto"/>
            </w:pPr>
            <w:r w:rsidRPr="00BE6A64">
              <w:rPr>
                <w:sz w:val="20"/>
                <w:szCs w:val="20"/>
              </w:rPr>
              <w:t>5. Environmental ARG Spillover</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5EA3A" w14:textId="77777777" w:rsidR="002A7111" w:rsidRPr="00BE6A64" w:rsidRDefault="002A7111" w:rsidP="00AD02B1">
            <w:pPr>
              <w:spacing w:after="240" w:line="276" w:lineRule="auto"/>
            </w:pPr>
            <w:r w:rsidRPr="00BE6A64">
              <w:rPr>
                <w:sz w:val="20"/>
                <w:szCs w:val="20"/>
              </w:rPr>
              <w:t xml:space="preserve">Whether vaccination reduces ARG shedding into soil/water via manure remains unquantified </w:t>
            </w:r>
            <w:r w:rsidR="008E38F8" w:rsidRPr="00BE6A64">
              <w:rPr>
                <w:sz w:val="20"/>
                <w:szCs w:val="20"/>
              </w:rPr>
              <w:t>(</w:t>
            </w:r>
            <w:r w:rsidR="002B449E" w:rsidRPr="00BE6A64">
              <w:rPr>
                <w:sz w:val="20"/>
              </w:rPr>
              <w:t xml:space="preserve">Chen </w:t>
            </w:r>
            <w:r w:rsidR="002B449E" w:rsidRPr="00BE6A64">
              <w:rPr>
                <w:i/>
                <w:sz w:val="20"/>
              </w:rPr>
              <w:t>et al</w:t>
            </w:r>
            <w:r w:rsidR="002B449E" w:rsidRPr="00BE6A64">
              <w:rPr>
                <w:sz w:val="20"/>
              </w:rPr>
              <w:t>., 2025</w:t>
            </w:r>
            <w:r w:rsidR="00BA49C6" w:rsidRPr="00BE6A64">
              <w:rPr>
                <w:sz w:val="20"/>
                <w:szCs w:val="20"/>
              </w:rPr>
              <w:t>)</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B7838A" w14:textId="77777777" w:rsidR="002A7111" w:rsidRPr="00BE6A64" w:rsidRDefault="002A7111" w:rsidP="00AD02B1">
            <w:pPr>
              <w:spacing w:after="240" w:line="276" w:lineRule="auto"/>
            </w:pPr>
            <w:r w:rsidRPr="00BE6A64">
              <w:rPr>
                <w:sz w:val="20"/>
                <w:szCs w:val="20"/>
              </w:rPr>
              <w:t>HIGH</w:t>
            </w:r>
          </w:p>
        </w:tc>
      </w:tr>
      <w:tr w:rsidR="002A7111" w:rsidRPr="00BE6A64" w14:paraId="5480299C"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F808E" w14:textId="77777777" w:rsidR="002A7111" w:rsidRPr="00BE6A64" w:rsidRDefault="002A7111" w:rsidP="00AD02B1">
            <w:pPr>
              <w:spacing w:after="240" w:line="276" w:lineRule="auto"/>
            </w:pPr>
            <w:r w:rsidRPr="00BE6A64">
              <w:rPr>
                <w:sz w:val="20"/>
                <w:szCs w:val="20"/>
              </w:rPr>
              <w:t>6. Species Coverage Gaps</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A3BAAD" w14:textId="77777777" w:rsidR="002A7111" w:rsidRPr="00BE6A64" w:rsidRDefault="002A7111" w:rsidP="00AD02B1">
            <w:pPr>
              <w:spacing w:after="240" w:line="276" w:lineRule="auto"/>
            </w:pPr>
            <w:r w:rsidRPr="00BE6A64">
              <w:rPr>
                <w:sz w:val="20"/>
                <w:szCs w:val="20"/>
              </w:rPr>
              <w:t xml:space="preserve">Aquaculture beyond salmon, small ruminants, and camelids are grossly underrepresented in evidence base </w:t>
            </w:r>
            <w:r w:rsidR="00756C3D" w:rsidRPr="00BE6A64">
              <w:rPr>
                <w:sz w:val="20"/>
                <w:szCs w:val="20"/>
              </w:rPr>
              <w:t>(</w:t>
            </w:r>
            <w:proofErr w:type="spellStart"/>
            <w:r w:rsidR="00B93DF1" w:rsidRPr="00BE6A64">
              <w:rPr>
                <w:sz w:val="20"/>
                <w:szCs w:val="20"/>
              </w:rPr>
              <w:t>Yugueros</w:t>
            </w:r>
            <w:proofErr w:type="spellEnd"/>
            <w:r w:rsidR="00B93DF1" w:rsidRPr="00BE6A64">
              <w:rPr>
                <w:sz w:val="20"/>
                <w:szCs w:val="20"/>
              </w:rPr>
              <w:t>-Marcos &amp; Etienne, 2026</w:t>
            </w:r>
            <w:r w:rsidR="00756C3D" w:rsidRPr="00BE6A64">
              <w:rPr>
                <w:sz w:val="18"/>
                <w:szCs w:val="20"/>
              </w:rPr>
              <w:t xml:space="preserve">; </w:t>
            </w:r>
            <w:r w:rsidR="00F07E74" w:rsidRPr="00BE6A64">
              <w:rPr>
                <w:sz w:val="20"/>
              </w:rPr>
              <w:t xml:space="preserve">Gleason </w:t>
            </w:r>
            <w:r w:rsidR="00F07E74" w:rsidRPr="00BE6A64">
              <w:rPr>
                <w:i/>
                <w:sz w:val="20"/>
              </w:rPr>
              <w:t>et al</w:t>
            </w:r>
            <w:r w:rsidR="00F07E74" w:rsidRPr="00BE6A64">
              <w:rPr>
                <w:sz w:val="20"/>
              </w:rPr>
              <w:t>., 2025</w:t>
            </w:r>
            <w:r w:rsidR="00756C3D" w:rsidRPr="00BE6A64">
              <w:rPr>
                <w:sz w:val="18"/>
                <w:szCs w:val="20"/>
              </w:rPr>
              <w:t>)</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3D58B0" w14:textId="77777777" w:rsidR="002A7111" w:rsidRPr="00BE6A64" w:rsidRDefault="002A7111" w:rsidP="00AD02B1">
            <w:pPr>
              <w:spacing w:after="240" w:line="276" w:lineRule="auto"/>
            </w:pPr>
            <w:r w:rsidRPr="00BE6A64">
              <w:rPr>
                <w:sz w:val="20"/>
                <w:szCs w:val="20"/>
              </w:rPr>
              <w:t>HIGH</w:t>
            </w:r>
          </w:p>
        </w:tc>
      </w:tr>
      <w:tr w:rsidR="002A7111" w:rsidRPr="00BE6A64" w14:paraId="22E84FF2"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C91F0F" w14:textId="77777777" w:rsidR="002A7111" w:rsidRPr="00BE6A64" w:rsidRDefault="002A7111" w:rsidP="00AD02B1">
            <w:pPr>
              <w:spacing w:after="240" w:line="276" w:lineRule="auto"/>
            </w:pPr>
            <w:r w:rsidRPr="00BE6A64">
              <w:rPr>
                <w:sz w:val="20"/>
                <w:szCs w:val="20"/>
              </w:rPr>
              <w:t>7. AMR-Specific Cost-Effectiveness</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B97709" w14:textId="77777777" w:rsidR="002A7111" w:rsidRPr="00BE6A64" w:rsidRDefault="002A7111" w:rsidP="00AD02B1">
            <w:pPr>
              <w:spacing w:after="240" w:line="276" w:lineRule="auto"/>
            </w:pPr>
            <w:r w:rsidRPr="00BE6A64">
              <w:rPr>
                <w:sz w:val="20"/>
                <w:szCs w:val="20"/>
              </w:rPr>
              <w:t>Economic modelling of vaccination vs. antibiotic use from an AMR-outcome perspecti</w:t>
            </w:r>
            <w:r w:rsidR="006F6D4B" w:rsidRPr="00BE6A64">
              <w:rPr>
                <w:sz w:val="20"/>
                <w:szCs w:val="20"/>
              </w:rPr>
              <w:t xml:space="preserve">ve is nearly absent for LMICs (Acosta </w:t>
            </w:r>
            <w:r w:rsidR="006F6D4B" w:rsidRPr="00BE6A64">
              <w:rPr>
                <w:i/>
                <w:sz w:val="20"/>
                <w:szCs w:val="20"/>
              </w:rPr>
              <w:t>et al</w:t>
            </w:r>
            <w:r w:rsidR="006F6D4B" w:rsidRPr="00BE6A64">
              <w:rPr>
                <w:sz w:val="20"/>
                <w:szCs w:val="20"/>
              </w:rPr>
              <w:t xml:space="preserve">., 2025; Laxminarayan </w:t>
            </w:r>
            <w:r w:rsidR="006F6D4B" w:rsidRPr="00BE6A64">
              <w:rPr>
                <w:i/>
                <w:sz w:val="20"/>
                <w:szCs w:val="20"/>
              </w:rPr>
              <w:t>et al</w:t>
            </w:r>
            <w:r w:rsidR="006F6D4B"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88663" w14:textId="77777777" w:rsidR="002A7111" w:rsidRPr="00BE6A64" w:rsidRDefault="002A7111" w:rsidP="00AD02B1">
            <w:pPr>
              <w:spacing w:after="240" w:line="276" w:lineRule="auto"/>
            </w:pPr>
            <w:r w:rsidRPr="00BE6A64">
              <w:rPr>
                <w:sz w:val="20"/>
                <w:szCs w:val="20"/>
              </w:rPr>
              <w:t>HIGH</w:t>
            </w:r>
          </w:p>
        </w:tc>
      </w:tr>
      <w:tr w:rsidR="002A7111" w:rsidRPr="00BE6A64" w14:paraId="444B229D"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FB16F" w14:textId="77777777" w:rsidR="002A7111" w:rsidRPr="00BE6A64" w:rsidRDefault="002A7111" w:rsidP="00AD02B1">
            <w:pPr>
              <w:spacing w:after="240" w:line="276" w:lineRule="auto"/>
            </w:pPr>
            <w:r w:rsidRPr="00BE6A64">
              <w:rPr>
                <w:sz w:val="20"/>
                <w:szCs w:val="20"/>
              </w:rPr>
              <w:t>8. Vaccine Funding Disproportion</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56C3D9" w14:textId="77777777" w:rsidR="002A7111" w:rsidRPr="00BE6A64" w:rsidRDefault="002A7111" w:rsidP="00AD02B1">
            <w:pPr>
              <w:spacing w:after="240" w:line="276" w:lineRule="auto"/>
            </w:pPr>
            <w:r w:rsidRPr="00BE6A64">
              <w:rPr>
                <w:sz w:val="20"/>
                <w:szCs w:val="20"/>
              </w:rPr>
              <w:t>Animal vaccine R&amp;D receives only 7 USD cents per USD 10 of</w:t>
            </w:r>
            <w:r w:rsidR="00854A8E" w:rsidRPr="00BE6A64">
              <w:rPr>
                <w:sz w:val="20"/>
                <w:szCs w:val="20"/>
              </w:rPr>
              <w:t xml:space="preserve"> AMR R&amp;D investment globally (Global AMR R&amp;D Hub, 2024)</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A40B1D" w14:textId="77777777" w:rsidR="002A7111" w:rsidRPr="00BE6A64" w:rsidRDefault="002A7111" w:rsidP="00AD02B1">
            <w:pPr>
              <w:spacing w:after="240" w:line="276" w:lineRule="auto"/>
            </w:pPr>
            <w:r w:rsidRPr="00BE6A64">
              <w:rPr>
                <w:sz w:val="20"/>
                <w:szCs w:val="20"/>
              </w:rPr>
              <w:t>HIGH</w:t>
            </w:r>
          </w:p>
        </w:tc>
      </w:tr>
      <w:tr w:rsidR="002A7111" w:rsidRPr="00BE6A64" w14:paraId="64CF8261"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7BBB07" w14:textId="77777777" w:rsidR="002A7111" w:rsidRPr="00BE6A64" w:rsidRDefault="002A7111" w:rsidP="00AD02B1">
            <w:pPr>
              <w:spacing w:after="240" w:line="276" w:lineRule="auto"/>
            </w:pPr>
            <w:r w:rsidRPr="00BE6A64">
              <w:rPr>
                <w:sz w:val="20"/>
                <w:szCs w:val="20"/>
              </w:rPr>
              <w:t>9. mRNA Veterinary Vaccine Evidence</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C2B4CA" w14:textId="77777777" w:rsidR="002A7111" w:rsidRPr="00BE6A64" w:rsidRDefault="002A7111" w:rsidP="00AD02B1">
            <w:pPr>
              <w:spacing w:after="240" w:line="276" w:lineRule="auto"/>
            </w:pPr>
            <w:r w:rsidRPr="00BE6A64">
              <w:rPr>
                <w:sz w:val="20"/>
                <w:szCs w:val="20"/>
              </w:rPr>
              <w:t xml:space="preserve">Novel mRNA platforms (e.g., SEQUIVITY IAV-S NA, 2024) lack clinical trial data for bacterial pathogens in livestock </w:t>
            </w:r>
            <w:r w:rsidR="00854A8E" w:rsidRPr="00BE6A64">
              <w:rPr>
                <w:sz w:val="20"/>
                <w:szCs w:val="20"/>
              </w:rPr>
              <w:t>(ASM, 2025)</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9E7A89" w14:textId="77777777" w:rsidR="002A7111" w:rsidRPr="00BE6A64" w:rsidRDefault="002A7111" w:rsidP="00AD02B1">
            <w:pPr>
              <w:spacing w:after="240" w:line="276" w:lineRule="auto"/>
            </w:pPr>
            <w:r w:rsidRPr="00BE6A64">
              <w:rPr>
                <w:sz w:val="20"/>
                <w:szCs w:val="20"/>
              </w:rPr>
              <w:t>EMERGING</w:t>
            </w:r>
          </w:p>
        </w:tc>
      </w:tr>
      <w:tr w:rsidR="002A7111" w:rsidRPr="00BE6A64" w14:paraId="5DE0FBA0" w14:textId="77777777" w:rsidTr="00826A37">
        <w:tc>
          <w:tcPr>
            <w:tcW w:w="242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C9AE51" w14:textId="77777777" w:rsidR="002A7111" w:rsidRPr="00BE6A64" w:rsidRDefault="002A7111" w:rsidP="00AD02B1">
            <w:pPr>
              <w:spacing w:after="240" w:line="276" w:lineRule="auto"/>
            </w:pPr>
            <w:r w:rsidRPr="00BE6A64">
              <w:rPr>
                <w:sz w:val="20"/>
                <w:szCs w:val="20"/>
              </w:rPr>
              <w:t>10. Regulatory Harmonization</w:t>
            </w:r>
          </w:p>
        </w:tc>
        <w:tc>
          <w:tcPr>
            <w:tcW w:w="54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30FC31" w14:textId="77777777" w:rsidR="002A7111" w:rsidRPr="00BE6A64" w:rsidRDefault="002A7111" w:rsidP="00AD02B1">
            <w:pPr>
              <w:spacing w:after="240" w:line="276" w:lineRule="auto"/>
            </w:pPr>
            <w:r w:rsidRPr="00BE6A64">
              <w:rPr>
                <w:sz w:val="20"/>
                <w:szCs w:val="20"/>
              </w:rPr>
              <w:t xml:space="preserve">Cross-border veterinary vaccine approval frameworks lag behind AMR policy </w:t>
            </w:r>
            <w:r w:rsidR="00BB0795" w:rsidRPr="00BE6A64">
              <w:rPr>
                <w:sz w:val="20"/>
                <w:szCs w:val="20"/>
              </w:rPr>
              <w:t xml:space="preserve">urgency, impeding LMIC access (Acosta </w:t>
            </w:r>
            <w:r w:rsidR="00BB0795" w:rsidRPr="00BE6A64">
              <w:rPr>
                <w:i/>
                <w:sz w:val="20"/>
                <w:szCs w:val="20"/>
              </w:rPr>
              <w:t>et al</w:t>
            </w:r>
            <w:r w:rsidR="00BB0795" w:rsidRPr="00BE6A64">
              <w:rPr>
                <w:sz w:val="20"/>
                <w:szCs w:val="20"/>
              </w:rPr>
              <w:t xml:space="preserve">., 2025; Laxminarayan </w:t>
            </w:r>
            <w:r w:rsidR="00BB0795" w:rsidRPr="00BE6A64">
              <w:rPr>
                <w:i/>
                <w:sz w:val="20"/>
                <w:szCs w:val="20"/>
              </w:rPr>
              <w:t>et al</w:t>
            </w:r>
            <w:r w:rsidR="00BB0795"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47C86D" w14:textId="77777777" w:rsidR="002A7111" w:rsidRPr="00BE6A64" w:rsidRDefault="002A7111" w:rsidP="00AD02B1">
            <w:pPr>
              <w:spacing w:after="240" w:line="276" w:lineRule="auto"/>
            </w:pPr>
            <w:r w:rsidRPr="00BE6A64">
              <w:rPr>
                <w:sz w:val="20"/>
                <w:szCs w:val="20"/>
              </w:rPr>
              <w:t>MODERATE</w:t>
            </w:r>
          </w:p>
        </w:tc>
      </w:tr>
    </w:tbl>
    <w:p w14:paraId="1B22170C" w14:textId="77777777" w:rsidR="002A7111" w:rsidRPr="00BE6A64" w:rsidRDefault="002A7111" w:rsidP="00AD02B1">
      <w:pPr>
        <w:spacing w:after="240" w:line="276" w:lineRule="auto"/>
      </w:pPr>
    </w:p>
    <w:p w14:paraId="05DAECBF" w14:textId="77777777" w:rsidR="00BA5627" w:rsidRPr="00BE6A64" w:rsidRDefault="002A7111" w:rsidP="00AD02B1">
      <w:pPr>
        <w:spacing w:after="240" w:line="276" w:lineRule="auto"/>
        <w:rPr>
          <w:b/>
          <w:sz w:val="24"/>
        </w:rPr>
      </w:pPr>
      <w:r w:rsidRPr="00BE6A64">
        <w:rPr>
          <w:rFonts w:eastAsia="Arial"/>
          <w:b/>
          <w:sz w:val="24"/>
        </w:rPr>
        <w:t>4.1 Gap 1: Absence of AMR-Specific RCTs</w:t>
      </w:r>
    </w:p>
    <w:p w14:paraId="3AB91681" w14:textId="77777777" w:rsidR="002A7111" w:rsidRPr="00BE6A64" w:rsidRDefault="002A7111" w:rsidP="00AD02B1">
      <w:pPr>
        <w:spacing w:after="240" w:line="276" w:lineRule="auto"/>
        <w:jc w:val="both"/>
      </w:pPr>
      <w:r w:rsidRPr="00BE6A64">
        <w:rPr>
          <w:color w:val="000000"/>
        </w:rPr>
        <w:t xml:space="preserve">No published RCT has used </w:t>
      </w:r>
      <w:proofErr w:type="spellStart"/>
      <w:r w:rsidRPr="00BE6A64">
        <w:rPr>
          <w:color w:val="000000"/>
        </w:rPr>
        <w:t>resistome</w:t>
      </w:r>
      <w:proofErr w:type="spellEnd"/>
      <w:r w:rsidRPr="00BE6A64">
        <w:rPr>
          <w:color w:val="000000"/>
        </w:rPr>
        <w:t xml:space="preserve"> composition, ARG prevalence, or resistant pathogen incidence as a primary endpoint in a livestock vaccination trial. This is the single most critical evidentiary barrier to regulatory and policy integration. While AMU r</w:t>
      </w:r>
      <w:r w:rsidR="001E11CB" w:rsidRPr="00BE6A64">
        <w:rPr>
          <w:color w:val="000000"/>
        </w:rPr>
        <w:t xml:space="preserve">eduction is a reasonable proxy (Acosta </w:t>
      </w:r>
      <w:r w:rsidR="001E11CB" w:rsidRPr="00BE6A64">
        <w:rPr>
          <w:i/>
          <w:color w:val="000000"/>
        </w:rPr>
        <w:t>et al</w:t>
      </w:r>
      <w:r w:rsidR="001E11CB" w:rsidRPr="00BE6A64">
        <w:rPr>
          <w:color w:val="000000"/>
        </w:rPr>
        <w:t xml:space="preserve">., 2025; Raith </w:t>
      </w:r>
      <w:r w:rsidR="001E11CB" w:rsidRPr="00BE6A64">
        <w:rPr>
          <w:i/>
          <w:color w:val="000000"/>
        </w:rPr>
        <w:t>et al</w:t>
      </w:r>
      <w:r w:rsidR="001E11CB" w:rsidRPr="00BE6A64">
        <w:rPr>
          <w:color w:val="000000"/>
        </w:rPr>
        <w:t xml:space="preserve">., 2016; Laxminarayan </w:t>
      </w:r>
      <w:r w:rsidR="001E11CB" w:rsidRPr="00BE6A64">
        <w:rPr>
          <w:i/>
          <w:color w:val="000000"/>
        </w:rPr>
        <w:t>et al</w:t>
      </w:r>
      <w:r w:rsidR="001E11CB" w:rsidRPr="00BE6A64">
        <w:rPr>
          <w:color w:val="000000"/>
        </w:rPr>
        <w:t>., 2024)</w:t>
      </w:r>
      <w:r w:rsidRPr="00BE6A64">
        <w:rPr>
          <w:color w:val="000000"/>
        </w:rPr>
        <w:t xml:space="preserve">, it is insufficient to demonstrate AMR causation under </w:t>
      </w:r>
      <w:r w:rsidRPr="00BE6A64">
        <w:rPr>
          <w:color w:val="000000"/>
        </w:rPr>
        <w:lastRenderedPageBreak/>
        <w:t xml:space="preserve">contemporary evidentiary standards. Prospective trials using metagenomics-based </w:t>
      </w:r>
      <w:proofErr w:type="spellStart"/>
      <w:r w:rsidRPr="00BE6A64">
        <w:rPr>
          <w:color w:val="000000"/>
        </w:rPr>
        <w:t>resistome</w:t>
      </w:r>
      <w:proofErr w:type="spellEnd"/>
      <w:r w:rsidRPr="00BE6A64">
        <w:rPr>
          <w:color w:val="000000"/>
        </w:rPr>
        <w:t xml:space="preserve"> profiling as a primary endpoint are urgently needed.</w:t>
      </w:r>
    </w:p>
    <w:p w14:paraId="69A138C3" w14:textId="77777777" w:rsidR="00BA5627" w:rsidRPr="00BE6A64" w:rsidRDefault="002A7111" w:rsidP="00AD02B1">
      <w:pPr>
        <w:spacing w:after="240" w:line="276" w:lineRule="auto"/>
        <w:rPr>
          <w:rFonts w:eastAsia="Arial"/>
          <w:b/>
          <w:sz w:val="24"/>
        </w:rPr>
      </w:pPr>
      <w:r w:rsidRPr="00BE6A64">
        <w:rPr>
          <w:rFonts w:eastAsia="Arial"/>
          <w:b/>
          <w:sz w:val="24"/>
        </w:rPr>
        <w:t>4.2 Gap 2: LMIC Data Absence</w:t>
      </w:r>
    </w:p>
    <w:p w14:paraId="690B923D" w14:textId="77777777" w:rsidR="002A7111" w:rsidRPr="00BE6A64" w:rsidRDefault="002A7111" w:rsidP="00AD02B1">
      <w:pPr>
        <w:spacing w:after="240" w:line="276" w:lineRule="auto"/>
        <w:jc w:val="both"/>
      </w:pPr>
      <w:r w:rsidRPr="00BE6A64">
        <w:rPr>
          <w:color w:val="000000"/>
        </w:rPr>
        <w:t xml:space="preserve">Over 73% of global antibiotic use in livestock is concentrated in five countries: China, Brazil, India, the USA, and Australia </w:t>
      </w:r>
      <w:r w:rsidR="00026601" w:rsidRPr="00BE6A64">
        <w:rPr>
          <w:color w:val="000000"/>
        </w:rPr>
        <w:t xml:space="preserve">(Acosta </w:t>
      </w:r>
      <w:r w:rsidR="00026601" w:rsidRPr="00BE6A64">
        <w:rPr>
          <w:i/>
          <w:color w:val="000000"/>
        </w:rPr>
        <w:t>et al</w:t>
      </w:r>
      <w:r w:rsidR="00026601" w:rsidRPr="00BE6A64">
        <w:rPr>
          <w:color w:val="000000"/>
        </w:rPr>
        <w:t>., 2025)</w:t>
      </w:r>
      <w:r w:rsidRPr="00BE6A64">
        <w:rPr>
          <w:color w:val="000000"/>
        </w:rPr>
        <w:t>. Yet the reviewed literature on vaccination-linked AMU reduction is almost exclusively from high-income European and North American contexts. LMICs face structurally distinc</w:t>
      </w:r>
      <w:r w:rsidR="00593707" w:rsidRPr="00BE6A64">
        <w:rPr>
          <w:color w:val="000000"/>
        </w:rPr>
        <w:t>t barriers to vaccine adoption-</w:t>
      </w:r>
      <w:r w:rsidRPr="00BE6A64">
        <w:rPr>
          <w:color w:val="000000"/>
        </w:rPr>
        <w:t xml:space="preserve"> cold chain limitations, lack of veterinary infrastructure, economic constraints, an</w:t>
      </w:r>
      <w:r w:rsidR="00593707" w:rsidRPr="00BE6A64">
        <w:rPr>
          <w:color w:val="000000"/>
        </w:rPr>
        <w:t xml:space="preserve">d polyvalent farming practices- </w:t>
      </w:r>
      <w:r w:rsidRPr="00BE6A64">
        <w:rPr>
          <w:color w:val="000000"/>
        </w:rPr>
        <w:t xml:space="preserve"> none of which are adequately characterized </w:t>
      </w:r>
      <w:r w:rsidR="00026601" w:rsidRPr="00BE6A64">
        <w:rPr>
          <w:color w:val="000000"/>
        </w:rPr>
        <w:t xml:space="preserve">(Laxminarayan </w:t>
      </w:r>
      <w:r w:rsidR="00026601" w:rsidRPr="00BE6A64">
        <w:rPr>
          <w:i/>
          <w:color w:val="000000"/>
        </w:rPr>
        <w:t>et al</w:t>
      </w:r>
      <w:r w:rsidR="00026601" w:rsidRPr="00BE6A64">
        <w:rPr>
          <w:color w:val="000000"/>
        </w:rPr>
        <w:t>., 2024)</w:t>
      </w:r>
      <w:r w:rsidRPr="00BE6A64">
        <w:rPr>
          <w:color w:val="000000"/>
        </w:rPr>
        <w:t xml:space="preserve">. The Science perspective by Laxminarayan </w:t>
      </w:r>
      <w:r w:rsidRPr="00BE6A64">
        <w:rPr>
          <w:i/>
          <w:color w:val="000000"/>
        </w:rPr>
        <w:t>et al</w:t>
      </w:r>
      <w:r w:rsidRPr="00BE6A64">
        <w:rPr>
          <w:color w:val="000000"/>
        </w:rPr>
        <w:t>. (2024) explicitly flagge</w:t>
      </w:r>
      <w:r w:rsidR="009F09DB" w:rsidRPr="00BE6A64">
        <w:rPr>
          <w:color w:val="000000"/>
        </w:rPr>
        <w:t>d this gap as a policy priority.</w:t>
      </w:r>
    </w:p>
    <w:p w14:paraId="7BF62298" w14:textId="77777777" w:rsidR="00B7219B" w:rsidRPr="00BE6A64" w:rsidRDefault="002A7111" w:rsidP="00AD02B1">
      <w:pPr>
        <w:spacing w:after="240" w:line="276" w:lineRule="auto"/>
        <w:rPr>
          <w:rFonts w:eastAsia="Arial"/>
          <w:b/>
          <w:sz w:val="24"/>
        </w:rPr>
      </w:pPr>
      <w:r w:rsidRPr="00BE6A64">
        <w:rPr>
          <w:rFonts w:eastAsia="Arial"/>
          <w:b/>
          <w:sz w:val="24"/>
        </w:rPr>
        <w:t xml:space="preserve">4.3 Gap 3: </w:t>
      </w:r>
      <w:proofErr w:type="spellStart"/>
      <w:r w:rsidRPr="00BE6A64">
        <w:rPr>
          <w:rFonts w:eastAsia="Arial"/>
          <w:b/>
          <w:sz w:val="24"/>
        </w:rPr>
        <w:t>Resistome</w:t>
      </w:r>
      <w:proofErr w:type="spellEnd"/>
      <w:r w:rsidRPr="00BE6A64">
        <w:rPr>
          <w:rFonts w:eastAsia="Arial"/>
          <w:b/>
          <w:sz w:val="24"/>
        </w:rPr>
        <w:t xml:space="preserve"> Dynamics Post-Vaccination</w:t>
      </w:r>
    </w:p>
    <w:p w14:paraId="2C9A2BC3" w14:textId="77777777" w:rsidR="002A7111" w:rsidRPr="00BE6A64" w:rsidRDefault="002A7111" w:rsidP="00AD02B1">
      <w:pPr>
        <w:spacing w:after="240" w:line="276" w:lineRule="auto"/>
        <w:jc w:val="both"/>
      </w:pPr>
      <w:r w:rsidRPr="00BE6A64">
        <w:rPr>
          <w:color w:val="000000"/>
        </w:rPr>
        <w:t xml:space="preserve">While AMU reduction post-vaccination is documented in several contexts, downstream impacts on gut microbiome composition, </w:t>
      </w:r>
      <w:proofErr w:type="spellStart"/>
      <w:r w:rsidRPr="00BE6A64">
        <w:rPr>
          <w:color w:val="000000"/>
        </w:rPr>
        <w:t>resistome</w:t>
      </w:r>
      <w:proofErr w:type="spellEnd"/>
      <w:r w:rsidRPr="00BE6A64">
        <w:rPr>
          <w:color w:val="000000"/>
        </w:rPr>
        <w:t xml:space="preserve"> diversity, and ARG profiles have not been prospectively studied. This gap is mechanistically critical: vaccination may reduce AMU yet fail to reduce ARG burden if horizontal gene transfer occurs via non-antibiotic selective pressures (e.g., heavy metal co-selection). No metagenomics-based longitudinal study was identified in the 74 included records </w:t>
      </w:r>
      <w:r w:rsidR="008C0F67" w:rsidRPr="00BE6A64">
        <w:rPr>
          <w:color w:val="000000"/>
        </w:rPr>
        <w:t>(</w:t>
      </w:r>
      <w:r w:rsidR="002B449E" w:rsidRPr="00BE6A64">
        <w:t xml:space="preserve">Chen </w:t>
      </w:r>
      <w:r w:rsidR="002B449E" w:rsidRPr="00BE6A64">
        <w:rPr>
          <w:i/>
        </w:rPr>
        <w:t>et al</w:t>
      </w:r>
      <w:r w:rsidR="002B449E" w:rsidRPr="00BE6A64">
        <w:t>., 2025</w:t>
      </w:r>
      <w:r w:rsidR="008C0F67" w:rsidRPr="00BE6A64">
        <w:rPr>
          <w:color w:val="000000"/>
        </w:rPr>
        <w:t>)</w:t>
      </w:r>
      <w:r w:rsidRPr="00BE6A64">
        <w:rPr>
          <w:color w:val="000000"/>
        </w:rPr>
        <w:t>.</w:t>
      </w:r>
    </w:p>
    <w:p w14:paraId="318DAC23" w14:textId="77777777" w:rsidR="00B7219B" w:rsidRPr="00BE6A64" w:rsidRDefault="002A7111" w:rsidP="00AD02B1">
      <w:pPr>
        <w:spacing w:after="240" w:line="276" w:lineRule="auto"/>
        <w:rPr>
          <w:rFonts w:eastAsia="Arial"/>
          <w:b/>
          <w:sz w:val="24"/>
        </w:rPr>
      </w:pPr>
      <w:r w:rsidRPr="00BE6A64">
        <w:rPr>
          <w:rFonts w:eastAsia="Arial"/>
          <w:b/>
          <w:sz w:val="24"/>
        </w:rPr>
        <w:t>4.4 Gap 4: Environmental ARG Spillover</w:t>
      </w:r>
    </w:p>
    <w:p w14:paraId="23117B74" w14:textId="77777777" w:rsidR="00955711" w:rsidRPr="00BE6A64" w:rsidRDefault="002A7111" w:rsidP="00955711">
      <w:pPr>
        <w:spacing w:after="240" w:line="276" w:lineRule="auto"/>
        <w:jc w:val="both"/>
      </w:pPr>
      <w:r w:rsidRPr="00BE6A64">
        <w:rPr>
          <w:color w:val="000000"/>
        </w:rPr>
        <w:t xml:space="preserve">Whether reduced AMU following livestock vaccination translates to decreased ARG shedding into soil, water, and the broader agricultural environment is entirely unquantified. Given that manure application is a principal vector of environmental ARG contamination and downstream human AMR exposure, this gap is central to evaluating the true One Health impact of animal vaccination programs </w:t>
      </w:r>
      <w:r w:rsidR="00955711" w:rsidRPr="00BE6A64">
        <w:rPr>
          <w:color w:val="000000"/>
        </w:rPr>
        <w:t>(</w:t>
      </w:r>
      <w:r w:rsidR="002B449E" w:rsidRPr="00BE6A64">
        <w:t xml:space="preserve">Chen </w:t>
      </w:r>
      <w:r w:rsidR="002B449E" w:rsidRPr="00BE6A64">
        <w:rPr>
          <w:i/>
        </w:rPr>
        <w:t>et al</w:t>
      </w:r>
      <w:r w:rsidR="002B449E" w:rsidRPr="00BE6A64">
        <w:t>., 2025</w:t>
      </w:r>
      <w:r w:rsidR="00955711" w:rsidRPr="00BE6A64">
        <w:rPr>
          <w:color w:val="000000"/>
        </w:rPr>
        <w:t>).</w:t>
      </w:r>
    </w:p>
    <w:p w14:paraId="70B9E894" w14:textId="77777777" w:rsidR="00B7219B" w:rsidRPr="00BE6A64" w:rsidRDefault="002A7111" w:rsidP="00955711">
      <w:pPr>
        <w:spacing w:after="240" w:line="276" w:lineRule="auto"/>
        <w:jc w:val="both"/>
        <w:rPr>
          <w:rFonts w:eastAsia="Arial"/>
          <w:b/>
          <w:sz w:val="24"/>
        </w:rPr>
      </w:pPr>
      <w:r w:rsidRPr="00BE6A64">
        <w:rPr>
          <w:rFonts w:eastAsia="Arial"/>
          <w:b/>
          <w:sz w:val="24"/>
        </w:rPr>
        <w:t>4.5 Gap 5: R&amp;D Investment Disproportion</w:t>
      </w:r>
    </w:p>
    <w:p w14:paraId="271C74FF" w14:textId="77777777" w:rsidR="002A7111" w:rsidRPr="00BE6A64" w:rsidRDefault="002A7111" w:rsidP="00AD02B1">
      <w:pPr>
        <w:spacing w:after="240" w:line="276" w:lineRule="auto"/>
        <w:jc w:val="both"/>
      </w:pPr>
      <w:r w:rsidRPr="00BE6A64">
        <w:rPr>
          <w:color w:val="000000"/>
        </w:rPr>
        <w:t xml:space="preserve">The Global AMR R&amp;D Hub 2024 annual analysis documented that animal vaccine development received only 7 USD cents per USD 10 of total AMR R&amp;D investment </w:t>
      </w:r>
      <w:r w:rsidR="00955711" w:rsidRPr="00BE6A64">
        <w:rPr>
          <w:color w:val="000000"/>
        </w:rPr>
        <w:t>(Global AMR R&amp;D Hub, 2024)</w:t>
      </w:r>
      <w:r w:rsidRPr="00BE6A64">
        <w:rPr>
          <w:color w:val="000000"/>
        </w:rPr>
        <w:t>. This severe funding imbalance structurally constrains the development pipeline for vaccines targeting the priority pathogens identified in this review. A recalibration of international funding priorities is not merely recommended but epidemiologically mandatory.</w:t>
      </w:r>
    </w:p>
    <w:p w14:paraId="09C11E9A" w14:textId="77777777" w:rsidR="004F204E" w:rsidRPr="00BE6A64" w:rsidRDefault="004F204E" w:rsidP="00AD02B1">
      <w:pPr>
        <w:spacing w:after="240" w:line="276" w:lineRule="auto"/>
        <w:rPr>
          <w:rFonts w:eastAsia="Arial"/>
          <w:b/>
          <w:sz w:val="24"/>
        </w:rPr>
      </w:pPr>
    </w:p>
    <w:p w14:paraId="50BFA3C1" w14:textId="77777777" w:rsidR="00A115A4" w:rsidRPr="00BE6A64" w:rsidRDefault="002A7111" w:rsidP="00AD02B1">
      <w:pPr>
        <w:spacing w:after="240" w:line="276" w:lineRule="auto"/>
        <w:rPr>
          <w:b/>
          <w:sz w:val="24"/>
        </w:rPr>
      </w:pPr>
      <w:r w:rsidRPr="00BE6A64">
        <w:rPr>
          <w:rFonts w:eastAsia="Arial"/>
          <w:b/>
          <w:sz w:val="24"/>
        </w:rPr>
        <w:t>5. DISCUSSION</w:t>
      </w:r>
    </w:p>
    <w:p w14:paraId="62FA0A96" w14:textId="77777777" w:rsidR="002A7111" w:rsidRPr="00BE6A64" w:rsidRDefault="002A7111" w:rsidP="00AD02B1">
      <w:pPr>
        <w:spacing w:after="240" w:line="276" w:lineRule="auto"/>
        <w:jc w:val="both"/>
        <w:rPr>
          <w:color w:val="000000"/>
        </w:rPr>
      </w:pPr>
      <w:r w:rsidRPr="00BE6A64">
        <w:rPr>
          <w:color w:val="000000"/>
        </w:rPr>
        <w:t>This systematic review confirms that animal vaccination has a documented capacity to reduce AMU in specific, well-resourced, high-surveillance contexts. The Norwegian aquaculture m</w:t>
      </w:r>
      <w:r w:rsidR="00593707" w:rsidRPr="00BE6A64">
        <w:rPr>
          <w:color w:val="000000"/>
        </w:rPr>
        <w:t>odel remains the gold standard-</w:t>
      </w:r>
      <w:r w:rsidRPr="00BE6A64">
        <w:rPr>
          <w:color w:val="000000"/>
        </w:rPr>
        <w:t xml:space="preserve"> a comprehensive, decades-long policy-industry-research collaboration that achieved the largest quantified AMU reduction attributable to vaccination in any production sector globally </w:t>
      </w:r>
      <w:r w:rsidR="00EF4398" w:rsidRPr="00BE6A64">
        <w:rPr>
          <w:color w:val="000000"/>
        </w:rPr>
        <w:t>(</w:t>
      </w:r>
      <w:proofErr w:type="spellStart"/>
      <w:r w:rsidR="00664117" w:rsidRPr="00BE6A64">
        <w:rPr>
          <w:color w:val="000000"/>
        </w:rPr>
        <w:t>Yugueros</w:t>
      </w:r>
      <w:proofErr w:type="spellEnd"/>
      <w:r w:rsidR="00664117" w:rsidRPr="00BE6A64">
        <w:rPr>
          <w:color w:val="000000"/>
        </w:rPr>
        <w:t>-Marcos &amp; Etienne, 2026</w:t>
      </w:r>
      <w:r w:rsidR="00EF4398" w:rsidRPr="00BE6A64">
        <w:rPr>
          <w:color w:val="000000"/>
        </w:rPr>
        <w:t>)</w:t>
      </w:r>
      <w:r w:rsidRPr="00BE6A64">
        <w:rPr>
          <w:color w:val="000000"/>
        </w:rPr>
        <w:t>. Its replicability in terrestrial livestock systems and in LMICs, however, requires direct empirical investigation. The 2025 PNAS study (</w:t>
      </w:r>
      <w:r w:rsidR="00F07E74" w:rsidRPr="00BE6A64">
        <w:rPr>
          <w:color w:val="000000"/>
        </w:rPr>
        <w:t xml:space="preserve">Gleason </w:t>
      </w:r>
      <w:r w:rsidR="00F07E74" w:rsidRPr="00BE6A64">
        <w:rPr>
          <w:i/>
          <w:color w:val="000000"/>
        </w:rPr>
        <w:t>et al</w:t>
      </w:r>
      <w:r w:rsidR="00F07E74" w:rsidRPr="00BE6A64">
        <w:rPr>
          <w:color w:val="000000"/>
        </w:rPr>
        <w:t>., 2025</w:t>
      </w:r>
      <w:r w:rsidR="00283459" w:rsidRPr="00BE6A64">
        <w:rPr>
          <w:color w:val="000000"/>
        </w:rPr>
        <w:t>;</w:t>
      </w:r>
      <w:r w:rsidR="00593707" w:rsidRPr="00BE6A64">
        <w:rPr>
          <w:color w:val="000000"/>
        </w:rPr>
        <w:t xml:space="preserve"> </w:t>
      </w:r>
      <w:r w:rsidR="00283459" w:rsidRPr="00BE6A64">
        <w:rPr>
          <w:color w:val="000000"/>
        </w:rPr>
        <w:t xml:space="preserve">Laxminarayan </w:t>
      </w:r>
      <w:r w:rsidR="00283459" w:rsidRPr="00BE6A64">
        <w:rPr>
          <w:i/>
          <w:color w:val="000000"/>
        </w:rPr>
        <w:t>et al</w:t>
      </w:r>
      <w:r w:rsidR="00283459" w:rsidRPr="00BE6A64">
        <w:rPr>
          <w:color w:val="000000"/>
        </w:rPr>
        <w:t>., 2024</w:t>
      </w:r>
      <w:r w:rsidR="00593707" w:rsidRPr="00BE6A64">
        <w:rPr>
          <w:color w:val="000000"/>
        </w:rPr>
        <w:t>)-</w:t>
      </w:r>
      <w:r w:rsidRPr="00BE6A64">
        <w:rPr>
          <w:color w:val="000000"/>
        </w:rPr>
        <w:t xml:space="preserve"> the first </w:t>
      </w:r>
      <w:r w:rsidRPr="00BE6A64">
        <w:rPr>
          <w:color w:val="000000"/>
        </w:rPr>
        <w:lastRenderedPageBreak/>
        <w:t>to systematically estimate vaccination coverage across</w:t>
      </w:r>
      <w:r w:rsidR="00593707" w:rsidRPr="00BE6A64">
        <w:rPr>
          <w:color w:val="000000"/>
        </w:rPr>
        <w:t xml:space="preserve"> 104 diseases in 203 countries- </w:t>
      </w:r>
      <w:r w:rsidRPr="00BE6A64">
        <w:rPr>
          <w:color w:val="000000"/>
        </w:rPr>
        <w:t xml:space="preserve"> found coverages below 20% for most major pathogens in at-risk global livestock populations, directly implying that the potential AMU-reduction benefit of existing licensed vaccines remains substantially unrealized.</w:t>
      </w:r>
    </w:p>
    <w:p w14:paraId="2D7516C7" w14:textId="77777777" w:rsidR="00B13AED" w:rsidRPr="00BE6A64" w:rsidRDefault="00B13AED" w:rsidP="00AD02B1">
      <w:pPr>
        <w:spacing w:after="240" w:line="276" w:lineRule="auto"/>
        <w:jc w:val="both"/>
        <w:rPr>
          <w:color w:val="000000"/>
        </w:rPr>
      </w:pPr>
      <w:r w:rsidRPr="00BE6A64">
        <w:rPr>
          <w:noProof/>
        </w:rPr>
        <w:drawing>
          <wp:anchor distT="0" distB="0" distL="114300" distR="114300" simplePos="0" relativeHeight="251660288" behindDoc="0" locked="0" layoutInCell="1" allowOverlap="1" wp14:anchorId="297D1385" wp14:editId="3E629C93">
            <wp:simplePos x="0" y="0"/>
            <wp:positionH relativeFrom="margin">
              <wp:align>right</wp:align>
            </wp:positionH>
            <wp:positionV relativeFrom="paragraph">
              <wp:posOffset>7620</wp:posOffset>
            </wp:positionV>
            <wp:extent cx="5945505" cy="1720850"/>
            <wp:effectExtent l="0" t="0" r="0" b="0"/>
            <wp:wrapNone/>
            <wp:docPr id="3" name="Picture 3" descr="C:\Users\FARAZI MART\Downloads\WhatsApp Image 2026-04-08 at 8.15.3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RAZI MART\Downloads\WhatsApp Image 2026-04-08 at 8.15.33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2810" t="14673" b="34993"/>
                    <a:stretch/>
                  </pic:blipFill>
                  <pic:spPr bwMode="auto">
                    <a:xfrm>
                      <a:off x="0" y="0"/>
                      <a:ext cx="5945505" cy="172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F7948D" w14:textId="77777777" w:rsidR="00B13AED" w:rsidRPr="00BE6A64" w:rsidRDefault="00B13AED" w:rsidP="00AD02B1">
      <w:pPr>
        <w:spacing w:after="240" w:line="276" w:lineRule="auto"/>
        <w:jc w:val="both"/>
        <w:rPr>
          <w:color w:val="000000"/>
        </w:rPr>
      </w:pPr>
    </w:p>
    <w:p w14:paraId="580AD145" w14:textId="77777777" w:rsidR="00B13AED" w:rsidRPr="00BE6A64" w:rsidRDefault="00B13AED" w:rsidP="00AD02B1">
      <w:pPr>
        <w:spacing w:after="240" w:line="276" w:lineRule="auto"/>
        <w:jc w:val="both"/>
        <w:rPr>
          <w:color w:val="000000"/>
        </w:rPr>
      </w:pPr>
    </w:p>
    <w:p w14:paraId="320B1B36" w14:textId="77777777" w:rsidR="00B13AED" w:rsidRPr="00BE6A64" w:rsidRDefault="00B13AED" w:rsidP="00AD02B1">
      <w:pPr>
        <w:spacing w:after="240" w:line="276" w:lineRule="auto"/>
        <w:jc w:val="both"/>
        <w:rPr>
          <w:color w:val="000000"/>
        </w:rPr>
      </w:pPr>
    </w:p>
    <w:p w14:paraId="6F1FA39B" w14:textId="77777777" w:rsidR="00B13AED" w:rsidRPr="00BE6A64" w:rsidRDefault="00B13AED" w:rsidP="00AD02B1">
      <w:pPr>
        <w:spacing w:after="240" w:line="276" w:lineRule="auto"/>
        <w:jc w:val="both"/>
        <w:rPr>
          <w:color w:val="000000"/>
        </w:rPr>
      </w:pPr>
    </w:p>
    <w:p w14:paraId="2BD46BF8" w14:textId="77777777" w:rsidR="00B13AED" w:rsidRPr="00BE6A64" w:rsidRDefault="00B13AED" w:rsidP="00B13AED">
      <w:pPr>
        <w:pStyle w:val="NormalWeb"/>
        <w:rPr>
          <w:color w:val="000000"/>
          <w:sz w:val="22"/>
          <w:szCs w:val="22"/>
        </w:rPr>
      </w:pPr>
    </w:p>
    <w:p w14:paraId="0F3EC9E9" w14:textId="77777777" w:rsidR="00B13AED" w:rsidRPr="00BE6A64" w:rsidRDefault="00B13AED" w:rsidP="008D2978">
      <w:pPr>
        <w:pStyle w:val="NormalWeb"/>
      </w:pPr>
      <w:r w:rsidRPr="00BE6A64">
        <w:rPr>
          <w:b/>
        </w:rPr>
        <w:t>Figure 2 –</w:t>
      </w:r>
      <w:r w:rsidRPr="00BE6A64">
        <w:t xml:space="preserve"> Conceptual pathway illustrating how animal vaccination reduces infection pressure, antimicrobial use, and ultimately antimicrobial resistance within a One Health framework.</w:t>
      </w:r>
    </w:p>
    <w:p w14:paraId="76D4A7B0" w14:textId="77777777" w:rsidR="002A7111" w:rsidRPr="00BE6A64" w:rsidRDefault="002A7111" w:rsidP="00AD02B1">
      <w:pPr>
        <w:spacing w:after="240" w:line="276" w:lineRule="auto"/>
        <w:jc w:val="both"/>
      </w:pPr>
      <w:r w:rsidRPr="00BE6A64">
        <w:rPr>
          <w:color w:val="000000"/>
        </w:rPr>
        <w:t xml:space="preserve">The One Health integration deficit is particularly consequential. No included study reported integrated outcomes simultaneously spanning animal vaccination rates, downstream AMR burden in humans, and environmental ARG loads. This reflects siloed research architectures that compartmentalize veterinary, public health, and environmental microbiology surveillance. The WOAH One Health Joint Plan of Action (2022–2026) </w:t>
      </w:r>
      <w:r w:rsidR="00445C37" w:rsidRPr="00BE6A64">
        <w:rPr>
          <w:color w:val="000000"/>
        </w:rPr>
        <w:t xml:space="preserve">(WHO </w:t>
      </w:r>
      <w:r w:rsidR="00445C37" w:rsidRPr="00BE6A64">
        <w:rPr>
          <w:i/>
          <w:color w:val="000000"/>
        </w:rPr>
        <w:t>et al</w:t>
      </w:r>
      <w:r w:rsidR="00445C37" w:rsidRPr="00BE6A64">
        <w:rPr>
          <w:color w:val="000000"/>
        </w:rPr>
        <w:t>., 2022)</w:t>
      </w:r>
      <w:r w:rsidRPr="00BE6A64">
        <w:rPr>
          <w:color w:val="000000"/>
        </w:rPr>
        <w:t xml:space="preserve"> explicitly calls for integrated AMR surveillance, but the scientific literature has yet to operationalize this vision at a population level.</w:t>
      </w:r>
    </w:p>
    <w:p w14:paraId="5732060B" w14:textId="77777777" w:rsidR="002A7111" w:rsidRPr="00BE6A64" w:rsidRDefault="00593707" w:rsidP="00AD02B1">
      <w:pPr>
        <w:spacing w:after="240" w:line="276" w:lineRule="auto"/>
        <w:jc w:val="both"/>
      </w:pPr>
      <w:r w:rsidRPr="00BE6A64">
        <w:rPr>
          <w:color w:val="000000"/>
        </w:rPr>
        <w:t>Emerging vaccine platforms-</w:t>
      </w:r>
      <w:r w:rsidR="002A7111" w:rsidRPr="00BE6A64">
        <w:rPr>
          <w:color w:val="000000"/>
        </w:rPr>
        <w:t xml:space="preserve"> particularly </w:t>
      </w:r>
      <w:r w:rsidRPr="00BE6A64">
        <w:rPr>
          <w:color w:val="000000"/>
        </w:rPr>
        <w:t>mRNA-based veterinary vaccines-</w:t>
      </w:r>
      <w:r w:rsidR="002A7111" w:rsidRPr="00BE6A64">
        <w:rPr>
          <w:color w:val="000000"/>
        </w:rPr>
        <w:t xml:space="preserve"> may substantially expand the development pipeline for AMR-priority bacterial pathogens. SEQUIVITY IAV-S NA (2024, Merck Animal Health), the first commercially available mRNA vaccine in swine, demonstrates technological readiness </w:t>
      </w:r>
      <w:r w:rsidR="00422C2A" w:rsidRPr="00BE6A64">
        <w:rPr>
          <w:color w:val="000000"/>
        </w:rPr>
        <w:t>(ASM, 2025).</w:t>
      </w:r>
      <w:r w:rsidR="002A7111" w:rsidRPr="00BE6A64">
        <w:rPr>
          <w:color w:val="000000"/>
        </w:rPr>
        <w:t xml:space="preserve"> However, no clinical trial data exist for bacterial pathogen targets in food-producing animals using mRNA platforms, and policy uncertainty in multiple jurisdictions constitutes a structural barrier.</w:t>
      </w:r>
    </w:p>
    <w:p w14:paraId="351EBE9F" w14:textId="77777777" w:rsidR="002A7111" w:rsidRPr="00BE6A64" w:rsidRDefault="002A7111" w:rsidP="00AD02B1">
      <w:pPr>
        <w:spacing w:after="240" w:line="276" w:lineRule="auto"/>
        <w:jc w:val="both"/>
        <w:rPr>
          <w:color w:val="000000"/>
        </w:rPr>
      </w:pPr>
      <w:r w:rsidRPr="00BE6A64">
        <w:rPr>
          <w:color w:val="000000"/>
        </w:rPr>
        <w:t>The Philosophical Transactions of the Royal Society B special issue on animal va</w:t>
      </w:r>
      <w:r w:rsidR="00F8564E" w:rsidRPr="00BE6A64">
        <w:rPr>
          <w:color w:val="000000"/>
        </w:rPr>
        <w:t>ccines and AMR (</w:t>
      </w:r>
      <w:proofErr w:type="spellStart"/>
      <w:r w:rsidR="00664117" w:rsidRPr="00BE6A64">
        <w:rPr>
          <w:color w:val="000000"/>
        </w:rPr>
        <w:t>Yugueros</w:t>
      </w:r>
      <w:proofErr w:type="spellEnd"/>
      <w:r w:rsidR="00664117" w:rsidRPr="00BE6A64">
        <w:rPr>
          <w:color w:val="000000"/>
        </w:rPr>
        <w:t>-Marcos &amp; Etienne, 2026</w:t>
      </w:r>
      <w:r w:rsidRPr="00BE6A64">
        <w:rPr>
          <w:color w:val="000000"/>
        </w:rPr>
        <w:t>) reinforces our findings, explicitly identifying cost-effectiveness data gaps and the underfunding of animal AMR vaccine R&amp;D as principal barriers. Our review systematizes these observations and extends them to 10 prioritized, evidence-grounded research gaps.</w:t>
      </w:r>
    </w:p>
    <w:p w14:paraId="77839F71" w14:textId="77777777" w:rsidR="00B1613F" w:rsidRPr="00BE6A64" w:rsidRDefault="00B1613F" w:rsidP="00AD02B1">
      <w:pPr>
        <w:spacing w:after="240" w:line="276" w:lineRule="auto"/>
        <w:jc w:val="both"/>
      </w:pPr>
    </w:p>
    <w:p w14:paraId="0F88AF69" w14:textId="77777777" w:rsidR="00A115A4" w:rsidRPr="00BE6A64" w:rsidRDefault="002A7111" w:rsidP="00AD02B1">
      <w:pPr>
        <w:spacing w:after="240" w:line="276" w:lineRule="auto"/>
        <w:rPr>
          <w:rFonts w:eastAsia="Arial"/>
          <w:b/>
          <w:sz w:val="24"/>
        </w:rPr>
      </w:pPr>
      <w:r w:rsidRPr="00BE6A64">
        <w:rPr>
          <w:rFonts w:eastAsia="Arial"/>
          <w:b/>
          <w:sz w:val="24"/>
        </w:rPr>
        <w:t>5.1 Comparison with Previous Reviews</w:t>
      </w:r>
    </w:p>
    <w:p w14:paraId="09BDFE47" w14:textId="77777777" w:rsidR="00037F9B" w:rsidRPr="00BE6A64" w:rsidRDefault="000D603C" w:rsidP="00037F9B">
      <w:pPr>
        <w:spacing w:after="240" w:line="276" w:lineRule="auto"/>
        <w:jc w:val="both"/>
        <w:rPr>
          <w:color w:val="000000"/>
        </w:rPr>
      </w:pPr>
      <w:r w:rsidRPr="00BE6A64">
        <w:rPr>
          <w:color w:val="000000"/>
        </w:rPr>
        <w:t xml:space="preserve">(Hoelzer </w:t>
      </w:r>
      <w:r w:rsidRPr="00BE6A64">
        <w:rPr>
          <w:i/>
          <w:color w:val="000000"/>
        </w:rPr>
        <w:t>et al</w:t>
      </w:r>
      <w:r w:rsidRPr="00BE6A64">
        <w:rPr>
          <w:color w:val="000000"/>
        </w:rPr>
        <w:t xml:space="preserve">., </w:t>
      </w:r>
      <w:r w:rsidR="002A7111" w:rsidRPr="00BE6A64">
        <w:rPr>
          <w:color w:val="000000"/>
        </w:rPr>
        <w:t>2018) noted the potential of animal vaccination as an AMR strategy but lacked the systematic framework to delineate resear</w:t>
      </w:r>
      <w:r w:rsidR="008605FF" w:rsidRPr="00BE6A64">
        <w:rPr>
          <w:color w:val="000000"/>
        </w:rPr>
        <w:t>ch gaps with precision. In 2026</w:t>
      </w:r>
      <w:r w:rsidR="002A7111" w:rsidRPr="00BE6A64">
        <w:rPr>
          <w:color w:val="000000"/>
        </w:rPr>
        <w:t xml:space="preserve"> review by </w:t>
      </w:r>
      <w:proofErr w:type="spellStart"/>
      <w:r w:rsidR="008605FF" w:rsidRPr="00BE6A64">
        <w:rPr>
          <w:color w:val="000000"/>
        </w:rPr>
        <w:t>Yugueros</w:t>
      </w:r>
      <w:proofErr w:type="spellEnd"/>
      <w:r w:rsidR="008605FF" w:rsidRPr="00BE6A64">
        <w:rPr>
          <w:color w:val="000000"/>
        </w:rPr>
        <w:t>-Marcos &amp; Etienne, 2026</w:t>
      </w:r>
      <w:r w:rsidR="002A7111" w:rsidRPr="00BE6A64">
        <w:rPr>
          <w:color w:val="000000"/>
        </w:rPr>
        <w:t xml:space="preserve"> and the 2025 review on livestock antibiotic use (</w:t>
      </w:r>
      <w:proofErr w:type="spellStart"/>
      <w:r w:rsidR="002A7111" w:rsidRPr="00BE6A64">
        <w:rPr>
          <w:color w:val="000000"/>
        </w:rPr>
        <w:t>Trinchera</w:t>
      </w:r>
      <w:proofErr w:type="spellEnd"/>
      <w:r w:rsidR="002A7111" w:rsidRPr="00BE6A64">
        <w:rPr>
          <w:color w:val="000000"/>
        </w:rPr>
        <w:t xml:space="preserve"> </w:t>
      </w:r>
      <w:r w:rsidR="002A7111" w:rsidRPr="00BE6A64">
        <w:rPr>
          <w:i/>
          <w:color w:val="000000"/>
        </w:rPr>
        <w:t>et al</w:t>
      </w:r>
      <w:r w:rsidR="002A7111" w:rsidRPr="00BE6A64">
        <w:rPr>
          <w:color w:val="000000"/>
        </w:rPr>
        <w:t xml:space="preserve">., </w:t>
      </w:r>
      <w:r w:rsidR="00C556FA" w:rsidRPr="00BE6A64">
        <w:rPr>
          <w:color w:val="000000"/>
        </w:rPr>
        <w:t>2025</w:t>
      </w:r>
      <w:r w:rsidR="002A7111" w:rsidRPr="00BE6A64">
        <w:rPr>
          <w:color w:val="000000"/>
        </w:rPr>
        <w:t xml:space="preserve">) corroborate the directionality of our findings </w:t>
      </w:r>
      <w:r w:rsidR="00C556FA" w:rsidRPr="00BE6A64">
        <w:rPr>
          <w:color w:val="000000"/>
        </w:rPr>
        <w:t>(</w:t>
      </w:r>
      <w:proofErr w:type="spellStart"/>
      <w:r w:rsidR="00C556FA" w:rsidRPr="00BE6A64">
        <w:rPr>
          <w:color w:val="000000"/>
        </w:rPr>
        <w:t>Trinchera</w:t>
      </w:r>
      <w:proofErr w:type="spellEnd"/>
      <w:r w:rsidR="00C556FA" w:rsidRPr="00BE6A64">
        <w:rPr>
          <w:color w:val="000000"/>
        </w:rPr>
        <w:t xml:space="preserve"> </w:t>
      </w:r>
      <w:r w:rsidR="00C556FA" w:rsidRPr="00BE6A64">
        <w:rPr>
          <w:i/>
          <w:color w:val="000000"/>
        </w:rPr>
        <w:t>et al</w:t>
      </w:r>
      <w:r w:rsidR="00C556FA" w:rsidRPr="00BE6A64">
        <w:rPr>
          <w:color w:val="000000"/>
        </w:rPr>
        <w:t>., 2025)</w:t>
      </w:r>
      <w:r w:rsidR="002A7111" w:rsidRPr="00BE6A64">
        <w:rPr>
          <w:color w:val="000000"/>
        </w:rPr>
        <w:t xml:space="preserve">. Our review uniquely contributes a 10-domain </w:t>
      </w:r>
      <w:r w:rsidR="002A7111" w:rsidRPr="00BE6A64">
        <w:rPr>
          <w:color w:val="000000"/>
        </w:rPr>
        <w:lastRenderedPageBreak/>
        <w:t xml:space="preserve">prioritized gap matrix and encompasses the most recent (2024–2025) literature on global vaccination coverage and projections </w:t>
      </w:r>
      <w:r w:rsidR="00037F9B" w:rsidRPr="00BE6A64">
        <w:rPr>
          <w:color w:val="000000"/>
        </w:rPr>
        <w:t>(</w:t>
      </w:r>
      <w:r w:rsidR="00F07E74" w:rsidRPr="00BE6A64">
        <w:rPr>
          <w:color w:val="000000"/>
        </w:rPr>
        <w:t xml:space="preserve">Gleason </w:t>
      </w:r>
      <w:r w:rsidR="00F07E74" w:rsidRPr="00BE6A64">
        <w:rPr>
          <w:i/>
          <w:color w:val="000000"/>
        </w:rPr>
        <w:t>et al</w:t>
      </w:r>
      <w:r w:rsidR="00F07E74" w:rsidRPr="00BE6A64">
        <w:rPr>
          <w:color w:val="000000"/>
        </w:rPr>
        <w:t>., 2025</w:t>
      </w:r>
      <w:r w:rsidR="00037F9B" w:rsidRPr="00BE6A64">
        <w:rPr>
          <w:color w:val="000000"/>
        </w:rPr>
        <w:t>)</w:t>
      </w:r>
    </w:p>
    <w:p w14:paraId="58D0A6EF" w14:textId="77777777" w:rsidR="007430E5" w:rsidRPr="00BE6A64" w:rsidRDefault="007430E5" w:rsidP="00037F9B">
      <w:pPr>
        <w:spacing w:after="240" w:line="276" w:lineRule="auto"/>
        <w:jc w:val="both"/>
        <w:rPr>
          <w:color w:val="000000"/>
        </w:rPr>
      </w:pPr>
      <w:r w:rsidRPr="00BE6A64">
        <w:rPr>
          <w:noProof/>
        </w:rPr>
        <w:drawing>
          <wp:anchor distT="0" distB="0" distL="114300" distR="114300" simplePos="0" relativeHeight="251662336" behindDoc="0" locked="0" layoutInCell="1" allowOverlap="1" wp14:anchorId="1AC637D7" wp14:editId="4158EB9A">
            <wp:simplePos x="0" y="0"/>
            <wp:positionH relativeFrom="margin">
              <wp:posOffset>476250</wp:posOffset>
            </wp:positionH>
            <wp:positionV relativeFrom="paragraph">
              <wp:posOffset>99695</wp:posOffset>
            </wp:positionV>
            <wp:extent cx="4959350" cy="4508500"/>
            <wp:effectExtent l="0" t="0" r="0" b="6350"/>
            <wp:wrapNone/>
            <wp:docPr id="4" name="Picture 4" descr="C:\Users\FARAZI MART\Downloads\WhatsApp Image 2026-04-08 at 8.15.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RAZI MART\Downloads\WhatsApp Image 2026-04-08 at 8.15.34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8009" t="1990" r="8594" b="3821"/>
                    <a:stretch/>
                  </pic:blipFill>
                  <pic:spPr bwMode="auto">
                    <a:xfrm>
                      <a:off x="0" y="0"/>
                      <a:ext cx="4959407" cy="45085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A1010E" w14:textId="77777777" w:rsidR="007430E5" w:rsidRPr="00BE6A64" w:rsidRDefault="007430E5" w:rsidP="007430E5"/>
    <w:p w14:paraId="56B254F2" w14:textId="77777777" w:rsidR="007430E5" w:rsidRPr="00BE6A64" w:rsidRDefault="007430E5" w:rsidP="007430E5"/>
    <w:p w14:paraId="1271A01C" w14:textId="77777777" w:rsidR="007430E5" w:rsidRPr="00BE6A64" w:rsidRDefault="007430E5" w:rsidP="007430E5">
      <w:pPr>
        <w:pStyle w:val="NormalWeb"/>
      </w:pPr>
    </w:p>
    <w:p w14:paraId="2C17FDA2" w14:textId="77777777" w:rsidR="007430E5" w:rsidRPr="00BE6A64" w:rsidRDefault="007430E5" w:rsidP="007430E5"/>
    <w:p w14:paraId="2F69F0D1" w14:textId="77777777" w:rsidR="007430E5" w:rsidRPr="00BE6A64" w:rsidRDefault="007430E5" w:rsidP="007430E5"/>
    <w:p w14:paraId="0E4847EA" w14:textId="77777777" w:rsidR="007430E5" w:rsidRPr="00BE6A64" w:rsidRDefault="007430E5" w:rsidP="007430E5"/>
    <w:p w14:paraId="05FB8226" w14:textId="77777777" w:rsidR="007430E5" w:rsidRPr="00BE6A64" w:rsidRDefault="007430E5" w:rsidP="007430E5"/>
    <w:p w14:paraId="1CBCB0BE" w14:textId="77777777" w:rsidR="007430E5" w:rsidRPr="00BE6A64" w:rsidRDefault="007430E5" w:rsidP="007430E5"/>
    <w:p w14:paraId="0DD520B3" w14:textId="77777777" w:rsidR="007430E5" w:rsidRPr="00BE6A64" w:rsidRDefault="007430E5" w:rsidP="007430E5"/>
    <w:p w14:paraId="445424EE" w14:textId="77777777" w:rsidR="007430E5" w:rsidRPr="00BE6A64" w:rsidRDefault="007430E5" w:rsidP="007430E5"/>
    <w:p w14:paraId="6B199740" w14:textId="77777777" w:rsidR="007430E5" w:rsidRPr="00BE6A64" w:rsidRDefault="007430E5" w:rsidP="007430E5"/>
    <w:p w14:paraId="4FCC5574" w14:textId="77777777" w:rsidR="007430E5" w:rsidRPr="00BE6A64" w:rsidRDefault="007430E5" w:rsidP="007430E5"/>
    <w:p w14:paraId="6CF72FDC" w14:textId="77777777" w:rsidR="007430E5" w:rsidRPr="00BE6A64" w:rsidRDefault="007430E5" w:rsidP="007430E5"/>
    <w:p w14:paraId="61F3FA43" w14:textId="77777777" w:rsidR="007430E5" w:rsidRPr="00BE6A64" w:rsidRDefault="007430E5" w:rsidP="007430E5"/>
    <w:p w14:paraId="67D4D98B" w14:textId="77777777" w:rsidR="007430E5" w:rsidRPr="00BE6A64" w:rsidRDefault="007430E5" w:rsidP="007430E5"/>
    <w:p w14:paraId="6BAA9757" w14:textId="77777777" w:rsidR="007430E5" w:rsidRPr="00BE6A64" w:rsidRDefault="007430E5" w:rsidP="007430E5"/>
    <w:p w14:paraId="0A7CC963" w14:textId="77777777" w:rsidR="007430E5" w:rsidRPr="00BE6A64" w:rsidRDefault="007430E5" w:rsidP="007430E5"/>
    <w:p w14:paraId="70469A47" w14:textId="77777777" w:rsidR="007430E5" w:rsidRPr="00BE6A64" w:rsidRDefault="007430E5" w:rsidP="007430E5"/>
    <w:p w14:paraId="5F99824A" w14:textId="77777777" w:rsidR="007430E5" w:rsidRPr="00BE6A64" w:rsidRDefault="007430E5" w:rsidP="007430E5"/>
    <w:p w14:paraId="1F282B53" w14:textId="77777777" w:rsidR="007430E5" w:rsidRPr="00BE6A64" w:rsidRDefault="007430E5" w:rsidP="007430E5"/>
    <w:p w14:paraId="6312CBD8" w14:textId="77777777" w:rsidR="007430E5" w:rsidRPr="00BE6A64" w:rsidRDefault="007430E5" w:rsidP="007430E5"/>
    <w:p w14:paraId="6322FC40" w14:textId="77777777" w:rsidR="007430E5" w:rsidRPr="00BE6A64" w:rsidRDefault="007430E5" w:rsidP="007430E5"/>
    <w:p w14:paraId="50341AD6" w14:textId="77777777" w:rsidR="007430E5" w:rsidRPr="00BE6A64" w:rsidRDefault="007430E5" w:rsidP="007430E5"/>
    <w:p w14:paraId="79F659AF" w14:textId="77777777" w:rsidR="007430E5" w:rsidRPr="00BE6A64" w:rsidRDefault="007430E5" w:rsidP="007430E5"/>
    <w:p w14:paraId="7ADB7586" w14:textId="77777777" w:rsidR="007430E5" w:rsidRPr="00BE6A64" w:rsidRDefault="007430E5" w:rsidP="007430E5"/>
    <w:p w14:paraId="503885B2" w14:textId="77777777" w:rsidR="007430E5" w:rsidRPr="00BE6A64" w:rsidRDefault="007430E5" w:rsidP="007430E5"/>
    <w:p w14:paraId="236DECC9" w14:textId="77777777" w:rsidR="007430E5" w:rsidRPr="00BE6A64" w:rsidRDefault="007430E5" w:rsidP="007430E5"/>
    <w:p w14:paraId="4B219CCE" w14:textId="77777777" w:rsidR="007430E5" w:rsidRPr="00BE6A64" w:rsidRDefault="007430E5" w:rsidP="007430E5">
      <w:pPr>
        <w:rPr>
          <w:sz w:val="24"/>
        </w:rPr>
      </w:pPr>
      <w:r w:rsidRPr="00BE6A64">
        <w:rPr>
          <w:b/>
          <w:sz w:val="24"/>
        </w:rPr>
        <w:t xml:space="preserve">Figure 3 – </w:t>
      </w:r>
      <w:r w:rsidRPr="00BE6A64">
        <w:rPr>
          <w:sz w:val="24"/>
        </w:rPr>
        <w:t>Graphical summary of the role of livestock vaccination in reducing antimicrobial use and mitigating antimicrobial resistance.</w:t>
      </w:r>
    </w:p>
    <w:p w14:paraId="6389771B" w14:textId="77777777" w:rsidR="0036545D" w:rsidRPr="00BE6A64" w:rsidRDefault="0036545D" w:rsidP="007430E5">
      <w:pPr>
        <w:rPr>
          <w:sz w:val="24"/>
        </w:rPr>
      </w:pPr>
    </w:p>
    <w:p w14:paraId="2BAB32B5" w14:textId="77777777" w:rsidR="00A115A4" w:rsidRPr="00BE6A64" w:rsidRDefault="002A7111" w:rsidP="00037F9B">
      <w:pPr>
        <w:spacing w:after="240" w:line="276" w:lineRule="auto"/>
        <w:jc w:val="both"/>
        <w:rPr>
          <w:rFonts w:eastAsia="Arial"/>
          <w:b/>
          <w:sz w:val="24"/>
        </w:rPr>
      </w:pPr>
      <w:r w:rsidRPr="00BE6A64">
        <w:rPr>
          <w:rFonts w:eastAsia="Arial"/>
          <w:b/>
          <w:sz w:val="24"/>
        </w:rPr>
        <w:t>5.2 Limitations</w:t>
      </w:r>
    </w:p>
    <w:p w14:paraId="61C512CF" w14:textId="77777777" w:rsidR="002A7111" w:rsidRPr="00BE6A64" w:rsidRDefault="002A7111" w:rsidP="00AD02B1">
      <w:pPr>
        <w:spacing w:after="240" w:line="276" w:lineRule="auto"/>
        <w:jc w:val="both"/>
      </w:pPr>
      <w:r w:rsidRPr="00BE6A64">
        <w:rPr>
          <w:color w:val="000000"/>
        </w:rPr>
        <w:t>This review is limited by the paucity of RCT-level evidence, reliance on AMU as a proxy for AMR outcomes, and restricted geographic distribution of available data. Publication bias may have under-represented negative or null findings. The lack of standardized AMU reporting across countries and production systems complicated quantitative synthesis, precluding formal meta-analysis. The review searched publications from 2005 to March 2025; more recent preprints and grey literature may not be captured.</w:t>
      </w:r>
    </w:p>
    <w:p w14:paraId="606F6CDC" w14:textId="77777777" w:rsidR="002A7111" w:rsidRPr="00BE6A64" w:rsidRDefault="002A7111" w:rsidP="00AD02B1">
      <w:pPr>
        <w:spacing w:after="240" w:line="276" w:lineRule="auto"/>
        <w:rPr>
          <w:b/>
          <w:sz w:val="24"/>
        </w:rPr>
      </w:pPr>
      <w:r w:rsidRPr="00BE6A64">
        <w:rPr>
          <w:rFonts w:eastAsia="Arial"/>
          <w:b/>
          <w:sz w:val="24"/>
        </w:rPr>
        <w:t>6. RECOMMENDATIONS AND FUTURE DIRECTIONS</w:t>
      </w:r>
    </w:p>
    <w:p w14:paraId="2DB00FB6" w14:textId="77777777" w:rsidR="00A115A4" w:rsidRPr="00BE6A64" w:rsidRDefault="002A7111" w:rsidP="00AD02B1">
      <w:pPr>
        <w:spacing w:after="240" w:line="276" w:lineRule="auto"/>
        <w:rPr>
          <w:rFonts w:eastAsia="Arial"/>
          <w:b/>
          <w:sz w:val="24"/>
        </w:rPr>
      </w:pPr>
      <w:r w:rsidRPr="00BE6A64">
        <w:rPr>
          <w:rFonts w:eastAsia="Arial"/>
          <w:b/>
          <w:sz w:val="24"/>
        </w:rPr>
        <w:lastRenderedPageBreak/>
        <w:t>6.1 For Researchers</w:t>
      </w:r>
    </w:p>
    <w:p w14:paraId="56578026" w14:textId="77777777" w:rsidR="00B05730" w:rsidRPr="00BE6A64" w:rsidRDefault="002A7111" w:rsidP="007413A3">
      <w:pPr>
        <w:pStyle w:val="ListParagraph"/>
        <w:numPr>
          <w:ilvl w:val="0"/>
          <w:numId w:val="4"/>
        </w:numPr>
        <w:spacing w:before="40" w:after="240" w:line="276" w:lineRule="auto"/>
        <w:jc w:val="both"/>
      </w:pPr>
      <w:r w:rsidRPr="00BE6A64">
        <w:t xml:space="preserve">Design prospective RCTs with </w:t>
      </w:r>
      <w:proofErr w:type="spellStart"/>
      <w:r w:rsidRPr="00BE6A64">
        <w:t>resistome</w:t>
      </w:r>
      <w:proofErr w:type="spellEnd"/>
      <w:r w:rsidRPr="00BE6A64">
        <w:t xml:space="preserve"> outcomes (shotgun metagenomics of gut and environmental samples) as primary endpoints, not solely AMU as a proxy </w:t>
      </w:r>
      <w:r w:rsidR="00B05730" w:rsidRPr="00BE6A64">
        <w:t xml:space="preserve">(Antimicrobial Resistance Collaborators, 2022; WOAH, 2024; </w:t>
      </w:r>
      <w:r w:rsidR="002B449E" w:rsidRPr="00BE6A64">
        <w:t xml:space="preserve">Chen </w:t>
      </w:r>
      <w:r w:rsidR="002B449E" w:rsidRPr="00BE6A64">
        <w:rPr>
          <w:i/>
        </w:rPr>
        <w:t>et al</w:t>
      </w:r>
      <w:r w:rsidR="002B449E" w:rsidRPr="00BE6A64">
        <w:t>., 2025</w:t>
      </w:r>
      <w:r w:rsidR="00B05730" w:rsidRPr="00BE6A64">
        <w:t>).</w:t>
      </w:r>
    </w:p>
    <w:p w14:paraId="75DC1322" w14:textId="77777777" w:rsidR="002A7111" w:rsidRPr="00BE6A64" w:rsidRDefault="002A7111" w:rsidP="007413A3">
      <w:pPr>
        <w:pStyle w:val="ListParagraph"/>
        <w:numPr>
          <w:ilvl w:val="0"/>
          <w:numId w:val="4"/>
        </w:numPr>
        <w:spacing w:before="40" w:after="240" w:line="276" w:lineRule="auto"/>
        <w:jc w:val="both"/>
      </w:pPr>
      <w:r w:rsidRPr="00BE6A64">
        <w:t xml:space="preserve">Prioritize LMIC-based research, particularly in South and Southeast Asia and sub-Saharan Africa, where livestock AMU is highest and evidence is scarcest </w:t>
      </w:r>
      <w:r w:rsidR="0072709F" w:rsidRPr="00BE6A64">
        <w:t>(</w:t>
      </w:r>
      <w:proofErr w:type="spellStart"/>
      <w:r w:rsidR="00B33B09" w:rsidRPr="00BE6A64">
        <w:t>Naghavi</w:t>
      </w:r>
      <w:proofErr w:type="spellEnd"/>
      <w:r w:rsidR="00B33B09" w:rsidRPr="00BE6A64">
        <w:t xml:space="preserve"> </w:t>
      </w:r>
      <w:r w:rsidR="00B33B09" w:rsidRPr="00BE6A64">
        <w:rPr>
          <w:i/>
        </w:rPr>
        <w:t>et al</w:t>
      </w:r>
      <w:r w:rsidR="00B33B09" w:rsidRPr="00BE6A64">
        <w:t>., 2024</w:t>
      </w:r>
      <w:r w:rsidR="0072709F" w:rsidRPr="00BE6A64">
        <w:t xml:space="preserve">; Acosta </w:t>
      </w:r>
      <w:r w:rsidR="0072709F" w:rsidRPr="00BE6A64">
        <w:rPr>
          <w:i/>
        </w:rPr>
        <w:t>et al</w:t>
      </w:r>
      <w:r w:rsidR="0072709F" w:rsidRPr="00BE6A64">
        <w:t xml:space="preserve">., 2025; Laxminarayan </w:t>
      </w:r>
      <w:r w:rsidR="0072709F" w:rsidRPr="00BE6A64">
        <w:rPr>
          <w:i/>
        </w:rPr>
        <w:t>et al</w:t>
      </w:r>
      <w:r w:rsidR="0072709F" w:rsidRPr="00BE6A64">
        <w:t>., 2024</w:t>
      </w:r>
      <w:r w:rsidR="00B33B09" w:rsidRPr="00BE6A64">
        <w:t xml:space="preserve">; Dieng </w:t>
      </w:r>
      <w:r w:rsidR="00B33B09" w:rsidRPr="00BE6A64">
        <w:rPr>
          <w:i/>
        </w:rPr>
        <w:t>et al</w:t>
      </w:r>
      <w:r w:rsidR="00B33B09" w:rsidRPr="00BE6A64">
        <w:t>., 2025</w:t>
      </w:r>
      <w:r w:rsidR="0072709F" w:rsidRPr="00BE6A64">
        <w:t>).</w:t>
      </w:r>
    </w:p>
    <w:p w14:paraId="16D6FDAF" w14:textId="2CB9DCA2" w:rsidR="002A7111" w:rsidRPr="00BE6A64" w:rsidRDefault="002A7111" w:rsidP="007413A3">
      <w:pPr>
        <w:pStyle w:val="ListParagraph"/>
        <w:numPr>
          <w:ilvl w:val="0"/>
          <w:numId w:val="4"/>
        </w:numPr>
        <w:spacing w:before="40" w:after="240" w:line="276" w:lineRule="auto"/>
        <w:jc w:val="both"/>
      </w:pPr>
      <w:r w:rsidRPr="00BE6A64">
        <w:t xml:space="preserve">Conduct longitudinal cohort studies examining environmental ARG burden (soil, water, manure) before and after mass livestock vaccination programs </w:t>
      </w:r>
      <w:r w:rsidR="007A5F36" w:rsidRPr="00BE6A64">
        <w:t>(</w:t>
      </w:r>
      <w:r w:rsidR="00A81044" w:rsidRPr="00BE6A64">
        <w:rPr>
          <w:sz w:val="24"/>
          <w:szCs w:val="24"/>
        </w:rPr>
        <w:t>Bhuiyan, 2025;</w:t>
      </w:r>
      <w:r w:rsidR="008E2925">
        <w:rPr>
          <w:sz w:val="24"/>
          <w:szCs w:val="24"/>
        </w:rPr>
        <w:t xml:space="preserve"> </w:t>
      </w:r>
      <w:r w:rsidR="002B449E" w:rsidRPr="00BE6A64">
        <w:t xml:space="preserve">Chen </w:t>
      </w:r>
      <w:r w:rsidR="002B449E" w:rsidRPr="00BE6A64">
        <w:rPr>
          <w:i/>
        </w:rPr>
        <w:t>et al</w:t>
      </w:r>
      <w:r w:rsidR="002B449E" w:rsidRPr="00BE6A64">
        <w:t>., 2025</w:t>
      </w:r>
      <w:r w:rsidR="007A5F36" w:rsidRPr="00BE6A64">
        <w:t>)</w:t>
      </w:r>
    </w:p>
    <w:p w14:paraId="50CEDFA4" w14:textId="77777777" w:rsidR="00FD6FF3" w:rsidRPr="00BE6A64" w:rsidRDefault="002A7111" w:rsidP="007413A3">
      <w:pPr>
        <w:pStyle w:val="ListParagraph"/>
        <w:numPr>
          <w:ilvl w:val="0"/>
          <w:numId w:val="4"/>
        </w:numPr>
        <w:spacing w:before="40" w:after="240" w:line="276" w:lineRule="auto"/>
        <w:jc w:val="both"/>
      </w:pPr>
      <w:r w:rsidRPr="00BE6A64">
        <w:t xml:space="preserve">Investigate mRNA and subunit vaccine platforms against priority AMR-relevant bacterial pathogens (S. suis, ETEC, M. </w:t>
      </w:r>
      <w:proofErr w:type="spellStart"/>
      <w:r w:rsidRPr="00BE6A64">
        <w:t>hyopneumoniae</w:t>
      </w:r>
      <w:proofErr w:type="spellEnd"/>
      <w:r w:rsidRPr="00BE6A64">
        <w:t xml:space="preserve">, BRD complex) in food-producing animals </w:t>
      </w:r>
      <w:r w:rsidR="00FD6FF3" w:rsidRPr="00BE6A64">
        <w:t xml:space="preserve">(ASM, 2025; </w:t>
      </w:r>
      <w:r w:rsidR="00690EA7" w:rsidRPr="00BE6A64">
        <w:t xml:space="preserve">Zhang </w:t>
      </w:r>
      <w:r w:rsidR="00690EA7" w:rsidRPr="00BE6A64">
        <w:rPr>
          <w:i/>
        </w:rPr>
        <w:t>et al</w:t>
      </w:r>
      <w:r w:rsidR="00690EA7" w:rsidRPr="00BE6A64">
        <w:t>., 2025</w:t>
      </w:r>
      <w:r w:rsidR="00FD6FF3" w:rsidRPr="00BE6A64">
        <w:t>)</w:t>
      </w:r>
    </w:p>
    <w:p w14:paraId="2B6671D8" w14:textId="77777777" w:rsidR="004C62E8" w:rsidRPr="00BE6A64" w:rsidRDefault="002A7111" w:rsidP="007413A3">
      <w:pPr>
        <w:pStyle w:val="ListParagraph"/>
        <w:numPr>
          <w:ilvl w:val="0"/>
          <w:numId w:val="4"/>
        </w:numPr>
        <w:spacing w:before="40" w:after="240" w:line="276" w:lineRule="auto"/>
        <w:jc w:val="both"/>
        <w:rPr>
          <w:rFonts w:eastAsia="Arial"/>
          <w:b/>
          <w:sz w:val="24"/>
        </w:rPr>
      </w:pPr>
      <w:r w:rsidRPr="00BE6A64">
        <w:t xml:space="preserve">Integrate antimicrobial stewardship metrics into vaccine trial designs, reporting pre- and post-vaccination AMU alongside clinical endpoints </w:t>
      </w:r>
      <w:r w:rsidR="00707630" w:rsidRPr="00BE6A64">
        <w:t xml:space="preserve">(Raith </w:t>
      </w:r>
      <w:r w:rsidR="00707630" w:rsidRPr="00BE6A64">
        <w:rPr>
          <w:i/>
        </w:rPr>
        <w:t>et al</w:t>
      </w:r>
      <w:r w:rsidR="00707630" w:rsidRPr="00BE6A64">
        <w:t xml:space="preserve">., 2016; Laxminarayan </w:t>
      </w:r>
      <w:r w:rsidR="00707630" w:rsidRPr="00BE6A64">
        <w:rPr>
          <w:i/>
        </w:rPr>
        <w:t>et al</w:t>
      </w:r>
      <w:r w:rsidR="00707630" w:rsidRPr="00BE6A64">
        <w:t>., 2024)</w:t>
      </w:r>
    </w:p>
    <w:p w14:paraId="142A2817" w14:textId="77777777" w:rsidR="00A115A4" w:rsidRPr="00BE6A64" w:rsidRDefault="002A7111" w:rsidP="00AD02B1">
      <w:pPr>
        <w:spacing w:after="240" w:line="276" w:lineRule="auto"/>
        <w:rPr>
          <w:rFonts w:eastAsia="Arial"/>
          <w:b/>
          <w:sz w:val="24"/>
        </w:rPr>
      </w:pPr>
      <w:r w:rsidRPr="00BE6A64">
        <w:rPr>
          <w:rFonts w:eastAsia="Arial"/>
          <w:b/>
          <w:sz w:val="24"/>
        </w:rPr>
        <w:t>6.2 For Policy Makers and Funders</w:t>
      </w:r>
    </w:p>
    <w:p w14:paraId="3050ABCF" w14:textId="77777777" w:rsidR="00550F4E" w:rsidRPr="00BE6A64" w:rsidRDefault="002A7111" w:rsidP="00550F4E">
      <w:pPr>
        <w:pStyle w:val="ListParagraph"/>
        <w:numPr>
          <w:ilvl w:val="0"/>
          <w:numId w:val="1"/>
        </w:numPr>
        <w:spacing w:before="40" w:after="240" w:line="276" w:lineRule="auto"/>
        <w:jc w:val="both"/>
      </w:pPr>
      <w:r w:rsidRPr="00BE6A64">
        <w:t xml:space="preserve">Substantially increase funding allocation for animal vaccine R&amp;D within national and global AMR action plans; the current 7 USD cents per USD 10 is incommensurate with the disease burden </w:t>
      </w:r>
      <w:r w:rsidR="00550F4E" w:rsidRPr="00BE6A64">
        <w:t>(Global AMR R&amp;D Hub, 2024).</w:t>
      </w:r>
    </w:p>
    <w:p w14:paraId="21DBF98B" w14:textId="77777777" w:rsidR="00723A0E" w:rsidRPr="00BE6A64" w:rsidRDefault="002A7111" w:rsidP="00550F4E">
      <w:pPr>
        <w:pStyle w:val="ListParagraph"/>
        <w:numPr>
          <w:ilvl w:val="0"/>
          <w:numId w:val="1"/>
        </w:numPr>
        <w:spacing w:before="40" w:after="240" w:line="276" w:lineRule="auto"/>
        <w:jc w:val="both"/>
      </w:pPr>
      <w:r w:rsidRPr="00BE6A64">
        <w:t xml:space="preserve">Develop international regulatory harmonization frameworks to accelerate cross-border veterinary vaccine approval, reducing time-to-market in LMICs </w:t>
      </w:r>
      <w:r w:rsidR="000248A8" w:rsidRPr="00BE6A64">
        <w:rPr>
          <w:sz w:val="24"/>
          <w:szCs w:val="24"/>
        </w:rPr>
        <w:t xml:space="preserve">(Bhuiyan et al., 2026; </w:t>
      </w:r>
      <w:r w:rsidR="00723A0E" w:rsidRPr="00BE6A64">
        <w:t xml:space="preserve">WHO </w:t>
      </w:r>
      <w:r w:rsidR="00723A0E" w:rsidRPr="00BE6A64">
        <w:rPr>
          <w:i/>
        </w:rPr>
        <w:t>et al</w:t>
      </w:r>
      <w:r w:rsidR="00723A0E" w:rsidRPr="00BE6A64">
        <w:t>., 2022)</w:t>
      </w:r>
    </w:p>
    <w:p w14:paraId="0F011F11" w14:textId="77777777" w:rsidR="009E0C1F" w:rsidRPr="00BE6A64" w:rsidRDefault="002A7111" w:rsidP="00C012A9">
      <w:pPr>
        <w:pStyle w:val="ListParagraph"/>
        <w:numPr>
          <w:ilvl w:val="0"/>
          <w:numId w:val="1"/>
        </w:numPr>
        <w:spacing w:before="40" w:after="240" w:line="276" w:lineRule="auto"/>
        <w:jc w:val="both"/>
      </w:pPr>
      <w:r w:rsidRPr="00BE6A64">
        <w:t xml:space="preserve">Integrate livestock vaccination coverage data into national AMR surveillance systems and mandatory reporting to GLASS and WOAH ANIMUSE </w:t>
      </w:r>
      <w:r w:rsidR="009E0C1F" w:rsidRPr="00BE6A64">
        <w:t xml:space="preserve">(WOAH, 2024; WHO </w:t>
      </w:r>
      <w:r w:rsidR="009E0C1F" w:rsidRPr="00BE6A64">
        <w:rPr>
          <w:i/>
        </w:rPr>
        <w:t>et al</w:t>
      </w:r>
      <w:r w:rsidR="009E0C1F" w:rsidRPr="00BE6A64">
        <w:t>., 2022)</w:t>
      </w:r>
    </w:p>
    <w:p w14:paraId="39119349" w14:textId="77777777" w:rsidR="00A115A4" w:rsidRPr="00BE6A64" w:rsidRDefault="002A7111" w:rsidP="00C012A9">
      <w:pPr>
        <w:pStyle w:val="ListParagraph"/>
        <w:numPr>
          <w:ilvl w:val="0"/>
          <w:numId w:val="1"/>
        </w:numPr>
        <w:spacing w:before="40" w:after="240" w:line="276" w:lineRule="auto"/>
        <w:jc w:val="both"/>
        <w:rPr>
          <w:rFonts w:eastAsia="Arial"/>
          <w:b/>
          <w:sz w:val="24"/>
        </w:rPr>
      </w:pPr>
      <w:r w:rsidRPr="00BE6A64">
        <w:t xml:space="preserve">Incentivize private-sector investment through AMR-specific market entry rewards for vaccines targeting WOAH/WHO priority livestock pathogens </w:t>
      </w:r>
      <w:r w:rsidR="00C012A9" w:rsidRPr="00BE6A64">
        <w:t xml:space="preserve">(Global AMR R&amp;D Hub, 2024; Laxminarayan </w:t>
      </w:r>
      <w:r w:rsidR="00C012A9" w:rsidRPr="00BE6A64">
        <w:rPr>
          <w:i/>
        </w:rPr>
        <w:t>et al</w:t>
      </w:r>
      <w:r w:rsidR="00C012A9" w:rsidRPr="00BE6A64">
        <w:t>., 2024)</w:t>
      </w:r>
    </w:p>
    <w:p w14:paraId="724C35A0" w14:textId="77777777" w:rsidR="002A7111" w:rsidRPr="00BE6A64" w:rsidRDefault="002A7111" w:rsidP="00AD02B1">
      <w:pPr>
        <w:spacing w:after="240" w:line="276" w:lineRule="auto"/>
        <w:rPr>
          <w:b/>
          <w:sz w:val="24"/>
        </w:rPr>
      </w:pPr>
      <w:r w:rsidRPr="00BE6A64">
        <w:rPr>
          <w:rFonts w:eastAsia="Arial"/>
          <w:b/>
          <w:sz w:val="24"/>
        </w:rPr>
        <w:t>6.3 For Veterinary Practitioners</w:t>
      </w:r>
    </w:p>
    <w:p w14:paraId="70B240B8" w14:textId="77777777" w:rsidR="002A7111" w:rsidRPr="00BE6A64" w:rsidRDefault="002A7111" w:rsidP="0012440F">
      <w:pPr>
        <w:pStyle w:val="ListParagraph"/>
        <w:numPr>
          <w:ilvl w:val="0"/>
          <w:numId w:val="1"/>
        </w:numPr>
        <w:spacing w:before="40" w:after="240" w:line="276" w:lineRule="auto"/>
        <w:jc w:val="both"/>
      </w:pPr>
      <w:r w:rsidRPr="00BE6A64">
        <w:t xml:space="preserve">Advocate for vaccination as a first-line disease prevention strategy, with systematic pre- and post-vaccination AMU monitoring to generate real-world evidence </w:t>
      </w:r>
      <w:r w:rsidR="00672094" w:rsidRPr="00BE6A64">
        <w:t xml:space="preserve">(Raith </w:t>
      </w:r>
      <w:r w:rsidR="00672094" w:rsidRPr="00BE6A64">
        <w:rPr>
          <w:i/>
        </w:rPr>
        <w:t>et al</w:t>
      </w:r>
      <w:r w:rsidR="00672094" w:rsidRPr="00BE6A64">
        <w:t xml:space="preserve">., 2016; Laxminarayan </w:t>
      </w:r>
      <w:r w:rsidR="00672094" w:rsidRPr="00BE6A64">
        <w:rPr>
          <w:i/>
        </w:rPr>
        <w:t>et al</w:t>
      </w:r>
      <w:r w:rsidR="00672094" w:rsidRPr="00BE6A64">
        <w:t>., 2024)</w:t>
      </w:r>
      <w:r w:rsidR="0069603E" w:rsidRPr="00BE6A64">
        <w:t>.</w:t>
      </w:r>
    </w:p>
    <w:p w14:paraId="0169CDF5" w14:textId="77777777" w:rsidR="00530A3F" w:rsidRPr="00BE6A64" w:rsidRDefault="002A7111" w:rsidP="00AD02B1">
      <w:pPr>
        <w:pStyle w:val="ListParagraph"/>
        <w:numPr>
          <w:ilvl w:val="0"/>
          <w:numId w:val="1"/>
        </w:numPr>
        <w:spacing w:before="40" w:after="240" w:line="276" w:lineRule="auto"/>
        <w:jc w:val="both"/>
        <w:rPr>
          <w:rFonts w:eastAsia="Arial"/>
          <w:b/>
          <w:sz w:val="24"/>
        </w:rPr>
      </w:pPr>
      <w:r w:rsidRPr="00BE6A64">
        <w:t xml:space="preserve">Engage in antimicrobial stewardship programs that incorporate vaccination coverage as a measurable, reportable stewardship metric </w:t>
      </w:r>
      <w:r w:rsidR="00FD6255" w:rsidRPr="00BE6A64">
        <w:rPr>
          <w:sz w:val="24"/>
          <w:szCs w:val="24"/>
        </w:rPr>
        <w:t xml:space="preserve">(Bhuiyan, 2025; </w:t>
      </w:r>
      <w:r w:rsidR="0069603E" w:rsidRPr="00BE6A64">
        <w:t xml:space="preserve">WHO </w:t>
      </w:r>
      <w:r w:rsidR="0069603E" w:rsidRPr="00BE6A64">
        <w:rPr>
          <w:i/>
        </w:rPr>
        <w:t>et al</w:t>
      </w:r>
      <w:r w:rsidR="0069603E" w:rsidRPr="00BE6A64">
        <w:t>., 2022).</w:t>
      </w:r>
    </w:p>
    <w:p w14:paraId="530ECDE6" w14:textId="77777777" w:rsidR="006E3ADF" w:rsidRPr="00BE6A64" w:rsidRDefault="002A7111" w:rsidP="006E3ADF">
      <w:pPr>
        <w:spacing w:after="240" w:line="276" w:lineRule="auto"/>
        <w:rPr>
          <w:b/>
          <w:sz w:val="24"/>
        </w:rPr>
      </w:pPr>
      <w:r w:rsidRPr="00BE6A64">
        <w:rPr>
          <w:rFonts w:eastAsia="Arial"/>
          <w:b/>
          <w:sz w:val="24"/>
        </w:rPr>
        <w:t>7. CONCLUSION</w:t>
      </w:r>
    </w:p>
    <w:p w14:paraId="79FDDC99" w14:textId="77777777" w:rsidR="006E3ADF" w:rsidRPr="00BE6A64" w:rsidRDefault="006E3ADF" w:rsidP="006E3ADF">
      <w:pPr>
        <w:spacing w:after="240" w:line="276" w:lineRule="auto"/>
        <w:jc w:val="both"/>
      </w:pPr>
      <w:r w:rsidRPr="00BE6A64">
        <w:lastRenderedPageBreak/>
        <w:t>Animal vaccination shows clear potential as a One Health intervention to reduce antimicrobial use (AMU) in livestock, with consistent evidence from aquaculture, swine, and cattle systems. The strongest data, particularly from long-term programs such as Norwegian aquaculture, demonstrate substantial and sustained reductions in antibiotic consumption following widespread vaccination, supporting its role as a preventive strategy against infection-driven AMU.</w:t>
      </w:r>
    </w:p>
    <w:p w14:paraId="1B04E267" w14:textId="77777777" w:rsidR="004C62E8" w:rsidRPr="00BE6A64" w:rsidRDefault="006E3ADF" w:rsidP="006E3ADF">
      <w:pPr>
        <w:spacing w:after="240" w:line="276" w:lineRule="auto"/>
        <w:jc w:val="both"/>
        <w:rPr>
          <w:rFonts w:eastAsia="Arial"/>
          <w:b/>
          <w:sz w:val="24"/>
        </w:rPr>
      </w:pPr>
      <w:r w:rsidRPr="00BE6A64">
        <w:t>However, evidence linking vaccination directly to antimicrobial resistance (AMR) outcomes remains limited. The absence of AMR-focused clinical trials, reliance on AMU as a proxy, and dominance of high-income country data restrict global applicability. Future research should prioritize AMR-specific endpoints, One Health integrated surveillance, and studies in low- and middle-income countries to fully establish the role of vaccination in AMR mitigation.</w:t>
      </w:r>
    </w:p>
    <w:p w14:paraId="6BEA5F9F" w14:textId="77777777" w:rsidR="000E6993" w:rsidRDefault="000E6993" w:rsidP="00AD02B1">
      <w:pPr>
        <w:spacing w:after="240" w:line="276" w:lineRule="auto"/>
        <w:jc w:val="both"/>
        <w:rPr>
          <w:color w:val="000000"/>
          <w:szCs w:val="20"/>
        </w:rPr>
      </w:pPr>
    </w:p>
    <w:p w14:paraId="3A46E3CC" w14:textId="0E2F8AC6" w:rsidR="00BE3A1A" w:rsidRPr="003D28CB" w:rsidRDefault="00BE3A1A" w:rsidP="00BE3A1A">
      <w:pPr>
        <w:spacing w:after="240"/>
        <w:jc w:val="both"/>
        <w:outlineLvl w:val="0"/>
        <w:rPr>
          <w:b/>
          <w:bCs/>
          <w:highlight w:val="yellow"/>
        </w:rPr>
      </w:pPr>
      <w:r w:rsidRPr="003D28CB">
        <w:rPr>
          <w:b/>
          <w:bCs/>
          <w:highlight w:val="yellow"/>
        </w:rPr>
        <w:t xml:space="preserve">COMPETING INTERESTS </w:t>
      </w:r>
    </w:p>
    <w:p w14:paraId="1398ED12" w14:textId="77777777" w:rsidR="000E6993" w:rsidRPr="00BE3A1A" w:rsidRDefault="000E6993" w:rsidP="00BE3A1A">
      <w:pPr>
        <w:spacing w:after="240"/>
        <w:jc w:val="both"/>
      </w:pPr>
      <w:r w:rsidRPr="003D28CB">
        <w:rPr>
          <w:highlight w:val="yellow"/>
        </w:rPr>
        <w:t>Authors have declared that they have no known competing financial interests OR non-financial interests OR personal relationships that could have appeared to influence the work reported in this paper.</w:t>
      </w:r>
    </w:p>
    <w:p w14:paraId="6CCB7473" w14:textId="77777777" w:rsidR="000E6993" w:rsidRPr="00BE3A1A" w:rsidRDefault="000E6993" w:rsidP="00BE3A1A">
      <w:pPr>
        <w:jc w:val="both"/>
      </w:pPr>
    </w:p>
    <w:p w14:paraId="5754DFC8" w14:textId="77777777" w:rsidR="00523B4B" w:rsidRPr="00523B4B" w:rsidRDefault="00523B4B" w:rsidP="00523B4B">
      <w:pPr>
        <w:spacing w:after="240" w:line="276" w:lineRule="auto"/>
        <w:jc w:val="both"/>
        <w:rPr>
          <w:b/>
          <w:highlight w:val="yellow"/>
        </w:rPr>
      </w:pPr>
      <w:r w:rsidRPr="00523B4B">
        <w:rPr>
          <w:b/>
          <w:highlight w:val="yellow"/>
        </w:rPr>
        <w:t>Acknowledgments</w:t>
      </w:r>
    </w:p>
    <w:p w14:paraId="6E19E05B" w14:textId="77777777" w:rsidR="00523B4B" w:rsidRPr="00C4302E" w:rsidRDefault="00523B4B" w:rsidP="00523B4B">
      <w:pPr>
        <w:spacing w:line="360" w:lineRule="auto"/>
        <w:jc w:val="both"/>
        <w:rPr>
          <w:rFonts w:eastAsia="Aptos"/>
          <w:bCs/>
          <w:color w:val="000000" w:themeColor="text1"/>
          <w:szCs w:val="24"/>
        </w:rPr>
      </w:pPr>
      <w:r w:rsidRPr="00523B4B">
        <w:rPr>
          <w:rFonts w:eastAsia="Aptos"/>
          <w:bCs/>
          <w:color w:val="000000" w:themeColor="text1"/>
          <w:szCs w:val="24"/>
          <w:highlight w:val="yellow"/>
        </w:rPr>
        <w:t>The authors would like to express their sincere gratitude to the Bhuiyan Center for Interdisciplinary Research &amp; Innovation (BCIRI) for its support and encouragement during the preparation of this manuscript.</w:t>
      </w:r>
    </w:p>
    <w:p w14:paraId="2E7A2197" w14:textId="7562EC6D" w:rsidR="001B546E" w:rsidRDefault="001B546E" w:rsidP="001B546E">
      <w:pPr>
        <w:rPr>
          <w:rFonts w:ascii="Arial" w:eastAsiaTheme="minorEastAsia" w:hAnsi="Arial" w:cs="Arial"/>
          <w:sz w:val="20"/>
          <w:szCs w:val="20"/>
        </w:rPr>
      </w:pPr>
    </w:p>
    <w:p w14:paraId="1E6778AC" w14:textId="77777777" w:rsidR="001B546E" w:rsidRDefault="001B546E" w:rsidP="001B546E">
      <w:pPr>
        <w:rPr>
          <w:rFonts w:ascii="Arial" w:eastAsiaTheme="minorEastAsia" w:hAnsi="Arial" w:cs="Arial"/>
          <w:sz w:val="20"/>
          <w:szCs w:val="20"/>
        </w:rPr>
      </w:pPr>
      <w:bookmarkStart w:id="0" w:name="_Hlk223955456"/>
    </w:p>
    <w:p w14:paraId="028D260C" w14:textId="77777777" w:rsidR="001B546E" w:rsidRPr="00BE3A1A" w:rsidRDefault="001B546E" w:rsidP="00BE3A1A">
      <w:pPr>
        <w:pStyle w:val="NoSpacing"/>
        <w:jc w:val="both"/>
        <w:rPr>
          <w:b/>
          <w:highlight w:val="yellow"/>
        </w:rPr>
      </w:pPr>
      <w:bookmarkStart w:id="1" w:name="_Hlk198031404"/>
      <w:r w:rsidRPr="00BE3A1A">
        <w:rPr>
          <w:b/>
          <w:highlight w:val="yellow"/>
        </w:rPr>
        <w:t>Disclaimer (Artificial intelligence)</w:t>
      </w:r>
    </w:p>
    <w:p w14:paraId="7BF93960" w14:textId="77777777" w:rsidR="001B546E" w:rsidRPr="00BE3A1A" w:rsidRDefault="001B546E" w:rsidP="00BE3A1A">
      <w:pPr>
        <w:pStyle w:val="NoSpacing"/>
        <w:jc w:val="both"/>
        <w:rPr>
          <w:highlight w:val="yellow"/>
        </w:rPr>
      </w:pPr>
    </w:p>
    <w:p w14:paraId="231B1FB9" w14:textId="77777777" w:rsidR="001B546E" w:rsidRPr="00BE3A1A" w:rsidRDefault="001B546E" w:rsidP="00BE3A1A">
      <w:pPr>
        <w:pStyle w:val="NoSpacing"/>
        <w:jc w:val="both"/>
        <w:rPr>
          <w:highlight w:val="yellow"/>
        </w:rPr>
      </w:pPr>
      <w:r w:rsidRPr="00BE3A1A">
        <w:rPr>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629CD2BF" w14:textId="77777777" w:rsidR="001B546E" w:rsidRDefault="001B546E" w:rsidP="001B546E">
      <w:pPr>
        <w:pStyle w:val="NoSpacing"/>
        <w:rPr>
          <w:rFonts w:ascii="Arial" w:hAnsi="Arial" w:cs="Arial"/>
        </w:rPr>
      </w:pPr>
    </w:p>
    <w:p w14:paraId="02B8F21C" w14:textId="71C1080E" w:rsidR="00C4302E" w:rsidRPr="00BE6A64" w:rsidRDefault="00C4302E" w:rsidP="00AD02B1">
      <w:pPr>
        <w:spacing w:after="240" w:line="276" w:lineRule="auto"/>
        <w:jc w:val="both"/>
        <w:rPr>
          <w:color w:val="000000"/>
          <w:szCs w:val="20"/>
        </w:rPr>
      </w:pPr>
    </w:p>
    <w:p w14:paraId="0C2CBCB2" w14:textId="77777777" w:rsidR="00A115A4" w:rsidRPr="00BE6A64" w:rsidRDefault="002A7111" w:rsidP="00AD02B1">
      <w:pPr>
        <w:spacing w:after="240" w:line="276" w:lineRule="auto"/>
        <w:rPr>
          <w:rFonts w:eastAsia="Arial"/>
          <w:b/>
          <w:sz w:val="24"/>
        </w:rPr>
      </w:pPr>
      <w:r w:rsidRPr="00BE6A64">
        <w:rPr>
          <w:rFonts w:eastAsia="Arial"/>
          <w:b/>
          <w:sz w:val="24"/>
        </w:rPr>
        <w:t>REFERENCES</w:t>
      </w:r>
    </w:p>
    <w:p w14:paraId="2B4FA5B3"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Acosta A., </w:t>
      </w:r>
      <w:proofErr w:type="spellStart"/>
      <w:r w:rsidRPr="00BE6A64">
        <w:rPr>
          <w:color w:val="222222"/>
          <w:shd w:val="clear" w:color="auto" w:fill="FFFFFF"/>
        </w:rPr>
        <w:t>Tirkaso</w:t>
      </w:r>
      <w:proofErr w:type="spellEnd"/>
      <w:r w:rsidRPr="00BE6A64">
        <w:rPr>
          <w:color w:val="222222"/>
          <w:shd w:val="clear" w:color="auto" w:fill="FFFFFF"/>
        </w:rPr>
        <w:t xml:space="preserve"> W., Nicolli F., Van Boeckel T. P., </w:t>
      </w:r>
      <w:proofErr w:type="spellStart"/>
      <w:r w:rsidRPr="00BE6A64">
        <w:rPr>
          <w:color w:val="222222"/>
          <w:shd w:val="clear" w:color="auto" w:fill="FFFFFF"/>
        </w:rPr>
        <w:t>Cinardi</w:t>
      </w:r>
      <w:proofErr w:type="spellEnd"/>
      <w:r w:rsidRPr="00BE6A64">
        <w:rPr>
          <w:color w:val="222222"/>
          <w:shd w:val="clear" w:color="auto" w:fill="FFFFFF"/>
        </w:rPr>
        <w:t xml:space="preserve"> G. &amp; Song J. (2025). The future of antibiotic use in livestock. Nature Communications. 16(1): 2469.</w:t>
      </w:r>
    </w:p>
    <w:p w14:paraId="299494DE"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​American Society for Microbiology (ASM) (2025). Animal vaccine FAQs: protecting pets, livestock and wildlife. ASM Microbe Magazine. [Online] Available at: https://asm.org/magazine/2025/fall/animal-vaccine-faqs-protecting-pets,-livestock-and (Accessed: 10 April 2026).</w:t>
      </w:r>
    </w:p>
    <w:p w14:paraId="441FD2DD"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​Antimicrobial Resistance Collaborators (2022). Global burden of bacterial antimicrobial resistance in 2019: a systematic analysis. The Lancet. 399(10325): 629–655.</w:t>
      </w:r>
    </w:p>
    <w:p w14:paraId="13E9520D" w14:textId="77777777" w:rsidR="00304944" w:rsidRPr="00BE6A64" w:rsidRDefault="00AD2D3E" w:rsidP="00304944">
      <w:pPr>
        <w:spacing w:before="240"/>
        <w:jc w:val="both"/>
        <w:rPr>
          <w:color w:val="222222"/>
          <w:sz w:val="24"/>
          <w:szCs w:val="24"/>
          <w:shd w:val="clear" w:color="auto" w:fill="FFFFFF"/>
        </w:rPr>
      </w:pPr>
      <w:r w:rsidRPr="00BE6A64">
        <w:rPr>
          <w:color w:val="222222"/>
          <w:shd w:val="clear" w:color="auto" w:fill="FFFFFF"/>
        </w:rPr>
        <w:lastRenderedPageBreak/>
        <w:t>​</w:t>
      </w:r>
      <w:r w:rsidR="00304944" w:rsidRPr="00BE6A64">
        <w:rPr>
          <w:sz w:val="24"/>
          <w:szCs w:val="24"/>
          <w:shd w:val="clear" w:color="auto" w:fill="FFFFFF"/>
        </w:rPr>
        <w:t>Bhuiyan, M.  R.  (2025).  Seasonal epidemiology and vector ecology of lumpy skin disease in South and Southeast Asia: A comprehensive review of knowledge gaps and future perspectives.  Bulgarian Journal of Veterinary Medicine. https://doi.org/10.15547/bjvm.2025-0096</w:t>
      </w:r>
    </w:p>
    <w:p w14:paraId="78FD6BC6" w14:textId="77777777" w:rsidR="00304944" w:rsidRPr="00BE6A64" w:rsidRDefault="00304944" w:rsidP="00304944">
      <w:pPr>
        <w:spacing w:before="240"/>
        <w:jc w:val="both"/>
        <w:rPr>
          <w:sz w:val="24"/>
          <w:szCs w:val="24"/>
          <w:shd w:val="clear" w:color="auto" w:fill="FFFFFF"/>
        </w:rPr>
      </w:pPr>
      <w:r w:rsidRPr="00BE6A64">
        <w:rPr>
          <w:color w:val="222222"/>
          <w:sz w:val="24"/>
          <w:szCs w:val="24"/>
          <w:shd w:val="clear" w:color="auto" w:fill="FFFFFF"/>
        </w:rPr>
        <w:t>​</w:t>
      </w:r>
      <w:r w:rsidRPr="00BE6A64">
        <w:rPr>
          <w:sz w:val="24"/>
          <w:szCs w:val="24"/>
          <w:shd w:val="clear" w:color="auto" w:fill="FFFFFF"/>
        </w:rPr>
        <w:t xml:space="preserve">Bhuiyan, M.R., Ferdous, J., Shimi, S.S.A. and Sharma, S. (2026) ‘Clinical management of lumpy skin disease in a cross-breed heifer at Upazila Livestock Office and Veterinary Hospital, </w:t>
      </w:r>
      <w:proofErr w:type="spellStart"/>
      <w:r w:rsidRPr="00BE6A64">
        <w:rPr>
          <w:sz w:val="24"/>
          <w:szCs w:val="24"/>
          <w:shd w:val="clear" w:color="auto" w:fill="FFFFFF"/>
        </w:rPr>
        <w:t>Daudkandi</w:t>
      </w:r>
      <w:proofErr w:type="spellEnd"/>
      <w:r w:rsidRPr="00BE6A64">
        <w:rPr>
          <w:sz w:val="24"/>
          <w:szCs w:val="24"/>
          <w:shd w:val="clear" w:color="auto" w:fill="FFFFFF"/>
        </w:rPr>
        <w:t xml:space="preserve">, </w:t>
      </w:r>
      <w:proofErr w:type="spellStart"/>
      <w:r w:rsidRPr="00BE6A64">
        <w:rPr>
          <w:sz w:val="24"/>
          <w:szCs w:val="24"/>
          <w:shd w:val="clear" w:color="auto" w:fill="FFFFFF"/>
        </w:rPr>
        <w:t>Cumilla</w:t>
      </w:r>
      <w:proofErr w:type="spellEnd"/>
      <w:r w:rsidRPr="00BE6A64">
        <w:rPr>
          <w:sz w:val="24"/>
          <w:szCs w:val="24"/>
          <w:shd w:val="clear" w:color="auto" w:fill="FFFFFF"/>
        </w:rPr>
        <w:t>: A case report’, Asian Journal of Research in Animal and Veterinary Sciences, 9(2), pp.  330–338. https://doi.org/10.9734/ajravs/2026/v9i2416</w:t>
      </w:r>
    </w:p>
    <w:p w14:paraId="2D1C8DD5" w14:textId="77777777" w:rsidR="00304944" w:rsidRPr="00BE6A64" w:rsidRDefault="00304944" w:rsidP="00304944">
      <w:pPr>
        <w:spacing w:before="240"/>
        <w:jc w:val="both"/>
        <w:rPr>
          <w:sz w:val="24"/>
          <w:szCs w:val="24"/>
          <w:shd w:val="clear" w:color="auto" w:fill="FFFFFF"/>
        </w:rPr>
      </w:pPr>
      <w:r w:rsidRPr="00BE6A64">
        <w:rPr>
          <w:color w:val="222222"/>
          <w:sz w:val="24"/>
          <w:szCs w:val="24"/>
          <w:shd w:val="clear" w:color="auto" w:fill="FFFFFF"/>
        </w:rPr>
        <w:t xml:space="preserve">Bhuiyan, M.R., Ferdous, J., Shimi, S.S.A. and Sharma, S., 2025. Clinical management of lumpy skin disease in a cross-breed heifer at Upazila Livestock Office and Veterinary Hospital, </w:t>
      </w:r>
      <w:proofErr w:type="spellStart"/>
      <w:r w:rsidRPr="00BE6A64">
        <w:rPr>
          <w:color w:val="222222"/>
          <w:sz w:val="24"/>
          <w:szCs w:val="24"/>
          <w:shd w:val="clear" w:color="auto" w:fill="FFFFFF"/>
        </w:rPr>
        <w:t>Daudkandi</w:t>
      </w:r>
      <w:proofErr w:type="spellEnd"/>
      <w:r w:rsidRPr="00BE6A64">
        <w:rPr>
          <w:color w:val="222222"/>
          <w:sz w:val="24"/>
          <w:szCs w:val="24"/>
          <w:shd w:val="clear" w:color="auto" w:fill="FFFFFF"/>
        </w:rPr>
        <w:t xml:space="preserve">, </w:t>
      </w:r>
      <w:proofErr w:type="spellStart"/>
      <w:r w:rsidRPr="00BE6A64">
        <w:rPr>
          <w:color w:val="222222"/>
          <w:sz w:val="24"/>
          <w:szCs w:val="24"/>
          <w:shd w:val="clear" w:color="auto" w:fill="FFFFFF"/>
        </w:rPr>
        <w:t>Cumilla</w:t>
      </w:r>
      <w:proofErr w:type="spellEnd"/>
      <w:r w:rsidRPr="00BE6A64">
        <w:rPr>
          <w:color w:val="222222"/>
          <w:sz w:val="24"/>
          <w:szCs w:val="24"/>
          <w:shd w:val="clear" w:color="auto" w:fill="FFFFFF"/>
        </w:rPr>
        <w:t>: A case report [Paper presentation]. In </w:t>
      </w:r>
      <w:r w:rsidRPr="00BE6A64">
        <w:rPr>
          <w:i/>
          <w:iCs/>
          <w:color w:val="222222"/>
          <w:sz w:val="24"/>
          <w:szCs w:val="24"/>
          <w:shd w:val="clear" w:color="auto" w:fill="FFFFFF"/>
        </w:rPr>
        <w:t>RUEC 1st International Research Conference 2025</w:t>
      </w:r>
      <w:r w:rsidRPr="00BE6A64">
        <w:rPr>
          <w:color w:val="222222"/>
          <w:sz w:val="24"/>
          <w:szCs w:val="24"/>
          <w:shd w:val="clear" w:color="auto" w:fill="FFFFFF"/>
        </w:rPr>
        <w:t xml:space="preserve">. </w:t>
      </w:r>
      <w:r w:rsidRPr="00BE6A64">
        <w:rPr>
          <w:sz w:val="24"/>
          <w:szCs w:val="24"/>
          <w:shd w:val="clear" w:color="auto" w:fill="FFFFFF"/>
        </w:rPr>
        <w:t>https://ruec.org</w:t>
      </w:r>
    </w:p>
    <w:p w14:paraId="3B79E471" w14:textId="77777777" w:rsidR="00304944" w:rsidRPr="00BE6A64" w:rsidRDefault="00304944" w:rsidP="00304944">
      <w:pPr>
        <w:spacing w:before="240"/>
        <w:jc w:val="both"/>
        <w:rPr>
          <w:sz w:val="24"/>
          <w:szCs w:val="24"/>
          <w:shd w:val="clear" w:color="auto" w:fill="FFFFFF"/>
        </w:rPr>
      </w:pPr>
    </w:p>
    <w:p w14:paraId="4E3DA881" w14:textId="77777777" w:rsidR="00AD2D3E" w:rsidRPr="00BE6A64" w:rsidRDefault="00AD2D3E" w:rsidP="00304944">
      <w:pPr>
        <w:spacing w:after="240" w:line="276" w:lineRule="auto"/>
        <w:jc w:val="both"/>
        <w:rPr>
          <w:color w:val="222222"/>
          <w:shd w:val="clear" w:color="auto" w:fill="FFFFFF"/>
        </w:rPr>
      </w:pPr>
      <w:r w:rsidRPr="00BE6A64">
        <w:rPr>
          <w:color w:val="222222"/>
          <w:shd w:val="clear" w:color="auto" w:fill="FFFFFF"/>
        </w:rPr>
        <w:t>​Chen Y., Liu Y., Zhao C., Ma J. &amp; Guo J. (2025). Antibiotic resistance gene pollution in poultry farming environments and approaches for mitigation: a systematic review. Poultry Science. 104(3): 104858.</w:t>
      </w:r>
    </w:p>
    <w:p w14:paraId="2E763475"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​Dieng A., Camara C. S., Gaye A., Dieye K., Aw A., Thiaw M. B., Ndiaye F., Gaye I., Coundoul N., Diallo M. &amp; Diao N. M. (2025). National Overview of Antibiotic Use in Senegal. </w:t>
      </w:r>
      <w:r w:rsidR="00396853" w:rsidRPr="00BE6A64">
        <w:rPr>
          <w:color w:val="222222"/>
          <w:shd w:val="clear" w:color="auto" w:fill="FFFFFF"/>
        </w:rPr>
        <w:t>Open Journal of Medical Microbiology.</w:t>
      </w:r>
    </w:p>
    <w:p w14:paraId="07C72CF2"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​Gleason A., </w:t>
      </w:r>
      <w:proofErr w:type="spellStart"/>
      <w:r w:rsidRPr="00BE6A64">
        <w:rPr>
          <w:color w:val="222222"/>
          <w:shd w:val="clear" w:color="auto" w:fill="FFFFFF"/>
        </w:rPr>
        <w:t>Impalli</w:t>
      </w:r>
      <w:proofErr w:type="spellEnd"/>
      <w:r w:rsidRPr="00BE6A64">
        <w:rPr>
          <w:color w:val="222222"/>
          <w:shd w:val="clear" w:color="auto" w:fill="FFFFFF"/>
        </w:rPr>
        <w:t xml:space="preserve"> I., Sheen J., Cabezas Murillo A., Grenfell B. T., Levin S. A., Van Boeckel T. P. &amp; Laxminarayan R. (2025). Global vaccination coverage and disease incidence in cattle, pigs, and poultry. Proceedings of the National Academy of Sciences. 122(52): e2515557122.</w:t>
      </w:r>
    </w:p>
    <w:p w14:paraId="7F13FB7B"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​Global AMR R&amp;D Hub (2024). Dynamic dashboard: investments in AMR R&amp;D. Annual progress report 2024. Berlin: Federal Ministry of Health Germany. [Online] Available at: https://dashboard.globalamrhub.org/reports/investments/overview (Accessed: 10 April 2026).</w:t>
      </w:r>
    </w:p>
    <w:p w14:paraId="3CA38709"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​Hoelzer K., Bielke L., Blake D. P., Cox E., Cutting S. M., Devriendt B., Erlacher-Vindel E., Goossens E., Karaca K., </w:t>
      </w:r>
      <w:proofErr w:type="spellStart"/>
      <w:r w:rsidRPr="00BE6A64">
        <w:rPr>
          <w:color w:val="222222"/>
          <w:shd w:val="clear" w:color="auto" w:fill="FFFFFF"/>
        </w:rPr>
        <w:t>Lemiere</w:t>
      </w:r>
      <w:proofErr w:type="spellEnd"/>
      <w:r w:rsidRPr="00BE6A64">
        <w:rPr>
          <w:color w:val="222222"/>
          <w:shd w:val="clear" w:color="auto" w:fill="FFFFFF"/>
        </w:rPr>
        <w:t xml:space="preserve"> S., Metzner M., </w:t>
      </w:r>
      <w:proofErr w:type="spellStart"/>
      <w:r w:rsidRPr="00BE6A64">
        <w:rPr>
          <w:color w:val="222222"/>
          <w:shd w:val="clear" w:color="auto" w:fill="FFFFFF"/>
        </w:rPr>
        <w:t>Raicek</w:t>
      </w:r>
      <w:proofErr w:type="spellEnd"/>
      <w:r w:rsidRPr="00BE6A64">
        <w:rPr>
          <w:color w:val="222222"/>
          <w:shd w:val="clear" w:color="auto" w:fill="FFFFFF"/>
        </w:rPr>
        <w:t xml:space="preserve"> M., </w:t>
      </w:r>
      <w:proofErr w:type="spellStart"/>
      <w:r w:rsidRPr="00BE6A64">
        <w:rPr>
          <w:color w:val="222222"/>
          <w:shd w:val="clear" w:color="auto" w:fill="FFFFFF"/>
        </w:rPr>
        <w:t>Collell</w:t>
      </w:r>
      <w:proofErr w:type="spellEnd"/>
      <w:r w:rsidRPr="00BE6A64">
        <w:rPr>
          <w:color w:val="222222"/>
          <w:shd w:val="clear" w:color="auto" w:fill="FFFFFF"/>
        </w:rPr>
        <w:t xml:space="preserve"> </w:t>
      </w:r>
      <w:proofErr w:type="spellStart"/>
      <w:r w:rsidRPr="00BE6A64">
        <w:rPr>
          <w:color w:val="222222"/>
          <w:shd w:val="clear" w:color="auto" w:fill="FFFFFF"/>
        </w:rPr>
        <w:t>Suriñach</w:t>
      </w:r>
      <w:proofErr w:type="spellEnd"/>
      <w:r w:rsidRPr="00BE6A64">
        <w:rPr>
          <w:color w:val="222222"/>
          <w:shd w:val="clear" w:color="auto" w:fill="FFFFFF"/>
        </w:rPr>
        <w:t xml:space="preserve"> M., Wong N. M., Gay C. &amp; Van </w:t>
      </w:r>
      <w:proofErr w:type="spellStart"/>
      <w:r w:rsidRPr="00BE6A64">
        <w:rPr>
          <w:color w:val="222222"/>
          <w:shd w:val="clear" w:color="auto" w:fill="FFFFFF"/>
        </w:rPr>
        <w:t>Immerseel</w:t>
      </w:r>
      <w:proofErr w:type="spellEnd"/>
      <w:r w:rsidRPr="00BE6A64">
        <w:rPr>
          <w:color w:val="222222"/>
          <w:shd w:val="clear" w:color="auto" w:fill="FFFFFF"/>
        </w:rPr>
        <w:t xml:space="preserve"> F. (2018). Vaccines as alternatives to antibiotics for food producing animals. Part 1: challenges and needs. Veterinary Research. 49(1): 64.</w:t>
      </w:r>
    </w:p>
    <w:p w14:paraId="688026BB"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​Laxminarayan R., Gleason A., Sheen J., Saad-Roy C. M., Metcalf C. J., Palmer G. H. &amp; Fèvre E. M. (2024). Unlock the potential of vaccines in food-producing animals. Science. 384(6703): 1409-1411.</w:t>
      </w:r>
    </w:p>
    <w:p w14:paraId="175AB232"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Naghavi</w:t>
      </w:r>
      <w:proofErr w:type="spellEnd"/>
      <w:r w:rsidRPr="00BE6A64">
        <w:rPr>
          <w:color w:val="222222"/>
          <w:shd w:val="clear" w:color="auto" w:fill="FFFFFF"/>
        </w:rPr>
        <w:t xml:space="preserve"> M., </w:t>
      </w:r>
      <w:proofErr w:type="spellStart"/>
      <w:r w:rsidRPr="00BE6A64">
        <w:rPr>
          <w:color w:val="222222"/>
          <w:shd w:val="clear" w:color="auto" w:fill="FFFFFF"/>
        </w:rPr>
        <w:t>Vollset</w:t>
      </w:r>
      <w:proofErr w:type="spellEnd"/>
      <w:r w:rsidRPr="00BE6A64">
        <w:rPr>
          <w:color w:val="222222"/>
          <w:shd w:val="clear" w:color="auto" w:fill="FFFFFF"/>
        </w:rPr>
        <w:t xml:space="preserve"> S. E., Ikuta K. S., </w:t>
      </w:r>
      <w:proofErr w:type="spellStart"/>
      <w:r w:rsidRPr="00BE6A64">
        <w:rPr>
          <w:color w:val="222222"/>
          <w:shd w:val="clear" w:color="auto" w:fill="FFFFFF"/>
        </w:rPr>
        <w:t>Swetschinski</w:t>
      </w:r>
      <w:proofErr w:type="spellEnd"/>
      <w:r w:rsidRPr="00BE6A64">
        <w:rPr>
          <w:color w:val="222222"/>
          <w:shd w:val="clear" w:color="auto" w:fill="FFFFFF"/>
        </w:rPr>
        <w:t xml:space="preserve"> L. R., Gray A. P., Wool E. E., Aguilar G. R., Mestrovic T., Smith G., Han C. &amp; Hsu R. L. (2024). Global burden of bacterial antimicrobial resistance 1990–2021: a systematic analysis with forecasts to 2050. The Lancet. 404(10459): 1199-1226.</w:t>
      </w:r>
    </w:p>
    <w:p w14:paraId="0D72EEFA"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​Page M. J., McKenzie J. E., Bossuyt P. M., </w:t>
      </w:r>
      <w:proofErr w:type="spellStart"/>
      <w:r w:rsidRPr="00BE6A64">
        <w:rPr>
          <w:color w:val="222222"/>
          <w:shd w:val="clear" w:color="auto" w:fill="FFFFFF"/>
        </w:rPr>
        <w:t>Boutron</w:t>
      </w:r>
      <w:proofErr w:type="spellEnd"/>
      <w:r w:rsidRPr="00BE6A64">
        <w:rPr>
          <w:color w:val="222222"/>
          <w:shd w:val="clear" w:color="auto" w:fill="FFFFFF"/>
        </w:rPr>
        <w:t xml:space="preserve"> I., Hoffmann T. C., Mulrow C. D., </w:t>
      </w:r>
      <w:proofErr w:type="spellStart"/>
      <w:r w:rsidRPr="00BE6A64">
        <w:rPr>
          <w:color w:val="222222"/>
          <w:shd w:val="clear" w:color="auto" w:fill="FFFFFF"/>
        </w:rPr>
        <w:t>Shamseer</w:t>
      </w:r>
      <w:proofErr w:type="spellEnd"/>
      <w:r w:rsidRPr="00BE6A64">
        <w:rPr>
          <w:color w:val="222222"/>
          <w:shd w:val="clear" w:color="auto" w:fill="FFFFFF"/>
        </w:rPr>
        <w:t xml:space="preserve"> L., Tetzlaff J. M., Akl E. A., Brennan S. E. &amp; Chou R. (2021). The PRISMA 2020 statement: an updated guideline for reporting systematic reviews. BMJ. 372: n71.</w:t>
      </w:r>
    </w:p>
    <w:p w14:paraId="0D4692E3"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lastRenderedPageBreak/>
        <w:t xml:space="preserve">​Raith J., </w:t>
      </w:r>
      <w:proofErr w:type="spellStart"/>
      <w:r w:rsidRPr="00BE6A64">
        <w:rPr>
          <w:color w:val="222222"/>
          <w:shd w:val="clear" w:color="auto" w:fill="FFFFFF"/>
        </w:rPr>
        <w:t>Trauffler</w:t>
      </w:r>
      <w:proofErr w:type="spellEnd"/>
      <w:r w:rsidRPr="00BE6A64">
        <w:rPr>
          <w:color w:val="222222"/>
          <w:shd w:val="clear" w:color="auto" w:fill="FFFFFF"/>
        </w:rPr>
        <w:t xml:space="preserve"> M., Firth C. L., </w:t>
      </w:r>
      <w:proofErr w:type="spellStart"/>
      <w:r w:rsidRPr="00BE6A64">
        <w:rPr>
          <w:color w:val="222222"/>
          <w:shd w:val="clear" w:color="auto" w:fill="FFFFFF"/>
        </w:rPr>
        <w:t>Lebl</w:t>
      </w:r>
      <w:proofErr w:type="spellEnd"/>
      <w:r w:rsidRPr="00BE6A64">
        <w:rPr>
          <w:color w:val="222222"/>
          <w:shd w:val="clear" w:color="auto" w:fill="FFFFFF"/>
        </w:rPr>
        <w:t xml:space="preserve"> K., Schleicher C. &amp; </w:t>
      </w:r>
      <w:proofErr w:type="spellStart"/>
      <w:r w:rsidRPr="00BE6A64">
        <w:rPr>
          <w:color w:val="222222"/>
          <w:shd w:val="clear" w:color="auto" w:fill="FFFFFF"/>
        </w:rPr>
        <w:t>Köfer</w:t>
      </w:r>
      <w:proofErr w:type="spellEnd"/>
      <w:r w:rsidRPr="00BE6A64">
        <w:rPr>
          <w:color w:val="222222"/>
          <w:shd w:val="clear" w:color="auto" w:fill="FFFFFF"/>
        </w:rPr>
        <w:t xml:space="preserve"> J. (2016). Influence of porcine circovirus type 2 vaccination on the level of antimicrobial consumption on 65 Austrian pig farms. Veterinary Record. 178(20): 504.</w:t>
      </w:r>
    </w:p>
    <w:p w14:paraId="677DCC6E"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​Roth F., </w:t>
      </w:r>
      <w:proofErr w:type="spellStart"/>
      <w:r w:rsidRPr="00BE6A64">
        <w:rPr>
          <w:color w:val="222222"/>
          <w:shd w:val="clear" w:color="auto" w:fill="FFFFFF"/>
        </w:rPr>
        <w:t>Zinsstag</w:t>
      </w:r>
      <w:proofErr w:type="spellEnd"/>
      <w:r w:rsidRPr="00BE6A64">
        <w:rPr>
          <w:color w:val="222222"/>
          <w:shd w:val="clear" w:color="auto" w:fill="FFFFFF"/>
        </w:rPr>
        <w:t xml:space="preserve"> J., Orkhon D., Chimed-Ochir G., Hutton G., </w:t>
      </w:r>
      <w:proofErr w:type="spellStart"/>
      <w:r w:rsidRPr="00BE6A64">
        <w:rPr>
          <w:color w:val="222222"/>
          <w:shd w:val="clear" w:color="auto" w:fill="FFFFFF"/>
        </w:rPr>
        <w:t>Cosivi</w:t>
      </w:r>
      <w:proofErr w:type="spellEnd"/>
      <w:r w:rsidRPr="00BE6A64">
        <w:rPr>
          <w:color w:val="222222"/>
          <w:shd w:val="clear" w:color="auto" w:fill="FFFFFF"/>
        </w:rPr>
        <w:t xml:space="preserve"> O., Carrin G. &amp; Otte J. (2003). Human health benefits from livestock vaccination for brucellosis: case study. Bulletin of the World Health Organization. 81: 867-876.</w:t>
      </w:r>
    </w:p>
    <w:p w14:paraId="60187A1E"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Trinchera</w:t>
      </w:r>
      <w:proofErr w:type="spellEnd"/>
      <w:r w:rsidRPr="00BE6A64">
        <w:rPr>
          <w:color w:val="222222"/>
          <w:shd w:val="clear" w:color="auto" w:fill="FFFFFF"/>
        </w:rPr>
        <w:t xml:space="preserve"> M., De Gaetano S., Sole E., Midiri A., Silvestro S., Mancuso G., Catalano T. &amp; Biondo C. (2025). Antimicrobials in livestock farming and resistance: public health implications. Antibiotics. 14(6): 606.</w:t>
      </w:r>
    </w:p>
    <w:p w14:paraId="2611A8CB"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​Tseng I., Pan B. Y., Feng Y. C. &amp; Fang C. T. (2024). Re-evaluating efficacy of vaccines against highly pathogenic avian influenza virus in poultry: A systematic review and meta-analysis. One Health. 18: 100714.</w:t>
      </w:r>
    </w:p>
    <w:p w14:paraId="0E8529B3"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​World Health Organization, UNEP &amp; WOAH (2022). One health joint plan of action (2022‒2026): working together for the health of humans, animals, plants and the environment. Geneva: World Health Organization.</w:t>
      </w:r>
    </w:p>
    <w:p w14:paraId="259D631D"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​World </w:t>
      </w:r>
      <w:proofErr w:type="spellStart"/>
      <w:r w:rsidRPr="00BE6A64">
        <w:rPr>
          <w:color w:val="222222"/>
          <w:shd w:val="clear" w:color="auto" w:fill="FFFFFF"/>
        </w:rPr>
        <w:t>Organisation</w:t>
      </w:r>
      <w:proofErr w:type="spellEnd"/>
      <w:r w:rsidRPr="00BE6A64">
        <w:rPr>
          <w:color w:val="222222"/>
          <w:shd w:val="clear" w:color="auto" w:fill="FFFFFF"/>
        </w:rPr>
        <w:t xml:space="preserve"> for Animal Health (WOAH) (2024). ANIMUSE — The global database for antimicrobial use in animals. Paris: WOAH. [Online] Available at: https://amu.woah.org/amu-system-portal/home (Accessed: 10 April 2026).</w:t>
      </w:r>
    </w:p>
    <w:p w14:paraId="21F01406" w14:textId="77777777"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Yugueros</w:t>
      </w:r>
      <w:proofErr w:type="spellEnd"/>
      <w:r w:rsidRPr="00BE6A64">
        <w:rPr>
          <w:color w:val="222222"/>
          <w:shd w:val="clear" w:color="auto" w:fill="FFFFFF"/>
        </w:rPr>
        <w:t>-Marcos J. &amp; Etienne F. (2026). Animal vaccines and antimicrobial resistance: an underutilized tool. Philosophical Transactions B. 381(1944): 20250009.</w:t>
      </w:r>
    </w:p>
    <w:p w14:paraId="123CDE68" w14:textId="77777777" w:rsidR="00EB2198" w:rsidRPr="00546493" w:rsidRDefault="00AD2D3E" w:rsidP="00AD2D3E">
      <w:pPr>
        <w:spacing w:after="240" w:line="276" w:lineRule="auto"/>
        <w:jc w:val="both"/>
      </w:pPr>
      <w:r w:rsidRPr="00BE6A64">
        <w:rPr>
          <w:color w:val="222222"/>
          <w:shd w:val="clear" w:color="auto" w:fill="FFFFFF"/>
        </w:rPr>
        <w:t xml:space="preserve">​Zhang X., Li D., Apley M. D., Karriker L., Connor J. F., Bromfield C., Gebhardt J. T., Lubbers B., </w:t>
      </w:r>
      <w:proofErr w:type="spellStart"/>
      <w:r w:rsidRPr="00BE6A64">
        <w:rPr>
          <w:color w:val="222222"/>
          <w:shd w:val="clear" w:color="auto" w:fill="FFFFFF"/>
        </w:rPr>
        <w:t>Kittana</w:t>
      </w:r>
      <w:proofErr w:type="spellEnd"/>
      <w:r w:rsidRPr="00BE6A64">
        <w:rPr>
          <w:color w:val="222222"/>
          <w:shd w:val="clear" w:color="auto" w:fill="FFFFFF"/>
        </w:rPr>
        <w:t xml:space="preserve"> H., Pendell D. &amp; Madera R. (2025). Challenges and Opportunities of Bacterial Vaccines as Alternatives to Antimicrobials in Swine Health Management: Insights from US Veterinarians. Pathogens. 14(11): 1113.</w:t>
      </w:r>
    </w:p>
    <w:sectPr w:rsidR="00EB2198" w:rsidRPr="005464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061D" w14:textId="77777777" w:rsidR="007F6B03" w:rsidRDefault="007F6B03" w:rsidP="00702410">
      <w:r>
        <w:separator/>
      </w:r>
    </w:p>
  </w:endnote>
  <w:endnote w:type="continuationSeparator" w:id="0">
    <w:p w14:paraId="1F337F6A" w14:textId="77777777" w:rsidR="007F6B03" w:rsidRDefault="007F6B03" w:rsidP="0070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7459" w14:textId="77777777" w:rsidR="00702410" w:rsidRDefault="0070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8D53" w14:textId="77777777" w:rsidR="00702410" w:rsidRDefault="0070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885A" w14:textId="77777777" w:rsidR="00702410" w:rsidRDefault="0070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6822" w14:textId="77777777" w:rsidR="007F6B03" w:rsidRDefault="007F6B03" w:rsidP="00702410">
      <w:r>
        <w:separator/>
      </w:r>
    </w:p>
  </w:footnote>
  <w:footnote w:type="continuationSeparator" w:id="0">
    <w:p w14:paraId="0C42D02B" w14:textId="77777777" w:rsidR="007F6B03" w:rsidRDefault="007F6B03" w:rsidP="0070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69B6" w14:textId="77777777" w:rsidR="00702410" w:rsidRDefault="00000000">
    <w:pPr>
      <w:pStyle w:val="Header"/>
    </w:pPr>
    <w:r>
      <w:rPr>
        <w:noProof/>
      </w:rPr>
      <w:pict w14:anchorId="05C13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41D9" w14:textId="77777777" w:rsidR="00702410" w:rsidRDefault="00000000">
    <w:pPr>
      <w:pStyle w:val="Header"/>
    </w:pPr>
    <w:r>
      <w:rPr>
        <w:noProof/>
      </w:rPr>
      <w:pict w14:anchorId="6163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327" w14:textId="77777777" w:rsidR="00702410" w:rsidRDefault="00000000">
    <w:pPr>
      <w:pStyle w:val="Header"/>
    </w:pPr>
    <w:r>
      <w:rPr>
        <w:noProof/>
      </w:rPr>
      <w:pict w14:anchorId="37288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6B3"/>
    <w:multiLevelType w:val="hybridMultilevel"/>
    <w:tmpl w:val="6EDC916E"/>
    <w:lvl w:ilvl="0" w:tplc="0409000D">
      <w:start w:val="1"/>
      <w:numFmt w:val="bullet"/>
      <w:lvlText w:val=""/>
      <w:lvlJc w:val="left"/>
      <w:pPr>
        <w:ind w:left="720" w:hanging="360"/>
      </w:pPr>
      <w:rPr>
        <w:rFonts w:ascii="Wingdings" w:hAnsi="Wingdings" w:hint="default"/>
        <w:color w:val="auto"/>
      </w:rPr>
    </w:lvl>
    <w:lvl w:ilvl="1" w:tplc="2C4A71EC">
      <w:numFmt w:val="decimal"/>
      <w:lvlText w:val=""/>
      <w:lvlJc w:val="left"/>
    </w:lvl>
    <w:lvl w:ilvl="2" w:tplc="C322ABC4">
      <w:numFmt w:val="decimal"/>
      <w:lvlText w:val=""/>
      <w:lvlJc w:val="left"/>
    </w:lvl>
    <w:lvl w:ilvl="3" w:tplc="EBB03C6C">
      <w:numFmt w:val="decimal"/>
      <w:lvlText w:val=""/>
      <w:lvlJc w:val="left"/>
    </w:lvl>
    <w:lvl w:ilvl="4" w:tplc="52088624">
      <w:numFmt w:val="decimal"/>
      <w:lvlText w:val=""/>
      <w:lvlJc w:val="left"/>
    </w:lvl>
    <w:lvl w:ilvl="5" w:tplc="923C799A">
      <w:numFmt w:val="decimal"/>
      <w:lvlText w:val=""/>
      <w:lvlJc w:val="left"/>
    </w:lvl>
    <w:lvl w:ilvl="6" w:tplc="77A0C420">
      <w:numFmt w:val="decimal"/>
      <w:lvlText w:val=""/>
      <w:lvlJc w:val="left"/>
    </w:lvl>
    <w:lvl w:ilvl="7" w:tplc="7EFAE52A">
      <w:numFmt w:val="decimal"/>
      <w:lvlText w:val=""/>
      <w:lvlJc w:val="left"/>
    </w:lvl>
    <w:lvl w:ilvl="8" w:tplc="411C2F3E">
      <w:numFmt w:val="decimal"/>
      <w:lvlText w:val=""/>
      <w:lvlJc w:val="left"/>
    </w:lvl>
  </w:abstractNum>
  <w:abstractNum w:abstractNumId="1" w15:restartNumberingAfterBreak="0">
    <w:nsid w:val="5E314423"/>
    <w:multiLevelType w:val="multilevel"/>
    <w:tmpl w:val="4872A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F1B5DB3"/>
    <w:multiLevelType w:val="hybridMultilevel"/>
    <w:tmpl w:val="BAD056D2"/>
    <w:lvl w:ilvl="0" w:tplc="0409000D">
      <w:start w:val="1"/>
      <w:numFmt w:val="bullet"/>
      <w:lvlText w:val=""/>
      <w:lvlJc w:val="left"/>
      <w:pPr>
        <w:ind w:left="720" w:hanging="360"/>
      </w:pPr>
      <w:rPr>
        <w:rFonts w:ascii="Wingdings" w:hAnsi="Wingdings" w:hint="default"/>
        <w:color w:val="auto"/>
      </w:rPr>
    </w:lvl>
    <w:lvl w:ilvl="1" w:tplc="2C4A71EC">
      <w:numFmt w:val="decimal"/>
      <w:lvlText w:val=""/>
      <w:lvlJc w:val="left"/>
    </w:lvl>
    <w:lvl w:ilvl="2" w:tplc="C322ABC4">
      <w:numFmt w:val="decimal"/>
      <w:lvlText w:val=""/>
      <w:lvlJc w:val="left"/>
    </w:lvl>
    <w:lvl w:ilvl="3" w:tplc="EBB03C6C">
      <w:numFmt w:val="decimal"/>
      <w:lvlText w:val=""/>
      <w:lvlJc w:val="left"/>
    </w:lvl>
    <w:lvl w:ilvl="4" w:tplc="52088624">
      <w:numFmt w:val="decimal"/>
      <w:lvlText w:val=""/>
      <w:lvlJc w:val="left"/>
    </w:lvl>
    <w:lvl w:ilvl="5" w:tplc="923C799A">
      <w:numFmt w:val="decimal"/>
      <w:lvlText w:val=""/>
      <w:lvlJc w:val="left"/>
    </w:lvl>
    <w:lvl w:ilvl="6" w:tplc="77A0C420">
      <w:numFmt w:val="decimal"/>
      <w:lvlText w:val=""/>
      <w:lvlJc w:val="left"/>
    </w:lvl>
    <w:lvl w:ilvl="7" w:tplc="7EFAE52A">
      <w:numFmt w:val="decimal"/>
      <w:lvlText w:val=""/>
      <w:lvlJc w:val="left"/>
    </w:lvl>
    <w:lvl w:ilvl="8" w:tplc="411C2F3E">
      <w:numFmt w:val="decimal"/>
      <w:lvlText w:val=""/>
      <w:lvlJc w:val="left"/>
    </w:lvl>
  </w:abstractNum>
  <w:num w:numId="1" w16cid:durableId="2109695191">
    <w:abstractNumId w:val="2"/>
  </w:num>
  <w:num w:numId="2" w16cid:durableId="872618800">
    <w:abstractNumId w:val="1"/>
  </w:num>
  <w:num w:numId="3" w16cid:durableId="30493940">
    <w:abstractNumId w:val="2"/>
  </w:num>
  <w:num w:numId="4" w16cid:durableId="74141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9C"/>
    <w:rsid w:val="00000D2B"/>
    <w:rsid w:val="000070C1"/>
    <w:rsid w:val="000117A1"/>
    <w:rsid w:val="000248A8"/>
    <w:rsid w:val="00026601"/>
    <w:rsid w:val="0003794C"/>
    <w:rsid w:val="00037F9B"/>
    <w:rsid w:val="00040EC5"/>
    <w:rsid w:val="000A4A24"/>
    <w:rsid w:val="000B0F81"/>
    <w:rsid w:val="000D2B3D"/>
    <w:rsid w:val="000D603C"/>
    <w:rsid w:val="000E6993"/>
    <w:rsid w:val="00111165"/>
    <w:rsid w:val="00112955"/>
    <w:rsid w:val="0012440F"/>
    <w:rsid w:val="00124ECA"/>
    <w:rsid w:val="0016359A"/>
    <w:rsid w:val="001B197D"/>
    <w:rsid w:val="001B546E"/>
    <w:rsid w:val="001C285A"/>
    <w:rsid w:val="001C699A"/>
    <w:rsid w:val="001D505D"/>
    <w:rsid w:val="001D50C0"/>
    <w:rsid w:val="001D7326"/>
    <w:rsid w:val="001E11CB"/>
    <w:rsid w:val="001F6952"/>
    <w:rsid w:val="002164F1"/>
    <w:rsid w:val="00232028"/>
    <w:rsid w:val="00232EE8"/>
    <w:rsid w:val="002369B3"/>
    <w:rsid w:val="0024006B"/>
    <w:rsid w:val="00244D3A"/>
    <w:rsid w:val="002560BE"/>
    <w:rsid w:val="0025646B"/>
    <w:rsid w:val="00262058"/>
    <w:rsid w:val="00264315"/>
    <w:rsid w:val="00283459"/>
    <w:rsid w:val="00293C0A"/>
    <w:rsid w:val="002A7111"/>
    <w:rsid w:val="002B449E"/>
    <w:rsid w:val="002C0075"/>
    <w:rsid w:val="002C3319"/>
    <w:rsid w:val="002D04F0"/>
    <w:rsid w:val="002E2292"/>
    <w:rsid w:val="00304944"/>
    <w:rsid w:val="003135B9"/>
    <w:rsid w:val="00317106"/>
    <w:rsid w:val="00332F96"/>
    <w:rsid w:val="00351A1B"/>
    <w:rsid w:val="0036545D"/>
    <w:rsid w:val="003772C0"/>
    <w:rsid w:val="00377FA3"/>
    <w:rsid w:val="00384148"/>
    <w:rsid w:val="00396853"/>
    <w:rsid w:val="003A3227"/>
    <w:rsid w:val="003D28CB"/>
    <w:rsid w:val="003E11B2"/>
    <w:rsid w:val="00400AD9"/>
    <w:rsid w:val="00402E6D"/>
    <w:rsid w:val="00415175"/>
    <w:rsid w:val="00422C2A"/>
    <w:rsid w:val="00445C37"/>
    <w:rsid w:val="00445D00"/>
    <w:rsid w:val="00456A44"/>
    <w:rsid w:val="00461A60"/>
    <w:rsid w:val="00491170"/>
    <w:rsid w:val="004B14B1"/>
    <w:rsid w:val="004B4452"/>
    <w:rsid w:val="004C62E8"/>
    <w:rsid w:val="004D5F4E"/>
    <w:rsid w:val="004D6404"/>
    <w:rsid w:val="004E3A37"/>
    <w:rsid w:val="004F204E"/>
    <w:rsid w:val="004F2F5F"/>
    <w:rsid w:val="004F4BAA"/>
    <w:rsid w:val="005005E1"/>
    <w:rsid w:val="005009D3"/>
    <w:rsid w:val="00511F0F"/>
    <w:rsid w:val="00517D2E"/>
    <w:rsid w:val="00523B4B"/>
    <w:rsid w:val="0052689A"/>
    <w:rsid w:val="00530A3F"/>
    <w:rsid w:val="0053260A"/>
    <w:rsid w:val="00537AA3"/>
    <w:rsid w:val="00537CE2"/>
    <w:rsid w:val="00546493"/>
    <w:rsid w:val="00550F4E"/>
    <w:rsid w:val="00593707"/>
    <w:rsid w:val="005A550C"/>
    <w:rsid w:val="005B6CE4"/>
    <w:rsid w:val="00600DFE"/>
    <w:rsid w:val="00626277"/>
    <w:rsid w:val="006510BD"/>
    <w:rsid w:val="00664117"/>
    <w:rsid w:val="00672094"/>
    <w:rsid w:val="0067642D"/>
    <w:rsid w:val="0068170A"/>
    <w:rsid w:val="006871A2"/>
    <w:rsid w:val="00690EA7"/>
    <w:rsid w:val="00693A35"/>
    <w:rsid w:val="006947C0"/>
    <w:rsid w:val="0069603E"/>
    <w:rsid w:val="006C28C6"/>
    <w:rsid w:val="006D5AFA"/>
    <w:rsid w:val="006E1470"/>
    <w:rsid w:val="006E3ADF"/>
    <w:rsid w:val="006F48DD"/>
    <w:rsid w:val="006F6D4B"/>
    <w:rsid w:val="00702410"/>
    <w:rsid w:val="00707630"/>
    <w:rsid w:val="00711903"/>
    <w:rsid w:val="00711BF8"/>
    <w:rsid w:val="00713C86"/>
    <w:rsid w:val="00723A0E"/>
    <w:rsid w:val="0072709F"/>
    <w:rsid w:val="0073634C"/>
    <w:rsid w:val="007413A3"/>
    <w:rsid w:val="007430E5"/>
    <w:rsid w:val="00756C3D"/>
    <w:rsid w:val="00765A15"/>
    <w:rsid w:val="00795512"/>
    <w:rsid w:val="007A5F36"/>
    <w:rsid w:val="007A6923"/>
    <w:rsid w:val="007D60ED"/>
    <w:rsid w:val="007E2774"/>
    <w:rsid w:val="007F421A"/>
    <w:rsid w:val="007F6B03"/>
    <w:rsid w:val="00811104"/>
    <w:rsid w:val="00816CAF"/>
    <w:rsid w:val="00826A37"/>
    <w:rsid w:val="008444BF"/>
    <w:rsid w:val="00845EB3"/>
    <w:rsid w:val="00853526"/>
    <w:rsid w:val="00854A8E"/>
    <w:rsid w:val="00855781"/>
    <w:rsid w:val="008605FF"/>
    <w:rsid w:val="00861DBB"/>
    <w:rsid w:val="00867473"/>
    <w:rsid w:val="0087599C"/>
    <w:rsid w:val="008904B6"/>
    <w:rsid w:val="008C0F67"/>
    <w:rsid w:val="008C7918"/>
    <w:rsid w:val="008D2978"/>
    <w:rsid w:val="008E2925"/>
    <w:rsid w:val="008E38F8"/>
    <w:rsid w:val="00900386"/>
    <w:rsid w:val="00912FFB"/>
    <w:rsid w:val="00927B01"/>
    <w:rsid w:val="00935736"/>
    <w:rsid w:val="009525D3"/>
    <w:rsid w:val="0095328B"/>
    <w:rsid w:val="00955711"/>
    <w:rsid w:val="00957D63"/>
    <w:rsid w:val="00974309"/>
    <w:rsid w:val="00984311"/>
    <w:rsid w:val="009A395F"/>
    <w:rsid w:val="009E0C1F"/>
    <w:rsid w:val="009E49F5"/>
    <w:rsid w:val="009E5D1A"/>
    <w:rsid w:val="009F09DB"/>
    <w:rsid w:val="00A039FB"/>
    <w:rsid w:val="00A115A4"/>
    <w:rsid w:val="00A11743"/>
    <w:rsid w:val="00A35CF2"/>
    <w:rsid w:val="00A36CA8"/>
    <w:rsid w:val="00A61A6B"/>
    <w:rsid w:val="00A81044"/>
    <w:rsid w:val="00A95245"/>
    <w:rsid w:val="00AB2945"/>
    <w:rsid w:val="00AD02B1"/>
    <w:rsid w:val="00AD2D3E"/>
    <w:rsid w:val="00AF797B"/>
    <w:rsid w:val="00B05730"/>
    <w:rsid w:val="00B13AED"/>
    <w:rsid w:val="00B1613F"/>
    <w:rsid w:val="00B22034"/>
    <w:rsid w:val="00B33B09"/>
    <w:rsid w:val="00B44A41"/>
    <w:rsid w:val="00B62772"/>
    <w:rsid w:val="00B67B9A"/>
    <w:rsid w:val="00B706E2"/>
    <w:rsid w:val="00B70BC8"/>
    <w:rsid w:val="00B7219B"/>
    <w:rsid w:val="00B93DF1"/>
    <w:rsid w:val="00B96B1D"/>
    <w:rsid w:val="00BA3801"/>
    <w:rsid w:val="00BA49C6"/>
    <w:rsid w:val="00BA5560"/>
    <w:rsid w:val="00BA5627"/>
    <w:rsid w:val="00BB0795"/>
    <w:rsid w:val="00BE3A1A"/>
    <w:rsid w:val="00BE4185"/>
    <w:rsid w:val="00BE6A64"/>
    <w:rsid w:val="00C012A9"/>
    <w:rsid w:val="00C04D77"/>
    <w:rsid w:val="00C24E7A"/>
    <w:rsid w:val="00C37DB7"/>
    <w:rsid w:val="00C4302E"/>
    <w:rsid w:val="00C556FA"/>
    <w:rsid w:val="00CA3F09"/>
    <w:rsid w:val="00CC01EB"/>
    <w:rsid w:val="00CC09F8"/>
    <w:rsid w:val="00CD2058"/>
    <w:rsid w:val="00CE5FAC"/>
    <w:rsid w:val="00CF08AC"/>
    <w:rsid w:val="00CF49F6"/>
    <w:rsid w:val="00D00A9F"/>
    <w:rsid w:val="00D34F78"/>
    <w:rsid w:val="00D40BDA"/>
    <w:rsid w:val="00D4357B"/>
    <w:rsid w:val="00D51048"/>
    <w:rsid w:val="00D52DEB"/>
    <w:rsid w:val="00D5338A"/>
    <w:rsid w:val="00D630A4"/>
    <w:rsid w:val="00D64548"/>
    <w:rsid w:val="00D73862"/>
    <w:rsid w:val="00D97836"/>
    <w:rsid w:val="00DA32DB"/>
    <w:rsid w:val="00DA4CE3"/>
    <w:rsid w:val="00DF1AA1"/>
    <w:rsid w:val="00DF7637"/>
    <w:rsid w:val="00E05855"/>
    <w:rsid w:val="00E13623"/>
    <w:rsid w:val="00E31236"/>
    <w:rsid w:val="00E32BD8"/>
    <w:rsid w:val="00E466F5"/>
    <w:rsid w:val="00E559FF"/>
    <w:rsid w:val="00E567DC"/>
    <w:rsid w:val="00E810B4"/>
    <w:rsid w:val="00E970C8"/>
    <w:rsid w:val="00EA5B97"/>
    <w:rsid w:val="00EB2198"/>
    <w:rsid w:val="00EB657D"/>
    <w:rsid w:val="00ED0341"/>
    <w:rsid w:val="00ED2063"/>
    <w:rsid w:val="00EF4398"/>
    <w:rsid w:val="00F061A4"/>
    <w:rsid w:val="00F07E74"/>
    <w:rsid w:val="00F12C86"/>
    <w:rsid w:val="00F12D4D"/>
    <w:rsid w:val="00F13BB0"/>
    <w:rsid w:val="00F16BE9"/>
    <w:rsid w:val="00F31133"/>
    <w:rsid w:val="00F3429C"/>
    <w:rsid w:val="00F34F9D"/>
    <w:rsid w:val="00F75BE8"/>
    <w:rsid w:val="00F8564E"/>
    <w:rsid w:val="00F92060"/>
    <w:rsid w:val="00FB0176"/>
    <w:rsid w:val="00FD43F7"/>
    <w:rsid w:val="00FD6255"/>
    <w:rsid w:val="00FD6FF3"/>
    <w:rsid w:val="00FF3E4D"/>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C36E"/>
  <w15:chartTrackingRefBased/>
  <w15:docId w15:val="{35028B4D-8C9B-4CEA-944F-1A9A4244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11"/>
    <w:pPr>
      <w:spacing w:after="0" w:line="240" w:lineRule="auto"/>
    </w:pPr>
    <w:rPr>
      <w:rFonts w:ascii="Times New Roman" w:eastAsia="Times New Roman" w:hAnsi="Times New Roman" w:cs="Times New Roman"/>
    </w:rPr>
  </w:style>
  <w:style w:type="paragraph" w:styleId="Heading1">
    <w:name w:val="heading 1"/>
    <w:link w:val="Heading1Char"/>
    <w:qFormat/>
    <w:rsid w:val="002A7111"/>
    <w:pPr>
      <w:spacing w:before="400" w:line="240" w:lineRule="auto"/>
      <w:outlineLvl w:val="0"/>
    </w:pPr>
    <w:rPr>
      <w:rFonts w:ascii="Arial" w:eastAsia="Arial" w:hAnsi="Arial" w:cs="Arial"/>
      <w:b/>
      <w:bCs/>
      <w:color w:val="1A365D"/>
      <w:sz w:val="28"/>
      <w:szCs w:val="28"/>
    </w:rPr>
  </w:style>
  <w:style w:type="paragraph" w:styleId="Heading2">
    <w:name w:val="heading 2"/>
    <w:link w:val="Heading2Char"/>
    <w:qFormat/>
    <w:rsid w:val="002A7111"/>
    <w:pPr>
      <w:spacing w:before="280" w:after="120" w:line="240" w:lineRule="auto"/>
      <w:outlineLvl w:val="1"/>
    </w:pPr>
    <w:rPr>
      <w:rFonts w:ascii="Arial" w:eastAsia="Arial" w:hAnsi="Arial" w:cs="Arial"/>
      <w:b/>
      <w:bCs/>
      <w:i/>
      <w:iCs/>
      <w:color w:val="2B6CB0"/>
      <w:sz w:val="24"/>
      <w:szCs w:val="24"/>
    </w:rPr>
  </w:style>
  <w:style w:type="paragraph" w:styleId="Heading3">
    <w:name w:val="heading 3"/>
    <w:link w:val="Heading3Char"/>
    <w:qFormat/>
    <w:rsid w:val="002A7111"/>
    <w:pPr>
      <w:spacing w:before="200" w:after="100" w:line="240" w:lineRule="auto"/>
      <w:outlineLvl w:val="2"/>
    </w:pPr>
    <w:rPr>
      <w:rFonts w:ascii="Arial" w:eastAsia="Arial" w:hAnsi="Arial" w:cs="Arial"/>
      <w:b/>
      <w:bCs/>
      <w:color w:val="2C5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111"/>
    <w:rPr>
      <w:rFonts w:ascii="Arial" w:eastAsia="Arial" w:hAnsi="Arial" w:cs="Arial"/>
      <w:b/>
      <w:bCs/>
      <w:color w:val="1A365D"/>
      <w:sz w:val="28"/>
      <w:szCs w:val="28"/>
    </w:rPr>
  </w:style>
  <w:style w:type="character" w:customStyle="1" w:styleId="Heading2Char">
    <w:name w:val="Heading 2 Char"/>
    <w:basedOn w:val="DefaultParagraphFont"/>
    <w:link w:val="Heading2"/>
    <w:rsid w:val="002A7111"/>
    <w:rPr>
      <w:rFonts w:ascii="Arial" w:eastAsia="Arial" w:hAnsi="Arial" w:cs="Arial"/>
      <w:b/>
      <w:bCs/>
      <w:i/>
      <w:iCs/>
      <w:color w:val="2B6CB0"/>
      <w:sz w:val="24"/>
      <w:szCs w:val="24"/>
    </w:rPr>
  </w:style>
  <w:style w:type="character" w:customStyle="1" w:styleId="Heading3Char">
    <w:name w:val="Heading 3 Char"/>
    <w:basedOn w:val="DefaultParagraphFont"/>
    <w:link w:val="Heading3"/>
    <w:rsid w:val="002A7111"/>
    <w:rPr>
      <w:rFonts w:ascii="Arial" w:eastAsia="Arial" w:hAnsi="Arial" w:cs="Arial"/>
      <w:b/>
      <w:bCs/>
      <w:color w:val="2C5282"/>
    </w:rPr>
  </w:style>
  <w:style w:type="paragraph" w:styleId="ListParagraph">
    <w:name w:val="List Paragraph"/>
    <w:qFormat/>
    <w:rsid w:val="002A7111"/>
    <w:pPr>
      <w:spacing w:after="0" w:line="240" w:lineRule="auto"/>
    </w:pPr>
    <w:rPr>
      <w:rFonts w:ascii="Times New Roman" w:eastAsia="Times New Roman" w:hAnsi="Times New Roman" w:cs="Times New Roman"/>
    </w:rPr>
  </w:style>
  <w:style w:type="character" w:customStyle="1" w:styleId="aupe">
    <w:name w:val="_aupe"/>
    <w:basedOn w:val="DefaultParagraphFont"/>
    <w:rsid w:val="002A7111"/>
  </w:style>
  <w:style w:type="paragraph" w:styleId="NoSpacing">
    <w:name w:val="No Spacing"/>
    <w:uiPriority w:val="1"/>
    <w:qFormat/>
    <w:rsid w:val="00600DFE"/>
    <w:pPr>
      <w:spacing w:after="0" w:line="240" w:lineRule="auto"/>
    </w:pPr>
    <w:rPr>
      <w:rFonts w:ascii="Times New Roman" w:eastAsia="Times New Roman" w:hAnsi="Times New Roman" w:cs="Times New Roman"/>
    </w:rPr>
  </w:style>
  <w:style w:type="character" w:customStyle="1" w:styleId="aupe1">
    <w:name w:val="_aupe1"/>
    <w:basedOn w:val="DefaultParagraphFont"/>
    <w:rsid w:val="009E49F5"/>
  </w:style>
  <w:style w:type="character" w:styleId="Hyperlink">
    <w:name w:val="Hyperlink"/>
    <w:basedOn w:val="DefaultParagraphFont"/>
    <w:uiPriority w:val="99"/>
    <w:unhideWhenUsed/>
    <w:rsid w:val="00304944"/>
    <w:rPr>
      <w:color w:val="0563C1" w:themeColor="hyperlink"/>
      <w:u w:val="single"/>
    </w:rPr>
  </w:style>
  <w:style w:type="paragraph" w:styleId="NormalWeb">
    <w:name w:val="Normal (Web)"/>
    <w:basedOn w:val="Normal"/>
    <w:uiPriority w:val="99"/>
    <w:unhideWhenUsed/>
    <w:rsid w:val="00B13AE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5005E1"/>
    <w:rPr>
      <w:color w:val="605E5C"/>
      <w:shd w:val="clear" w:color="auto" w:fill="E1DFDD"/>
    </w:rPr>
  </w:style>
  <w:style w:type="paragraph" w:customStyle="1" w:styleId="Author">
    <w:name w:val="Author"/>
    <w:basedOn w:val="Normal"/>
    <w:rsid w:val="005005E1"/>
    <w:pPr>
      <w:spacing w:line="280" w:lineRule="exact"/>
      <w:jc w:val="right"/>
    </w:pPr>
    <w:rPr>
      <w:rFonts w:ascii="Helvetica" w:hAnsi="Helvetica"/>
      <w:b/>
      <w:sz w:val="24"/>
      <w:szCs w:val="20"/>
    </w:rPr>
  </w:style>
  <w:style w:type="paragraph" w:styleId="Header">
    <w:name w:val="header"/>
    <w:basedOn w:val="Normal"/>
    <w:link w:val="HeaderChar"/>
    <w:uiPriority w:val="99"/>
    <w:unhideWhenUsed/>
    <w:rsid w:val="00702410"/>
    <w:pPr>
      <w:tabs>
        <w:tab w:val="center" w:pos="4680"/>
        <w:tab w:val="right" w:pos="9360"/>
      </w:tabs>
    </w:pPr>
  </w:style>
  <w:style w:type="character" w:customStyle="1" w:styleId="HeaderChar">
    <w:name w:val="Header Char"/>
    <w:basedOn w:val="DefaultParagraphFont"/>
    <w:link w:val="Header"/>
    <w:uiPriority w:val="99"/>
    <w:rsid w:val="00702410"/>
    <w:rPr>
      <w:rFonts w:ascii="Times New Roman" w:eastAsia="Times New Roman" w:hAnsi="Times New Roman" w:cs="Times New Roman"/>
    </w:rPr>
  </w:style>
  <w:style w:type="paragraph" w:styleId="Footer">
    <w:name w:val="footer"/>
    <w:basedOn w:val="Normal"/>
    <w:link w:val="FooterChar"/>
    <w:uiPriority w:val="99"/>
    <w:unhideWhenUsed/>
    <w:rsid w:val="00702410"/>
    <w:pPr>
      <w:tabs>
        <w:tab w:val="center" w:pos="4680"/>
        <w:tab w:val="right" w:pos="9360"/>
      </w:tabs>
    </w:pPr>
  </w:style>
  <w:style w:type="character" w:customStyle="1" w:styleId="FooterChar">
    <w:name w:val="Footer Char"/>
    <w:basedOn w:val="DefaultParagraphFont"/>
    <w:link w:val="Footer"/>
    <w:uiPriority w:val="99"/>
    <w:rsid w:val="007024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16</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FARAZI MART</dc:creator>
  <cp:keywords/>
  <dc:description/>
  <cp:lastModifiedBy>SDI CPU 1117</cp:lastModifiedBy>
  <cp:revision>30</cp:revision>
  <cp:lastPrinted>2026-04-09T11:16:00Z</cp:lastPrinted>
  <dcterms:created xsi:type="dcterms:W3CDTF">2026-05-12T17:16:00Z</dcterms:created>
  <dcterms:modified xsi:type="dcterms:W3CDTF">2026-05-28T12:01:00Z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8a458185-258a-4bdd-a233-1c24292c0d24</vt:lpwstr>
  </property>
</Properties>
</file>