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33D4D" w14:textId="02AF29CE" w:rsidR="00A84FAC" w:rsidRPr="00B61BF3" w:rsidRDefault="00A84FAC" w:rsidP="0002121C">
      <w:pPr>
        <w:spacing w:line="240" w:lineRule="auto"/>
        <w:jc w:val="center"/>
        <w:rPr>
          <w:rFonts w:ascii="Arial" w:hAnsi="Arial" w:cs="Arial"/>
          <w:b/>
          <w:color w:val="000000" w:themeColor="text1"/>
          <w:sz w:val="22"/>
          <w:szCs w:val="22"/>
          <w:u w:val="single"/>
          <w:lang w:val="en-US"/>
        </w:rPr>
      </w:pPr>
      <w:r w:rsidRPr="00B61BF3">
        <w:rPr>
          <w:rFonts w:ascii="Arial" w:hAnsi="Arial" w:cs="Arial"/>
          <w:b/>
          <w:color w:val="000000" w:themeColor="text1"/>
          <w:sz w:val="22"/>
          <w:szCs w:val="22"/>
        </w:rPr>
        <w:t>Statistical Evaluation of Digital Screen Exposure and Its Impact on Academic Performance and Behavioral Patterns: Evidence from Female Undergraduates of Maharaja Bir Bikram College</w:t>
      </w:r>
    </w:p>
    <w:p w14:paraId="5AEFE05C" w14:textId="72D24F78" w:rsidR="00A84FAC" w:rsidRPr="00B61BF3" w:rsidRDefault="004D2949" w:rsidP="0002121C">
      <w:pPr>
        <w:spacing w:before="40" w:line="240" w:lineRule="auto"/>
        <w:jc w:val="center"/>
        <w:rPr>
          <w:rFonts w:ascii="Arial" w:hAnsi="Arial" w:cs="Arial"/>
          <w:color w:val="000000" w:themeColor="text1"/>
          <w:sz w:val="20"/>
          <w:szCs w:val="20"/>
        </w:rPr>
      </w:pPr>
      <w:r w:rsidRPr="00B61BF3">
        <w:rPr>
          <w:rFonts w:ascii="Arial" w:hAnsi="Arial" w:cs="Arial"/>
          <w:i/>
          <w:noProof/>
          <w:color w:val="000000" w:themeColor="text1"/>
          <w:sz w:val="20"/>
          <w:szCs w:val="20"/>
        </w:rPr>
        <mc:AlternateContent>
          <mc:Choice Requires="wps">
            <w:drawing>
              <wp:anchor distT="0" distB="0" distL="114300" distR="114300" simplePos="0" relativeHeight="251659264" behindDoc="0" locked="0" layoutInCell="1" allowOverlap="1" wp14:anchorId="093FB4A5" wp14:editId="23250657">
                <wp:simplePos x="0" y="0"/>
                <wp:positionH relativeFrom="margin">
                  <wp:posOffset>-121920</wp:posOffset>
                </wp:positionH>
                <wp:positionV relativeFrom="paragraph">
                  <wp:posOffset>277495</wp:posOffset>
                </wp:positionV>
                <wp:extent cx="5966460" cy="3642360"/>
                <wp:effectExtent l="0" t="0" r="15240" b="15240"/>
                <wp:wrapNone/>
                <wp:docPr id="1557051057" name="Rectangle 1"/>
                <wp:cNvGraphicFramePr/>
                <a:graphic xmlns:a="http://schemas.openxmlformats.org/drawingml/2006/main">
                  <a:graphicData uri="http://schemas.microsoft.com/office/word/2010/wordprocessingShape">
                    <wps:wsp>
                      <wps:cNvSpPr/>
                      <wps:spPr>
                        <a:xfrm>
                          <a:off x="0" y="0"/>
                          <a:ext cx="5966460" cy="364236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8B01D" id="Rectangle 1" o:spid="_x0000_s1026" style="position:absolute;margin-left:-9.6pt;margin-top:21.85pt;width:469.8pt;height:28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" filled="f" strokecolor="black [3213]" strokeweight="1pt">
                <w10:wrap anchorx="margin"/>
              </v:rect>
            </w:pict>
          </mc:Fallback>
        </mc:AlternateContent>
      </w:r>
      <w:r w:rsidR="00A84FAC" w:rsidRPr="00B61BF3">
        <w:rPr>
          <w:rFonts w:ascii="Arial" w:hAnsi="Arial" w:cs="Arial"/>
          <w:i/>
          <w:color w:val="000000" w:themeColor="text1"/>
          <w:sz w:val="20"/>
          <w:szCs w:val="20"/>
        </w:rPr>
        <w:t>Original Research Article</w:t>
      </w:r>
    </w:p>
    <w:p w14:paraId="0E71508E" w14:textId="77777777" w:rsidR="00A84FAC" w:rsidRPr="00826029" w:rsidRDefault="00A84FAC" w:rsidP="0002121C">
      <w:pPr>
        <w:pStyle w:val="Heading1"/>
        <w:spacing w:before="280" w:after="120" w:line="240" w:lineRule="auto"/>
        <w:jc w:val="both"/>
        <w:rPr>
          <w:rFonts w:ascii="Arial" w:hAnsi="Arial" w:cs="Arial"/>
          <w:b/>
          <w:bCs/>
          <w:color w:val="000000" w:themeColor="text1"/>
          <w:sz w:val="22"/>
          <w:szCs w:val="22"/>
        </w:rPr>
      </w:pPr>
      <w:r w:rsidRPr="00826029">
        <w:rPr>
          <w:rFonts w:ascii="Arial" w:hAnsi="Arial" w:cs="Arial"/>
          <w:b/>
          <w:bCs/>
          <w:color w:val="000000" w:themeColor="text1"/>
          <w:sz w:val="22"/>
          <w:szCs w:val="22"/>
        </w:rPr>
        <w:t>Abstract</w:t>
      </w:r>
    </w:p>
    <w:p w14:paraId="2C2C14CE" w14:textId="77777777" w:rsidR="00A84FAC" w:rsidRPr="00B61BF3" w:rsidRDefault="00A84FAC" w:rsidP="0002121C">
      <w:pPr>
        <w:spacing w:before="8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 xml:space="preserve">Background: </w:t>
      </w:r>
      <w:r w:rsidRPr="00B61BF3">
        <w:rPr>
          <w:rFonts w:ascii="Arial" w:hAnsi="Arial" w:cs="Arial"/>
          <w:color w:val="000000" w:themeColor="text1"/>
          <w:sz w:val="20"/>
          <w:szCs w:val="20"/>
        </w:rPr>
        <w:t>The rapid proliferation of smartphones driven by 4G and 5G internet connectivity has significantly transformed the academic and social behavior of college students. Despite growing digital engagement, limited research in the Indian context has examined the simultaneous effects of screen exposure on academic attention and moral value formation among female undergraduates.</w:t>
      </w:r>
    </w:p>
    <w:p w14:paraId="3226E5AC" w14:textId="77777777" w:rsidR="00A84FAC" w:rsidRPr="00B61BF3" w:rsidRDefault="00A84FAC" w:rsidP="0002121C">
      <w:pPr>
        <w:spacing w:before="8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 xml:space="preserve">Objective: </w:t>
      </w:r>
      <w:r w:rsidRPr="00B61BF3">
        <w:rPr>
          <w:rFonts w:ascii="Arial" w:hAnsi="Arial" w:cs="Arial"/>
          <w:color w:val="000000" w:themeColor="text1"/>
          <w:sz w:val="20"/>
          <w:szCs w:val="20"/>
        </w:rPr>
        <w:t>This study aimed to investigate smartphone usage patterns, their academic impact, and behavioral implications among female undergraduate students of Maharaja Bir Bikram College, Agartala, Tripura.</w:t>
      </w:r>
    </w:p>
    <w:p w14:paraId="1945D23A" w14:textId="77777777" w:rsidR="00A84FAC" w:rsidRPr="00B61BF3" w:rsidRDefault="00A84FAC" w:rsidP="0002121C">
      <w:pPr>
        <w:spacing w:before="8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 xml:space="preserve">Methods: </w:t>
      </w:r>
      <w:r w:rsidRPr="00B61BF3">
        <w:rPr>
          <w:rFonts w:ascii="Arial" w:hAnsi="Arial" w:cs="Arial"/>
          <w:color w:val="000000" w:themeColor="text1"/>
          <w:sz w:val="20"/>
          <w:szCs w:val="20"/>
        </w:rPr>
        <w:t>A descriptive observational cross-sectional study was conducted among 68 female undergraduate students selected through convenience sampling. A structured, closed-ended questionnaire with Likert-scale items was administered. Statistical analyses included frequency distributions, percentage analysis, and chi-square tests performed using SPSS software.</w:t>
      </w:r>
    </w:p>
    <w:p w14:paraId="269EAD46" w14:textId="3408A006" w:rsidR="00A84FAC" w:rsidRPr="00B61BF3" w:rsidRDefault="00A84FAC" w:rsidP="0002121C">
      <w:pPr>
        <w:spacing w:before="8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 xml:space="preserve">Results: </w:t>
      </w:r>
      <w:r w:rsidRPr="00B61BF3">
        <w:rPr>
          <w:rFonts w:ascii="Arial" w:hAnsi="Arial" w:cs="Arial"/>
          <w:color w:val="000000" w:themeColor="text1"/>
          <w:sz w:val="20"/>
          <w:szCs w:val="20"/>
        </w:rPr>
        <w:t xml:space="preserve">A majority of respondents (55.88%) used smartphones for more than three hours daily. High proportions used smartphones for skill development (52.9%), online group discussions (52.9%), and quick feedback (73.5%). Nonetheless, 45.6% agreed smartphones distracted them from studies. Chi-square analysis revealed significant associations between year of study and attention from studies (χ² = 18.54, df = 8, p &lt; 0.05), and between age and perceived moral </w:t>
      </w:r>
      <w:r w:rsidR="004B6ABE" w:rsidRPr="00B61BF3">
        <w:rPr>
          <w:rFonts w:ascii="Arial" w:hAnsi="Arial" w:cs="Arial"/>
          <w:color w:val="000000" w:themeColor="text1"/>
          <w:sz w:val="20"/>
          <w:szCs w:val="20"/>
        </w:rPr>
        <w:t>impact</w:t>
      </w:r>
      <w:r w:rsidRPr="00B61BF3">
        <w:rPr>
          <w:rFonts w:ascii="Arial" w:hAnsi="Arial" w:cs="Arial"/>
          <w:color w:val="000000" w:themeColor="text1"/>
          <w:sz w:val="20"/>
          <w:szCs w:val="20"/>
        </w:rPr>
        <w:t xml:space="preserve"> (χ² = 16.16, df = 8, p &lt; 0.05).</w:t>
      </w:r>
    </w:p>
    <w:p w14:paraId="306A24BB" w14:textId="77777777" w:rsidR="00A84FAC" w:rsidRPr="00B61BF3" w:rsidRDefault="00A84FAC" w:rsidP="0002121C">
      <w:pPr>
        <w:spacing w:before="8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 xml:space="preserve">Conclusion: </w:t>
      </w:r>
      <w:r w:rsidRPr="00B61BF3">
        <w:rPr>
          <w:rFonts w:ascii="Arial" w:hAnsi="Arial" w:cs="Arial"/>
          <w:color w:val="000000" w:themeColor="text1"/>
          <w:sz w:val="20"/>
          <w:szCs w:val="20"/>
        </w:rPr>
        <w:t>While smartphones serve as valuable academic tools, excessive usage adversely affects concentration and ethical development among female students. Institutions are urged to implement structured digital wellness frameworks.</w:t>
      </w:r>
    </w:p>
    <w:p w14:paraId="730FECA7" w14:textId="77777777" w:rsidR="00A84FAC" w:rsidRPr="00B61BF3" w:rsidRDefault="00A84FAC" w:rsidP="0002121C">
      <w:pPr>
        <w:spacing w:before="80" w:after="80" w:line="240" w:lineRule="auto"/>
        <w:jc w:val="both"/>
        <w:rPr>
          <w:rFonts w:ascii="Arial" w:hAnsi="Arial" w:cs="Arial"/>
          <w:i/>
          <w:color w:val="000000" w:themeColor="text1"/>
          <w:sz w:val="20"/>
          <w:szCs w:val="20"/>
        </w:rPr>
      </w:pPr>
      <w:r w:rsidRPr="00B61BF3">
        <w:rPr>
          <w:rFonts w:ascii="Arial" w:hAnsi="Arial" w:cs="Arial"/>
          <w:b/>
          <w:color w:val="000000" w:themeColor="text1"/>
          <w:sz w:val="20"/>
          <w:szCs w:val="20"/>
        </w:rPr>
        <w:t xml:space="preserve">Keywords: </w:t>
      </w:r>
      <w:r w:rsidRPr="00B61BF3">
        <w:rPr>
          <w:rFonts w:ascii="Arial" w:hAnsi="Arial" w:cs="Arial"/>
          <w:i/>
          <w:color w:val="000000" w:themeColor="text1"/>
          <w:sz w:val="20"/>
          <w:szCs w:val="20"/>
        </w:rPr>
        <w:t>Smartphone Usage; Academic Performance; Mental Health; Behavioral Patterns; Chi-square Test; SPSS; Digital Well-being; Female Undergraduates</w:t>
      </w:r>
    </w:p>
    <w:p w14:paraId="393BEFEC" w14:textId="77777777" w:rsidR="0002121C" w:rsidRPr="00B61BF3" w:rsidRDefault="0002121C" w:rsidP="0002121C">
      <w:pPr>
        <w:pStyle w:val="Heading1"/>
        <w:spacing w:before="280" w:after="120" w:line="240" w:lineRule="auto"/>
        <w:jc w:val="both"/>
        <w:rPr>
          <w:rFonts w:ascii="Arial" w:hAnsi="Arial" w:cs="Arial"/>
          <w:b/>
          <w:bCs/>
          <w:color w:val="000000" w:themeColor="text1"/>
          <w:sz w:val="20"/>
          <w:szCs w:val="20"/>
        </w:rPr>
      </w:pPr>
    </w:p>
    <w:p w14:paraId="73579342" w14:textId="3AB44A69" w:rsidR="00577CC4" w:rsidRPr="00577CC4" w:rsidRDefault="00A84FAC" w:rsidP="00577CC4">
      <w:pPr>
        <w:pStyle w:val="Heading1"/>
        <w:spacing w:before="280" w:after="120" w:line="240" w:lineRule="auto"/>
        <w:jc w:val="both"/>
        <w:rPr>
          <w:rFonts w:ascii="Arial" w:hAnsi="Arial" w:cs="Arial"/>
          <w:b/>
          <w:bCs/>
          <w:color w:val="000000" w:themeColor="text1"/>
          <w:sz w:val="22"/>
          <w:szCs w:val="22"/>
        </w:rPr>
      </w:pPr>
      <w:r w:rsidRPr="00B61BF3">
        <w:rPr>
          <w:rFonts w:ascii="Arial" w:hAnsi="Arial" w:cs="Arial"/>
          <w:b/>
          <w:bCs/>
          <w:color w:val="000000" w:themeColor="text1"/>
          <w:sz w:val="22"/>
          <w:szCs w:val="22"/>
        </w:rPr>
        <w:t xml:space="preserve">Ethical </w:t>
      </w:r>
      <w:r w:rsidR="00577CC4">
        <w:rPr>
          <w:rFonts w:ascii="Arial" w:hAnsi="Arial" w:cs="Arial"/>
          <w:b/>
          <w:bCs/>
          <w:color w:val="000000" w:themeColor="text1"/>
          <w:sz w:val="22"/>
          <w:szCs w:val="22"/>
        </w:rPr>
        <w:t>Statement</w:t>
      </w:r>
    </w:p>
    <w:p w14:paraId="0CD978AC" w14:textId="01B93F0B" w:rsidR="00577CC4" w:rsidRDefault="00577CC4" w:rsidP="0002121C">
      <w:pPr>
        <w:spacing w:before="80" w:after="80" w:line="240" w:lineRule="auto"/>
        <w:jc w:val="both"/>
        <w:rPr>
          <w:rFonts w:ascii="Arial" w:hAnsi="Arial" w:cs="Arial"/>
          <w:color w:val="000000" w:themeColor="text1"/>
          <w:sz w:val="20"/>
          <w:szCs w:val="20"/>
        </w:rPr>
      </w:pPr>
      <w:r>
        <w:rPr>
          <w:rFonts w:ascii="Arial" w:hAnsi="Arial" w:cs="Arial"/>
          <w:color w:val="000000" w:themeColor="text1"/>
          <w:sz w:val="20"/>
          <w:szCs w:val="20"/>
        </w:rPr>
        <w:t>This study was conducted in accordance with the ethical principles outlined in the Declaration of Helsinki. The research involved a voluntary, non-invasive survey administered exclusively to undergraduate students of Maharaja Bir Bikram College, Agartala, Tripura, during the academic year 2025–26. The study was carried out purely for academic purposes within the institutional setting and did not involve any clinical intervention, experimental procedure, or collection of sensitive personal or medical data.</w:t>
      </w:r>
    </w:p>
    <w:p w14:paraId="0DF70C1E" w14:textId="00EA7B17" w:rsidR="00577CC4" w:rsidRDefault="00577CC4" w:rsidP="0002121C">
      <w:pPr>
        <w:spacing w:before="80" w:after="8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All questionnaire items were strictly limited to smartphone usage patterns, academic behavior, and digital well-being </w:t>
      </w:r>
      <w:r w:rsidR="00FA531D">
        <w:rPr>
          <w:rFonts w:ascii="Arial" w:hAnsi="Arial" w:cs="Arial"/>
          <w:color w:val="000000" w:themeColor="text1"/>
          <w:sz w:val="20"/>
          <w:szCs w:val="20"/>
        </w:rPr>
        <w:t>,</w:t>
      </w:r>
      <w:r>
        <w:rPr>
          <w:rFonts w:ascii="Arial" w:hAnsi="Arial" w:cs="Arial"/>
          <w:color w:val="000000" w:themeColor="text1"/>
          <w:sz w:val="20"/>
          <w:szCs w:val="20"/>
        </w:rPr>
        <w:t xml:space="preserve"> none of which posed any physical, psychological, or social risk to the participants. Participation was entirely voluntary, and all respondents were informed of their right to withdraw at any time without consequence. No personally identifiable information was recorded; all responses were fully anonymized and used solely for academic research purposes.</w:t>
      </w:r>
    </w:p>
    <w:p w14:paraId="5998A620" w14:textId="77777777" w:rsidR="00577CC4" w:rsidRPr="00B61BF3" w:rsidRDefault="00577CC4" w:rsidP="0002121C">
      <w:pPr>
        <w:spacing w:before="80" w:after="80" w:line="240" w:lineRule="auto"/>
        <w:jc w:val="both"/>
        <w:rPr>
          <w:rFonts w:ascii="Arial" w:hAnsi="Arial" w:cs="Arial"/>
          <w:color w:val="000000" w:themeColor="text1"/>
          <w:sz w:val="20"/>
          <w:szCs w:val="20"/>
        </w:rPr>
      </w:pPr>
      <w:r>
        <w:rPr>
          <w:rFonts w:ascii="Arial" w:hAnsi="Arial" w:cs="Arial"/>
          <w:color w:val="000000" w:themeColor="text1"/>
          <w:sz w:val="20"/>
          <w:szCs w:val="20"/>
        </w:rPr>
        <w:t>Formal ethical committee approval was not required for this study, as it constitutes a non-interventional, observational survey conducted within a single educational institution among its own student population for academic purposes, with no risk to participants and no collection of sensitive data. The study was conducted with the full knowledge and written consent of the Head of the Department of Statistics, Maharaja Bir Bikram College, who supervised and guided the research throughout. Informed verbal consent was obtained from all participants prior to data collection, and data privacy was strictly maintained at every stage of the study.</w:t>
      </w:r>
    </w:p>
    <w:p w14:paraId="1C746643" w14:textId="77777777" w:rsidR="00A84FAC" w:rsidRPr="00B61BF3" w:rsidRDefault="00A84FAC" w:rsidP="0002121C">
      <w:pPr>
        <w:spacing w:before="40" w:after="40" w:line="240" w:lineRule="auto"/>
        <w:jc w:val="both"/>
        <w:rPr>
          <w:rFonts w:ascii="Arial" w:hAnsi="Arial" w:cs="Arial"/>
          <w:color w:val="000000" w:themeColor="text1"/>
          <w:sz w:val="20"/>
          <w:szCs w:val="20"/>
        </w:rPr>
      </w:pPr>
    </w:p>
    <w:p w14:paraId="3883E18C" w14:textId="77777777" w:rsidR="00A84FAC" w:rsidRPr="00B61BF3" w:rsidRDefault="00A84FAC" w:rsidP="0002121C">
      <w:pPr>
        <w:pStyle w:val="Heading1"/>
        <w:spacing w:before="280" w:after="120" w:line="240" w:lineRule="auto"/>
        <w:jc w:val="both"/>
        <w:rPr>
          <w:rFonts w:ascii="Arial" w:hAnsi="Arial" w:cs="Arial"/>
          <w:b/>
          <w:bCs/>
          <w:color w:val="000000" w:themeColor="text1"/>
          <w:sz w:val="22"/>
          <w:szCs w:val="22"/>
        </w:rPr>
      </w:pPr>
      <w:r w:rsidRPr="00B61BF3">
        <w:rPr>
          <w:rFonts w:ascii="Arial" w:hAnsi="Arial" w:cs="Arial"/>
          <w:b/>
          <w:bCs/>
          <w:color w:val="000000" w:themeColor="text1"/>
          <w:sz w:val="22"/>
          <w:szCs w:val="22"/>
        </w:rPr>
        <w:t>1. Introduction</w:t>
      </w:r>
    </w:p>
    <w:p w14:paraId="36707D18" w14:textId="77777777" w:rsidR="00A84FAC" w:rsidRPr="00B61BF3" w:rsidRDefault="00A84FAC" w:rsidP="0002121C">
      <w:pPr>
        <w:spacing w:before="80" w:after="8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 xml:space="preserve">The rapid development of digital technologies and the widespread availability of high-speed internet through 4G and 5G networks have contributed to a sharp rise in smartphone usage among college </w:t>
      </w:r>
      <w:r w:rsidRPr="00B61BF3">
        <w:rPr>
          <w:rFonts w:ascii="Arial" w:hAnsi="Arial" w:cs="Arial"/>
          <w:color w:val="000000" w:themeColor="text1"/>
          <w:sz w:val="20"/>
          <w:szCs w:val="20"/>
        </w:rPr>
        <w:lastRenderedPageBreak/>
        <w:t>students worldwide. Smartphones have become indispensable tools in contemporary student life, enabling communication, academic collaboration, and access to information. Among female students in higher education, smartphones shape academic, social, and personal experiences in increasingly complex ways.</w:t>
      </w:r>
    </w:p>
    <w:p w14:paraId="147BD544" w14:textId="77777777" w:rsidR="00A84FAC" w:rsidRPr="00B61BF3" w:rsidRDefault="00A84FAC" w:rsidP="0002121C">
      <w:pPr>
        <w:spacing w:before="80" w:after="8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Within academic environments, smartphones facilitate online learning, group discussions, and task management. Research suggests that female students frequently rely on smartphones for accessing study materials, improving efficiency, and receiving timely feedback on academic work—benefits that have positioned smartphones as catalysts for enhanced academic engagement.</w:t>
      </w:r>
    </w:p>
    <w:p w14:paraId="6DB1597B" w14:textId="77777777" w:rsidR="00A84FAC" w:rsidRPr="00B61BF3" w:rsidRDefault="00A84FAC" w:rsidP="0002121C">
      <w:pPr>
        <w:spacing w:before="80" w:after="8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However, alongside these advantages, mounting concerns have emerged regarding excessive smartphone use. Extended screen time, particularly for social media and entertainment, has been associated with reduced academic concentration, behavioral changes, and disrupted well-being. Understanding the dual nature of smartphone usage is therefore essential for educational institutions seeking to promote student welfare.</w:t>
      </w:r>
    </w:p>
    <w:p w14:paraId="37D127CA" w14:textId="67807514" w:rsidR="00A84FAC" w:rsidRPr="00B61BF3" w:rsidRDefault="00A84FAC" w:rsidP="0002121C">
      <w:pPr>
        <w:spacing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 xml:space="preserve">This study also examines student awareness of the Mukhyamantri Yuba Yogayog Yojana (MYYY), a state government initiative designed to improve digital accessibility among students in Tripura. Using primary data from female undergraduates at Maharaja Bir Bikram College, the study applies statistical techniques including chi-square tests via SPSS to examine relationships between smartphone usage patterns, academic </w:t>
      </w:r>
      <w:r w:rsidR="00A43793" w:rsidRPr="00B61BF3">
        <w:rPr>
          <w:rFonts w:ascii="Arial" w:hAnsi="Arial" w:cs="Arial"/>
          <w:color w:val="000000" w:themeColor="text1"/>
          <w:sz w:val="20"/>
          <w:szCs w:val="20"/>
        </w:rPr>
        <w:t>behaviour</w:t>
      </w:r>
      <w:r w:rsidRPr="00B61BF3">
        <w:rPr>
          <w:rFonts w:ascii="Arial" w:hAnsi="Arial" w:cs="Arial"/>
          <w:color w:val="000000" w:themeColor="text1"/>
          <w:sz w:val="20"/>
          <w:szCs w:val="20"/>
        </w:rPr>
        <w:t>,</w:t>
      </w:r>
      <w:r w:rsidR="00A43793" w:rsidRPr="00B61BF3">
        <w:rPr>
          <w:rFonts w:ascii="Arial" w:hAnsi="Arial" w:cs="Arial"/>
          <w:color w:val="000000" w:themeColor="text1"/>
          <w:sz w:val="20"/>
          <w:szCs w:val="20"/>
        </w:rPr>
        <w:t xml:space="preserve"> </w:t>
      </w:r>
      <w:r w:rsidRPr="00B61BF3">
        <w:rPr>
          <w:rFonts w:ascii="Arial" w:hAnsi="Arial" w:cs="Arial"/>
          <w:color w:val="000000" w:themeColor="text1"/>
          <w:sz w:val="20"/>
          <w:szCs w:val="20"/>
        </w:rPr>
        <w:t>concentration, and perceived influence on moral values. The overarching aim is to provide evidence-based insights contributing to the literature on digital well-being among young adults in India.</w:t>
      </w:r>
    </w:p>
    <w:p w14:paraId="6DF038E9" w14:textId="77777777" w:rsidR="00A84FAC" w:rsidRPr="00B61BF3" w:rsidRDefault="00A84FAC" w:rsidP="0002121C">
      <w:pPr>
        <w:spacing w:before="40" w:after="40" w:line="240" w:lineRule="auto"/>
        <w:jc w:val="both"/>
        <w:rPr>
          <w:rFonts w:ascii="Arial" w:hAnsi="Arial" w:cs="Arial"/>
          <w:color w:val="000000" w:themeColor="text1"/>
          <w:sz w:val="20"/>
          <w:szCs w:val="20"/>
        </w:rPr>
      </w:pPr>
    </w:p>
    <w:p w14:paraId="33C43C41" w14:textId="77777777" w:rsidR="00A84FAC" w:rsidRPr="000226B0" w:rsidRDefault="00A84FAC" w:rsidP="0002121C">
      <w:pPr>
        <w:pStyle w:val="Heading1"/>
        <w:spacing w:before="280" w:after="120" w:line="240" w:lineRule="auto"/>
        <w:jc w:val="both"/>
        <w:rPr>
          <w:rFonts w:ascii="Arial" w:hAnsi="Arial" w:cs="Arial"/>
          <w:b/>
          <w:bCs/>
          <w:color w:val="000000" w:themeColor="text1"/>
          <w:sz w:val="22"/>
          <w:szCs w:val="22"/>
        </w:rPr>
      </w:pPr>
      <w:r w:rsidRPr="000226B0">
        <w:rPr>
          <w:rFonts w:ascii="Arial" w:hAnsi="Arial" w:cs="Arial"/>
          <w:b/>
          <w:bCs/>
          <w:color w:val="000000" w:themeColor="text1"/>
          <w:sz w:val="22"/>
          <w:szCs w:val="22"/>
        </w:rPr>
        <w:t>2. Literature Review</w:t>
      </w:r>
    </w:p>
    <w:p w14:paraId="7C87E970" w14:textId="0CF1AC78" w:rsidR="00AE6922" w:rsidRDefault="00AE6922" w:rsidP="0002121C">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The relationship between smartphone usage and student academic outcomes has attracted considerable scholarly attention. Tater and John (2024) found that smartphone addiction among Indian students was associated with significant physical and mental health consequences, including reduced academic engagement, underscoring the need for structured digital usage guidelines within educational institutions.</w:t>
      </w:r>
    </w:p>
    <w:p w14:paraId="5297362A" w14:textId="42352C4F" w:rsidR="00AE6922" w:rsidRDefault="00AE6922" w:rsidP="0002121C">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Naidu (2018) investigated smartphone usage patterns among college students and identified that students primarily used smartphones for entertainment over educational purposes, indicating a shift from productive to recreational usage. Umarji and Patel(2024) reported that addictive smartphone tendencies were negatively correlated with academic performance and positively correlated with anxiety and stress. Kuş (2025) conducted a meta-analysis confirming that technology-related factors, including device access and usage duration, exert a significant influence on students’ academic performance. Paterna et al. (2024), in a systematic review and meta-analysis, similarly established a negative association between problematic smartphone use and academic achievement across diverse student populations.</w:t>
      </w:r>
    </w:p>
    <w:p w14:paraId="0F7BF7DA" w14:textId="01F229AB" w:rsidR="00AE6922" w:rsidRDefault="00AE6922" w:rsidP="0002121C">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Devi et al.(2025) conducted a cross-sectional study among college students aged 18–23 in Kerala and reported high prevalence of smartphone addiction, with unrestricted internet access as a key risk factor. Haque et al.(2024) demonstrated that nocturnal smartphone use among Indian medical students was strongly associated with poor sleep quality and higher levels of depression, extending digital impacts beyond academics into broader mental health domains.</w:t>
      </w:r>
    </w:p>
    <w:p w14:paraId="2BFB1C08" w14:textId="72CEC896" w:rsidR="00AE6922" w:rsidRDefault="00AE6922" w:rsidP="0002121C">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Sun et al.(2023) explored how sociability moderates the relationship between screen time and social capital, finding that community-oriented use yielded positive interpersonal outcomes while passive consumption reduced connectedness. A systematic review and meta-analysis by Zeng et al.(2026)  confirmed a dose–response relationship: moderate use offered some benefits, but screen time exceeding three hours daily was consistently associated with negative health and academic outcomes.</w:t>
      </w:r>
    </w:p>
    <w:p w14:paraId="511814A4" w14:textId="3D8D5A52" w:rsidR="00AE6922" w:rsidRDefault="00AE6922" w:rsidP="0002121C">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Neophytou et al.(2021) documented that excessive screen time impairs memory consolidation, learning efficiency, and emotional regulation—dimensions particularly relevant for college-aged populations in formative developmental stages. Orben et al. (2022) further identified developmental windows of heightened sensitivity to social media exposure, with adolescence and early adulthood emerging as critical periods where digital engagement most strongly shapes psychological outcomes. Sándor et al. (2025) reported gender differences in problematic smartphone use, with mental well-being, emotional regulation, and social anxiety serving as significant mediating variables. HemaLatha and Aruna(2025) </w:t>
      </w:r>
      <w:r>
        <w:rPr>
          <w:rFonts w:ascii="Arial" w:hAnsi="Arial" w:cs="Arial"/>
          <w:color w:val="000000" w:themeColor="text1"/>
          <w:sz w:val="20"/>
          <w:szCs w:val="20"/>
        </w:rPr>
        <w:lastRenderedPageBreak/>
        <w:t>reported that smartphone usage exceeded recommended limits for the majority of Indian undergraduates, with implications for behavioral regulation and time management.</w:t>
      </w:r>
    </w:p>
    <w:p w14:paraId="65A5FAFF" w14:textId="5359F809" w:rsidR="00AE6922" w:rsidRDefault="00AE6922" w:rsidP="0002121C">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Pundir et al. (2026) further documented that problematic mobile phone use among college students in South India was significantly associated with psychological distress and reduced self-esteem, reinforcing the mental health dimension of smartphone overuse across different Indian regions. Ghazali et al. (2026) similarly found significant associations between smartphone addiction and elevated anxiety, depression, and reduced academic performance among university students. Lukram et al. (2026) observed, in a prospective study among medical students, that higher screen time was linked to demonstrably poorer academic outcomes, underscoring the academic costs of excessive digital engagement.</w:t>
      </w:r>
    </w:p>
    <w:p w14:paraId="05F5C9FC" w14:textId="0FFB1AAE" w:rsidR="00213C3D" w:rsidRDefault="00AE6922" w:rsidP="00AE6922">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Collectively, the literature points to a consistent pattern: while smartphones offer genuine academic and social benefits, excessive usage is associated with diminished attention, psychological distress, and behavioral changes. The present study contributes to this body of knowledge by examining these dynamics specifically among female undergraduates in northeastern India, a population that remains underrepresented in existing research.</w:t>
      </w:r>
    </w:p>
    <w:p w14:paraId="0FEEB31C" w14:textId="77777777" w:rsidR="00AE6922" w:rsidRPr="00AE6922" w:rsidRDefault="00AE6922" w:rsidP="00AE6922">
      <w:pPr>
        <w:spacing w:line="240" w:lineRule="auto"/>
        <w:jc w:val="both"/>
        <w:rPr>
          <w:rFonts w:ascii="Arial" w:hAnsi="Arial" w:cs="Arial"/>
          <w:color w:val="000000" w:themeColor="text1"/>
          <w:sz w:val="20"/>
          <w:szCs w:val="20"/>
        </w:rPr>
      </w:pPr>
    </w:p>
    <w:p w14:paraId="2F4FED17" w14:textId="46AD6B2F" w:rsidR="007724A3" w:rsidRPr="000226B0" w:rsidRDefault="007724A3" w:rsidP="0002121C">
      <w:pPr>
        <w:pStyle w:val="Heading1"/>
        <w:spacing w:before="280" w:after="120" w:line="240" w:lineRule="auto"/>
        <w:jc w:val="both"/>
        <w:rPr>
          <w:rFonts w:ascii="Arial" w:hAnsi="Arial" w:cs="Arial"/>
          <w:b/>
          <w:bCs/>
          <w:color w:val="000000" w:themeColor="text1"/>
          <w:sz w:val="22"/>
          <w:szCs w:val="22"/>
        </w:rPr>
      </w:pPr>
      <w:r w:rsidRPr="000226B0">
        <w:rPr>
          <w:rFonts w:ascii="Arial" w:hAnsi="Arial" w:cs="Arial"/>
          <w:b/>
          <w:bCs/>
          <w:color w:val="000000" w:themeColor="text1"/>
          <w:sz w:val="22"/>
          <w:szCs w:val="22"/>
        </w:rPr>
        <w:t>3. Objectives of the Study</w:t>
      </w:r>
    </w:p>
    <w:p w14:paraId="28475E74" w14:textId="77777777" w:rsidR="007724A3" w:rsidRPr="00B61BF3" w:rsidRDefault="007724A3" w:rsidP="0002121C">
      <w:pPr>
        <w:pStyle w:val="ListNumber"/>
        <w:tabs>
          <w:tab w:val="num" w:pos="360"/>
        </w:tabs>
        <w:spacing w:before="60" w:after="6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To investigate the trend of smartphone use among female college students.</w:t>
      </w:r>
    </w:p>
    <w:p w14:paraId="54FF4C79" w14:textId="77777777" w:rsidR="007724A3" w:rsidRPr="00B61BF3" w:rsidRDefault="007724A3" w:rsidP="0002121C">
      <w:pPr>
        <w:pStyle w:val="ListNumber"/>
        <w:tabs>
          <w:tab w:val="num" w:pos="360"/>
        </w:tabs>
        <w:spacing w:before="60" w:after="6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To examine the effects of smartphones and social media on the academic performance of female students.</w:t>
      </w:r>
    </w:p>
    <w:p w14:paraId="6125B0F8" w14:textId="77777777" w:rsidR="007724A3" w:rsidRPr="00B61BF3" w:rsidRDefault="007724A3" w:rsidP="0002121C">
      <w:pPr>
        <w:pStyle w:val="ListNumber"/>
        <w:tabs>
          <w:tab w:val="num" w:pos="360"/>
        </w:tabs>
        <w:spacing w:before="60" w:after="6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To assess the role of smartphone use on study concentration and behavioral patterns of female students.</w:t>
      </w:r>
    </w:p>
    <w:p w14:paraId="7E031353" w14:textId="77777777" w:rsidR="007724A3" w:rsidRPr="00B61BF3" w:rsidRDefault="007724A3" w:rsidP="0002121C">
      <w:pPr>
        <w:pStyle w:val="ListNumber"/>
        <w:tabs>
          <w:tab w:val="num" w:pos="360"/>
        </w:tabs>
        <w:spacing w:before="60" w:after="6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To identify the negative and positive impacts of smartphones on the social and personal life of female students.</w:t>
      </w:r>
    </w:p>
    <w:p w14:paraId="174CA2BF" w14:textId="77777777" w:rsidR="00213C3D" w:rsidRPr="00B61BF3" w:rsidRDefault="00213C3D" w:rsidP="0002121C">
      <w:pPr>
        <w:pStyle w:val="Heading1"/>
        <w:spacing w:before="280" w:after="120" w:line="240" w:lineRule="auto"/>
        <w:jc w:val="both"/>
        <w:rPr>
          <w:rFonts w:ascii="Arial" w:hAnsi="Arial" w:cs="Arial"/>
          <w:b/>
          <w:bCs/>
          <w:color w:val="000000" w:themeColor="text1"/>
          <w:sz w:val="20"/>
          <w:szCs w:val="20"/>
        </w:rPr>
      </w:pPr>
    </w:p>
    <w:p w14:paraId="1BCDD6CB" w14:textId="41528F34" w:rsidR="007724A3" w:rsidRPr="000226B0" w:rsidRDefault="007724A3" w:rsidP="0002121C">
      <w:pPr>
        <w:pStyle w:val="Heading1"/>
        <w:spacing w:before="280" w:after="120" w:line="240" w:lineRule="auto"/>
        <w:jc w:val="both"/>
        <w:rPr>
          <w:rFonts w:ascii="Arial" w:hAnsi="Arial" w:cs="Arial"/>
          <w:b/>
          <w:bCs/>
          <w:color w:val="000000" w:themeColor="text1"/>
          <w:sz w:val="22"/>
          <w:szCs w:val="22"/>
        </w:rPr>
      </w:pPr>
      <w:r w:rsidRPr="000226B0">
        <w:rPr>
          <w:rFonts w:ascii="Arial" w:hAnsi="Arial" w:cs="Arial"/>
          <w:b/>
          <w:bCs/>
          <w:color w:val="000000" w:themeColor="text1"/>
          <w:sz w:val="22"/>
          <w:szCs w:val="22"/>
        </w:rPr>
        <w:t>4. Methodology</w:t>
      </w:r>
    </w:p>
    <w:p w14:paraId="42B5DC19" w14:textId="77777777" w:rsidR="007724A3" w:rsidRPr="00B61BF3" w:rsidRDefault="007724A3" w:rsidP="0002121C">
      <w:pPr>
        <w:pStyle w:val="Heading2"/>
        <w:spacing w:before="280" w:after="12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t>4.1 Study Design and Setting</w:t>
      </w:r>
    </w:p>
    <w:p w14:paraId="55C98751" w14:textId="77777777" w:rsidR="007724A3" w:rsidRPr="00B61BF3" w:rsidRDefault="007724A3" w:rsidP="0002121C">
      <w:pPr>
        <w:spacing w:before="80" w:after="8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A descriptive observational cross-sectional study design was adopted. The study was conducted at Maharaja Bir Bikram College, Agartala, Tripura, India, during the academic year 2025–26.</w:t>
      </w:r>
    </w:p>
    <w:p w14:paraId="2F591F45" w14:textId="77777777" w:rsidR="007724A3" w:rsidRPr="00B61BF3" w:rsidRDefault="007724A3" w:rsidP="0002121C">
      <w:pPr>
        <w:pStyle w:val="Heading2"/>
        <w:spacing w:before="280" w:after="12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t>4.2 Study Population and Sampling</w:t>
      </w:r>
    </w:p>
    <w:p w14:paraId="091162AD" w14:textId="77777777" w:rsidR="007724A3" w:rsidRPr="00B61BF3" w:rsidRDefault="007724A3" w:rsidP="0002121C">
      <w:pPr>
        <w:spacing w:before="80" w:after="8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The target population comprised female undergraduate students enrolled in Bachelor of Science, Commerce, and Arts programs. Convenience sampling was employed. A structured questionnaire was distributed to 70 students; 68 fully completed responses were retained for analysis (response rate: 97.1%). Inclusion criteria: female undergraduate students enrolled in the 2025–26 academic year, owning a smartphone, and willing to participate. Students who did not complete the questionnaire fully were excluded.</w:t>
      </w:r>
    </w:p>
    <w:p w14:paraId="7B033AB2" w14:textId="77777777" w:rsidR="007724A3" w:rsidRPr="00B61BF3" w:rsidRDefault="007724A3" w:rsidP="0002121C">
      <w:pPr>
        <w:pStyle w:val="Heading2"/>
        <w:spacing w:before="280" w:after="12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t>4.3 Data Collection Instrument</w:t>
      </w:r>
    </w:p>
    <w:p w14:paraId="0DD25F90" w14:textId="3563276B" w:rsidR="007724A3" w:rsidRPr="00B61BF3" w:rsidRDefault="007724A3" w:rsidP="0002121C">
      <w:pPr>
        <w:spacing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A self-administered structured questionnaire served as the primary data collection tool. Section A captured demographic characteristics (age, stream, year of study, residence, family income). Section B contained 15 items on smartphone usage patterns and their academic and behavioral impact, measured on a five-point Likert scale (1 = Strongly Disagree to 5 = Strongly Agree). All items were closed-ended to facilitate systematic analysis.</w:t>
      </w:r>
      <w:r w:rsidR="00376931">
        <w:rPr>
          <w:rFonts w:ascii="Arial" w:hAnsi="Arial" w:cs="Arial"/>
          <w:color w:val="000000" w:themeColor="text1"/>
          <w:sz w:val="20"/>
          <w:szCs w:val="20"/>
        </w:rPr>
        <w:t xml:space="preserve"> Data were collected over a period of three weeks during the academic year 2025–26. The questionnaire was administered in person during free periods and breaks, with the researcher present to clarify any items if required. Completed questionnaires were reviewed immediately upon collection to ensure completeness, and any incomplete responses were excluded from the final dataset.</w:t>
      </w:r>
    </w:p>
    <w:p w14:paraId="5AA8C6D1" w14:textId="77777777" w:rsidR="007724A3" w:rsidRPr="00B61BF3" w:rsidRDefault="007724A3" w:rsidP="0002121C">
      <w:pPr>
        <w:pStyle w:val="Heading2"/>
        <w:spacing w:before="280" w:after="12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lastRenderedPageBreak/>
        <w:t>4.4 Statistical Analysis</w:t>
      </w:r>
    </w:p>
    <w:p w14:paraId="17E01FE9" w14:textId="5153FC14" w:rsidR="007724A3" w:rsidRPr="00B61BF3" w:rsidRDefault="00933792" w:rsidP="0002121C">
      <w:pPr>
        <w:spacing w:before="80" w:after="8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Data were analyzed using IBM SPSS Statistics software. Descriptive statistics (frequency distributions and percentage analysis) were computed for all variables. The chi-square (χ²) test of independence was applied following standard statistical procedures outlined in Gupta and Kapoor (2007, 20</w:t>
      </w:r>
      <w:r w:rsidR="00554336">
        <w:rPr>
          <w:rFonts w:ascii="Arial" w:hAnsi="Arial" w:cs="Arial"/>
          <w:color w:val="000000" w:themeColor="text1"/>
          <w:sz w:val="20"/>
          <w:szCs w:val="20"/>
        </w:rPr>
        <w:t>20</w:t>
      </w:r>
      <w:r w:rsidRPr="00B61BF3">
        <w:rPr>
          <w:rFonts w:ascii="Arial" w:hAnsi="Arial" w:cs="Arial"/>
          <w:color w:val="000000" w:themeColor="text1"/>
          <w:sz w:val="20"/>
          <w:szCs w:val="20"/>
        </w:rPr>
        <w:t>) to examine associations between categorical variables, using the formula:</w:t>
      </w:r>
    </w:p>
    <w:p w14:paraId="5E2ACF4E" w14:textId="272483E5" w:rsidR="002B4331" w:rsidRPr="002B4331" w:rsidRDefault="00A4787B" w:rsidP="002B4331">
      <w:pPr>
        <w:spacing w:before="120" w:after="120" w:line="240" w:lineRule="auto"/>
        <w:jc w:val="both"/>
        <w:rPr>
          <w:rFonts w:ascii="Arial" w:hAnsi="Arial" w:cs="Arial"/>
          <w:b/>
          <w:color w:val="000000" w:themeColor="text1"/>
          <w:sz w:val="22"/>
          <w:szCs w:val="22"/>
        </w:rPr>
      </w:pPr>
      <m:oMathPara>
        <m:oMath>
          <m:sSup>
            <m:sSupPr>
              <m:ctrlPr>
                <w:rPr>
                  <w:rFonts w:ascii="Cambria Math" w:hAnsi="Cambria Math" w:cs="Arial"/>
                  <w:b/>
                  <w:i/>
                  <w:color w:val="000000" w:themeColor="text1"/>
                  <w:sz w:val="22"/>
                  <w:szCs w:val="22"/>
                </w:rPr>
              </m:ctrlPr>
            </m:sSupPr>
            <m:e>
              <m:r>
                <m:rPr>
                  <m:sty m:val="bi"/>
                </m:rPr>
                <w:rPr>
                  <w:rFonts w:ascii="Cambria Math" w:hAnsi="Cambria Math" w:cs="Arial"/>
                  <w:color w:val="000000" w:themeColor="text1"/>
                  <w:sz w:val="22"/>
                  <w:szCs w:val="22"/>
                </w:rPr>
                <m:t>χ</m:t>
              </m:r>
            </m:e>
            <m:sup>
              <m:r>
                <m:rPr>
                  <m:sty m:val="bi"/>
                </m:rPr>
                <w:rPr>
                  <w:rFonts w:ascii="Cambria Math" w:hAnsi="Cambria Math" w:cs="Arial"/>
                  <w:color w:val="000000" w:themeColor="text1"/>
                  <w:sz w:val="22"/>
                  <w:szCs w:val="22"/>
                </w:rPr>
                <m:t>2</m:t>
              </m:r>
            </m:sup>
          </m:sSup>
          <m:r>
            <m:rPr>
              <m:sty m:val="bi"/>
            </m:rPr>
            <w:rPr>
              <w:rFonts w:ascii="Cambria Math" w:hAnsi="Cambria Math" w:cs="Arial"/>
              <w:color w:val="000000" w:themeColor="text1"/>
              <w:sz w:val="22"/>
              <w:szCs w:val="22"/>
            </w:rPr>
            <m:t xml:space="preserve">= </m:t>
          </m:r>
          <m:f>
            <m:fPr>
              <m:ctrlPr>
                <w:rPr>
                  <w:rFonts w:ascii="Cambria Math" w:hAnsi="Cambria Math" w:cs="Arial"/>
                  <w:b/>
                  <w:i/>
                  <w:color w:val="000000" w:themeColor="text1"/>
                  <w:sz w:val="22"/>
                  <w:szCs w:val="22"/>
                </w:rPr>
              </m:ctrlPr>
            </m:fPr>
            <m:num>
              <m:r>
                <m:rPr>
                  <m:sty m:val="bi"/>
                </m:rPr>
                <w:rPr>
                  <w:rFonts w:ascii="Cambria Math" w:hAnsi="Cambria Math" w:cs="Arial"/>
                  <w:color w:val="000000" w:themeColor="text1"/>
                  <w:sz w:val="22"/>
                  <w:szCs w:val="22"/>
                </w:rPr>
                <m:t>∑(</m:t>
              </m:r>
              <m:r>
                <m:rPr>
                  <m:sty m:val="b"/>
                </m:rPr>
                <w:rPr>
                  <w:rFonts w:ascii="Cambria Math" w:hAnsi="Cambria Math" w:cs="Arial"/>
                  <w:color w:val="000000" w:themeColor="text1"/>
                  <w:sz w:val="22"/>
                  <w:szCs w:val="22"/>
                </w:rPr>
                <m:t>Oᵢ- Eᵢ)²</m:t>
              </m:r>
            </m:num>
            <m:den>
              <m:r>
                <m:rPr>
                  <m:sty m:val="b"/>
                </m:rPr>
                <w:rPr>
                  <w:rFonts w:ascii="Cambria Math" w:hAnsi="Cambria Math" w:cs="Arial"/>
                  <w:color w:val="000000" w:themeColor="text1"/>
                  <w:sz w:val="22"/>
                  <w:szCs w:val="22"/>
                </w:rPr>
                <m:t>Eᵢ</m:t>
              </m:r>
            </m:den>
          </m:f>
        </m:oMath>
      </m:oMathPara>
    </w:p>
    <w:p w14:paraId="679866CC" w14:textId="0ADFCD72" w:rsidR="007724A3" w:rsidRPr="00B61BF3" w:rsidRDefault="007724A3" w:rsidP="002B4331">
      <w:pPr>
        <w:spacing w:before="120" w:after="12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 xml:space="preserve">where </w:t>
      </w:r>
      <w:r w:rsidRPr="00CA6F3A">
        <w:rPr>
          <w:rFonts w:ascii="Arial" w:hAnsi="Arial" w:cs="Arial"/>
          <w:b/>
          <w:bCs/>
          <w:color w:val="000000" w:themeColor="text1"/>
          <w:sz w:val="20"/>
          <w:szCs w:val="20"/>
        </w:rPr>
        <w:t>Oᵢ</w:t>
      </w:r>
      <w:r w:rsidRPr="00B61BF3">
        <w:rPr>
          <w:rFonts w:ascii="Arial" w:hAnsi="Arial" w:cs="Arial"/>
          <w:color w:val="000000" w:themeColor="text1"/>
          <w:sz w:val="20"/>
          <w:szCs w:val="20"/>
        </w:rPr>
        <w:t xml:space="preserve"> = observed frequency and </w:t>
      </w:r>
      <w:r w:rsidRPr="00CA6F3A">
        <w:rPr>
          <w:rFonts w:ascii="Arial" w:hAnsi="Arial" w:cs="Arial"/>
          <w:b/>
          <w:bCs/>
          <w:color w:val="000000" w:themeColor="text1"/>
          <w:sz w:val="20"/>
          <w:szCs w:val="20"/>
        </w:rPr>
        <w:t>Eᵢ</w:t>
      </w:r>
      <w:r w:rsidRPr="00B61BF3">
        <w:rPr>
          <w:rFonts w:ascii="Arial" w:hAnsi="Arial" w:cs="Arial"/>
          <w:color w:val="000000" w:themeColor="text1"/>
          <w:sz w:val="20"/>
          <w:szCs w:val="20"/>
        </w:rPr>
        <w:t xml:space="preserve"> = expected frequency. Degrees of freedom: </w:t>
      </w:r>
      <m:oMath>
        <m:r>
          <m:rPr>
            <m:sty m:val="bi"/>
          </m:rPr>
          <w:rPr>
            <w:rFonts w:ascii="Cambria Math" w:hAnsi="Cambria Math" w:cs="Arial"/>
            <w:color w:val="000000" w:themeColor="text1"/>
            <w:sz w:val="20"/>
            <w:szCs w:val="20"/>
          </w:rPr>
          <m:t>df=(r-1)(c-1)</m:t>
        </m:r>
      </m:oMath>
      <w:r w:rsidRPr="00CD2BE8">
        <w:rPr>
          <w:rFonts w:ascii="Arial" w:hAnsi="Arial" w:cs="Arial"/>
          <w:b/>
          <w:bCs/>
          <w:color w:val="000000" w:themeColor="text1"/>
          <w:sz w:val="20"/>
          <w:szCs w:val="20"/>
        </w:rPr>
        <w:t>.</w:t>
      </w:r>
      <w:r w:rsidRPr="00B61BF3">
        <w:rPr>
          <w:rFonts w:ascii="Arial" w:hAnsi="Arial" w:cs="Arial"/>
          <w:color w:val="000000" w:themeColor="text1"/>
          <w:sz w:val="20"/>
          <w:szCs w:val="20"/>
        </w:rPr>
        <w:t xml:space="preserve"> A significance level of α = 0.05 was adopted throughout.</w:t>
      </w:r>
    </w:p>
    <w:p w14:paraId="5CAC8D0E" w14:textId="77777777" w:rsidR="007724A3" w:rsidRPr="00B61BF3" w:rsidRDefault="007724A3" w:rsidP="0002121C">
      <w:pPr>
        <w:spacing w:before="40" w:after="40" w:line="240" w:lineRule="auto"/>
        <w:jc w:val="both"/>
        <w:rPr>
          <w:rFonts w:ascii="Arial" w:hAnsi="Arial" w:cs="Arial"/>
          <w:color w:val="000000" w:themeColor="text1"/>
          <w:sz w:val="20"/>
          <w:szCs w:val="20"/>
        </w:rPr>
      </w:pPr>
    </w:p>
    <w:p w14:paraId="62AC2FF8" w14:textId="77777777" w:rsidR="007724A3" w:rsidRPr="000226B0" w:rsidRDefault="007724A3" w:rsidP="0002121C">
      <w:pPr>
        <w:pStyle w:val="Heading1"/>
        <w:spacing w:before="280" w:after="120" w:line="240" w:lineRule="auto"/>
        <w:jc w:val="both"/>
        <w:rPr>
          <w:rFonts w:ascii="Arial" w:hAnsi="Arial" w:cs="Arial"/>
          <w:b/>
          <w:bCs/>
          <w:color w:val="000000" w:themeColor="text1"/>
          <w:sz w:val="22"/>
          <w:szCs w:val="22"/>
        </w:rPr>
      </w:pPr>
      <w:r w:rsidRPr="000226B0">
        <w:rPr>
          <w:rFonts w:ascii="Arial" w:hAnsi="Arial" w:cs="Arial"/>
          <w:b/>
          <w:bCs/>
          <w:color w:val="000000" w:themeColor="text1"/>
          <w:sz w:val="22"/>
          <w:szCs w:val="22"/>
        </w:rPr>
        <w:t>5. Results</w:t>
      </w:r>
    </w:p>
    <w:p w14:paraId="02B92DCA" w14:textId="77777777" w:rsidR="007724A3" w:rsidRPr="00B61BF3" w:rsidRDefault="007724A3" w:rsidP="0002121C">
      <w:pPr>
        <w:pStyle w:val="Heading2"/>
        <w:spacing w:before="280" w:after="12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t>5.1 Demographic Profile</w:t>
      </w:r>
    </w:p>
    <w:p w14:paraId="151E590E" w14:textId="77777777" w:rsidR="007724A3" w:rsidRPr="00B61BF3" w:rsidRDefault="007724A3" w:rsidP="0002121C">
      <w:pPr>
        <w:spacing w:before="20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Table 1: Age Distribution of Respondents</w:t>
      </w:r>
    </w:p>
    <w:tbl>
      <w:tblPr>
        <w:tblStyle w:val="TableGrid"/>
        <w:tblW w:w="0" w:type="auto"/>
        <w:tblLook w:val="04A0" w:firstRow="1" w:lastRow="0" w:firstColumn="1" w:lastColumn="0" w:noHBand="0" w:noVBand="1"/>
      </w:tblPr>
      <w:tblGrid>
        <w:gridCol w:w="2232"/>
        <w:gridCol w:w="2232"/>
        <w:gridCol w:w="2232"/>
        <w:gridCol w:w="2232"/>
      </w:tblGrid>
      <w:tr w:rsidR="007724A3" w:rsidRPr="00B61BF3" w14:paraId="48F09318" w14:textId="77777777" w:rsidTr="00A80CB0">
        <w:tc>
          <w:tcPr>
            <w:tcW w:w="2232" w:type="dxa"/>
          </w:tcPr>
          <w:p w14:paraId="484B2A2E"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Age Group</w:t>
            </w:r>
          </w:p>
        </w:tc>
        <w:tc>
          <w:tcPr>
            <w:tcW w:w="2232" w:type="dxa"/>
          </w:tcPr>
          <w:p w14:paraId="069E0B1E"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Frequency</w:t>
            </w:r>
          </w:p>
        </w:tc>
        <w:tc>
          <w:tcPr>
            <w:tcW w:w="2232" w:type="dxa"/>
          </w:tcPr>
          <w:p w14:paraId="781D40A8"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Percent (%)</w:t>
            </w:r>
          </w:p>
        </w:tc>
        <w:tc>
          <w:tcPr>
            <w:tcW w:w="2232" w:type="dxa"/>
          </w:tcPr>
          <w:p w14:paraId="1546672B"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Cumulative (%)</w:t>
            </w:r>
          </w:p>
        </w:tc>
      </w:tr>
      <w:tr w:rsidR="007724A3" w:rsidRPr="00B61BF3" w14:paraId="27DC2C69" w14:textId="77777777" w:rsidTr="00A80CB0">
        <w:tc>
          <w:tcPr>
            <w:tcW w:w="2232" w:type="dxa"/>
          </w:tcPr>
          <w:p w14:paraId="5047DB95"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Below 19</w:t>
            </w:r>
          </w:p>
        </w:tc>
        <w:tc>
          <w:tcPr>
            <w:tcW w:w="2232" w:type="dxa"/>
          </w:tcPr>
          <w:p w14:paraId="6FBFB120"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5</w:t>
            </w:r>
          </w:p>
        </w:tc>
        <w:tc>
          <w:tcPr>
            <w:tcW w:w="2232" w:type="dxa"/>
          </w:tcPr>
          <w:p w14:paraId="27FB1C3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7.35</w:t>
            </w:r>
          </w:p>
        </w:tc>
        <w:tc>
          <w:tcPr>
            <w:tcW w:w="2232" w:type="dxa"/>
          </w:tcPr>
          <w:p w14:paraId="6775A8D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7.35</w:t>
            </w:r>
          </w:p>
        </w:tc>
      </w:tr>
      <w:tr w:rsidR="007724A3" w:rsidRPr="00B61BF3" w14:paraId="2DF40856" w14:textId="77777777" w:rsidTr="00A80CB0">
        <w:tc>
          <w:tcPr>
            <w:tcW w:w="2232" w:type="dxa"/>
          </w:tcPr>
          <w:p w14:paraId="44A070D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19–21</w:t>
            </w:r>
          </w:p>
        </w:tc>
        <w:tc>
          <w:tcPr>
            <w:tcW w:w="2232" w:type="dxa"/>
          </w:tcPr>
          <w:p w14:paraId="5A16BB61"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52</w:t>
            </w:r>
          </w:p>
        </w:tc>
        <w:tc>
          <w:tcPr>
            <w:tcW w:w="2232" w:type="dxa"/>
          </w:tcPr>
          <w:p w14:paraId="351F6410"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76.47</w:t>
            </w:r>
          </w:p>
        </w:tc>
        <w:tc>
          <w:tcPr>
            <w:tcW w:w="2232" w:type="dxa"/>
          </w:tcPr>
          <w:p w14:paraId="104E7BE7"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83.82</w:t>
            </w:r>
          </w:p>
        </w:tc>
      </w:tr>
      <w:tr w:rsidR="007724A3" w:rsidRPr="00B61BF3" w14:paraId="7C8DF254" w14:textId="77777777" w:rsidTr="00A80CB0">
        <w:tc>
          <w:tcPr>
            <w:tcW w:w="2232" w:type="dxa"/>
          </w:tcPr>
          <w:p w14:paraId="05F0A6A9"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Above 21</w:t>
            </w:r>
          </w:p>
        </w:tc>
        <w:tc>
          <w:tcPr>
            <w:tcW w:w="2232" w:type="dxa"/>
          </w:tcPr>
          <w:p w14:paraId="7C364595"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11</w:t>
            </w:r>
          </w:p>
        </w:tc>
        <w:tc>
          <w:tcPr>
            <w:tcW w:w="2232" w:type="dxa"/>
          </w:tcPr>
          <w:p w14:paraId="49185B11"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16.18</w:t>
            </w:r>
          </w:p>
        </w:tc>
        <w:tc>
          <w:tcPr>
            <w:tcW w:w="2232" w:type="dxa"/>
          </w:tcPr>
          <w:p w14:paraId="466A716B"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r>
      <w:tr w:rsidR="007724A3" w:rsidRPr="00B61BF3" w14:paraId="640E6850" w14:textId="77777777" w:rsidTr="00A80CB0">
        <w:tc>
          <w:tcPr>
            <w:tcW w:w="2232" w:type="dxa"/>
          </w:tcPr>
          <w:p w14:paraId="6C96864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Total</w:t>
            </w:r>
          </w:p>
        </w:tc>
        <w:tc>
          <w:tcPr>
            <w:tcW w:w="2232" w:type="dxa"/>
          </w:tcPr>
          <w:p w14:paraId="65A99B05"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68</w:t>
            </w:r>
          </w:p>
        </w:tc>
        <w:tc>
          <w:tcPr>
            <w:tcW w:w="2232" w:type="dxa"/>
          </w:tcPr>
          <w:p w14:paraId="36ACF13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c>
          <w:tcPr>
            <w:tcW w:w="2232" w:type="dxa"/>
          </w:tcPr>
          <w:p w14:paraId="23ADF7F6" w14:textId="77777777" w:rsidR="007724A3" w:rsidRPr="00B61BF3" w:rsidRDefault="007724A3" w:rsidP="0002121C">
            <w:pPr>
              <w:spacing w:before="40" w:after="40"/>
              <w:jc w:val="both"/>
              <w:rPr>
                <w:rFonts w:ascii="Arial" w:hAnsi="Arial" w:cs="Arial"/>
                <w:color w:val="000000" w:themeColor="text1"/>
                <w:sz w:val="20"/>
                <w:szCs w:val="20"/>
              </w:rPr>
            </w:pPr>
          </w:p>
        </w:tc>
      </w:tr>
    </w:tbl>
    <w:p w14:paraId="17C4BE00" w14:textId="77777777" w:rsidR="007724A3" w:rsidRPr="00B61BF3" w:rsidRDefault="007724A3" w:rsidP="0002121C">
      <w:pPr>
        <w:spacing w:before="60" w:line="240" w:lineRule="auto"/>
        <w:jc w:val="both"/>
        <w:rPr>
          <w:rFonts w:ascii="Arial" w:hAnsi="Arial" w:cs="Arial"/>
          <w:color w:val="000000" w:themeColor="text1"/>
          <w:sz w:val="20"/>
          <w:szCs w:val="20"/>
        </w:rPr>
      </w:pPr>
      <w:r w:rsidRPr="00B61BF3">
        <w:rPr>
          <w:rFonts w:ascii="Arial" w:hAnsi="Arial" w:cs="Arial"/>
          <w:i/>
          <w:color w:val="000000" w:themeColor="text1"/>
          <w:sz w:val="20"/>
          <w:szCs w:val="20"/>
        </w:rPr>
        <w:t>76.5% of respondents belonged to the 19–21 age group, representing the core undergraduate cohort.</w:t>
      </w:r>
    </w:p>
    <w:p w14:paraId="71B9BFEB" w14:textId="77777777" w:rsidR="007724A3" w:rsidRPr="00B61BF3" w:rsidRDefault="007724A3" w:rsidP="0002121C">
      <w:pPr>
        <w:spacing w:before="20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Table 2: Residence of Respondents</w:t>
      </w:r>
    </w:p>
    <w:tbl>
      <w:tblPr>
        <w:tblStyle w:val="TableGrid"/>
        <w:tblW w:w="0" w:type="auto"/>
        <w:tblLook w:val="04A0" w:firstRow="1" w:lastRow="0" w:firstColumn="1" w:lastColumn="0" w:noHBand="0" w:noVBand="1"/>
      </w:tblPr>
      <w:tblGrid>
        <w:gridCol w:w="2232"/>
        <w:gridCol w:w="2232"/>
        <w:gridCol w:w="2232"/>
        <w:gridCol w:w="2232"/>
      </w:tblGrid>
      <w:tr w:rsidR="007724A3" w:rsidRPr="00B61BF3" w14:paraId="560F26CB" w14:textId="77777777" w:rsidTr="00A80CB0">
        <w:tc>
          <w:tcPr>
            <w:tcW w:w="2232" w:type="dxa"/>
          </w:tcPr>
          <w:p w14:paraId="7E0483DE"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Residence</w:t>
            </w:r>
          </w:p>
        </w:tc>
        <w:tc>
          <w:tcPr>
            <w:tcW w:w="2232" w:type="dxa"/>
          </w:tcPr>
          <w:p w14:paraId="0E43D243"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Frequency</w:t>
            </w:r>
          </w:p>
        </w:tc>
        <w:tc>
          <w:tcPr>
            <w:tcW w:w="2232" w:type="dxa"/>
          </w:tcPr>
          <w:p w14:paraId="5AE61C7F"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Percent (%)</w:t>
            </w:r>
          </w:p>
        </w:tc>
        <w:tc>
          <w:tcPr>
            <w:tcW w:w="2232" w:type="dxa"/>
          </w:tcPr>
          <w:p w14:paraId="48E00AE7"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Cumulative (%)</w:t>
            </w:r>
          </w:p>
        </w:tc>
      </w:tr>
      <w:tr w:rsidR="007724A3" w:rsidRPr="00B61BF3" w14:paraId="199ED655" w14:textId="77777777" w:rsidTr="00A80CB0">
        <w:tc>
          <w:tcPr>
            <w:tcW w:w="2232" w:type="dxa"/>
          </w:tcPr>
          <w:p w14:paraId="1E5022A6"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Urban</w:t>
            </w:r>
          </w:p>
        </w:tc>
        <w:tc>
          <w:tcPr>
            <w:tcW w:w="2232" w:type="dxa"/>
          </w:tcPr>
          <w:p w14:paraId="034DF92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28</w:t>
            </w:r>
          </w:p>
        </w:tc>
        <w:tc>
          <w:tcPr>
            <w:tcW w:w="2232" w:type="dxa"/>
          </w:tcPr>
          <w:p w14:paraId="615CCFAB"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41.18</w:t>
            </w:r>
          </w:p>
        </w:tc>
        <w:tc>
          <w:tcPr>
            <w:tcW w:w="2232" w:type="dxa"/>
          </w:tcPr>
          <w:p w14:paraId="4097C64A"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41.18</w:t>
            </w:r>
          </w:p>
        </w:tc>
      </w:tr>
      <w:tr w:rsidR="007724A3" w:rsidRPr="00B61BF3" w14:paraId="5D4726A4" w14:textId="77777777" w:rsidTr="00A80CB0">
        <w:tc>
          <w:tcPr>
            <w:tcW w:w="2232" w:type="dxa"/>
          </w:tcPr>
          <w:p w14:paraId="7D913F5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Rural</w:t>
            </w:r>
          </w:p>
        </w:tc>
        <w:tc>
          <w:tcPr>
            <w:tcW w:w="2232" w:type="dxa"/>
          </w:tcPr>
          <w:p w14:paraId="4838AD60"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40</w:t>
            </w:r>
          </w:p>
        </w:tc>
        <w:tc>
          <w:tcPr>
            <w:tcW w:w="2232" w:type="dxa"/>
          </w:tcPr>
          <w:p w14:paraId="4160069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58.82</w:t>
            </w:r>
          </w:p>
        </w:tc>
        <w:tc>
          <w:tcPr>
            <w:tcW w:w="2232" w:type="dxa"/>
          </w:tcPr>
          <w:p w14:paraId="1BE93947"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r>
      <w:tr w:rsidR="007724A3" w:rsidRPr="00B61BF3" w14:paraId="4DA6FBF3" w14:textId="77777777" w:rsidTr="00A80CB0">
        <w:tc>
          <w:tcPr>
            <w:tcW w:w="2232" w:type="dxa"/>
          </w:tcPr>
          <w:p w14:paraId="0DA25738"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Total</w:t>
            </w:r>
          </w:p>
        </w:tc>
        <w:tc>
          <w:tcPr>
            <w:tcW w:w="2232" w:type="dxa"/>
          </w:tcPr>
          <w:p w14:paraId="27F8B991"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68</w:t>
            </w:r>
          </w:p>
        </w:tc>
        <w:tc>
          <w:tcPr>
            <w:tcW w:w="2232" w:type="dxa"/>
          </w:tcPr>
          <w:p w14:paraId="0BF3A85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c>
          <w:tcPr>
            <w:tcW w:w="2232" w:type="dxa"/>
          </w:tcPr>
          <w:p w14:paraId="1D8D37EB" w14:textId="77777777" w:rsidR="007724A3" w:rsidRPr="00B61BF3" w:rsidRDefault="007724A3" w:rsidP="0002121C">
            <w:pPr>
              <w:spacing w:before="40" w:after="40"/>
              <w:jc w:val="both"/>
              <w:rPr>
                <w:rFonts w:ascii="Arial" w:hAnsi="Arial" w:cs="Arial"/>
                <w:color w:val="000000" w:themeColor="text1"/>
                <w:sz w:val="20"/>
                <w:szCs w:val="20"/>
              </w:rPr>
            </w:pPr>
          </w:p>
        </w:tc>
      </w:tr>
    </w:tbl>
    <w:p w14:paraId="1A1C815B" w14:textId="77777777" w:rsidR="007724A3" w:rsidRPr="00B61BF3" w:rsidRDefault="007724A3" w:rsidP="0002121C">
      <w:pPr>
        <w:spacing w:before="60" w:line="240" w:lineRule="auto"/>
        <w:jc w:val="both"/>
        <w:rPr>
          <w:rFonts w:ascii="Arial" w:hAnsi="Arial" w:cs="Arial"/>
          <w:color w:val="000000" w:themeColor="text1"/>
          <w:sz w:val="20"/>
          <w:szCs w:val="20"/>
        </w:rPr>
      </w:pPr>
      <w:r w:rsidRPr="00B61BF3">
        <w:rPr>
          <w:rFonts w:ascii="Arial" w:hAnsi="Arial" w:cs="Arial"/>
          <w:i/>
          <w:color w:val="000000" w:themeColor="text1"/>
          <w:sz w:val="20"/>
          <w:szCs w:val="20"/>
        </w:rPr>
        <w:t>A majority (58.8%) of students were from rural backgrounds.</w:t>
      </w:r>
    </w:p>
    <w:p w14:paraId="529B3EFF" w14:textId="77777777" w:rsidR="007724A3" w:rsidRPr="00B61BF3" w:rsidRDefault="007724A3" w:rsidP="0002121C">
      <w:pPr>
        <w:spacing w:before="20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Table 3: Annual Family Income</w:t>
      </w:r>
    </w:p>
    <w:tbl>
      <w:tblPr>
        <w:tblStyle w:val="TableGrid"/>
        <w:tblW w:w="0" w:type="auto"/>
        <w:tblLook w:val="04A0" w:firstRow="1" w:lastRow="0" w:firstColumn="1" w:lastColumn="0" w:noHBand="0" w:noVBand="1"/>
      </w:tblPr>
      <w:tblGrid>
        <w:gridCol w:w="2232"/>
        <w:gridCol w:w="2232"/>
        <w:gridCol w:w="2232"/>
        <w:gridCol w:w="2232"/>
      </w:tblGrid>
      <w:tr w:rsidR="007724A3" w:rsidRPr="00B61BF3" w14:paraId="661F4385" w14:textId="77777777" w:rsidTr="00A80CB0">
        <w:tc>
          <w:tcPr>
            <w:tcW w:w="2232" w:type="dxa"/>
          </w:tcPr>
          <w:p w14:paraId="28CCACA8"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Income Range (INR)</w:t>
            </w:r>
          </w:p>
        </w:tc>
        <w:tc>
          <w:tcPr>
            <w:tcW w:w="2232" w:type="dxa"/>
          </w:tcPr>
          <w:p w14:paraId="4F0871B6"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Frequency</w:t>
            </w:r>
          </w:p>
        </w:tc>
        <w:tc>
          <w:tcPr>
            <w:tcW w:w="2232" w:type="dxa"/>
          </w:tcPr>
          <w:p w14:paraId="11FF344D"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Percent (%)</w:t>
            </w:r>
          </w:p>
        </w:tc>
        <w:tc>
          <w:tcPr>
            <w:tcW w:w="2232" w:type="dxa"/>
          </w:tcPr>
          <w:p w14:paraId="06863801"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Cumulative (%)</w:t>
            </w:r>
          </w:p>
        </w:tc>
      </w:tr>
      <w:tr w:rsidR="007724A3" w:rsidRPr="00B61BF3" w14:paraId="063EAAF9" w14:textId="77777777" w:rsidTr="00A80CB0">
        <w:tc>
          <w:tcPr>
            <w:tcW w:w="2232" w:type="dxa"/>
          </w:tcPr>
          <w:p w14:paraId="586E3841"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Below 1,00,000</w:t>
            </w:r>
          </w:p>
        </w:tc>
        <w:tc>
          <w:tcPr>
            <w:tcW w:w="2232" w:type="dxa"/>
          </w:tcPr>
          <w:p w14:paraId="177107E2"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12</w:t>
            </w:r>
          </w:p>
        </w:tc>
        <w:tc>
          <w:tcPr>
            <w:tcW w:w="2232" w:type="dxa"/>
          </w:tcPr>
          <w:p w14:paraId="66481CA6" w14:textId="100FAC2B" w:rsidR="007724A3" w:rsidRPr="00B61BF3" w:rsidRDefault="008A3B8D"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27.65</w:t>
            </w:r>
          </w:p>
        </w:tc>
        <w:tc>
          <w:tcPr>
            <w:tcW w:w="2232" w:type="dxa"/>
          </w:tcPr>
          <w:p w14:paraId="77800B4E" w14:textId="624F81A3" w:rsidR="007724A3" w:rsidRPr="00B61BF3" w:rsidRDefault="00604A44"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27.65</w:t>
            </w:r>
          </w:p>
        </w:tc>
      </w:tr>
      <w:tr w:rsidR="007724A3" w:rsidRPr="00B61BF3" w14:paraId="54FD8D35" w14:textId="77777777" w:rsidTr="00A80CB0">
        <w:tc>
          <w:tcPr>
            <w:tcW w:w="2232" w:type="dxa"/>
          </w:tcPr>
          <w:p w14:paraId="2D31BAD8"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1,00,000–3,00,000</w:t>
            </w:r>
          </w:p>
        </w:tc>
        <w:tc>
          <w:tcPr>
            <w:tcW w:w="2232" w:type="dxa"/>
          </w:tcPr>
          <w:p w14:paraId="67D9C6A2" w14:textId="7DF6AB29"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w:t>
            </w:r>
            <w:r w:rsidR="00291865" w:rsidRPr="00B61BF3">
              <w:rPr>
                <w:rFonts w:ascii="Arial" w:hAnsi="Arial" w:cs="Arial"/>
                <w:color w:val="000000" w:themeColor="text1"/>
                <w:sz w:val="20"/>
                <w:szCs w:val="20"/>
              </w:rPr>
              <w:t>1</w:t>
            </w:r>
          </w:p>
        </w:tc>
        <w:tc>
          <w:tcPr>
            <w:tcW w:w="2232" w:type="dxa"/>
          </w:tcPr>
          <w:p w14:paraId="28A630B6" w14:textId="175A320D"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50.</w:t>
            </w:r>
            <w:r w:rsidR="008A3B8D" w:rsidRPr="00B61BF3">
              <w:rPr>
                <w:rFonts w:ascii="Arial" w:hAnsi="Arial" w:cs="Arial"/>
                <w:color w:val="000000" w:themeColor="text1"/>
                <w:sz w:val="20"/>
                <w:szCs w:val="20"/>
              </w:rPr>
              <w:t>51</w:t>
            </w:r>
          </w:p>
        </w:tc>
        <w:tc>
          <w:tcPr>
            <w:tcW w:w="2232" w:type="dxa"/>
          </w:tcPr>
          <w:p w14:paraId="0AA77343" w14:textId="0F6B5EC0" w:rsidR="007724A3" w:rsidRPr="00B61BF3" w:rsidRDefault="00604A44"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78.16</w:t>
            </w:r>
          </w:p>
        </w:tc>
      </w:tr>
      <w:tr w:rsidR="007724A3" w:rsidRPr="00B61BF3" w14:paraId="3D64AC04" w14:textId="77777777" w:rsidTr="00A80CB0">
        <w:tc>
          <w:tcPr>
            <w:tcW w:w="2232" w:type="dxa"/>
          </w:tcPr>
          <w:p w14:paraId="1E1F091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Above 3,00,000</w:t>
            </w:r>
          </w:p>
        </w:tc>
        <w:tc>
          <w:tcPr>
            <w:tcW w:w="2232" w:type="dxa"/>
          </w:tcPr>
          <w:p w14:paraId="27AD75BA" w14:textId="34167F6A"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w:t>
            </w:r>
            <w:r w:rsidR="008A3B8D" w:rsidRPr="00B61BF3">
              <w:rPr>
                <w:rFonts w:ascii="Arial" w:hAnsi="Arial" w:cs="Arial"/>
                <w:color w:val="000000" w:themeColor="text1"/>
                <w:sz w:val="20"/>
                <w:szCs w:val="20"/>
              </w:rPr>
              <w:t>5</w:t>
            </w:r>
          </w:p>
        </w:tc>
        <w:tc>
          <w:tcPr>
            <w:tcW w:w="2232" w:type="dxa"/>
          </w:tcPr>
          <w:p w14:paraId="448A3264" w14:textId="766A0A06" w:rsidR="007724A3" w:rsidRPr="00B61BF3" w:rsidRDefault="008A3B8D"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21.</w:t>
            </w:r>
            <w:r w:rsidR="00604A44" w:rsidRPr="00B61BF3">
              <w:rPr>
                <w:rFonts w:ascii="Arial" w:hAnsi="Arial" w:cs="Arial"/>
                <w:color w:val="000000" w:themeColor="text1"/>
                <w:sz w:val="20"/>
                <w:szCs w:val="20"/>
              </w:rPr>
              <w:t>84</w:t>
            </w:r>
          </w:p>
        </w:tc>
        <w:tc>
          <w:tcPr>
            <w:tcW w:w="2232" w:type="dxa"/>
          </w:tcPr>
          <w:p w14:paraId="04BC0DA8"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r>
      <w:tr w:rsidR="007724A3" w:rsidRPr="00B61BF3" w14:paraId="47401866" w14:textId="77777777" w:rsidTr="00A80CB0">
        <w:tc>
          <w:tcPr>
            <w:tcW w:w="2232" w:type="dxa"/>
          </w:tcPr>
          <w:p w14:paraId="5A27E1F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Total</w:t>
            </w:r>
          </w:p>
        </w:tc>
        <w:tc>
          <w:tcPr>
            <w:tcW w:w="2232" w:type="dxa"/>
          </w:tcPr>
          <w:p w14:paraId="471438F0"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68</w:t>
            </w:r>
          </w:p>
        </w:tc>
        <w:tc>
          <w:tcPr>
            <w:tcW w:w="2232" w:type="dxa"/>
          </w:tcPr>
          <w:p w14:paraId="6DD92D38"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c>
          <w:tcPr>
            <w:tcW w:w="2232" w:type="dxa"/>
          </w:tcPr>
          <w:p w14:paraId="3FA8BBF9" w14:textId="77777777" w:rsidR="007724A3" w:rsidRPr="00B61BF3" w:rsidRDefault="007724A3" w:rsidP="0002121C">
            <w:pPr>
              <w:spacing w:before="40" w:after="40"/>
              <w:jc w:val="both"/>
              <w:rPr>
                <w:rFonts w:ascii="Arial" w:hAnsi="Arial" w:cs="Arial"/>
                <w:color w:val="000000" w:themeColor="text1"/>
                <w:sz w:val="20"/>
                <w:szCs w:val="20"/>
              </w:rPr>
            </w:pPr>
          </w:p>
        </w:tc>
      </w:tr>
    </w:tbl>
    <w:p w14:paraId="61F974F1" w14:textId="08E9F817" w:rsidR="007724A3" w:rsidRPr="00B61BF3" w:rsidRDefault="006C513E" w:rsidP="0002121C">
      <w:pPr>
        <w:spacing w:line="240" w:lineRule="auto"/>
        <w:jc w:val="both"/>
        <w:rPr>
          <w:rFonts w:ascii="Arial" w:hAnsi="Arial" w:cs="Arial"/>
          <w:i/>
          <w:iCs/>
          <w:color w:val="000000" w:themeColor="text1"/>
          <w:sz w:val="20"/>
          <w:szCs w:val="20"/>
        </w:rPr>
      </w:pPr>
      <w:r w:rsidRPr="00B61BF3">
        <w:rPr>
          <w:rFonts w:ascii="Arial" w:hAnsi="Arial" w:cs="Arial"/>
          <w:i/>
          <w:iCs/>
          <w:color w:val="000000" w:themeColor="text1"/>
          <w:sz w:val="20"/>
          <w:szCs w:val="20"/>
        </w:rPr>
        <w:t>50</w:t>
      </w:r>
      <w:r w:rsidR="00FB74DE" w:rsidRPr="00B61BF3">
        <w:rPr>
          <w:rFonts w:ascii="Arial" w:hAnsi="Arial" w:cs="Arial"/>
          <w:i/>
          <w:iCs/>
          <w:color w:val="000000" w:themeColor="text1"/>
          <w:sz w:val="20"/>
          <w:szCs w:val="20"/>
        </w:rPr>
        <w:t>.51</w:t>
      </w:r>
      <w:r w:rsidRPr="00B61BF3">
        <w:rPr>
          <w:rFonts w:ascii="Arial" w:hAnsi="Arial" w:cs="Arial"/>
          <w:i/>
          <w:iCs/>
          <w:color w:val="000000" w:themeColor="text1"/>
          <w:sz w:val="20"/>
          <w:szCs w:val="20"/>
        </w:rPr>
        <w:t>% of respondents came from a middle-income household (₹1,00,000–₹3,00,000/year).</w:t>
      </w:r>
    </w:p>
    <w:p w14:paraId="53A7EE68" w14:textId="04D17BBD" w:rsidR="007724A3" w:rsidRPr="00B61BF3" w:rsidRDefault="009E5E50" w:rsidP="0002121C">
      <w:pPr>
        <w:spacing w:before="20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T</w:t>
      </w:r>
      <w:r w:rsidR="007724A3" w:rsidRPr="00B61BF3">
        <w:rPr>
          <w:rFonts w:ascii="Arial" w:hAnsi="Arial" w:cs="Arial"/>
          <w:b/>
          <w:color w:val="000000" w:themeColor="text1"/>
          <w:sz w:val="20"/>
          <w:szCs w:val="20"/>
        </w:rPr>
        <w:t>able 4: Year of Study</w:t>
      </w:r>
    </w:p>
    <w:tbl>
      <w:tblPr>
        <w:tblStyle w:val="TableGrid"/>
        <w:tblW w:w="0" w:type="auto"/>
        <w:tblLook w:val="04A0" w:firstRow="1" w:lastRow="0" w:firstColumn="1" w:lastColumn="0" w:noHBand="0" w:noVBand="1"/>
      </w:tblPr>
      <w:tblGrid>
        <w:gridCol w:w="2232"/>
        <w:gridCol w:w="2232"/>
        <w:gridCol w:w="2232"/>
        <w:gridCol w:w="2232"/>
      </w:tblGrid>
      <w:tr w:rsidR="007724A3" w:rsidRPr="00B61BF3" w14:paraId="083B5E30" w14:textId="77777777" w:rsidTr="00A80CB0">
        <w:tc>
          <w:tcPr>
            <w:tcW w:w="2232" w:type="dxa"/>
          </w:tcPr>
          <w:p w14:paraId="6C71F368"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Year of Study</w:t>
            </w:r>
          </w:p>
        </w:tc>
        <w:tc>
          <w:tcPr>
            <w:tcW w:w="2232" w:type="dxa"/>
          </w:tcPr>
          <w:p w14:paraId="6A93BEA3"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Frequency</w:t>
            </w:r>
          </w:p>
        </w:tc>
        <w:tc>
          <w:tcPr>
            <w:tcW w:w="2232" w:type="dxa"/>
          </w:tcPr>
          <w:p w14:paraId="410555BF"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Percent (%)</w:t>
            </w:r>
          </w:p>
        </w:tc>
        <w:tc>
          <w:tcPr>
            <w:tcW w:w="2232" w:type="dxa"/>
          </w:tcPr>
          <w:p w14:paraId="04B754C3"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Cumulative (%)</w:t>
            </w:r>
          </w:p>
        </w:tc>
      </w:tr>
      <w:tr w:rsidR="007724A3" w:rsidRPr="00B61BF3" w14:paraId="1A412CA3" w14:textId="77777777" w:rsidTr="00A80CB0">
        <w:tc>
          <w:tcPr>
            <w:tcW w:w="2232" w:type="dxa"/>
          </w:tcPr>
          <w:p w14:paraId="6899046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1st Year (2nd Sem)</w:t>
            </w:r>
          </w:p>
        </w:tc>
        <w:tc>
          <w:tcPr>
            <w:tcW w:w="2232" w:type="dxa"/>
          </w:tcPr>
          <w:p w14:paraId="514A6FE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19</w:t>
            </w:r>
          </w:p>
        </w:tc>
        <w:tc>
          <w:tcPr>
            <w:tcW w:w="2232" w:type="dxa"/>
          </w:tcPr>
          <w:p w14:paraId="2FB4E41D"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27.94</w:t>
            </w:r>
          </w:p>
        </w:tc>
        <w:tc>
          <w:tcPr>
            <w:tcW w:w="2232" w:type="dxa"/>
          </w:tcPr>
          <w:p w14:paraId="49A00088"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27.94</w:t>
            </w:r>
          </w:p>
        </w:tc>
      </w:tr>
      <w:tr w:rsidR="007724A3" w:rsidRPr="00B61BF3" w14:paraId="312F1B93" w14:textId="77777777" w:rsidTr="00A80CB0">
        <w:tc>
          <w:tcPr>
            <w:tcW w:w="2232" w:type="dxa"/>
          </w:tcPr>
          <w:p w14:paraId="515A2AC7"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2nd Year (4th Sem)</w:t>
            </w:r>
          </w:p>
        </w:tc>
        <w:tc>
          <w:tcPr>
            <w:tcW w:w="2232" w:type="dxa"/>
          </w:tcPr>
          <w:p w14:paraId="0B27EBAA"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25</w:t>
            </w:r>
          </w:p>
        </w:tc>
        <w:tc>
          <w:tcPr>
            <w:tcW w:w="2232" w:type="dxa"/>
          </w:tcPr>
          <w:p w14:paraId="1588844B"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36.76</w:t>
            </w:r>
          </w:p>
        </w:tc>
        <w:tc>
          <w:tcPr>
            <w:tcW w:w="2232" w:type="dxa"/>
          </w:tcPr>
          <w:p w14:paraId="3147F92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64.71</w:t>
            </w:r>
          </w:p>
        </w:tc>
      </w:tr>
      <w:tr w:rsidR="007724A3" w:rsidRPr="00B61BF3" w14:paraId="5533025E" w14:textId="77777777" w:rsidTr="00A80CB0">
        <w:tc>
          <w:tcPr>
            <w:tcW w:w="2232" w:type="dxa"/>
          </w:tcPr>
          <w:p w14:paraId="7741A347"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3rd Year (6th Sem)</w:t>
            </w:r>
          </w:p>
        </w:tc>
        <w:tc>
          <w:tcPr>
            <w:tcW w:w="2232" w:type="dxa"/>
          </w:tcPr>
          <w:p w14:paraId="2C21C292"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24</w:t>
            </w:r>
          </w:p>
        </w:tc>
        <w:tc>
          <w:tcPr>
            <w:tcW w:w="2232" w:type="dxa"/>
          </w:tcPr>
          <w:p w14:paraId="2632248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35.29</w:t>
            </w:r>
          </w:p>
        </w:tc>
        <w:tc>
          <w:tcPr>
            <w:tcW w:w="2232" w:type="dxa"/>
          </w:tcPr>
          <w:p w14:paraId="6CB0C99A"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r>
      <w:tr w:rsidR="007724A3" w:rsidRPr="00B61BF3" w14:paraId="0F27A014" w14:textId="77777777" w:rsidTr="00A80CB0">
        <w:tc>
          <w:tcPr>
            <w:tcW w:w="2232" w:type="dxa"/>
          </w:tcPr>
          <w:p w14:paraId="20EEBFD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Total</w:t>
            </w:r>
          </w:p>
        </w:tc>
        <w:tc>
          <w:tcPr>
            <w:tcW w:w="2232" w:type="dxa"/>
          </w:tcPr>
          <w:p w14:paraId="02437AD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68</w:t>
            </w:r>
          </w:p>
        </w:tc>
        <w:tc>
          <w:tcPr>
            <w:tcW w:w="2232" w:type="dxa"/>
          </w:tcPr>
          <w:p w14:paraId="71CB9597"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c>
          <w:tcPr>
            <w:tcW w:w="2232" w:type="dxa"/>
          </w:tcPr>
          <w:p w14:paraId="2A36B0C1" w14:textId="77777777" w:rsidR="007724A3" w:rsidRPr="00B61BF3" w:rsidRDefault="007724A3" w:rsidP="0002121C">
            <w:pPr>
              <w:spacing w:before="40" w:after="40"/>
              <w:jc w:val="both"/>
              <w:rPr>
                <w:rFonts w:ascii="Arial" w:hAnsi="Arial" w:cs="Arial"/>
                <w:color w:val="000000" w:themeColor="text1"/>
                <w:sz w:val="20"/>
                <w:szCs w:val="20"/>
              </w:rPr>
            </w:pPr>
          </w:p>
        </w:tc>
      </w:tr>
    </w:tbl>
    <w:p w14:paraId="7E34C912" w14:textId="77777777" w:rsidR="007724A3" w:rsidRPr="00B61BF3" w:rsidRDefault="007724A3" w:rsidP="0002121C">
      <w:pPr>
        <w:spacing w:before="60" w:line="240" w:lineRule="auto"/>
        <w:jc w:val="both"/>
        <w:rPr>
          <w:rFonts w:ascii="Arial" w:hAnsi="Arial" w:cs="Arial"/>
          <w:color w:val="000000" w:themeColor="text1"/>
          <w:sz w:val="20"/>
          <w:szCs w:val="20"/>
        </w:rPr>
      </w:pPr>
      <w:r w:rsidRPr="00B61BF3">
        <w:rPr>
          <w:rFonts w:ascii="Arial" w:hAnsi="Arial" w:cs="Arial"/>
          <w:i/>
          <w:color w:val="000000" w:themeColor="text1"/>
          <w:sz w:val="20"/>
          <w:szCs w:val="20"/>
        </w:rPr>
        <w:t>Participation was well-distributed across academic years; 2nd year students formed the largest group (36.8%).</w:t>
      </w:r>
    </w:p>
    <w:p w14:paraId="4A12C561" w14:textId="77777777" w:rsidR="007724A3" w:rsidRPr="00B61BF3" w:rsidRDefault="007724A3" w:rsidP="0002121C">
      <w:pPr>
        <w:spacing w:before="20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lastRenderedPageBreak/>
        <w:t>Table 5: Academic Stream</w:t>
      </w:r>
    </w:p>
    <w:tbl>
      <w:tblPr>
        <w:tblStyle w:val="TableGrid"/>
        <w:tblW w:w="0" w:type="auto"/>
        <w:tblLook w:val="04A0" w:firstRow="1" w:lastRow="0" w:firstColumn="1" w:lastColumn="0" w:noHBand="0" w:noVBand="1"/>
      </w:tblPr>
      <w:tblGrid>
        <w:gridCol w:w="2232"/>
        <w:gridCol w:w="2232"/>
        <w:gridCol w:w="2232"/>
        <w:gridCol w:w="2232"/>
      </w:tblGrid>
      <w:tr w:rsidR="007724A3" w:rsidRPr="00B61BF3" w14:paraId="5018173D" w14:textId="77777777" w:rsidTr="00A80CB0">
        <w:tc>
          <w:tcPr>
            <w:tcW w:w="2232" w:type="dxa"/>
          </w:tcPr>
          <w:p w14:paraId="4D2AEE3B"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Stream</w:t>
            </w:r>
          </w:p>
        </w:tc>
        <w:tc>
          <w:tcPr>
            <w:tcW w:w="2232" w:type="dxa"/>
          </w:tcPr>
          <w:p w14:paraId="03023F07"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Frequency</w:t>
            </w:r>
          </w:p>
        </w:tc>
        <w:tc>
          <w:tcPr>
            <w:tcW w:w="2232" w:type="dxa"/>
          </w:tcPr>
          <w:p w14:paraId="0838B11C"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Percent (%)</w:t>
            </w:r>
          </w:p>
        </w:tc>
        <w:tc>
          <w:tcPr>
            <w:tcW w:w="2232" w:type="dxa"/>
          </w:tcPr>
          <w:p w14:paraId="01EF302E"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Cumulative (%)</w:t>
            </w:r>
          </w:p>
        </w:tc>
      </w:tr>
      <w:tr w:rsidR="007724A3" w:rsidRPr="00B61BF3" w14:paraId="5E6A41B2" w14:textId="77777777" w:rsidTr="00A80CB0">
        <w:tc>
          <w:tcPr>
            <w:tcW w:w="2232" w:type="dxa"/>
          </w:tcPr>
          <w:p w14:paraId="47405522"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Science</w:t>
            </w:r>
          </w:p>
        </w:tc>
        <w:tc>
          <w:tcPr>
            <w:tcW w:w="2232" w:type="dxa"/>
          </w:tcPr>
          <w:p w14:paraId="0A0ED85D"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43</w:t>
            </w:r>
          </w:p>
        </w:tc>
        <w:tc>
          <w:tcPr>
            <w:tcW w:w="2232" w:type="dxa"/>
          </w:tcPr>
          <w:p w14:paraId="768F278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63.24</w:t>
            </w:r>
          </w:p>
        </w:tc>
        <w:tc>
          <w:tcPr>
            <w:tcW w:w="2232" w:type="dxa"/>
          </w:tcPr>
          <w:p w14:paraId="6CED15CD"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63.24</w:t>
            </w:r>
          </w:p>
        </w:tc>
      </w:tr>
      <w:tr w:rsidR="007724A3" w:rsidRPr="00B61BF3" w14:paraId="47121B58" w14:textId="77777777" w:rsidTr="00A80CB0">
        <w:tc>
          <w:tcPr>
            <w:tcW w:w="2232" w:type="dxa"/>
          </w:tcPr>
          <w:p w14:paraId="2D673CFB"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Arts</w:t>
            </w:r>
          </w:p>
        </w:tc>
        <w:tc>
          <w:tcPr>
            <w:tcW w:w="2232" w:type="dxa"/>
          </w:tcPr>
          <w:p w14:paraId="6C9B3190"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19</w:t>
            </w:r>
          </w:p>
        </w:tc>
        <w:tc>
          <w:tcPr>
            <w:tcW w:w="2232" w:type="dxa"/>
          </w:tcPr>
          <w:p w14:paraId="18C94CFD"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27.94</w:t>
            </w:r>
          </w:p>
        </w:tc>
        <w:tc>
          <w:tcPr>
            <w:tcW w:w="2232" w:type="dxa"/>
          </w:tcPr>
          <w:p w14:paraId="7D9B3A22"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91.18</w:t>
            </w:r>
          </w:p>
        </w:tc>
      </w:tr>
      <w:tr w:rsidR="007724A3" w:rsidRPr="00B61BF3" w14:paraId="11DA9476" w14:textId="77777777" w:rsidTr="00A80CB0">
        <w:tc>
          <w:tcPr>
            <w:tcW w:w="2232" w:type="dxa"/>
          </w:tcPr>
          <w:p w14:paraId="1CAFD58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Commerce</w:t>
            </w:r>
          </w:p>
        </w:tc>
        <w:tc>
          <w:tcPr>
            <w:tcW w:w="2232" w:type="dxa"/>
          </w:tcPr>
          <w:p w14:paraId="209ED490"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w:t>
            </w:r>
          </w:p>
        </w:tc>
        <w:tc>
          <w:tcPr>
            <w:tcW w:w="2232" w:type="dxa"/>
          </w:tcPr>
          <w:p w14:paraId="084D6737"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8.82</w:t>
            </w:r>
          </w:p>
        </w:tc>
        <w:tc>
          <w:tcPr>
            <w:tcW w:w="2232" w:type="dxa"/>
          </w:tcPr>
          <w:p w14:paraId="1C7D66B9"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r>
      <w:tr w:rsidR="007724A3" w:rsidRPr="00B61BF3" w14:paraId="7213F4D4" w14:textId="77777777" w:rsidTr="00A80CB0">
        <w:tc>
          <w:tcPr>
            <w:tcW w:w="2232" w:type="dxa"/>
          </w:tcPr>
          <w:p w14:paraId="097E30C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Total</w:t>
            </w:r>
          </w:p>
        </w:tc>
        <w:tc>
          <w:tcPr>
            <w:tcW w:w="2232" w:type="dxa"/>
          </w:tcPr>
          <w:p w14:paraId="49215DAA"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68</w:t>
            </w:r>
          </w:p>
        </w:tc>
        <w:tc>
          <w:tcPr>
            <w:tcW w:w="2232" w:type="dxa"/>
          </w:tcPr>
          <w:p w14:paraId="20131EC6"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c>
          <w:tcPr>
            <w:tcW w:w="2232" w:type="dxa"/>
          </w:tcPr>
          <w:p w14:paraId="18904782" w14:textId="77777777" w:rsidR="007724A3" w:rsidRPr="00B61BF3" w:rsidRDefault="007724A3" w:rsidP="0002121C">
            <w:pPr>
              <w:spacing w:before="40" w:after="40"/>
              <w:jc w:val="both"/>
              <w:rPr>
                <w:rFonts w:ascii="Arial" w:hAnsi="Arial" w:cs="Arial"/>
                <w:color w:val="000000" w:themeColor="text1"/>
                <w:sz w:val="20"/>
                <w:szCs w:val="20"/>
              </w:rPr>
            </w:pPr>
          </w:p>
        </w:tc>
      </w:tr>
    </w:tbl>
    <w:p w14:paraId="02A46879" w14:textId="77777777" w:rsidR="007724A3" w:rsidRPr="00B61BF3" w:rsidRDefault="007724A3" w:rsidP="0002121C">
      <w:pPr>
        <w:spacing w:before="60" w:line="240" w:lineRule="auto"/>
        <w:jc w:val="both"/>
        <w:rPr>
          <w:rFonts w:ascii="Arial" w:hAnsi="Arial" w:cs="Arial"/>
          <w:color w:val="000000" w:themeColor="text1"/>
          <w:sz w:val="20"/>
          <w:szCs w:val="20"/>
        </w:rPr>
      </w:pPr>
      <w:r w:rsidRPr="00B61BF3">
        <w:rPr>
          <w:rFonts w:ascii="Arial" w:hAnsi="Arial" w:cs="Arial"/>
          <w:i/>
          <w:color w:val="000000" w:themeColor="text1"/>
          <w:sz w:val="20"/>
          <w:szCs w:val="20"/>
        </w:rPr>
        <w:t>Science stream students constituted 63.2% of the sample.</w:t>
      </w:r>
    </w:p>
    <w:p w14:paraId="78489C61" w14:textId="77777777" w:rsidR="007724A3" w:rsidRPr="00B61BF3" w:rsidRDefault="007724A3" w:rsidP="0002121C">
      <w:pPr>
        <w:pStyle w:val="Heading2"/>
        <w:spacing w:before="280" w:after="12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t>5.2 Smartphone Usage Patterns</w:t>
      </w:r>
    </w:p>
    <w:p w14:paraId="14A43ED0" w14:textId="77777777" w:rsidR="007724A3" w:rsidRPr="00B61BF3" w:rsidRDefault="007724A3" w:rsidP="0002121C">
      <w:pPr>
        <w:spacing w:before="20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Table 6: Duration of Smartphone Ownership</w:t>
      </w:r>
    </w:p>
    <w:tbl>
      <w:tblPr>
        <w:tblStyle w:val="TableGrid"/>
        <w:tblW w:w="0" w:type="auto"/>
        <w:tblLook w:val="04A0" w:firstRow="1" w:lastRow="0" w:firstColumn="1" w:lastColumn="0" w:noHBand="0" w:noVBand="1"/>
      </w:tblPr>
      <w:tblGrid>
        <w:gridCol w:w="2232"/>
        <w:gridCol w:w="2232"/>
        <w:gridCol w:w="2232"/>
        <w:gridCol w:w="2232"/>
      </w:tblGrid>
      <w:tr w:rsidR="007724A3" w:rsidRPr="00B61BF3" w14:paraId="446D075B" w14:textId="77777777" w:rsidTr="00A80CB0">
        <w:tc>
          <w:tcPr>
            <w:tcW w:w="2232" w:type="dxa"/>
          </w:tcPr>
          <w:p w14:paraId="7C0A68A2"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Duration (Years)</w:t>
            </w:r>
          </w:p>
        </w:tc>
        <w:tc>
          <w:tcPr>
            <w:tcW w:w="2232" w:type="dxa"/>
          </w:tcPr>
          <w:p w14:paraId="365CFC19"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Frequency</w:t>
            </w:r>
          </w:p>
        </w:tc>
        <w:tc>
          <w:tcPr>
            <w:tcW w:w="2232" w:type="dxa"/>
          </w:tcPr>
          <w:p w14:paraId="28401EA1"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Percent (%)</w:t>
            </w:r>
          </w:p>
        </w:tc>
        <w:tc>
          <w:tcPr>
            <w:tcW w:w="2232" w:type="dxa"/>
          </w:tcPr>
          <w:p w14:paraId="3EE3CE45"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Cumulative (%)</w:t>
            </w:r>
          </w:p>
        </w:tc>
      </w:tr>
      <w:tr w:rsidR="007724A3" w:rsidRPr="00B61BF3" w14:paraId="13734B4D" w14:textId="77777777" w:rsidTr="00A80CB0">
        <w:tc>
          <w:tcPr>
            <w:tcW w:w="2232" w:type="dxa"/>
          </w:tcPr>
          <w:p w14:paraId="25C0032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 year</w:t>
            </w:r>
          </w:p>
        </w:tc>
        <w:tc>
          <w:tcPr>
            <w:tcW w:w="2232" w:type="dxa"/>
          </w:tcPr>
          <w:p w14:paraId="5246BC60"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13</w:t>
            </w:r>
          </w:p>
        </w:tc>
        <w:tc>
          <w:tcPr>
            <w:tcW w:w="2232" w:type="dxa"/>
          </w:tcPr>
          <w:p w14:paraId="7EB57F58"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19.12</w:t>
            </w:r>
          </w:p>
        </w:tc>
        <w:tc>
          <w:tcPr>
            <w:tcW w:w="2232" w:type="dxa"/>
          </w:tcPr>
          <w:p w14:paraId="13E35652"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19.12</w:t>
            </w:r>
          </w:p>
        </w:tc>
      </w:tr>
      <w:tr w:rsidR="007724A3" w:rsidRPr="00B61BF3" w14:paraId="1043B0F0" w14:textId="77777777" w:rsidTr="00A80CB0">
        <w:tc>
          <w:tcPr>
            <w:tcW w:w="2232" w:type="dxa"/>
          </w:tcPr>
          <w:p w14:paraId="491C95B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1–3 years</w:t>
            </w:r>
          </w:p>
        </w:tc>
        <w:tc>
          <w:tcPr>
            <w:tcW w:w="2232" w:type="dxa"/>
          </w:tcPr>
          <w:p w14:paraId="68A7CDDD"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29</w:t>
            </w:r>
          </w:p>
        </w:tc>
        <w:tc>
          <w:tcPr>
            <w:tcW w:w="2232" w:type="dxa"/>
          </w:tcPr>
          <w:p w14:paraId="08918F5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42.65</w:t>
            </w:r>
          </w:p>
        </w:tc>
        <w:tc>
          <w:tcPr>
            <w:tcW w:w="2232" w:type="dxa"/>
          </w:tcPr>
          <w:p w14:paraId="5334162D"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61.76</w:t>
            </w:r>
          </w:p>
        </w:tc>
      </w:tr>
      <w:tr w:rsidR="007724A3" w:rsidRPr="00B61BF3" w14:paraId="49748D0B" w14:textId="77777777" w:rsidTr="00A80CB0">
        <w:tc>
          <w:tcPr>
            <w:tcW w:w="2232" w:type="dxa"/>
          </w:tcPr>
          <w:p w14:paraId="0FE7B2F1"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 years</w:t>
            </w:r>
          </w:p>
        </w:tc>
        <w:tc>
          <w:tcPr>
            <w:tcW w:w="2232" w:type="dxa"/>
          </w:tcPr>
          <w:p w14:paraId="46C89387"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26</w:t>
            </w:r>
          </w:p>
        </w:tc>
        <w:tc>
          <w:tcPr>
            <w:tcW w:w="2232" w:type="dxa"/>
          </w:tcPr>
          <w:p w14:paraId="17D082E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38.24</w:t>
            </w:r>
          </w:p>
        </w:tc>
        <w:tc>
          <w:tcPr>
            <w:tcW w:w="2232" w:type="dxa"/>
          </w:tcPr>
          <w:p w14:paraId="353B929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r>
      <w:tr w:rsidR="007724A3" w:rsidRPr="00B61BF3" w14:paraId="570693B7" w14:textId="77777777" w:rsidTr="00A80CB0">
        <w:tc>
          <w:tcPr>
            <w:tcW w:w="2232" w:type="dxa"/>
          </w:tcPr>
          <w:p w14:paraId="1753AA1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Total</w:t>
            </w:r>
          </w:p>
        </w:tc>
        <w:tc>
          <w:tcPr>
            <w:tcW w:w="2232" w:type="dxa"/>
          </w:tcPr>
          <w:p w14:paraId="7FB074E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68</w:t>
            </w:r>
          </w:p>
        </w:tc>
        <w:tc>
          <w:tcPr>
            <w:tcW w:w="2232" w:type="dxa"/>
          </w:tcPr>
          <w:p w14:paraId="2F812E70"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c>
          <w:tcPr>
            <w:tcW w:w="2232" w:type="dxa"/>
          </w:tcPr>
          <w:p w14:paraId="09DF4FD7" w14:textId="77777777" w:rsidR="007724A3" w:rsidRPr="00B61BF3" w:rsidRDefault="007724A3" w:rsidP="0002121C">
            <w:pPr>
              <w:spacing w:before="40" w:after="40"/>
              <w:jc w:val="both"/>
              <w:rPr>
                <w:rFonts w:ascii="Arial" w:hAnsi="Arial" w:cs="Arial"/>
                <w:color w:val="000000" w:themeColor="text1"/>
                <w:sz w:val="20"/>
                <w:szCs w:val="20"/>
              </w:rPr>
            </w:pPr>
          </w:p>
        </w:tc>
      </w:tr>
    </w:tbl>
    <w:p w14:paraId="325DBE8E" w14:textId="77777777" w:rsidR="007724A3" w:rsidRPr="00B61BF3" w:rsidRDefault="007724A3" w:rsidP="0002121C">
      <w:pPr>
        <w:spacing w:before="60" w:line="240" w:lineRule="auto"/>
        <w:jc w:val="both"/>
        <w:rPr>
          <w:rFonts w:ascii="Arial" w:hAnsi="Arial" w:cs="Arial"/>
          <w:color w:val="000000" w:themeColor="text1"/>
          <w:sz w:val="20"/>
          <w:szCs w:val="20"/>
        </w:rPr>
      </w:pPr>
      <w:r w:rsidRPr="00B61BF3">
        <w:rPr>
          <w:rFonts w:ascii="Arial" w:hAnsi="Arial" w:cs="Arial"/>
          <w:i/>
          <w:color w:val="000000" w:themeColor="text1"/>
          <w:sz w:val="20"/>
          <w:szCs w:val="20"/>
        </w:rPr>
        <w:t>80.9% of students had owned smartphones for more than one year.</w:t>
      </w:r>
    </w:p>
    <w:p w14:paraId="516416B7" w14:textId="77777777" w:rsidR="007724A3" w:rsidRPr="00B61BF3" w:rsidRDefault="007724A3" w:rsidP="0002121C">
      <w:pPr>
        <w:spacing w:before="20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Table 7: Daily Smartphone Usage (Hours)</w:t>
      </w:r>
    </w:p>
    <w:tbl>
      <w:tblPr>
        <w:tblStyle w:val="TableGrid"/>
        <w:tblW w:w="0" w:type="auto"/>
        <w:tblLook w:val="04A0" w:firstRow="1" w:lastRow="0" w:firstColumn="1" w:lastColumn="0" w:noHBand="0" w:noVBand="1"/>
      </w:tblPr>
      <w:tblGrid>
        <w:gridCol w:w="2232"/>
        <w:gridCol w:w="2232"/>
        <w:gridCol w:w="2232"/>
        <w:gridCol w:w="2232"/>
      </w:tblGrid>
      <w:tr w:rsidR="007724A3" w:rsidRPr="00B61BF3" w14:paraId="2C0A38C8" w14:textId="77777777" w:rsidTr="00A80CB0">
        <w:tc>
          <w:tcPr>
            <w:tcW w:w="2232" w:type="dxa"/>
          </w:tcPr>
          <w:p w14:paraId="07C84F1D"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Daily Usage</w:t>
            </w:r>
          </w:p>
        </w:tc>
        <w:tc>
          <w:tcPr>
            <w:tcW w:w="2232" w:type="dxa"/>
          </w:tcPr>
          <w:p w14:paraId="2A8FBCD7"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Frequency</w:t>
            </w:r>
          </w:p>
        </w:tc>
        <w:tc>
          <w:tcPr>
            <w:tcW w:w="2232" w:type="dxa"/>
          </w:tcPr>
          <w:p w14:paraId="674C4B83"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Percent (%)</w:t>
            </w:r>
          </w:p>
        </w:tc>
        <w:tc>
          <w:tcPr>
            <w:tcW w:w="2232" w:type="dxa"/>
          </w:tcPr>
          <w:p w14:paraId="74F9BE66"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Cumulative (%)</w:t>
            </w:r>
          </w:p>
        </w:tc>
      </w:tr>
      <w:tr w:rsidR="007724A3" w:rsidRPr="00B61BF3" w14:paraId="04C23C8C" w14:textId="77777777" w:rsidTr="00A80CB0">
        <w:tc>
          <w:tcPr>
            <w:tcW w:w="2232" w:type="dxa"/>
          </w:tcPr>
          <w:p w14:paraId="1F310F86"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 hour</w:t>
            </w:r>
          </w:p>
        </w:tc>
        <w:tc>
          <w:tcPr>
            <w:tcW w:w="2232" w:type="dxa"/>
          </w:tcPr>
          <w:p w14:paraId="382D4A5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12</w:t>
            </w:r>
          </w:p>
        </w:tc>
        <w:tc>
          <w:tcPr>
            <w:tcW w:w="2232" w:type="dxa"/>
          </w:tcPr>
          <w:p w14:paraId="3C8AC4F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17.65</w:t>
            </w:r>
          </w:p>
        </w:tc>
        <w:tc>
          <w:tcPr>
            <w:tcW w:w="2232" w:type="dxa"/>
          </w:tcPr>
          <w:p w14:paraId="32B27F16"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17.65</w:t>
            </w:r>
          </w:p>
        </w:tc>
      </w:tr>
      <w:tr w:rsidR="007724A3" w:rsidRPr="00B61BF3" w14:paraId="26F8F18B" w14:textId="77777777" w:rsidTr="00A80CB0">
        <w:tc>
          <w:tcPr>
            <w:tcW w:w="2232" w:type="dxa"/>
          </w:tcPr>
          <w:p w14:paraId="2A997A4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1–3 hours</w:t>
            </w:r>
          </w:p>
        </w:tc>
        <w:tc>
          <w:tcPr>
            <w:tcW w:w="2232" w:type="dxa"/>
          </w:tcPr>
          <w:p w14:paraId="5CF4270B"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18</w:t>
            </w:r>
          </w:p>
        </w:tc>
        <w:tc>
          <w:tcPr>
            <w:tcW w:w="2232" w:type="dxa"/>
          </w:tcPr>
          <w:p w14:paraId="1D8AAE82"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26.47</w:t>
            </w:r>
          </w:p>
        </w:tc>
        <w:tc>
          <w:tcPr>
            <w:tcW w:w="2232" w:type="dxa"/>
          </w:tcPr>
          <w:p w14:paraId="6C557F1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44.12</w:t>
            </w:r>
          </w:p>
        </w:tc>
      </w:tr>
      <w:tr w:rsidR="007724A3" w:rsidRPr="00B61BF3" w14:paraId="2D4A02EF" w14:textId="77777777" w:rsidTr="00A80CB0">
        <w:tc>
          <w:tcPr>
            <w:tcW w:w="2232" w:type="dxa"/>
          </w:tcPr>
          <w:p w14:paraId="37571BD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&gt;3 hours</w:t>
            </w:r>
          </w:p>
        </w:tc>
        <w:tc>
          <w:tcPr>
            <w:tcW w:w="2232" w:type="dxa"/>
          </w:tcPr>
          <w:p w14:paraId="23D4DA3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38</w:t>
            </w:r>
          </w:p>
        </w:tc>
        <w:tc>
          <w:tcPr>
            <w:tcW w:w="2232" w:type="dxa"/>
          </w:tcPr>
          <w:p w14:paraId="37C4E752"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55.88</w:t>
            </w:r>
          </w:p>
        </w:tc>
        <w:tc>
          <w:tcPr>
            <w:tcW w:w="2232" w:type="dxa"/>
          </w:tcPr>
          <w:p w14:paraId="17EAFF1F"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r>
      <w:tr w:rsidR="007724A3" w:rsidRPr="00B61BF3" w14:paraId="5D87E5FE" w14:textId="77777777" w:rsidTr="00A80CB0">
        <w:tc>
          <w:tcPr>
            <w:tcW w:w="2232" w:type="dxa"/>
          </w:tcPr>
          <w:p w14:paraId="0B5F46E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Total</w:t>
            </w:r>
          </w:p>
        </w:tc>
        <w:tc>
          <w:tcPr>
            <w:tcW w:w="2232" w:type="dxa"/>
          </w:tcPr>
          <w:p w14:paraId="613072C5"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68</w:t>
            </w:r>
          </w:p>
        </w:tc>
        <w:tc>
          <w:tcPr>
            <w:tcW w:w="2232" w:type="dxa"/>
          </w:tcPr>
          <w:p w14:paraId="1AAFE1C2"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c>
          <w:tcPr>
            <w:tcW w:w="2232" w:type="dxa"/>
          </w:tcPr>
          <w:p w14:paraId="6874A26C" w14:textId="77777777" w:rsidR="007724A3" w:rsidRPr="00B61BF3" w:rsidRDefault="007724A3" w:rsidP="0002121C">
            <w:pPr>
              <w:spacing w:before="40" w:after="40"/>
              <w:jc w:val="both"/>
              <w:rPr>
                <w:rFonts w:ascii="Arial" w:hAnsi="Arial" w:cs="Arial"/>
                <w:color w:val="000000" w:themeColor="text1"/>
                <w:sz w:val="20"/>
                <w:szCs w:val="20"/>
              </w:rPr>
            </w:pPr>
          </w:p>
        </w:tc>
      </w:tr>
    </w:tbl>
    <w:p w14:paraId="41C54BCC" w14:textId="5E2D2FF6" w:rsidR="008A108D" w:rsidRPr="00B61BF3" w:rsidRDefault="004606C6" w:rsidP="004606C6">
      <w:pPr>
        <w:spacing w:before="60"/>
        <w:jc w:val="center"/>
        <w:rPr>
          <w:rFonts w:ascii="Arial" w:hAnsi="Arial" w:cs="Arial"/>
          <w:sz w:val="20"/>
          <w:szCs w:val="20"/>
        </w:rPr>
      </w:pPr>
      <w:r w:rsidRPr="00B61BF3">
        <w:rPr>
          <w:rFonts w:ascii="Arial" w:hAnsi="Arial" w:cs="Arial"/>
          <w:i/>
          <w:color w:val="555555"/>
          <w:sz w:val="20"/>
          <w:szCs w:val="20"/>
        </w:rPr>
        <w:t>55.88% of respondents exceeded three hours of daily smartphone use, surpassing the risk threshold identified by Zeng et al. (2026).</w:t>
      </w:r>
    </w:p>
    <w:p w14:paraId="56411153" w14:textId="1724810A" w:rsidR="009E5E50" w:rsidRPr="00B61BF3" w:rsidRDefault="009E5E50" w:rsidP="0002121C">
      <w:pPr>
        <w:spacing w:before="20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Table 8: Monthly Mobile Recharge Cost</w:t>
      </w:r>
    </w:p>
    <w:tbl>
      <w:tblPr>
        <w:tblStyle w:val="TableGrid"/>
        <w:tblW w:w="0" w:type="auto"/>
        <w:tblLook w:val="04A0" w:firstRow="1" w:lastRow="0" w:firstColumn="1" w:lastColumn="0" w:noHBand="0" w:noVBand="1"/>
      </w:tblPr>
      <w:tblGrid>
        <w:gridCol w:w="2254"/>
        <w:gridCol w:w="2254"/>
        <w:gridCol w:w="2254"/>
        <w:gridCol w:w="2254"/>
      </w:tblGrid>
      <w:tr w:rsidR="009E5E50" w:rsidRPr="00B61BF3" w14:paraId="7A325385" w14:textId="77777777" w:rsidTr="009E5E50">
        <w:tc>
          <w:tcPr>
            <w:tcW w:w="2254" w:type="dxa"/>
          </w:tcPr>
          <w:p w14:paraId="22159DA5" w14:textId="022A8087"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b/>
                <w:color w:val="000000" w:themeColor="text1"/>
                <w:sz w:val="20"/>
                <w:szCs w:val="20"/>
              </w:rPr>
              <w:t>Cost (INR/month)</w:t>
            </w:r>
          </w:p>
        </w:tc>
        <w:tc>
          <w:tcPr>
            <w:tcW w:w="2254" w:type="dxa"/>
          </w:tcPr>
          <w:p w14:paraId="324D822F" w14:textId="448D8928"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b/>
                <w:color w:val="000000" w:themeColor="text1"/>
                <w:sz w:val="20"/>
                <w:szCs w:val="20"/>
              </w:rPr>
              <w:t>Frequency</w:t>
            </w:r>
          </w:p>
        </w:tc>
        <w:tc>
          <w:tcPr>
            <w:tcW w:w="2254" w:type="dxa"/>
          </w:tcPr>
          <w:p w14:paraId="6288043D" w14:textId="3EABEBAE"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b/>
                <w:color w:val="000000" w:themeColor="text1"/>
                <w:sz w:val="20"/>
                <w:szCs w:val="20"/>
              </w:rPr>
              <w:t>Percent (%)</w:t>
            </w:r>
          </w:p>
        </w:tc>
        <w:tc>
          <w:tcPr>
            <w:tcW w:w="2254" w:type="dxa"/>
          </w:tcPr>
          <w:p w14:paraId="171776B9" w14:textId="33C13BEB"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b/>
                <w:color w:val="000000" w:themeColor="text1"/>
                <w:sz w:val="20"/>
                <w:szCs w:val="20"/>
              </w:rPr>
              <w:t>Cumulative (%)</w:t>
            </w:r>
          </w:p>
        </w:tc>
      </w:tr>
      <w:tr w:rsidR="009E5E50" w:rsidRPr="00B61BF3" w14:paraId="6C1EDDDD" w14:textId="77777777" w:rsidTr="009E5E50">
        <w:tc>
          <w:tcPr>
            <w:tcW w:w="2254" w:type="dxa"/>
          </w:tcPr>
          <w:p w14:paraId="77BB1DFC" w14:textId="14E0352D"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≤200</w:t>
            </w:r>
          </w:p>
        </w:tc>
        <w:tc>
          <w:tcPr>
            <w:tcW w:w="2254" w:type="dxa"/>
          </w:tcPr>
          <w:p w14:paraId="607A325F" w14:textId="207357D2"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16</w:t>
            </w:r>
          </w:p>
        </w:tc>
        <w:tc>
          <w:tcPr>
            <w:tcW w:w="2254" w:type="dxa"/>
          </w:tcPr>
          <w:p w14:paraId="4AEB6105" w14:textId="5FCD76AA"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23.53</w:t>
            </w:r>
          </w:p>
        </w:tc>
        <w:tc>
          <w:tcPr>
            <w:tcW w:w="2254" w:type="dxa"/>
          </w:tcPr>
          <w:p w14:paraId="42F5D5FB" w14:textId="5CC49F29"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23.53</w:t>
            </w:r>
          </w:p>
        </w:tc>
      </w:tr>
      <w:tr w:rsidR="009E5E50" w:rsidRPr="00B61BF3" w14:paraId="74112726" w14:textId="77777777" w:rsidTr="009E5E50">
        <w:tc>
          <w:tcPr>
            <w:tcW w:w="2254" w:type="dxa"/>
          </w:tcPr>
          <w:p w14:paraId="773265C3" w14:textId="1748409C"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200–500</w:t>
            </w:r>
          </w:p>
        </w:tc>
        <w:tc>
          <w:tcPr>
            <w:tcW w:w="2254" w:type="dxa"/>
          </w:tcPr>
          <w:p w14:paraId="6376DB0E" w14:textId="0D59F999"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48</w:t>
            </w:r>
          </w:p>
        </w:tc>
        <w:tc>
          <w:tcPr>
            <w:tcW w:w="2254" w:type="dxa"/>
          </w:tcPr>
          <w:p w14:paraId="61BE939B" w14:textId="750ADDF7"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70.59</w:t>
            </w:r>
          </w:p>
        </w:tc>
        <w:tc>
          <w:tcPr>
            <w:tcW w:w="2254" w:type="dxa"/>
          </w:tcPr>
          <w:p w14:paraId="6731943F" w14:textId="1EF4E09F"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94.12</w:t>
            </w:r>
          </w:p>
        </w:tc>
      </w:tr>
      <w:tr w:rsidR="009E5E50" w:rsidRPr="00B61BF3" w14:paraId="469C62C6" w14:textId="77777777" w:rsidTr="009E5E50">
        <w:tc>
          <w:tcPr>
            <w:tcW w:w="2254" w:type="dxa"/>
          </w:tcPr>
          <w:p w14:paraId="5117DD15" w14:textId="5C219015"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&gt;500</w:t>
            </w:r>
          </w:p>
        </w:tc>
        <w:tc>
          <w:tcPr>
            <w:tcW w:w="2254" w:type="dxa"/>
          </w:tcPr>
          <w:p w14:paraId="1B894746" w14:textId="141F743E"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4</w:t>
            </w:r>
          </w:p>
        </w:tc>
        <w:tc>
          <w:tcPr>
            <w:tcW w:w="2254" w:type="dxa"/>
          </w:tcPr>
          <w:p w14:paraId="7C7FF755" w14:textId="27D323B4"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5.88</w:t>
            </w:r>
          </w:p>
        </w:tc>
        <w:tc>
          <w:tcPr>
            <w:tcW w:w="2254" w:type="dxa"/>
          </w:tcPr>
          <w:p w14:paraId="54406CD7" w14:textId="51692FEB"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100.00</w:t>
            </w:r>
          </w:p>
        </w:tc>
      </w:tr>
      <w:tr w:rsidR="009E5E50" w:rsidRPr="00B61BF3" w14:paraId="7F1CE812" w14:textId="77777777" w:rsidTr="009E5E50">
        <w:tc>
          <w:tcPr>
            <w:tcW w:w="2254" w:type="dxa"/>
          </w:tcPr>
          <w:p w14:paraId="78862AA1" w14:textId="686C63D6"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Total</w:t>
            </w:r>
          </w:p>
        </w:tc>
        <w:tc>
          <w:tcPr>
            <w:tcW w:w="2254" w:type="dxa"/>
          </w:tcPr>
          <w:p w14:paraId="4E1E677C" w14:textId="34ACC6C6"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68</w:t>
            </w:r>
          </w:p>
        </w:tc>
        <w:tc>
          <w:tcPr>
            <w:tcW w:w="2254" w:type="dxa"/>
          </w:tcPr>
          <w:p w14:paraId="7F74E9C4" w14:textId="244D1DE2" w:rsidR="009E5E50" w:rsidRPr="00B61BF3" w:rsidRDefault="009E5E50" w:rsidP="0002121C">
            <w:pPr>
              <w:spacing w:before="60"/>
              <w:jc w:val="both"/>
              <w:rPr>
                <w:rFonts w:ascii="Arial" w:hAnsi="Arial" w:cs="Arial"/>
                <w:i/>
                <w:color w:val="000000" w:themeColor="text1"/>
                <w:sz w:val="20"/>
                <w:szCs w:val="20"/>
              </w:rPr>
            </w:pPr>
            <w:r w:rsidRPr="00B61BF3">
              <w:rPr>
                <w:rFonts w:ascii="Arial" w:hAnsi="Arial" w:cs="Arial"/>
                <w:color w:val="000000" w:themeColor="text1"/>
                <w:sz w:val="20"/>
                <w:szCs w:val="20"/>
              </w:rPr>
              <w:t>100.00</w:t>
            </w:r>
          </w:p>
        </w:tc>
        <w:tc>
          <w:tcPr>
            <w:tcW w:w="2254" w:type="dxa"/>
          </w:tcPr>
          <w:p w14:paraId="43390FB8" w14:textId="77777777" w:rsidR="009E5E50" w:rsidRPr="00B61BF3" w:rsidRDefault="009E5E50" w:rsidP="0002121C">
            <w:pPr>
              <w:spacing w:before="60"/>
              <w:jc w:val="both"/>
              <w:rPr>
                <w:rFonts w:ascii="Arial" w:hAnsi="Arial" w:cs="Arial"/>
                <w:i/>
                <w:color w:val="000000" w:themeColor="text1"/>
                <w:sz w:val="20"/>
                <w:szCs w:val="20"/>
              </w:rPr>
            </w:pPr>
          </w:p>
        </w:tc>
      </w:tr>
    </w:tbl>
    <w:p w14:paraId="7BE30627" w14:textId="5567C2C1" w:rsidR="009E5E50" w:rsidRPr="00B61BF3" w:rsidRDefault="009E5E50" w:rsidP="0002121C">
      <w:pPr>
        <w:spacing w:before="60" w:line="240" w:lineRule="auto"/>
        <w:jc w:val="both"/>
        <w:rPr>
          <w:rFonts w:ascii="Arial" w:hAnsi="Arial" w:cs="Arial"/>
          <w:i/>
          <w:color w:val="000000" w:themeColor="text1"/>
          <w:sz w:val="20"/>
          <w:szCs w:val="20"/>
        </w:rPr>
      </w:pPr>
      <w:r w:rsidRPr="00B61BF3">
        <w:rPr>
          <w:rFonts w:ascii="Arial" w:hAnsi="Arial" w:cs="Arial"/>
          <w:i/>
          <w:color w:val="555555"/>
          <w:sz w:val="20"/>
          <w:szCs w:val="20"/>
        </w:rPr>
        <w:t>70.6% of students spent ₹200–₹500 monthly on mobile recharge, reflecting regular internet consumption.</w:t>
      </w:r>
    </w:p>
    <w:p w14:paraId="3963B1AB" w14:textId="77777777" w:rsidR="007724A3" w:rsidRPr="00B61BF3" w:rsidRDefault="007724A3" w:rsidP="0002121C">
      <w:pPr>
        <w:pStyle w:val="Heading2"/>
        <w:spacing w:before="280" w:after="12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t>5.3 Awareness of MYYY Scheme</w:t>
      </w:r>
    </w:p>
    <w:p w14:paraId="40A3B414" w14:textId="77777777" w:rsidR="007724A3" w:rsidRPr="00B61BF3" w:rsidRDefault="007724A3" w:rsidP="0002121C">
      <w:pPr>
        <w:spacing w:before="20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Table 9: Awareness of Mukhyamantri Yuba Yogayog Yojana (MYYY)</w:t>
      </w:r>
    </w:p>
    <w:tbl>
      <w:tblPr>
        <w:tblStyle w:val="TableGrid"/>
        <w:tblW w:w="0" w:type="auto"/>
        <w:tblLook w:val="04A0" w:firstRow="1" w:lastRow="0" w:firstColumn="1" w:lastColumn="0" w:noHBand="0" w:noVBand="1"/>
      </w:tblPr>
      <w:tblGrid>
        <w:gridCol w:w="2232"/>
        <w:gridCol w:w="2232"/>
        <w:gridCol w:w="2232"/>
        <w:gridCol w:w="2232"/>
      </w:tblGrid>
      <w:tr w:rsidR="007724A3" w:rsidRPr="00B61BF3" w14:paraId="67A1F252" w14:textId="77777777" w:rsidTr="00A80CB0">
        <w:tc>
          <w:tcPr>
            <w:tcW w:w="2232" w:type="dxa"/>
          </w:tcPr>
          <w:p w14:paraId="63403DA1"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Awareness</w:t>
            </w:r>
          </w:p>
        </w:tc>
        <w:tc>
          <w:tcPr>
            <w:tcW w:w="2232" w:type="dxa"/>
          </w:tcPr>
          <w:p w14:paraId="32892594"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Frequency</w:t>
            </w:r>
          </w:p>
        </w:tc>
        <w:tc>
          <w:tcPr>
            <w:tcW w:w="2232" w:type="dxa"/>
          </w:tcPr>
          <w:p w14:paraId="52735B4F"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Percent (%)</w:t>
            </w:r>
          </w:p>
        </w:tc>
        <w:tc>
          <w:tcPr>
            <w:tcW w:w="2232" w:type="dxa"/>
          </w:tcPr>
          <w:p w14:paraId="2E82B68C"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Cumulative (%)</w:t>
            </w:r>
          </w:p>
        </w:tc>
      </w:tr>
      <w:tr w:rsidR="007724A3" w:rsidRPr="00B61BF3" w14:paraId="3B2FCA30" w14:textId="77777777" w:rsidTr="00A80CB0">
        <w:tc>
          <w:tcPr>
            <w:tcW w:w="2232" w:type="dxa"/>
          </w:tcPr>
          <w:p w14:paraId="4ADA2F58"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Yes</w:t>
            </w:r>
          </w:p>
        </w:tc>
        <w:tc>
          <w:tcPr>
            <w:tcW w:w="2232" w:type="dxa"/>
          </w:tcPr>
          <w:p w14:paraId="2F5730F7"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41</w:t>
            </w:r>
          </w:p>
        </w:tc>
        <w:tc>
          <w:tcPr>
            <w:tcW w:w="2232" w:type="dxa"/>
          </w:tcPr>
          <w:p w14:paraId="3EFE4015"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60.29</w:t>
            </w:r>
          </w:p>
        </w:tc>
        <w:tc>
          <w:tcPr>
            <w:tcW w:w="2232" w:type="dxa"/>
          </w:tcPr>
          <w:p w14:paraId="3AED42FD"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60.29</w:t>
            </w:r>
          </w:p>
        </w:tc>
      </w:tr>
      <w:tr w:rsidR="007724A3" w:rsidRPr="00B61BF3" w14:paraId="62B70239" w14:textId="77777777" w:rsidTr="00A80CB0">
        <w:tc>
          <w:tcPr>
            <w:tcW w:w="2232" w:type="dxa"/>
          </w:tcPr>
          <w:p w14:paraId="336C6AF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No</w:t>
            </w:r>
          </w:p>
        </w:tc>
        <w:tc>
          <w:tcPr>
            <w:tcW w:w="2232" w:type="dxa"/>
          </w:tcPr>
          <w:p w14:paraId="614FF279"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27</w:t>
            </w:r>
          </w:p>
        </w:tc>
        <w:tc>
          <w:tcPr>
            <w:tcW w:w="2232" w:type="dxa"/>
          </w:tcPr>
          <w:p w14:paraId="5315F202"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39.71</w:t>
            </w:r>
          </w:p>
        </w:tc>
        <w:tc>
          <w:tcPr>
            <w:tcW w:w="2232" w:type="dxa"/>
          </w:tcPr>
          <w:p w14:paraId="0BF21FB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r>
      <w:tr w:rsidR="007724A3" w:rsidRPr="00B61BF3" w14:paraId="49A1159B" w14:textId="77777777" w:rsidTr="00A80CB0">
        <w:tc>
          <w:tcPr>
            <w:tcW w:w="2232" w:type="dxa"/>
          </w:tcPr>
          <w:p w14:paraId="21DD29A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Total</w:t>
            </w:r>
          </w:p>
        </w:tc>
        <w:tc>
          <w:tcPr>
            <w:tcW w:w="2232" w:type="dxa"/>
          </w:tcPr>
          <w:p w14:paraId="3C931F6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68</w:t>
            </w:r>
          </w:p>
        </w:tc>
        <w:tc>
          <w:tcPr>
            <w:tcW w:w="2232" w:type="dxa"/>
          </w:tcPr>
          <w:p w14:paraId="73281C9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100.00</w:t>
            </w:r>
          </w:p>
        </w:tc>
        <w:tc>
          <w:tcPr>
            <w:tcW w:w="2232" w:type="dxa"/>
          </w:tcPr>
          <w:p w14:paraId="64DE9258" w14:textId="77777777" w:rsidR="007724A3" w:rsidRPr="00B61BF3" w:rsidRDefault="007724A3" w:rsidP="0002121C">
            <w:pPr>
              <w:spacing w:before="40" w:after="40"/>
              <w:jc w:val="both"/>
              <w:rPr>
                <w:rFonts w:ascii="Arial" w:hAnsi="Arial" w:cs="Arial"/>
                <w:color w:val="000000" w:themeColor="text1"/>
                <w:sz w:val="20"/>
                <w:szCs w:val="20"/>
              </w:rPr>
            </w:pPr>
          </w:p>
        </w:tc>
      </w:tr>
    </w:tbl>
    <w:p w14:paraId="43C6BAC4" w14:textId="77777777" w:rsidR="007724A3" w:rsidRPr="00B61BF3" w:rsidRDefault="007724A3" w:rsidP="0002121C">
      <w:pPr>
        <w:spacing w:before="60" w:line="240" w:lineRule="auto"/>
        <w:jc w:val="both"/>
        <w:rPr>
          <w:rFonts w:ascii="Arial" w:hAnsi="Arial" w:cs="Arial"/>
          <w:color w:val="000000" w:themeColor="text1"/>
          <w:sz w:val="20"/>
          <w:szCs w:val="20"/>
        </w:rPr>
      </w:pPr>
      <w:r w:rsidRPr="00B61BF3">
        <w:rPr>
          <w:rFonts w:ascii="Arial" w:hAnsi="Arial" w:cs="Arial"/>
          <w:i/>
          <w:color w:val="000000" w:themeColor="text1"/>
          <w:sz w:val="20"/>
          <w:szCs w:val="20"/>
        </w:rPr>
        <w:t>60.3% of respondents were aware of the MYYY digital accessibility scheme, primarily through college (26.5%) and media (17.6%).</w:t>
      </w:r>
    </w:p>
    <w:p w14:paraId="39F7DAC7" w14:textId="77777777" w:rsidR="007724A3" w:rsidRPr="00B61BF3" w:rsidRDefault="007724A3" w:rsidP="0002121C">
      <w:pPr>
        <w:pStyle w:val="Heading2"/>
        <w:spacing w:before="280" w:after="12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lastRenderedPageBreak/>
        <w:t>5.4 Academic and Behavioral Impact (Likert Responses)</w:t>
      </w:r>
    </w:p>
    <w:p w14:paraId="7490DB82" w14:textId="77777777" w:rsidR="007724A3" w:rsidRPr="00B61BF3" w:rsidRDefault="007724A3" w:rsidP="0002121C">
      <w:pPr>
        <w:spacing w:before="20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Table 10: Summary of Likert-Scale Responses (Items 13–27)</w:t>
      </w:r>
    </w:p>
    <w:tbl>
      <w:tblPr>
        <w:tblStyle w:val="TableGrid"/>
        <w:tblW w:w="0" w:type="auto"/>
        <w:tblLook w:val="04A0" w:firstRow="1" w:lastRow="0" w:firstColumn="1" w:lastColumn="0" w:noHBand="0" w:noVBand="1"/>
      </w:tblPr>
      <w:tblGrid>
        <w:gridCol w:w="1338"/>
        <w:gridCol w:w="2596"/>
        <w:gridCol w:w="1713"/>
        <w:gridCol w:w="1441"/>
        <w:gridCol w:w="1928"/>
      </w:tblGrid>
      <w:tr w:rsidR="007724A3" w:rsidRPr="00B61BF3" w14:paraId="78353BBB" w14:textId="77777777" w:rsidTr="00CB683A">
        <w:trPr>
          <w:trHeight w:val="564"/>
        </w:trPr>
        <w:tc>
          <w:tcPr>
            <w:tcW w:w="1572" w:type="dxa"/>
          </w:tcPr>
          <w:p w14:paraId="7441F48C"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Item</w:t>
            </w:r>
          </w:p>
        </w:tc>
        <w:tc>
          <w:tcPr>
            <w:tcW w:w="2305" w:type="dxa"/>
          </w:tcPr>
          <w:p w14:paraId="214F9579"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Topic</w:t>
            </w:r>
          </w:p>
        </w:tc>
        <w:tc>
          <w:tcPr>
            <w:tcW w:w="1733" w:type="dxa"/>
          </w:tcPr>
          <w:p w14:paraId="05260B1E"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Agree/Strongly Agree (%)</w:t>
            </w:r>
          </w:p>
        </w:tc>
        <w:tc>
          <w:tcPr>
            <w:tcW w:w="1616" w:type="dxa"/>
          </w:tcPr>
          <w:p w14:paraId="1F852E4E"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Neutral (%)</w:t>
            </w:r>
          </w:p>
        </w:tc>
        <w:tc>
          <w:tcPr>
            <w:tcW w:w="1775" w:type="dxa"/>
          </w:tcPr>
          <w:p w14:paraId="534E26D9" w14:textId="77777777" w:rsidR="007724A3" w:rsidRPr="00B61BF3" w:rsidRDefault="007724A3"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Disagree/Strongly Disagree (%)</w:t>
            </w:r>
          </w:p>
        </w:tc>
      </w:tr>
      <w:tr w:rsidR="007724A3" w:rsidRPr="00B61BF3" w14:paraId="0C97DB76" w14:textId="77777777" w:rsidTr="00CB683A">
        <w:trPr>
          <w:trHeight w:val="529"/>
        </w:trPr>
        <w:tc>
          <w:tcPr>
            <w:tcW w:w="1572" w:type="dxa"/>
          </w:tcPr>
          <w:p w14:paraId="2D415A2A"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Q13</w:t>
            </w:r>
          </w:p>
        </w:tc>
        <w:tc>
          <w:tcPr>
            <w:tcW w:w="2305" w:type="dxa"/>
          </w:tcPr>
          <w:p w14:paraId="3F2CC005"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Skill development via smartphone</w:t>
            </w:r>
          </w:p>
        </w:tc>
        <w:tc>
          <w:tcPr>
            <w:tcW w:w="1733" w:type="dxa"/>
          </w:tcPr>
          <w:p w14:paraId="32CF5396"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86.76</w:t>
            </w:r>
          </w:p>
        </w:tc>
        <w:tc>
          <w:tcPr>
            <w:tcW w:w="1616" w:type="dxa"/>
          </w:tcPr>
          <w:p w14:paraId="56C67E2D"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7.35</w:t>
            </w:r>
          </w:p>
        </w:tc>
        <w:tc>
          <w:tcPr>
            <w:tcW w:w="1775" w:type="dxa"/>
          </w:tcPr>
          <w:p w14:paraId="17E378A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5.88</w:t>
            </w:r>
          </w:p>
        </w:tc>
      </w:tr>
      <w:tr w:rsidR="007724A3" w:rsidRPr="00B61BF3" w14:paraId="42452959" w14:textId="77777777" w:rsidTr="00CB683A">
        <w:trPr>
          <w:trHeight w:val="308"/>
        </w:trPr>
        <w:tc>
          <w:tcPr>
            <w:tcW w:w="1572" w:type="dxa"/>
          </w:tcPr>
          <w:p w14:paraId="38CAF3F7"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Q14</w:t>
            </w:r>
          </w:p>
        </w:tc>
        <w:tc>
          <w:tcPr>
            <w:tcW w:w="2305" w:type="dxa"/>
          </w:tcPr>
          <w:p w14:paraId="5CFE2A1D"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Online group discussions</w:t>
            </w:r>
          </w:p>
        </w:tc>
        <w:tc>
          <w:tcPr>
            <w:tcW w:w="1733" w:type="dxa"/>
          </w:tcPr>
          <w:p w14:paraId="1DA27D25"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89.71</w:t>
            </w:r>
          </w:p>
        </w:tc>
        <w:tc>
          <w:tcPr>
            <w:tcW w:w="1616" w:type="dxa"/>
          </w:tcPr>
          <w:p w14:paraId="7DA7A96A"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8.82</w:t>
            </w:r>
          </w:p>
        </w:tc>
        <w:tc>
          <w:tcPr>
            <w:tcW w:w="1775" w:type="dxa"/>
          </w:tcPr>
          <w:p w14:paraId="241B3175"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1.47</w:t>
            </w:r>
          </w:p>
        </w:tc>
      </w:tr>
      <w:tr w:rsidR="007724A3" w:rsidRPr="00B61BF3" w14:paraId="20946BB0" w14:textId="77777777" w:rsidTr="00CB683A">
        <w:trPr>
          <w:trHeight w:val="529"/>
        </w:trPr>
        <w:tc>
          <w:tcPr>
            <w:tcW w:w="1572" w:type="dxa"/>
          </w:tcPr>
          <w:p w14:paraId="72501EF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Q15</w:t>
            </w:r>
          </w:p>
        </w:tc>
        <w:tc>
          <w:tcPr>
            <w:tcW w:w="2305" w:type="dxa"/>
          </w:tcPr>
          <w:p w14:paraId="06C199B8"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Games/social media over study</w:t>
            </w:r>
          </w:p>
        </w:tc>
        <w:tc>
          <w:tcPr>
            <w:tcW w:w="1733" w:type="dxa"/>
          </w:tcPr>
          <w:p w14:paraId="4C32D82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29.41</w:t>
            </w:r>
          </w:p>
        </w:tc>
        <w:tc>
          <w:tcPr>
            <w:tcW w:w="1616" w:type="dxa"/>
          </w:tcPr>
          <w:p w14:paraId="559BEFE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38.24</w:t>
            </w:r>
          </w:p>
        </w:tc>
        <w:tc>
          <w:tcPr>
            <w:tcW w:w="1775" w:type="dxa"/>
          </w:tcPr>
          <w:p w14:paraId="5A4EEAD9"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32.35</w:t>
            </w:r>
          </w:p>
        </w:tc>
      </w:tr>
      <w:tr w:rsidR="007724A3" w:rsidRPr="00B61BF3" w14:paraId="5F228FBF" w14:textId="77777777" w:rsidTr="00CB683A">
        <w:trPr>
          <w:trHeight w:val="529"/>
        </w:trPr>
        <w:tc>
          <w:tcPr>
            <w:tcW w:w="1572" w:type="dxa"/>
          </w:tcPr>
          <w:p w14:paraId="78F4052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Q16</w:t>
            </w:r>
          </w:p>
        </w:tc>
        <w:tc>
          <w:tcPr>
            <w:tcW w:w="2305" w:type="dxa"/>
          </w:tcPr>
          <w:p w14:paraId="44763DD9"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Smartphone distracts from studies</w:t>
            </w:r>
          </w:p>
        </w:tc>
        <w:tc>
          <w:tcPr>
            <w:tcW w:w="1733" w:type="dxa"/>
          </w:tcPr>
          <w:p w14:paraId="072F8CC5"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58.82</w:t>
            </w:r>
          </w:p>
        </w:tc>
        <w:tc>
          <w:tcPr>
            <w:tcW w:w="1616" w:type="dxa"/>
          </w:tcPr>
          <w:p w14:paraId="46381A5D"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19.12</w:t>
            </w:r>
          </w:p>
        </w:tc>
        <w:tc>
          <w:tcPr>
            <w:tcW w:w="1775" w:type="dxa"/>
          </w:tcPr>
          <w:p w14:paraId="71582F7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22.06</w:t>
            </w:r>
          </w:p>
        </w:tc>
      </w:tr>
      <w:tr w:rsidR="007724A3" w:rsidRPr="00B61BF3" w14:paraId="50A80410" w14:textId="77777777" w:rsidTr="00CB683A">
        <w:trPr>
          <w:trHeight w:val="529"/>
        </w:trPr>
        <w:tc>
          <w:tcPr>
            <w:tcW w:w="1572" w:type="dxa"/>
          </w:tcPr>
          <w:p w14:paraId="4BF17B36"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Q17</w:t>
            </w:r>
          </w:p>
        </w:tc>
        <w:tc>
          <w:tcPr>
            <w:tcW w:w="2305" w:type="dxa"/>
          </w:tcPr>
          <w:p w14:paraId="0A10A4E1"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Helps study more efficiently</w:t>
            </w:r>
          </w:p>
        </w:tc>
        <w:tc>
          <w:tcPr>
            <w:tcW w:w="1733" w:type="dxa"/>
          </w:tcPr>
          <w:p w14:paraId="3B92128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61.76</w:t>
            </w:r>
          </w:p>
        </w:tc>
        <w:tc>
          <w:tcPr>
            <w:tcW w:w="1616" w:type="dxa"/>
          </w:tcPr>
          <w:p w14:paraId="6DDE5149"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27.94</w:t>
            </w:r>
          </w:p>
        </w:tc>
        <w:tc>
          <w:tcPr>
            <w:tcW w:w="1775" w:type="dxa"/>
          </w:tcPr>
          <w:p w14:paraId="04E141DA"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10.29</w:t>
            </w:r>
          </w:p>
        </w:tc>
      </w:tr>
      <w:tr w:rsidR="007724A3" w:rsidRPr="00B61BF3" w14:paraId="32266D58" w14:textId="77777777" w:rsidTr="00CB683A">
        <w:trPr>
          <w:trHeight w:val="529"/>
        </w:trPr>
        <w:tc>
          <w:tcPr>
            <w:tcW w:w="1572" w:type="dxa"/>
          </w:tcPr>
          <w:p w14:paraId="58B0B8A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Q18</w:t>
            </w:r>
          </w:p>
        </w:tc>
        <w:tc>
          <w:tcPr>
            <w:tcW w:w="2305" w:type="dxa"/>
          </w:tcPr>
          <w:p w14:paraId="0EA976A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Improved academic performance</w:t>
            </w:r>
          </w:p>
        </w:tc>
        <w:tc>
          <w:tcPr>
            <w:tcW w:w="1733" w:type="dxa"/>
          </w:tcPr>
          <w:p w14:paraId="163A9CA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61.76</w:t>
            </w:r>
          </w:p>
        </w:tc>
        <w:tc>
          <w:tcPr>
            <w:tcW w:w="1616" w:type="dxa"/>
          </w:tcPr>
          <w:p w14:paraId="61993372"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33.82</w:t>
            </w:r>
          </w:p>
        </w:tc>
        <w:tc>
          <w:tcPr>
            <w:tcW w:w="1775" w:type="dxa"/>
          </w:tcPr>
          <w:p w14:paraId="4D5788C3"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4.41</w:t>
            </w:r>
          </w:p>
        </w:tc>
      </w:tr>
      <w:tr w:rsidR="007724A3" w:rsidRPr="00B61BF3" w14:paraId="253AC7BF" w14:textId="77777777" w:rsidTr="00CB683A">
        <w:trPr>
          <w:trHeight w:val="547"/>
        </w:trPr>
        <w:tc>
          <w:tcPr>
            <w:tcW w:w="1572" w:type="dxa"/>
          </w:tcPr>
          <w:p w14:paraId="073D8DE8"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Q19</w:t>
            </w:r>
          </w:p>
        </w:tc>
        <w:tc>
          <w:tcPr>
            <w:tcW w:w="2305" w:type="dxa"/>
          </w:tcPr>
          <w:p w14:paraId="5F79B4F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Quick feedback from others</w:t>
            </w:r>
          </w:p>
        </w:tc>
        <w:tc>
          <w:tcPr>
            <w:tcW w:w="1733" w:type="dxa"/>
          </w:tcPr>
          <w:p w14:paraId="5B1FCCE8"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85.29</w:t>
            </w:r>
          </w:p>
        </w:tc>
        <w:tc>
          <w:tcPr>
            <w:tcW w:w="1616" w:type="dxa"/>
          </w:tcPr>
          <w:p w14:paraId="6E04B912"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11.76</w:t>
            </w:r>
          </w:p>
        </w:tc>
        <w:tc>
          <w:tcPr>
            <w:tcW w:w="1775" w:type="dxa"/>
          </w:tcPr>
          <w:p w14:paraId="463CCAB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2.94</w:t>
            </w:r>
          </w:p>
        </w:tc>
      </w:tr>
      <w:tr w:rsidR="007724A3" w:rsidRPr="00B61BF3" w14:paraId="3CC068E7" w14:textId="77777777" w:rsidTr="00CB683A">
        <w:trPr>
          <w:trHeight w:val="290"/>
        </w:trPr>
        <w:tc>
          <w:tcPr>
            <w:tcW w:w="1572" w:type="dxa"/>
          </w:tcPr>
          <w:p w14:paraId="5B0DB35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Q20</w:t>
            </w:r>
          </w:p>
        </w:tc>
        <w:tc>
          <w:tcPr>
            <w:tcW w:w="2305" w:type="dxa"/>
          </w:tcPr>
          <w:p w14:paraId="37A6F3D7"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Helps interact with others</w:t>
            </w:r>
          </w:p>
        </w:tc>
        <w:tc>
          <w:tcPr>
            <w:tcW w:w="1733" w:type="dxa"/>
          </w:tcPr>
          <w:p w14:paraId="1AE55F0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94.12</w:t>
            </w:r>
          </w:p>
        </w:tc>
        <w:tc>
          <w:tcPr>
            <w:tcW w:w="1616" w:type="dxa"/>
          </w:tcPr>
          <w:p w14:paraId="6C7AE31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4.41</w:t>
            </w:r>
          </w:p>
        </w:tc>
        <w:tc>
          <w:tcPr>
            <w:tcW w:w="1775" w:type="dxa"/>
          </w:tcPr>
          <w:p w14:paraId="41678E07"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1.47</w:t>
            </w:r>
          </w:p>
        </w:tc>
      </w:tr>
      <w:tr w:rsidR="007724A3" w:rsidRPr="00B61BF3" w14:paraId="3585A5A8" w14:textId="77777777" w:rsidTr="00CB683A">
        <w:trPr>
          <w:trHeight w:val="529"/>
        </w:trPr>
        <w:tc>
          <w:tcPr>
            <w:tcW w:w="1572" w:type="dxa"/>
          </w:tcPr>
          <w:p w14:paraId="3C852EE6"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Q21</w:t>
            </w:r>
          </w:p>
        </w:tc>
        <w:tc>
          <w:tcPr>
            <w:tcW w:w="2305" w:type="dxa"/>
          </w:tcPr>
          <w:p w14:paraId="5C65043F"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Enables longer conversations</w:t>
            </w:r>
          </w:p>
        </w:tc>
        <w:tc>
          <w:tcPr>
            <w:tcW w:w="1733" w:type="dxa"/>
          </w:tcPr>
          <w:p w14:paraId="2A60C4C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86.76</w:t>
            </w:r>
          </w:p>
        </w:tc>
        <w:tc>
          <w:tcPr>
            <w:tcW w:w="1616" w:type="dxa"/>
          </w:tcPr>
          <w:p w14:paraId="5D6A8CC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13.24</w:t>
            </w:r>
          </w:p>
        </w:tc>
        <w:tc>
          <w:tcPr>
            <w:tcW w:w="1775" w:type="dxa"/>
          </w:tcPr>
          <w:p w14:paraId="5BA7200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0.00</w:t>
            </w:r>
          </w:p>
        </w:tc>
      </w:tr>
      <w:tr w:rsidR="007724A3" w:rsidRPr="00B61BF3" w14:paraId="50A39801" w14:textId="77777777" w:rsidTr="00CB683A">
        <w:trPr>
          <w:trHeight w:val="529"/>
        </w:trPr>
        <w:tc>
          <w:tcPr>
            <w:tcW w:w="1572" w:type="dxa"/>
          </w:tcPr>
          <w:p w14:paraId="6330FF70"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Q22</w:t>
            </w:r>
          </w:p>
        </w:tc>
        <w:tc>
          <w:tcPr>
            <w:tcW w:w="2305" w:type="dxa"/>
          </w:tcPr>
          <w:p w14:paraId="69C44A9F"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Used for assignments/presentations</w:t>
            </w:r>
          </w:p>
        </w:tc>
        <w:tc>
          <w:tcPr>
            <w:tcW w:w="1733" w:type="dxa"/>
          </w:tcPr>
          <w:p w14:paraId="2A6F94EC"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83.82</w:t>
            </w:r>
          </w:p>
        </w:tc>
        <w:tc>
          <w:tcPr>
            <w:tcW w:w="1616" w:type="dxa"/>
          </w:tcPr>
          <w:p w14:paraId="15B0EF70" w14:textId="25FD3AA2" w:rsidR="007724A3" w:rsidRPr="00B61BF3" w:rsidRDefault="008E619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7.35</w:t>
            </w:r>
          </w:p>
        </w:tc>
        <w:tc>
          <w:tcPr>
            <w:tcW w:w="1775" w:type="dxa"/>
          </w:tcPr>
          <w:p w14:paraId="3FDE5D06" w14:textId="68DFBDBE" w:rsidR="007724A3" w:rsidRPr="00B61BF3" w:rsidRDefault="008E619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8.8</w:t>
            </w:r>
            <w:r w:rsidR="0078516E" w:rsidRPr="00B61BF3">
              <w:rPr>
                <w:rFonts w:ascii="Arial" w:hAnsi="Arial" w:cs="Arial"/>
                <w:color w:val="000000" w:themeColor="text1"/>
                <w:sz w:val="20"/>
                <w:szCs w:val="20"/>
              </w:rPr>
              <w:t>3</w:t>
            </w:r>
          </w:p>
        </w:tc>
      </w:tr>
      <w:tr w:rsidR="007724A3" w:rsidRPr="00B61BF3" w14:paraId="3EF1787F" w14:textId="77777777" w:rsidTr="00CB683A">
        <w:trPr>
          <w:trHeight w:val="308"/>
        </w:trPr>
        <w:tc>
          <w:tcPr>
            <w:tcW w:w="1572" w:type="dxa"/>
          </w:tcPr>
          <w:p w14:paraId="2F0B3CA0"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Q23</w:t>
            </w:r>
          </w:p>
        </w:tc>
        <w:tc>
          <w:tcPr>
            <w:tcW w:w="2305" w:type="dxa"/>
          </w:tcPr>
          <w:p w14:paraId="5D218CEE"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Does not use email</w:t>
            </w:r>
          </w:p>
        </w:tc>
        <w:tc>
          <w:tcPr>
            <w:tcW w:w="1733" w:type="dxa"/>
          </w:tcPr>
          <w:p w14:paraId="6B287940"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69.12</w:t>
            </w:r>
          </w:p>
        </w:tc>
        <w:tc>
          <w:tcPr>
            <w:tcW w:w="1616" w:type="dxa"/>
          </w:tcPr>
          <w:p w14:paraId="0AC07095"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17.65</w:t>
            </w:r>
          </w:p>
        </w:tc>
        <w:tc>
          <w:tcPr>
            <w:tcW w:w="1775" w:type="dxa"/>
          </w:tcPr>
          <w:p w14:paraId="13ABC000" w14:textId="5DCB7606" w:rsidR="00D647C6"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13.2</w:t>
            </w:r>
            <w:r w:rsidR="00D647C6" w:rsidRPr="00B61BF3">
              <w:rPr>
                <w:rFonts w:ascii="Arial" w:hAnsi="Arial" w:cs="Arial"/>
                <w:color w:val="000000" w:themeColor="text1"/>
                <w:sz w:val="20"/>
                <w:szCs w:val="20"/>
              </w:rPr>
              <w:t>3</w:t>
            </w:r>
          </w:p>
        </w:tc>
      </w:tr>
      <w:tr w:rsidR="007724A3" w:rsidRPr="00B61BF3" w14:paraId="6C107940" w14:textId="77777777" w:rsidTr="00CB683A">
        <w:trPr>
          <w:trHeight w:val="529"/>
        </w:trPr>
        <w:tc>
          <w:tcPr>
            <w:tcW w:w="1572" w:type="dxa"/>
          </w:tcPr>
          <w:p w14:paraId="50A8785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Q24</w:t>
            </w:r>
          </w:p>
        </w:tc>
        <w:tc>
          <w:tcPr>
            <w:tcW w:w="2305" w:type="dxa"/>
          </w:tcPr>
          <w:p w14:paraId="6A1D0056"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Course registration via smartphone</w:t>
            </w:r>
          </w:p>
        </w:tc>
        <w:tc>
          <w:tcPr>
            <w:tcW w:w="1733" w:type="dxa"/>
          </w:tcPr>
          <w:p w14:paraId="75A2CA91"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83.82</w:t>
            </w:r>
          </w:p>
        </w:tc>
        <w:tc>
          <w:tcPr>
            <w:tcW w:w="1616" w:type="dxa"/>
          </w:tcPr>
          <w:p w14:paraId="01420907"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8.82</w:t>
            </w:r>
          </w:p>
        </w:tc>
        <w:tc>
          <w:tcPr>
            <w:tcW w:w="1775" w:type="dxa"/>
          </w:tcPr>
          <w:p w14:paraId="5D60F7D4"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7.35</w:t>
            </w:r>
          </w:p>
        </w:tc>
      </w:tr>
      <w:tr w:rsidR="007724A3" w:rsidRPr="00B61BF3" w14:paraId="7A8AEAC5" w14:textId="77777777" w:rsidTr="00CB683A">
        <w:trPr>
          <w:trHeight w:val="529"/>
        </w:trPr>
        <w:tc>
          <w:tcPr>
            <w:tcW w:w="1572" w:type="dxa"/>
          </w:tcPr>
          <w:p w14:paraId="4F086D82"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Q25</w:t>
            </w:r>
          </w:p>
        </w:tc>
        <w:tc>
          <w:tcPr>
            <w:tcW w:w="2305" w:type="dxa"/>
          </w:tcPr>
          <w:p w14:paraId="115DE561"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Impacts classroom concentration</w:t>
            </w:r>
          </w:p>
        </w:tc>
        <w:tc>
          <w:tcPr>
            <w:tcW w:w="1733" w:type="dxa"/>
          </w:tcPr>
          <w:p w14:paraId="5A3562D9"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23.53</w:t>
            </w:r>
          </w:p>
        </w:tc>
        <w:tc>
          <w:tcPr>
            <w:tcW w:w="1616" w:type="dxa"/>
          </w:tcPr>
          <w:p w14:paraId="4D1E09E7"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45.59</w:t>
            </w:r>
          </w:p>
        </w:tc>
        <w:tc>
          <w:tcPr>
            <w:tcW w:w="1775" w:type="dxa"/>
          </w:tcPr>
          <w:p w14:paraId="146ED26A" w14:textId="77777777" w:rsidR="007724A3" w:rsidRPr="00B61BF3" w:rsidRDefault="007724A3"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30.88</w:t>
            </w:r>
          </w:p>
        </w:tc>
      </w:tr>
      <w:tr w:rsidR="00CB683A" w:rsidRPr="00B61BF3" w14:paraId="2B8D5FDF" w14:textId="77777777" w:rsidTr="00CB683A">
        <w:tc>
          <w:tcPr>
            <w:tcW w:w="1572" w:type="dxa"/>
          </w:tcPr>
          <w:p w14:paraId="59062693" w14:textId="77777777" w:rsidR="00CB683A" w:rsidRPr="00B61BF3" w:rsidRDefault="00CB683A"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Q26</w:t>
            </w:r>
          </w:p>
        </w:tc>
        <w:tc>
          <w:tcPr>
            <w:tcW w:w="2305" w:type="dxa"/>
          </w:tcPr>
          <w:p w14:paraId="5C02C0A0" w14:textId="77777777" w:rsidR="00CB683A" w:rsidRPr="00B61BF3" w:rsidRDefault="00CB683A"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Academic performance increased</w:t>
            </w:r>
          </w:p>
        </w:tc>
        <w:tc>
          <w:tcPr>
            <w:tcW w:w="1733" w:type="dxa"/>
          </w:tcPr>
          <w:p w14:paraId="70A49130" w14:textId="77777777" w:rsidR="00CB683A" w:rsidRPr="00B61BF3" w:rsidRDefault="00CB683A"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47.06</w:t>
            </w:r>
          </w:p>
        </w:tc>
        <w:tc>
          <w:tcPr>
            <w:tcW w:w="1616" w:type="dxa"/>
          </w:tcPr>
          <w:p w14:paraId="7462E12F" w14:textId="77777777" w:rsidR="00CB683A" w:rsidRPr="00B61BF3" w:rsidRDefault="00CB683A"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33.82</w:t>
            </w:r>
          </w:p>
        </w:tc>
        <w:tc>
          <w:tcPr>
            <w:tcW w:w="1775" w:type="dxa"/>
          </w:tcPr>
          <w:p w14:paraId="1065C6EE" w14:textId="77777777" w:rsidR="00CB683A" w:rsidRPr="00B61BF3" w:rsidRDefault="00CB683A"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19.12</w:t>
            </w:r>
          </w:p>
        </w:tc>
      </w:tr>
      <w:tr w:rsidR="00CB683A" w:rsidRPr="00B61BF3" w14:paraId="51921BC5" w14:textId="77777777" w:rsidTr="00CB683A">
        <w:tc>
          <w:tcPr>
            <w:tcW w:w="1572" w:type="dxa"/>
          </w:tcPr>
          <w:p w14:paraId="69A3A575" w14:textId="77777777" w:rsidR="00CB683A" w:rsidRPr="00B61BF3" w:rsidRDefault="00CB683A"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Q27</w:t>
            </w:r>
          </w:p>
        </w:tc>
        <w:tc>
          <w:tcPr>
            <w:tcW w:w="2305" w:type="dxa"/>
          </w:tcPr>
          <w:p w14:paraId="460F633A" w14:textId="77777777" w:rsidR="00CB683A" w:rsidRPr="00B61BF3" w:rsidRDefault="00CB683A"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Negative impact on moral values</w:t>
            </w:r>
          </w:p>
        </w:tc>
        <w:tc>
          <w:tcPr>
            <w:tcW w:w="1733" w:type="dxa"/>
          </w:tcPr>
          <w:p w14:paraId="575E8D39" w14:textId="77777777" w:rsidR="00CB683A" w:rsidRPr="00B61BF3" w:rsidRDefault="00CB683A"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36.76</w:t>
            </w:r>
          </w:p>
        </w:tc>
        <w:tc>
          <w:tcPr>
            <w:tcW w:w="1616" w:type="dxa"/>
          </w:tcPr>
          <w:p w14:paraId="615CA5C9" w14:textId="77777777" w:rsidR="00CB683A" w:rsidRPr="00B61BF3" w:rsidRDefault="00CB683A"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32.35</w:t>
            </w:r>
          </w:p>
        </w:tc>
        <w:tc>
          <w:tcPr>
            <w:tcW w:w="1775" w:type="dxa"/>
          </w:tcPr>
          <w:p w14:paraId="3A51074E" w14:textId="77777777" w:rsidR="00CB683A" w:rsidRPr="00B61BF3" w:rsidRDefault="00CB683A"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30.88</w:t>
            </w:r>
          </w:p>
        </w:tc>
      </w:tr>
    </w:tbl>
    <w:p w14:paraId="7EC44EB1" w14:textId="77777777" w:rsidR="007724A3" w:rsidRPr="00B61BF3" w:rsidRDefault="007724A3" w:rsidP="0002121C">
      <w:pPr>
        <w:spacing w:before="60" w:line="240" w:lineRule="auto"/>
        <w:jc w:val="both"/>
        <w:rPr>
          <w:rFonts w:ascii="Arial" w:hAnsi="Arial" w:cs="Arial"/>
          <w:i/>
          <w:color w:val="000000" w:themeColor="text1"/>
          <w:sz w:val="20"/>
          <w:szCs w:val="20"/>
        </w:rPr>
      </w:pPr>
      <w:r w:rsidRPr="00B61BF3">
        <w:rPr>
          <w:rFonts w:ascii="Arial" w:hAnsi="Arial" w:cs="Arial"/>
          <w:i/>
          <w:color w:val="000000" w:themeColor="text1"/>
          <w:sz w:val="20"/>
          <w:szCs w:val="20"/>
        </w:rPr>
        <w:t>Smartphones are widely used for academic tasks, yet notable proportions report distraction effects and moral concern.</w:t>
      </w:r>
    </w:p>
    <w:p w14:paraId="6A1EFFBF" w14:textId="77777777" w:rsidR="00CB683A" w:rsidRPr="00B61BF3" w:rsidRDefault="00CB683A" w:rsidP="0002121C">
      <w:pPr>
        <w:spacing w:before="60" w:line="240" w:lineRule="auto"/>
        <w:jc w:val="both"/>
        <w:rPr>
          <w:rFonts w:ascii="Arial" w:hAnsi="Arial" w:cs="Arial"/>
          <w:color w:val="000000" w:themeColor="text1"/>
          <w:sz w:val="20"/>
          <w:szCs w:val="20"/>
        </w:rPr>
      </w:pPr>
    </w:p>
    <w:p w14:paraId="4C0BD6A9" w14:textId="77777777" w:rsidR="007724A3" w:rsidRPr="00B61BF3" w:rsidRDefault="007724A3" w:rsidP="0002121C">
      <w:pPr>
        <w:pStyle w:val="Heading2"/>
        <w:spacing w:before="280" w:after="12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t>5.5 Hypothesis Testing</w:t>
      </w:r>
    </w:p>
    <w:p w14:paraId="3EF915B3" w14:textId="4E963207" w:rsidR="00CB683A" w:rsidRPr="00B61BF3" w:rsidRDefault="007724A3" w:rsidP="0002121C">
      <w:pPr>
        <w:spacing w:before="8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Hypothesis 1 (H</w:t>
      </w:r>
      <w:r w:rsidRPr="00B61BF3">
        <w:rPr>
          <w:rFonts w:ascii="Cambria Math" w:hAnsi="Cambria Math" w:cs="Cambria Math"/>
          <w:b/>
          <w:color w:val="000000" w:themeColor="text1"/>
          <w:sz w:val="20"/>
          <w:szCs w:val="20"/>
        </w:rPr>
        <w:t>₁</w:t>
      </w:r>
      <w:r w:rsidRPr="00B61BF3">
        <w:rPr>
          <w:rFonts w:ascii="Arial" w:hAnsi="Arial" w:cs="Arial"/>
          <w:b/>
          <w:color w:val="000000" w:themeColor="text1"/>
          <w:sz w:val="20"/>
          <w:szCs w:val="20"/>
        </w:rPr>
        <w:t xml:space="preserve">): </w:t>
      </w:r>
      <w:r w:rsidRPr="00B61BF3">
        <w:rPr>
          <w:rFonts w:ascii="Arial" w:hAnsi="Arial" w:cs="Arial"/>
          <w:color w:val="000000" w:themeColor="text1"/>
          <w:sz w:val="20"/>
          <w:szCs w:val="20"/>
        </w:rPr>
        <w:t>There is no significant association between Year of Study and Attention from Studies.</w:t>
      </w:r>
    </w:p>
    <w:p w14:paraId="5D5784A4" w14:textId="77777777" w:rsidR="00CB683A" w:rsidRPr="00B61BF3" w:rsidRDefault="00CB683A" w:rsidP="0002121C">
      <w:pPr>
        <w:spacing w:before="80" w:after="80" w:line="240" w:lineRule="auto"/>
        <w:jc w:val="both"/>
        <w:rPr>
          <w:rFonts w:ascii="Arial" w:hAnsi="Arial" w:cs="Arial"/>
          <w:color w:val="000000" w:themeColor="text1"/>
          <w:sz w:val="20"/>
          <w:szCs w:val="20"/>
        </w:rPr>
      </w:pPr>
    </w:p>
    <w:p w14:paraId="4E064C32" w14:textId="77777777" w:rsidR="007724A3" w:rsidRPr="00B61BF3" w:rsidRDefault="007724A3" w:rsidP="0002121C">
      <w:pPr>
        <w:spacing w:before="20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Table 11: Cross-tabulation – Year of Study × Attention from Studies</w:t>
      </w:r>
    </w:p>
    <w:tbl>
      <w:tblPr>
        <w:tblStyle w:val="TableGrid"/>
        <w:tblW w:w="0" w:type="auto"/>
        <w:tblLook w:val="04A0" w:firstRow="1" w:lastRow="0" w:firstColumn="1" w:lastColumn="0" w:noHBand="0" w:noVBand="1"/>
      </w:tblPr>
      <w:tblGrid>
        <w:gridCol w:w="1283"/>
        <w:gridCol w:w="1368"/>
        <w:gridCol w:w="1286"/>
        <w:gridCol w:w="1340"/>
        <w:gridCol w:w="1372"/>
        <w:gridCol w:w="1101"/>
        <w:gridCol w:w="1266"/>
      </w:tblGrid>
      <w:tr w:rsidR="00D95492" w:rsidRPr="00B61BF3" w14:paraId="259DDCBF" w14:textId="77777777" w:rsidTr="00D95492">
        <w:tc>
          <w:tcPr>
            <w:tcW w:w="1283" w:type="dxa"/>
          </w:tcPr>
          <w:p w14:paraId="62A5EC6F" w14:textId="77777777" w:rsidR="00D95492" w:rsidRPr="00B61BF3" w:rsidRDefault="00D95492"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Year of Study</w:t>
            </w:r>
          </w:p>
        </w:tc>
        <w:tc>
          <w:tcPr>
            <w:tcW w:w="1368" w:type="dxa"/>
          </w:tcPr>
          <w:p w14:paraId="126C491A" w14:textId="77777777" w:rsidR="00D95492" w:rsidRPr="00B61BF3" w:rsidRDefault="00D95492"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Strongly Agree</w:t>
            </w:r>
          </w:p>
        </w:tc>
        <w:tc>
          <w:tcPr>
            <w:tcW w:w="1286" w:type="dxa"/>
          </w:tcPr>
          <w:p w14:paraId="5F3D17B3" w14:textId="77777777" w:rsidR="00D95492" w:rsidRPr="00B61BF3" w:rsidRDefault="00D95492"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Agree</w:t>
            </w:r>
          </w:p>
        </w:tc>
        <w:tc>
          <w:tcPr>
            <w:tcW w:w="1340" w:type="dxa"/>
          </w:tcPr>
          <w:p w14:paraId="45C32324" w14:textId="77777777" w:rsidR="00D95492" w:rsidRPr="00B61BF3" w:rsidRDefault="00D95492"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Neutral</w:t>
            </w:r>
          </w:p>
        </w:tc>
        <w:tc>
          <w:tcPr>
            <w:tcW w:w="1372" w:type="dxa"/>
          </w:tcPr>
          <w:p w14:paraId="6A27F23E" w14:textId="77777777" w:rsidR="00D95492" w:rsidRPr="00B61BF3" w:rsidRDefault="00D95492"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Disagree</w:t>
            </w:r>
          </w:p>
        </w:tc>
        <w:tc>
          <w:tcPr>
            <w:tcW w:w="1101" w:type="dxa"/>
          </w:tcPr>
          <w:p w14:paraId="096DCF4E" w14:textId="71DB7510" w:rsidR="00D95492" w:rsidRPr="00B61BF3" w:rsidRDefault="00D95492" w:rsidP="0002121C">
            <w:pPr>
              <w:spacing w:before="60" w:after="60"/>
              <w:jc w:val="both"/>
              <w:rPr>
                <w:rFonts w:ascii="Arial" w:hAnsi="Arial" w:cs="Arial"/>
                <w:b/>
                <w:color w:val="000000" w:themeColor="text1"/>
                <w:sz w:val="20"/>
                <w:szCs w:val="20"/>
              </w:rPr>
            </w:pPr>
            <w:r w:rsidRPr="00B61BF3">
              <w:rPr>
                <w:rFonts w:ascii="Arial" w:hAnsi="Arial" w:cs="Arial"/>
                <w:b/>
                <w:color w:val="000000" w:themeColor="text1"/>
                <w:sz w:val="20"/>
                <w:szCs w:val="20"/>
              </w:rPr>
              <w:t xml:space="preserve">Strongly Disagree </w:t>
            </w:r>
          </w:p>
        </w:tc>
        <w:tc>
          <w:tcPr>
            <w:tcW w:w="1266" w:type="dxa"/>
          </w:tcPr>
          <w:p w14:paraId="19853062" w14:textId="674CD3FF" w:rsidR="00D95492" w:rsidRPr="00B61BF3" w:rsidRDefault="00D95492"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Total</w:t>
            </w:r>
          </w:p>
        </w:tc>
      </w:tr>
      <w:tr w:rsidR="00D95492" w:rsidRPr="00B61BF3" w14:paraId="34EEAD00" w14:textId="77777777" w:rsidTr="00D95492">
        <w:tc>
          <w:tcPr>
            <w:tcW w:w="1283" w:type="dxa"/>
          </w:tcPr>
          <w:p w14:paraId="342A4741"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1st Year</w:t>
            </w:r>
          </w:p>
        </w:tc>
        <w:tc>
          <w:tcPr>
            <w:tcW w:w="1368" w:type="dxa"/>
          </w:tcPr>
          <w:p w14:paraId="54FC6779"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w:t>
            </w:r>
          </w:p>
        </w:tc>
        <w:tc>
          <w:tcPr>
            <w:tcW w:w="1286" w:type="dxa"/>
          </w:tcPr>
          <w:p w14:paraId="721A6525"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4</w:t>
            </w:r>
          </w:p>
        </w:tc>
        <w:tc>
          <w:tcPr>
            <w:tcW w:w="1340" w:type="dxa"/>
          </w:tcPr>
          <w:p w14:paraId="79A734A0"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w:t>
            </w:r>
          </w:p>
        </w:tc>
        <w:tc>
          <w:tcPr>
            <w:tcW w:w="1372" w:type="dxa"/>
          </w:tcPr>
          <w:p w14:paraId="1E9AC574"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w:t>
            </w:r>
          </w:p>
        </w:tc>
        <w:tc>
          <w:tcPr>
            <w:tcW w:w="1101" w:type="dxa"/>
          </w:tcPr>
          <w:p w14:paraId="7EEC36E4" w14:textId="0B26D8A2"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0</w:t>
            </w:r>
          </w:p>
        </w:tc>
        <w:tc>
          <w:tcPr>
            <w:tcW w:w="1266" w:type="dxa"/>
          </w:tcPr>
          <w:p w14:paraId="3295B933" w14:textId="54B6ABDE"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19</w:t>
            </w:r>
          </w:p>
        </w:tc>
      </w:tr>
      <w:tr w:rsidR="00D95492" w:rsidRPr="00B61BF3" w14:paraId="2D63B7C4" w14:textId="77777777" w:rsidTr="00D95492">
        <w:tc>
          <w:tcPr>
            <w:tcW w:w="1283" w:type="dxa"/>
          </w:tcPr>
          <w:p w14:paraId="436F99D0"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2nd Year</w:t>
            </w:r>
          </w:p>
        </w:tc>
        <w:tc>
          <w:tcPr>
            <w:tcW w:w="1368" w:type="dxa"/>
          </w:tcPr>
          <w:p w14:paraId="2B6C9EF9"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16</w:t>
            </w:r>
          </w:p>
        </w:tc>
        <w:tc>
          <w:tcPr>
            <w:tcW w:w="1286" w:type="dxa"/>
          </w:tcPr>
          <w:p w14:paraId="011B8B35"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4</w:t>
            </w:r>
          </w:p>
        </w:tc>
        <w:tc>
          <w:tcPr>
            <w:tcW w:w="1340" w:type="dxa"/>
          </w:tcPr>
          <w:p w14:paraId="18B80E14"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w:t>
            </w:r>
          </w:p>
        </w:tc>
        <w:tc>
          <w:tcPr>
            <w:tcW w:w="1372" w:type="dxa"/>
          </w:tcPr>
          <w:p w14:paraId="6800D3FB"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w:t>
            </w:r>
          </w:p>
        </w:tc>
        <w:tc>
          <w:tcPr>
            <w:tcW w:w="1101" w:type="dxa"/>
          </w:tcPr>
          <w:p w14:paraId="4FC4B6A4" w14:textId="6C516F0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0</w:t>
            </w:r>
          </w:p>
        </w:tc>
        <w:tc>
          <w:tcPr>
            <w:tcW w:w="1266" w:type="dxa"/>
          </w:tcPr>
          <w:p w14:paraId="02D12ACD" w14:textId="4702C176"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25</w:t>
            </w:r>
          </w:p>
        </w:tc>
      </w:tr>
      <w:tr w:rsidR="00D95492" w:rsidRPr="00B61BF3" w14:paraId="75F3288A" w14:textId="77777777" w:rsidTr="00D95492">
        <w:tc>
          <w:tcPr>
            <w:tcW w:w="1283" w:type="dxa"/>
          </w:tcPr>
          <w:p w14:paraId="658DA402"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3rd Year</w:t>
            </w:r>
          </w:p>
        </w:tc>
        <w:tc>
          <w:tcPr>
            <w:tcW w:w="1368" w:type="dxa"/>
          </w:tcPr>
          <w:p w14:paraId="05D9CE5A"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5</w:t>
            </w:r>
          </w:p>
        </w:tc>
        <w:tc>
          <w:tcPr>
            <w:tcW w:w="1286" w:type="dxa"/>
          </w:tcPr>
          <w:p w14:paraId="0FCDFC35"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w:t>
            </w:r>
          </w:p>
        </w:tc>
        <w:tc>
          <w:tcPr>
            <w:tcW w:w="1340" w:type="dxa"/>
          </w:tcPr>
          <w:p w14:paraId="6C5148DB"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8</w:t>
            </w:r>
          </w:p>
        </w:tc>
        <w:tc>
          <w:tcPr>
            <w:tcW w:w="1372" w:type="dxa"/>
          </w:tcPr>
          <w:p w14:paraId="0564DDF7"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10</w:t>
            </w:r>
          </w:p>
        </w:tc>
        <w:tc>
          <w:tcPr>
            <w:tcW w:w="1101" w:type="dxa"/>
          </w:tcPr>
          <w:p w14:paraId="2AC5C447" w14:textId="0B1D57E2"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0</w:t>
            </w:r>
          </w:p>
        </w:tc>
        <w:tc>
          <w:tcPr>
            <w:tcW w:w="1266" w:type="dxa"/>
          </w:tcPr>
          <w:p w14:paraId="09A40F7F" w14:textId="489F8533"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24</w:t>
            </w:r>
          </w:p>
        </w:tc>
      </w:tr>
      <w:tr w:rsidR="00D95492" w:rsidRPr="00B61BF3" w14:paraId="0E3BBF2A" w14:textId="77777777" w:rsidTr="00D95492">
        <w:tc>
          <w:tcPr>
            <w:tcW w:w="1283" w:type="dxa"/>
          </w:tcPr>
          <w:p w14:paraId="0C673930"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Total</w:t>
            </w:r>
          </w:p>
        </w:tc>
        <w:tc>
          <w:tcPr>
            <w:tcW w:w="1368" w:type="dxa"/>
          </w:tcPr>
          <w:p w14:paraId="6F098E12"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31</w:t>
            </w:r>
          </w:p>
        </w:tc>
        <w:tc>
          <w:tcPr>
            <w:tcW w:w="1286" w:type="dxa"/>
          </w:tcPr>
          <w:p w14:paraId="5C9C4C1D"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9</w:t>
            </w:r>
          </w:p>
        </w:tc>
        <w:tc>
          <w:tcPr>
            <w:tcW w:w="1340" w:type="dxa"/>
          </w:tcPr>
          <w:p w14:paraId="7320CCDF"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13</w:t>
            </w:r>
          </w:p>
        </w:tc>
        <w:tc>
          <w:tcPr>
            <w:tcW w:w="1372" w:type="dxa"/>
          </w:tcPr>
          <w:p w14:paraId="4C608D22" w14:textId="7777777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15</w:t>
            </w:r>
          </w:p>
        </w:tc>
        <w:tc>
          <w:tcPr>
            <w:tcW w:w="1101" w:type="dxa"/>
          </w:tcPr>
          <w:p w14:paraId="41A98BDC" w14:textId="7FC121A2"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0</w:t>
            </w:r>
          </w:p>
        </w:tc>
        <w:tc>
          <w:tcPr>
            <w:tcW w:w="1266" w:type="dxa"/>
          </w:tcPr>
          <w:p w14:paraId="2F133096" w14:textId="0007ADF7" w:rsidR="00D95492" w:rsidRPr="00B61BF3" w:rsidRDefault="00D95492"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68</w:t>
            </w:r>
          </w:p>
        </w:tc>
      </w:tr>
    </w:tbl>
    <w:p w14:paraId="25216B7A" w14:textId="77777777" w:rsidR="007724A3" w:rsidRPr="00B61BF3" w:rsidRDefault="007724A3" w:rsidP="0002121C">
      <w:pPr>
        <w:spacing w:before="60" w:line="240" w:lineRule="auto"/>
        <w:jc w:val="both"/>
        <w:rPr>
          <w:rFonts w:ascii="Arial" w:hAnsi="Arial" w:cs="Arial"/>
          <w:color w:val="000000" w:themeColor="text1"/>
          <w:sz w:val="20"/>
          <w:szCs w:val="20"/>
        </w:rPr>
      </w:pPr>
      <w:r w:rsidRPr="00B61BF3">
        <w:rPr>
          <w:rFonts w:ascii="Arial" w:hAnsi="Arial" w:cs="Arial"/>
          <w:i/>
          <w:color w:val="000000" w:themeColor="text1"/>
          <w:sz w:val="20"/>
          <w:szCs w:val="20"/>
        </w:rPr>
        <w:t>χ² calculated = 18.543 | df = 8 | χ² tabulated (p=0.05) = 15.507 → Null hypothesis REJECTED</w:t>
      </w:r>
    </w:p>
    <w:p w14:paraId="0E24EA29" w14:textId="77777777" w:rsidR="007724A3" w:rsidRPr="00B61BF3" w:rsidRDefault="007724A3" w:rsidP="0002121C">
      <w:pPr>
        <w:spacing w:before="8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lastRenderedPageBreak/>
        <w:t xml:space="preserve">Interpretation: </w:t>
      </w:r>
      <w:r w:rsidRPr="00B61BF3">
        <w:rPr>
          <w:rFonts w:ascii="Arial" w:hAnsi="Arial" w:cs="Arial"/>
          <w:color w:val="000000" w:themeColor="text1"/>
          <w:sz w:val="20"/>
          <w:szCs w:val="20"/>
        </w:rPr>
        <w:t>Since χ² calculated (18.543) &gt; χ² tabulated (15.507) at α = 0.05 with 8 degrees of freedom, H</w:t>
      </w:r>
      <w:r w:rsidRPr="00B61BF3">
        <w:rPr>
          <w:rFonts w:ascii="Cambria Math" w:hAnsi="Cambria Math" w:cs="Cambria Math"/>
          <w:color w:val="000000" w:themeColor="text1"/>
          <w:sz w:val="20"/>
          <w:szCs w:val="20"/>
        </w:rPr>
        <w:t>₁</w:t>
      </w:r>
      <w:r w:rsidRPr="00B61BF3">
        <w:rPr>
          <w:rFonts w:ascii="Arial" w:hAnsi="Arial" w:cs="Arial"/>
          <w:color w:val="000000" w:themeColor="text1"/>
          <w:sz w:val="20"/>
          <w:szCs w:val="20"/>
        </w:rPr>
        <w:t xml:space="preserve"> is rejected. There is a statistically significant association between year of study and attention from studies, indicating that academic level influences how smartphone usage affects concentration.</w:t>
      </w:r>
    </w:p>
    <w:p w14:paraId="3937DB45" w14:textId="77777777" w:rsidR="007724A3" w:rsidRPr="00B61BF3" w:rsidRDefault="007724A3" w:rsidP="0002121C">
      <w:pPr>
        <w:spacing w:before="40" w:after="40" w:line="240" w:lineRule="auto"/>
        <w:jc w:val="both"/>
        <w:rPr>
          <w:rFonts w:ascii="Arial" w:hAnsi="Arial" w:cs="Arial"/>
          <w:color w:val="000000" w:themeColor="text1"/>
          <w:sz w:val="20"/>
          <w:szCs w:val="20"/>
        </w:rPr>
      </w:pPr>
    </w:p>
    <w:p w14:paraId="2EE3BEA2" w14:textId="77777777" w:rsidR="007724A3" w:rsidRPr="00B61BF3" w:rsidRDefault="007724A3" w:rsidP="0002121C">
      <w:pPr>
        <w:spacing w:before="8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Hypothesis 2 (H</w:t>
      </w:r>
      <w:r w:rsidRPr="00B61BF3">
        <w:rPr>
          <w:rFonts w:ascii="Cambria Math" w:hAnsi="Cambria Math" w:cs="Cambria Math"/>
          <w:b/>
          <w:color w:val="000000" w:themeColor="text1"/>
          <w:sz w:val="20"/>
          <w:szCs w:val="20"/>
        </w:rPr>
        <w:t>₂</w:t>
      </w:r>
      <w:r w:rsidRPr="00B61BF3">
        <w:rPr>
          <w:rFonts w:ascii="Arial" w:hAnsi="Arial" w:cs="Arial"/>
          <w:b/>
          <w:color w:val="000000" w:themeColor="text1"/>
          <w:sz w:val="20"/>
          <w:szCs w:val="20"/>
        </w:rPr>
        <w:t xml:space="preserve">): </w:t>
      </w:r>
      <w:r w:rsidRPr="00B61BF3">
        <w:rPr>
          <w:rFonts w:ascii="Arial" w:hAnsi="Arial" w:cs="Arial"/>
          <w:color w:val="000000" w:themeColor="text1"/>
          <w:sz w:val="20"/>
          <w:szCs w:val="20"/>
        </w:rPr>
        <w:t>There is no significant association between Age and Impact on Moral Values.</w:t>
      </w:r>
    </w:p>
    <w:p w14:paraId="72151B26" w14:textId="77777777" w:rsidR="007724A3" w:rsidRPr="00B61BF3" w:rsidRDefault="007724A3" w:rsidP="0002121C">
      <w:pPr>
        <w:spacing w:before="40" w:after="40" w:line="240" w:lineRule="auto"/>
        <w:jc w:val="both"/>
        <w:rPr>
          <w:rFonts w:ascii="Arial" w:hAnsi="Arial" w:cs="Arial"/>
          <w:color w:val="000000" w:themeColor="text1"/>
          <w:sz w:val="20"/>
          <w:szCs w:val="20"/>
        </w:rPr>
      </w:pPr>
    </w:p>
    <w:p w14:paraId="2EBF79E4" w14:textId="77777777" w:rsidR="007724A3" w:rsidRPr="00B61BF3" w:rsidRDefault="007724A3" w:rsidP="0002121C">
      <w:pPr>
        <w:spacing w:before="200" w:after="80" w:line="240" w:lineRule="auto"/>
        <w:jc w:val="both"/>
        <w:rPr>
          <w:rFonts w:ascii="Arial" w:hAnsi="Arial" w:cs="Arial"/>
          <w:color w:val="000000" w:themeColor="text1"/>
          <w:sz w:val="20"/>
          <w:szCs w:val="20"/>
        </w:rPr>
      </w:pPr>
      <w:r w:rsidRPr="00B61BF3">
        <w:rPr>
          <w:rFonts w:ascii="Arial" w:hAnsi="Arial" w:cs="Arial"/>
          <w:b/>
          <w:color w:val="000000" w:themeColor="text1"/>
          <w:sz w:val="20"/>
          <w:szCs w:val="20"/>
        </w:rPr>
        <w:t>Table 12: Cross-tabulation – Age × Negative Impact on Moral Values</w:t>
      </w:r>
    </w:p>
    <w:tbl>
      <w:tblPr>
        <w:tblStyle w:val="TableGrid"/>
        <w:tblW w:w="0" w:type="auto"/>
        <w:tblLook w:val="04A0" w:firstRow="1" w:lastRow="0" w:firstColumn="1" w:lastColumn="0" w:noHBand="0" w:noVBand="1"/>
      </w:tblPr>
      <w:tblGrid>
        <w:gridCol w:w="1304"/>
        <w:gridCol w:w="1366"/>
        <w:gridCol w:w="1283"/>
        <w:gridCol w:w="1337"/>
        <w:gridCol w:w="1370"/>
        <w:gridCol w:w="1094"/>
        <w:gridCol w:w="1262"/>
      </w:tblGrid>
      <w:tr w:rsidR="00714779" w:rsidRPr="00B61BF3" w14:paraId="35286320" w14:textId="77777777" w:rsidTr="00714779">
        <w:tc>
          <w:tcPr>
            <w:tcW w:w="1304" w:type="dxa"/>
          </w:tcPr>
          <w:p w14:paraId="02B3E7B0" w14:textId="77777777" w:rsidR="00714779" w:rsidRPr="00B61BF3" w:rsidRDefault="00714779"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Age Group</w:t>
            </w:r>
          </w:p>
        </w:tc>
        <w:tc>
          <w:tcPr>
            <w:tcW w:w="1366" w:type="dxa"/>
          </w:tcPr>
          <w:p w14:paraId="4ACC05D5" w14:textId="77777777" w:rsidR="00714779" w:rsidRPr="00B61BF3" w:rsidRDefault="00714779"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Strongly Agree</w:t>
            </w:r>
          </w:p>
        </w:tc>
        <w:tc>
          <w:tcPr>
            <w:tcW w:w="1283" w:type="dxa"/>
          </w:tcPr>
          <w:p w14:paraId="10088D62" w14:textId="77777777" w:rsidR="00714779" w:rsidRPr="00B61BF3" w:rsidRDefault="00714779"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Agree</w:t>
            </w:r>
          </w:p>
        </w:tc>
        <w:tc>
          <w:tcPr>
            <w:tcW w:w="1337" w:type="dxa"/>
          </w:tcPr>
          <w:p w14:paraId="33249A48" w14:textId="77777777" w:rsidR="00714779" w:rsidRPr="00B61BF3" w:rsidRDefault="00714779"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Neutral</w:t>
            </w:r>
          </w:p>
        </w:tc>
        <w:tc>
          <w:tcPr>
            <w:tcW w:w="1370" w:type="dxa"/>
          </w:tcPr>
          <w:p w14:paraId="1E3F800B" w14:textId="77777777" w:rsidR="00714779" w:rsidRPr="00B61BF3" w:rsidRDefault="00714779"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Disagree</w:t>
            </w:r>
          </w:p>
        </w:tc>
        <w:tc>
          <w:tcPr>
            <w:tcW w:w="1094" w:type="dxa"/>
          </w:tcPr>
          <w:p w14:paraId="0FDBDE67" w14:textId="2AA1A7C6" w:rsidR="00714779" w:rsidRPr="00B61BF3" w:rsidRDefault="00714779" w:rsidP="0002121C">
            <w:pPr>
              <w:spacing w:before="60" w:after="60"/>
              <w:jc w:val="both"/>
              <w:rPr>
                <w:rFonts w:ascii="Arial" w:hAnsi="Arial" w:cs="Arial"/>
                <w:b/>
                <w:color w:val="000000" w:themeColor="text1"/>
                <w:sz w:val="20"/>
                <w:szCs w:val="20"/>
              </w:rPr>
            </w:pPr>
            <w:r w:rsidRPr="00B61BF3">
              <w:rPr>
                <w:rFonts w:ascii="Arial" w:hAnsi="Arial" w:cs="Arial"/>
                <w:b/>
                <w:color w:val="000000" w:themeColor="text1"/>
                <w:sz w:val="20"/>
                <w:szCs w:val="20"/>
              </w:rPr>
              <w:t xml:space="preserve">Strongly Disagree </w:t>
            </w:r>
          </w:p>
        </w:tc>
        <w:tc>
          <w:tcPr>
            <w:tcW w:w="1262" w:type="dxa"/>
          </w:tcPr>
          <w:p w14:paraId="051FEF34" w14:textId="6B0A93FA" w:rsidR="00714779" w:rsidRPr="00B61BF3" w:rsidRDefault="00714779" w:rsidP="0002121C">
            <w:pPr>
              <w:spacing w:before="60" w:after="60"/>
              <w:jc w:val="both"/>
              <w:rPr>
                <w:rFonts w:ascii="Arial" w:hAnsi="Arial" w:cs="Arial"/>
                <w:color w:val="000000" w:themeColor="text1"/>
                <w:sz w:val="20"/>
                <w:szCs w:val="20"/>
              </w:rPr>
            </w:pPr>
            <w:r w:rsidRPr="00B61BF3">
              <w:rPr>
                <w:rFonts w:ascii="Arial" w:hAnsi="Arial" w:cs="Arial"/>
                <w:b/>
                <w:color w:val="000000" w:themeColor="text1"/>
                <w:sz w:val="20"/>
                <w:szCs w:val="20"/>
              </w:rPr>
              <w:t>Total</w:t>
            </w:r>
          </w:p>
        </w:tc>
      </w:tr>
      <w:tr w:rsidR="00714779" w:rsidRPr="00B61BF3" w14:paraId="652A4318" w14:textId="77777777" w:rsidTr="00714779">
        <w:tc>
          <w:tcPr>
            <w:tcW w:w="1304" w:type="dxa"/>
          </w:tcPr>
          <w:p w14:paraId="696F962B"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≤19 years</w:t>
            </w:r>
          </w:p>
        </w:tc>
        <w:tc>
          <w:tcPr>
            <w:tcW w:w="1366" w:type="dxa"/>
          </w:tcPr>
          <w:p w14:paraId="78E0DDC3"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w:t>
            </w:r>
          </w:p>
        </w:tc>
        <w:tc>
          <w:tcPr>
            <w:tcW w:w="1283" w:type="dxa"/>
          </w:tcPr>
          <w:p w14:paraId="65A8827D"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w:t>
            </w:r>
          </w:p>
        </w:tc>
        <w:tc>
          <w:tcPr>
            <w:tcW w:w="1337" w:type="dxa"/>
          </w:tcPr>
          <w:p w14:paraId="0CA2F0F8"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0</w:t>
            </w:r>
          </w:p>
        </w:tc>
        <w:tc>
          <w:tcPr>
            <w:tcW w:w="1370" w:type="dxa"/>
          </w:tcPr>
          <w:p w14:paraId="620321B9"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w:t>
            </w:r>
          </w:p>
        </w:tc>
        <w:tc>
          <w:tcPr>
            <w:tcW w:w="1094" w:type="dxa"/>
          </w:tcPr>
          <w:p w14:paraId="083A5F0B" w14:textId="693826DF" w:rsidR="00714779" w:rsidRPr="00B61BF3" w:rsidRDefault="008B57FE"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0</w:t>
            </w:r>
          </w:p>
        </w:tc>
        <w:tc>
          <w:tcPr>
            <w:tcW w:w="1262" w:type="dxa"/>
          </w:tcPr>
          <w:p w14:paraId="2D31A8EC" w14:textId="00EFBD36"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5</w:t>
            </w:r>
          </w:p>
        </w:tc>
      </w:tr>
      <w:tr w:rsidR="00714779" w:rsidRPr="00B61BF3" w14:paraId="348189DD" w14:textId="77777777" w:rsidTr="00714779">
        <w:tc>
          <w:tcPr>
            <w:tcW w:w="1304" w:type="dxa"/>
          </w:tcPr>
          <w:p w14:paraId="215CD600"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19–21 years</w:t>
            </w:r>
          </w:p>
        </w:tc>
        <w:tc>
          <w:tcPr>
            <w:tcW w:w="1366" w:type="dxa"/>
          </w:tcPr>
          <w:p w14:paraId="018A6F28"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14</w:t>
            </w:r>
          </w:p>
        </w:tc>
        <w:tc>
          <w:tcPr>
            <w:tcW w:w="1283" w:type="dxa"/>
          </w:tcPr>
          <w:p w14:paraId="36D70B01"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5</w:t>
            </w:r>
          </w:p>
        </w:tc>
        <w:tc>
          <w:tcPr>
            <w:tcW w:w="1337" w:type="dxa"/>
          </w:tcPr>
          <w:p w14:paraId="72CDE50D"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18</w:t>
            </w:r>
          </w:p>
        </w:tc>
        <w:tc>
          <w:tcPr>
            <w:tcW w:w="1370" w:type="dxa"/>
          </w:tcPr>
          <w:p w14:paraId="5FD91829"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13</w:t>
            </w:r>
          </w:p>
        </w:tc>
        <w:tc>
          <w:tcPr>
            <w:tcW w:w="1094" w:type="dxa"/>
          </w:tcPr>
          <w:p w14:paraId="7E0D3BF0" w14:textId="5949E7E4" w:rsidR="00714779" w:rsidRPr="00B61BF3" w:rsidRDefault="008B57FE"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2</w:t>
            </w:r>
          </w:p>
        </w:tc>
        <w:tc>
          <w:tcPr>
            <w:tcW w:w="1262" w:type="dxa"/>
          </w:tcPr>
          <w:p w14:paraId="2680C13A" w14:textId="425CD2BC"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52</w:t>
            </w:r>
          </w:p>
        </w:tc>
      </w:tr>
      <w:tr w:rsidR="00714779" w:rsidRPr="00B61BF3" w14:paraId="5D55FC5A" w14:textId="77777777" w:rsidTr="00714779">
        <w:tc>
          <w:tcPr>
            <w:tcW w:w="1304" w:type="dxa"/>
          </w:tcPr>
          <w:p w14:paraId="6892BB2D"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&gt;21 years</w:t>
            </w:r>
          </w:p>
        </w:tc>
        <w:tc>
          <w:tcPr>
            <w:tcW w:w="1366" w:type="dxa"/>
          </w:tcPr>
          <w:p w14:paraId="602389A8"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w:t>
            </w:r>
          </w:p>
        </w:tc>
        <w:tc>
          <w:tcPr>
            <w:tcW w:w="1283" w:type="dxa"/>
          </w:tcPr>
          <w:p w14:paraId="4E64E9D7"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w:t>
            </w:r>
          </w:p>
        </w:tc>
        <w:tc>
          <w:tcPr>
            <w:tcW w:w="1337" w:type="dxa"/>
          </w:tcPr>
          <w:p w14:paraId="106BC7F5"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w:t>
            </w:r>
          </w:p>
        </w:tc>
        <w:tc>
          <w:tcPr>
            <w:tcW w:w="1370" w:type="dxa"/>
          </w:tcPr>
          <w:p w14:paraId="11E2B63B"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5</w:t>
            </w:r>
          </w:p>
        </w:tc>
        <w:tc>
          <w:tcPr>
            <w:tcW w:w="1094" w:type="dxa"/>
          </w:tcPr>
          <w:p w14:paraId="047045D6" w14:textId="0352057A" w:rsidR="00714779" w:rsidRPr="00B61BF3" w:rsidRDefault="008B57FE"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3</w:t>
            </w:r>
          </w:p>
        </w:tc>
        <w:tc>
          <w:tcPr>
            <w:tcW w:w="1262" w:type="dxa"/>
          </w:tcPr>
          <w:p w14:paraId="4175C010" w14:textId="5CC1734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11</w:t>
            </w:r>
          </w:p>
        </w:tc>
      </w:tr>
      <w:tr w:rsidR="00714779" w:rsidRPr="00B61BF3" w14:paraId="37B0F67D" w14:textId="77777777" w:rsidTr="00714779">
        <w:tc>
          <w:tcPr>
            <w:tcW w:w="1304" w:type="dxa"/>
          </w:tcPr>
          <w:p w14:paraId="46BF0108"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Total</w:t>
            </w:r>
          </w:p>
        </w:tc>
        <w:tc>
          <w:tcPr>
            <w:tcW w:w="1366" w:type="dxa"/>
          </w:tcPr>
          <w:p w14:paraId="28975ECF"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18</w:t>
            </w:r>
          </w:p>
        </w:tc>
        <w:tc>
          <w:tcPr>
            <w:tcW w:w="1283" w:type="dxa"/>
          </w:tcPr>
          <w:p w14:paraId="521CE8F0"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7</w:t>
            </w:r>
          </w:p>
        </w:tc>
        <w:tc>
          <w:tcPr>
            <w:tcW w:w="1337" w:type="dxa"/>
          </w:tcPr>
          <w:p w14:paraId="3A2132CD"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19</w:t>
            </w:r>
          </w:p>
        </w:tc>
        <w:tc>
          <w:tcPr>
            <w:tcW w:w="1370" w:type="dxa"/>
          </w:tcPr>
          <w:p w14:paraId="26A6C6BB" w14:textId="77777777"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19</w:t>
            </w:r>
          </w:p>
        </w:tc>
        <w:tc>
          <w:tcPr>
            <w:tcW w:w="1094" w:type="dxa"/>
          </w:tcPr>
          <w:p w14:paraId="77EAA851" w14:textId="7CA8BF28" w:rsidR="00714779" w:rsidRPr="00B61BF3" w:rsidRDefault="008B57FE"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5</w:t>
            </w:r>
          </w:p>
        </w:tc>
        <w:tc>
          <w:tcPr>
            <w:tcW w:w="1262" w:type="dxa"/>
          </w:tcPr>
          <w:p w14:paraId="6722A8C2" w14:textId="6233CA74" w:rsidR="00714779" w:rsidRPr="00B61BF3" w:rsidRDefault="00714779" w:rsidP="0002121C">
            <w:pPr>
              <w:spacing w:before="40" w:after="40"/>
              <w:jc w:val="both"/>
              <w:rPr>
                <w:rFonts w:ascii="Arial" w:hAnsi="Arial" w:cs="Arial"/>
                <w:color w:val="000000" w:themeColor="text1"/>
                <w:sz w:val="20"/>
                <w:szCs w:val="20"/>
              </w:rPr>
            </w:pPr>
            <w:r w:rsidRPr="00B61BF3">
              <w:rPr>
                <w:rFonts w:ascii="Arial" w:hAnsi="Arial" w:cs="Arial"/>
                <w:color w:val="000000" w:themeColor="text1"/>
                <w:sz w:val="20"/>
                <w:szCs w:val="20"/>
              </w:rPr>
              <w:t>68</w:t>
            </w:r>
          </w:p>
        </w:tc>
      </w:tr>
    </w:tbl>
    <w:p w14:paraId="1AECF55A" w14:textId="77777777" w:rsidR="007724A3" w:rsidRPr="00B61BF3" w:rsidRDefault="007724A3" w:rsidP="0002121C">
      <w:pPr>
        <w:spacing w:before="60" w:line="240" w:lineRule="auto"/>
        <w:jc w:val="both"/>
        <w:rPr>
          <w:rFonts w:ascii="Arial" w:hAnsi="Arial" w:cs="Arial"/>
          <w:color w:val="000000" w:themeColor="text1"/>
          <w:sz w:val="20"/>
          <w:szCs w:val="20"/>
        </w:rPr>
      </w:pPr>
      <w:r w:rsidRPr="00B61BF3">
        <w:rPr>
          <w:rFonts w:ascii="Arial" w:hAnsi="Arial" w:cs="Arial"/>
          <w:i/>
          <w:color w:val="000000" w:themeColor="text1"/>
          <w:sz w:val="20"/>
          <w:szCs w:val="20"/>
        </w:rPr>
        <w:t>χ² calculated = 16.159 | df = 8 | χ² tabulated (p=0.05) = 15.507 → Null hypothesis REJECTED</w:t>
      </w:r>
    </w:p>
    <w:p w14:paraId="63C42443" w14:textId="7E91E864" w:rsidR="007724A3" w:rsidRPr="00B61BF3" w:rsidRDefault="007724A3" w:rsidP="0002121C">
      <w:pPr>
        <w:spacing w:line="240" w:lineRule="auto"/>
        <w:jc w:val="both"/>
        <w:rPr>
          <w:rFonts w:ascii="Arial" w:hAnsi="Arial" w:cs="Arial"/>
          <w:color w:val="000000" w:themeColor="text1"/>
          <w:sz w:val="20"/>
          <w:szCs w:val="20"/>
        </w:rPr>
      </w:pPr>
    </w:p>
    <w:p w14:paraId="0BEA26E7" w14:textId="5AD7AA2B" w:rsidR="007724A3" w:rsidRPr="00B61BF3" w:rsidRDefault="007724A3" w:rsidP="0002121C">
      <w:pPr>
        <w:spacing w:before="80" w:after="80" w:line="240" w:lineRule="auto"/>
        <w:jc w:val="both"/>
        <w:rPr>
          <w:rFonts w:ascii="Arial" w:hAnsi="Arial" w:cs="Arial"/>
          <w:color w:val="000000" w:themeColor="text1"/>
          <w:sz w:val="20"/>
          <w:szCs w:val="20"/>
        </w:rPr>
      </w:pPr>
      <w:r w:rsidRPr="00796D48">
        <w:rPr>
          <w:rFonts w:ascii="Arial" w:hAnsi="Arial" w:cs="Arial"/>
          <w:b/>
          <w:color w:val="000000" w:themeColor="text1"/>
          <w:sz w:val="22"/>
          <w:szCs w:val="22"/>
        </w:rPr>
        <w:t>Interpretation:</w:t>
      </w:r>
      <w:r w:rsidRPr="00B61BF3">
        <w:rPr>
          <w:rFonts w:ascii="Arial" w:hAnsi="Arial" w:cs="Arial"/>
          <w:b/>
          <w:color w:val="000000" w:themeColor="text1"/>
          <w:sz w:val="20"/>
          <w:szCs w:val="20"/>
        </w:rPr>
        <w:t xml:space="preserve"> </w:t>
      </w:r>
      <w:r w:rsidRPr="00B61BF3">
        <w:rPr>
          <w:rFonts w:ascii="Arial" w:hAnsi="Arial" w:cs="Arial"/>
          <w:color w:val="000000" w:themeColor="text1"/>
          <w:sz w:val="20"/>
          <w:szCs w:val="20"/>
        </w:rPr>
        <w:t>Since χ² calculated (16.159) &gt; χ² tabulated (15.507) at α = 0.05 with 8 degrees of freedom, H</w:t>
      </w:r>
      <w:r w:rsidRPr="00B61BF3">
        <w:rPr>
          <w:rFonts w:ascii="Cambria Math" w:hAnsi="Cambria Math" w:cs="Cambria Math"/>
          <w:color w:val="000000" w:themeColor="text1"/>
          <w:sz w:val="20"/>
          <w:szCs w:val="20"/>
        </w:rPr>
        <w:t>₂</w:t>
      </w:r>
      <w:r w:rsidRPr="00B61BF3">
        <w:rPr>
          <w:rFonts w:ascii="Arial" w:hAnsi="Arial" w:cs="Arial"/>
          <w:color w:val="000000" w:themeColor="text1"/>
          <w:sz w:val="20"/>
          <w:szCs w:val="20"/>
        </w:rPr>
        <w:t xml:space="preserve"> is rejected. A statistically significant association exists between age and perceived negative impact on moral values. Younger students appear more susceptible to digital influence on ethical </w:t>
      </w:r>
      <w:r w:rsidR="00A43793" w:rsidRPr="00B61BF3">
        <w:rPr>
          <w:rFonts w:ascii="Arial" w:hAnsi="Arial" w:cs="Arial"/>
          <w:color w:val="000000" w:themeColor="text1"/>
          <w:sz w:val="20"/>
          <w:szCs w:val="20"/>
        </w:rPr>
        <w:t>behaviour</w:t>
      </w:r>
      <w:r w:rsidRPr="00B61BF3">
        <w:rPr>
          <w:rFonts w:ascii="Arial" w:hAnsi="Arial" w:cs="Arial"/>
          <w:color w:val="000000" w:themeColor="text1"/>
          <w:sz w:val="20"/>
          <w:szCs w:val="20"/>
        </w:rPr>
        <w:t>.</w:t>
      </w:r>
    </w:p>
    <w:p w14:paraId="30E31F78" w14:textId="77777777" w:rsidR="007724A3" w:rsidRPr="00B61BF3" w:rsidRDefault="007724A3" w:rsidP="0002121C">
      <w:pPr>
        <w:spacing w:before="40" w:after="40" w:line="240" w:lineRule="auto"/>
        <w:jc w:val="both"/>
        <w:rPr>
          <w:rFonts w:ascii="Arial" w:hAnsi="Arial" w:cs="Arial"/>
          <w:color w:val="000000" w:themeColor="text1"/>
          <w:sz w:val="20"/>
          <w:szCs w:val="20"/>
        </w:rPr>
      </w:pPr>
    </w:p>
    <w:p w14:paraId="143B173D" w14:textId="77777777" w:rsidR="007724A3" w:rsidRPr="000226B0" w:rsidRDefault="007724A3" w:rsidP="0002121C">
      <w:pPr>
        <w:pStyle w:val="Heading1"/>
        <w:spacing w:before="280" w:after="120" w:line="240" w:lineRule="auto"/>
        <w:jc w:val="both"/>
        <w:rPr>
          <w:rFonts w:ascii="Arial" w:hAnsi="Arial" w:cs="Arial"/>
          <w:b/>
          <w:bCs/>
          <w:color w:val="000000" w:themeColor="text1"/>
          <w:sz w:val="22"/>
          <w:szCs w:val="22"/>
        </w:rPr>
      </w:pPr>
      <w:r w:rsidRPr="000226B0">
        <w:rPr>
          <w:rFonts w:ascii="Arial" w:hAnsi="Arial" w:cs="Arial"/>
          <w:b/>
          <w:bCs/>
          <w:color w:val="000000" w:themeColor="text1"/>
          <w:sz w:val="22"/>
          <w:szCs w:val="22"/>
        </w:rPr>
        <w:t>6. Discussion</w:t>
      </w:r>
    </w:p>
    <w:p w14:paraId="39F72E11" w14:textId="77777777" w:rsidR="007724A3" w:rsidRPr="00B61BF3" w:rsidRDefault="007724A3" w:rsidP="0002121C">
      <w:pPr>
        <w:pStyle w:val="Heading2"/>
        <w:spacing w:before="280" w:after="12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t>6.1 Smartphone Usage and Academic Impact</w:t>
      </w:r>
    </w:p>
    <w:p w14:paraId="5C5932EC" w14:textId="77777777" w:rsidR="00012D32" w:rsidRDefault="00012D32" w:rsidP="0002121C">
      <w:pPr>
        <w:spacing w:before="80" w:after="80" w:line="240" w:lineRule="auto"/>
        <w:jc w:val="both"/>
        <w:rPr>
          <w:rFonts w:ascii="Arial" w:hAnsi="Arial" w:cs="Arial"/>
          <w:color w:val="000000" w:themeColor="text1"/>
          <w:sz w:val="20"/>
          <w:szCs w:val="20"/>
        </w:rPr>
      </w:pPr>
      <w:r>
        <w:rPr>
          <w:rFonts w:ascii="Arial" w:hAnsi="Arial" w:cs="Arial"/>
          <w:color w:val="000000" w:themeColor="text1"/>
          <w:sz w:val="20"/>
          <w:szCs w:val="20"/>
        </w:rPr>
        <w:t>More than half the respondents (55.88%) exceeded three hours of daily smartphone use, consistent with the dose–response threshold identified by Zeng et al.,(2026) who confirmed that usage beyond this level is associated with significantly negative academic and health outcomes. The present findings corroborate this effect within the context of Indian female undergraduates. Smartphones concurrently served major academic roles: skill development (52.9%), group discussions (52.9%), and rapid feedback (73.5%), echoing observations by HemaLatha and Aruna(2025) and Naidu(2018) who documented smartphones as primary academic support tools among Indian undergraduates.</w:t>
      </w:r>
    </w:p>
    <w:p w14:paraId="51638C4D" w14:textId="77777777" w:rsidR="00012D32" w:rsidRDefault="00012D32" w:rsidP="0002121C">
      <w:pPr>
        <w:spacing w:before="80" w:after="80" w:line="240" w:lineRule="auto"/>
        <w:jc w:val="both"/>
        <w:rPr>
          <w:rFonts w:ascii="Arial" w:hAnsi="Arial" w:cs="Arial"/>
          <w:color w:val="000000" w:themeColor="text1"/>
          <w:sz w:val="20"/>
          <w:szCs w:val="20"/>
        </w:rPr>
      </w:pPr>
      <w:r>
        <w:rPr>
          <w:rFonts w:ascii="Arial" w:hAnsi="Arial" w:cs="Arial"/>
          <w:color w:val="000000" w:themeColor="text1"/>
          <w:sz w:val="20"/>
          <w:szCs w:val="20"/>
        </w:rPr>
        <w:t>Nonetheless, 58.82% of students agreed that smartphones distract from studies, aligning with Umarji and Patel(2024) who found a significant inverse relationship between smartphone addiction scores and academic performance. Kuş (2025) and Paterna et al. (2024) corroborated this through meta-analytic evidence, confirming that technology-related factors and problematic smartphone use are consistently associated with lower academic achievement across student populations. Ghazali et al. (2026) extended these findings by documenting concurrent associations between smartphone addiction, anxiety, and depression alongside academic decline, while Lukram et al. (2026) demonstrated similar patterns in a prospective study. The coexistence of academic utility and distraction supports a nuanced interpretation: smartphone impact depends on usage mode and duration, not merely on device access.</w:t>
      </w:r>
    </w:p>
    <w:p w14:paraId="6CEB2CF6" w14:textId="77777777" w:rsidR="00012D32" w:rsidRPr="00B61BF3" w:rsidRDefault="00012D32" w:rsidP="0002121C">
      <w:pPr>
        <w:spacing w:before="80" w:after="80" w:line="240" w:lineRule="auto"/>
        <w:jc w:val="both"/>
        <w:rPr>
          <w:rFonts w:ascii="Arial" w:hAnsi="Arial" w:cs="Arial"/>
          <w:color w:val="000000" w:themeColor="text1"/>
          <w:sz w:val="20"/>
          <w:szCs w:val="20"/>
        </w:rPr>
      </w:pPr>
    </w:p>
    <w:p w14:paraId="2EBA746B" w14:textId="77777777" w:rsidR="007724A3" w:rsidRPr="00B61BF3" w:rsidRDefault="007724A3" w:rsidP="0002121C">
      <w:pPr>
        <w:pStyle w:val="Heading2"/>
        <w:spacing w:before="280" w:after="12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t>6.2 Behavioral and Social Implications</w:t>
      </w:r>
    </w:p>
    <w:p w14:paraId="4210E943" w14:textId="6FF7BADC" w:rsidR="007724A3" w:rsidRPr="00B61BF3" w:rsidRDefault="007724A3" w:rsidP="0002121C">
      <w:pPr>
        <w:spacing w:before="80" w:after="8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Strong social connectivity benefits were observed, with 94.1% of respondents agreeing smartphones facilitate interactions and 86.8% affirming they support longer conversations. This aligns with Sun et al.,</w:t>
      </w:r>
      <w:r w:rsidR="00413730" w:rsidRPr="00B61BF3">
        <w:rPr>
          <w:rFonts w:ascii="Arial" w:hAnsi="Arial" w:cs="Arial"/>
          <w:color w:val="000000" w:themeColor="text1"/>
          <w:sz w:val="20"/>
          <w:szCs w:val="20"/>
        </w:rPr>
        <w:t>(2023)</w:t>
      </w:r>
      <w:r w:rsidRPr="00B61BF3">
        <w:rPr>
          <w:rFonts w:ascii="Arial" w:hAnsi="Arial" w:cs="Arial"/>
          <w:color w:val="000000" w:themeColor="text1"/>
          <w:sz w:val="20"/>
          <w:szCs w:val="20"/>
        </w:rPr>
        <w:t xml:space="preserve"> who found that community-oriented smartphone use yields positive social capital outcomes. However, 29.4% of students acknowledged using smartphones primarily for gaming and social media rather than academic purposes, reflecting a behavioral shift toward recreational digital engagement documented across global student populations.</w:t>
      </w:r>
    </w:p>
    <w:p w14:paraId="0F46001C" w14:textId="77777777" w:rsidR="00745665" w:rsidRPr="00B61BF3" w:rsidRDefault="007724A3" w:rsidP="0002121C">
      <w:pPr>
        <w:pStyle w:val="Heading2"/>
        <w:spacing w:before="280" w:after="12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lastRenderedPageBreak/>
        <w:t xml:space="preserve">6.3 Mental Health and Moral </w:t>
      </w:r>
      <w:r w:rsidR="00745665" w:rsidRPr="00B61BF3">
        <w:rPr>
          <w:rFonts w:ascii="Arial" w:hAnsi="Arial" w:cs="Arial"/>
          <w:b/>
          <w:bCs/>
          <w:color w:val="000000" w:themeColor="text1"/>
          <w:sz w:val="20"/>
          <w:szCs w:val="20"/>
        </w:rPr>
        <w:t>Values</w:t>
      </w:r>
    </w:p>
    <w:p w14:paraId="0117E904" w14:textId="506F8648" w:rsidR="00745665" w:rsidRPr="00B61BF3" w:rsidRDefault="008B7C27" w:rsidP="00745665">
      <w:pPr>
        <w:spacing w:before="80" w:after="80" w:line="240" w:lineRule="auto"/>
        <w:jc w:val="both"/>
        <w:rPr>
          <w:rFonts w:ascii="Arial" w:hAnsi="Arial" w:cs="Arial"/>
          <w:sz w:val="20"/>
          <w:szCs w:val="20"/>
        </w:rPr>
      </w:pPr>
      <w:r>
        <w:rPr>
          <w:rFonts w:ascii="Arial" w:hAnsi="Arial" w:cs="Arial"/>
          <w:sz w:val="20"/>
          <w:szCs w:val="20"/>
        </w:rPr>
        <w:t>The perceived negative influence of smartphones on moral values (acknowledged by 36.8% of respondents) is an underexplored dimension. Haque et al. (2024) demonstrated associations between excessive smartphone use and depression among Indian students, and Neophytou et al. (2021) documented impairments in emotional regulation from excessive screen time. Similarly, Pundir et al. (2026) reported that problematic phone use was linked to psychological distress and reduced self-esteem among college students. Orben et al. (2022) further highlighted that adolescence and early adulthood represent periods of heightened developmental sensitivity to social media, making behavioral and ethical outcomes particularly susceptible to digital influences during this stage. Sándor et al. (2025) demonstrated that emotional regulation difficulties mediate the relationship between problematic smartphone use and social anxiety, reinforcing that the psychological consequences of smartphone overuse extend well beyond academic performance. The present findings extend these concerns to ethical and value-based development, particularly for younger age groups as confirmed by hypothesis testing. This aligns with developmental psychology literature identifying late adolescence as a critical period for ethical identity formation.</w:t>
      </w:r>
    </w:p>
    <w:p w14:paraId="0ACAC992" w14:textId="58D7CE09" w:rsidR="007724A3" w:rsidRPr="00B61BF3" w:rsidRDefault="000B4F80" w:rsidP="0002121C">
      <w:pPr>
        <w:pStyle w:val="Heading2"/>
        <w:spacing w:before="280" w:after="120" w:line="240" w:lineRule="auto"/>
        <w:jc w:val="both"/>
        <w:rPr>
          <w:rFonts w:ascii="Arial" w:hAnsi="Arial" w:cs="Arial"/>
          <w:b/>
          <w:bCs/>
          <w:color w:val="000000" w:themeColor="text1"/>
          <w:sz w:val="20"/>
          <w:szCs w:val="20"/>
        </w:rPr>
      </w:pPr>
      <w:r>
        <w:rPr>
          <w:rFonts w:ascii="Arial" w:hAnsi="Arial" w:cs="Arial"/>
          <w:b/>
          <w:bCs/>
          <w:color w:val="000000" w:themeColor="text1"/>
          <w:sz w:val="20"/>
          <w:szCs w:val="20"/>
        </w:rPr>
        <w:t>6.</w:t>
      </w:r>
      <w:r w:rsidR="007724A3" w:rsidRPr="00B61BF3">
        <w:rPr>
          <w:rFonts w:ascii="Arial" w:hAnsi="Arial" w:cs="Arial"/>
          <w:b/>
          <w:bCs/>
          <w:color w:val="000000" w:themeColor="text1"/>
          <w:sz w:val="20"/>
          <w:szCs w:val="20"/>
        </w:rPr>
        <w:t>4 Academic Level and Attention</w:t>
      </w:r>
    </w:p>
    <w:p w14:paraId="20A3A9B4" w14:textId="5C6D6355" w:rsidR="007724A3" w:rsidRPr="00B61BF3" w:rsidRDefault="007724A3" w:rsidP="0002121C">
      <w:pPr>
        <w:spacing w:before="80" w:after="8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The significant chi-square result linking year of study to classroom attention suggests that academic pressure modulates smartphone distraction impact. Senior students may face heightened demands making distractions more consequential, while first-year students may use smartphones more for exploration and social adjustment. Devi et al.</w:t>
      </w:r>
      <w:r w:rsidR="00762251" w:rsidRPr="00B61BF3">
        <w:rPr>
          <w:rFonts w:ascii="Arial" w:hAnsi="Arial" w:cs="Arial"/>
          <w:color w:val="000000" w:themeColor="text1"/>
          <w:sz w:val="20"/>
          <w:szCs w:val="20"/>
        </w:rPr>
        <w:t>(2025)</w:t>
      </w:r>
      <w:r w:rsidRPr="00B61BF3">
        <w:rPr>
          <w:rFonts w:ascii="Arial" w:hAnsi="Arial" w:cs="Arial"/>
          <w:color w:val="000000" w:themeColor="text1"/>
          <w:sz w:val="20"/>
          <w:szCs w:val="20"/>
        </w:rPr>
        <w:t xml:space="preserve"> similarly noted differential addiction risk profiles across academic years, reinforcing the need for year-specific digital wellness interventions tailored to students' academic stage.</w:t>
      </w:r>
    </w:p>
    <w:p w14:paraId="41B212B1" w14:textId="77777777" w:rsidR="007724A3" w:rsidRPr="00B61BF3" w:rsidRDefault="007724A3" w:rsidP="0002121C">
      <w:pPr>
        <w:spacing w:before="40" w:after="40" w:line="240" w:lineRule="auto"/>
        <w:jc w:val="both"/>
        <w:rPr>
          <w:rFonts w:ascii="Arial" w:hAnsi="Arial" w:cs="Arial"/>
          <w:color w:val="000000" w:themeColor="text1"/>
          <w:sz w:val="20"/>
          <w:szCs w:val="20"/>
        </w:rPr>
      </w:pPr>
    </w:p>
    <w:p w14:paraId="6783E1E5" w14:textId="77777777" w:rsidR="007724A3" w:rsidRPr="000226B0" w:rsidRDefault="007724A3" w:rsidP="0002121C">
      <w:pPr>
        <w:pStyle w:val="Heading1"/>
        <w:spacing w:before="280" w:after="120" w:line="240" w:lineRule="auto"/>
        <w:jc w:val="both"/>
        <w:rPr>
          <w:rFonts w:ascii="Arial" w:hAnsi="Arial" w:cs="Arial"/>
          <w:b/>
          <w:bCs/>
          <w:color w:val="000000" w:themeColor="text1"/>
          <w:sz w:val="22"/>
          <w:szCs w:val="22"/>
        </w:rPr>
      </w:pPr>
      <w:r w:rsidRPr="000226B0">
        <w:rPr>
          <w:rFonts w:ascii="Arial" w:hAnsi="Arial" w:cs="Arial"/>
          <w:b/>
          <w:bCs/>
          <w:color w:val="000000" w:themeColor="text1"/>
          <w:sz w:val="22"/>
          <w:szCs w:val="22"/>
        </w:rPr>
        <w:t>7. Limitations</w:t>
      </w:r>
    </w:p>
    <w:p w14:paraId="497E06FA" w14:textId="77777777" w:rsidR="007724A3" w:rsidRPr="00B61BF3" w:rsidRDefault="007724A3" w:rsidP="0002121C">
      <w:pPr>
        <w:spacing w:before="80" w:after="8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Several limitations should be considered when interpreting these findings. First, the sample was drawn from a single institution using convenience sampling, limiting generalizability. Second, the sample size of 68 participants constrains statistical power and sub-group analysis. Third, the cross-sectional design precludes causal inferences about directions of observed relationships. Fourth, self-reported Likert data are susceptible to social desirability bias. Fifth, the three-week data collection window may have introduced seasonal variation in usage patterns. Future research should employ longitudinal, multi-institutional designs with larger, stratified samples to establish causal pathways and enable robust sub-group comparisons.</w:t>
      </w:r>
    </w:p>
    <w:p w14:paraId="02DE772C" w14:textId="77777777" w:rsidR="007724A3" w:rsidRPr="00B61BF3" w:rsidRDefault="007724A3" w:rsidP="0002121C">
      <w:pPr>
        <w:spacing w:before="40" w:after="40" w:line="240" w:lineRule="auto"/>
        <w:jc w:val="both"/>
        <w:rPr>
          <w:rFonts w:ascii="Arial" w:hAnsi="Arial" w:cs="Arial"/>
          <w:color w:val="000000" w:themeColor="text1"/>
          <w:sz w:val="20"/>
          <w:szCs w:val="20"/>
        </w:rPr>
      </w:pPr>
    </w:p>
    <w:p w14:paraId="2B8E7800" w14:textId="77777777" w:rsidR="007724A3" w:rsidRPr="000226B0" w:rsidRDefault="007724A3" w:rsidP="0002121C">
      <w:pPr>
        <w:pStyle w:val="Heading1"/>
        <w:spacing w:before="280" w:after="120" w:line="240" w:lineRule="auto"/>
        <w:jc w:val="both"/>
        <w:rPr>
          <w:rFonts w:ascii="Arial" w:hAnsi="Arial" w:cs="Arial"/>
          <w:b/>
          <w:bCs/>
          <w:color w:val="000000" w:themeColor="text1"/>
          <w:sz w:val="22"/>
          <w:szCs w:val="22"/>
        </w:rPr>
      </w:pPr>
      <w:r w:rsidRPr="000226B0">
        <w:rPr>
          <w:rFonts w:ascii="Arial" w:hAnsi="Arial" w:cs="Arial"/>
          <w:b/>
          <w:bCs/>
          <w:color w:val="000000" w:themeColor="text1"/>
          <w:sz w:val="22"/>
          <w:szCs w:val="22"/>
        </w:rPr>
        <w:t>8. Recommendations</w:t>
      </w:r>
    </w:p>
    <w:p w14:paraId="139E6781" w14:textId="77777777" w:rsidR="007724A3" w:rsidRPr="00B61BF3" w:rsidRDefault="007724A3" w:rsidP="0002121C">
      <w:pPr>
        <w:pStyle w:val="ListBullet"/>
        <w:numPr>
          <w:ilvl w:val="0"/>
          <w:numId w:val="0"/>
        </w:numPr>
        <w:spacing w:line="240" w:lineRule="auto"/>
        <w:ind w:left="360" w:hanging="360"/>
        <w:rPr>
          <w:rFonts w:ascii="Arial" w:hAnsi="Arial" w:cs="Arial"/>
          <w:sz w:val="20"/>
          <w:szCs w:val="20"/>
        </w:rPr>
      </w:pPr>
      <w:r w:rsidRPr="00B61BF3">
        <w:rPr>
          <w:rFonts w:ascii="Arial" w:hAnsi="Arial" w:cs="Arial"/>
          <w:sz w:val="20"/>
          <w:szCs w:val="20"/>
        </w:rPr>
        <w:t>Based on the findings, the following evidence-informed recommendations are proposed:</w:t>
      </w:r>
    </w:p>
    <w:p w14:paraId="3EF57FA1" w14:textId="77777777" w:rsidR="007724A3" w:rsidRPr="00B61BF3" w:rsidRDefault="007724A3" w:rsidP="0002121C">
      <w:pPr>
        <w:pStyle w:val="ListBullet"/>
        <w:spacing w:line="240" w:lineRule="auto"/>
        <w:rPr>
          <w:rFonts w:ascii="Arial" w:hAnsi="Arial" w:cs="Arial"/>
          <w:sz w:val="20"/>
          <w:szCs w:val="20"/>
        </w:rPr>
      </w:pPr>
      <w:r w:rsidRPr="00B61BF3">
        <w:rPr>
          <w:rFonts w:ascii="Arial" w:hAnsi="Arial" w:cs="Arial"/>
          <w:b/>
          <w:bCs/>
          <w:sz w:val="20"/>
          <w:szCs w:val="20"/>
        </w:rPr>
        <w:t xml:space="preserve">Monthly Talent Competitions: </w:t>
      </w:r>
      <w:r w:rsidRPr="00B61BF3">
        <w:rPr>
          <w:rFonts w:ascii="Arial" w:hAnsi="Arial" w:cs="Arial"/>
          <w:sz w:val="20"/>
          <w:szCs w:val="20"/>
        </w:rPr>
        <w:t>Regular co-curricular competitions (debate, drama, sports, creative arts) engage students productively and reduce excessive leisure screen time.</w:t>
      </w:r>
    </w:p>
    <w:p w14:paraId="56728002" w14:textId="77777777" w:rsidR="00CB683A" w:rsidRPr="00B61BF3" w:rsidRDefault="00CB683A" w:rsidP="0002121C">
      <w:pPr>
        <w:pStyle w:val="ListBullet"/>
        <w:numPr>
          <w:ilvl w:val="0"/>
          <w:numId w:val="0"/>
        </w:numPr>
        <w:tabs>
          <w:tab w:val="num" w:pos="360"/>
        </w:tabs>
        <w:spacing w:before="60" w:after="60" w:line="240" w:lineRule="auto"/>
        <w:jc w:val="both"/>
        <w:rPr>
          <w:rFonts w:ascii="Arial" w:hAnsi="Arial" w:cs="Arial"/>
          <w:color w:val="000000" w:themeColor="text1"/>
          <w:sz w:val="20"/>
          <w:szCs w:val="20"/>
        </w:rPr>
      </w:pPr>
    </w:p>
    <w:p w14:paraId="6B2E0D11" w14:textId="01A5B1F5" w:rsidR="007724A3" w:rsidRPr="00B61BF3" w:rsidRDefault="007724A3" w:rsidP="0002121C">
      <w:pPr>
        <w:pStyle w:val="ListBullet"/>
        <w:spacing w:line="240" w:lineRule="auto"/>
        <w:rPr>
          <w:rFonts w:ascii="Arial" w:hAnsi="Arial" w:cs="Arial"/>
          <w:sz w:val="20"/>
          <w:szCs w:val="20"/>
        </w:rPr>
      </w:pPr>
      <w:r w:rsidRPr="00B61BF3">
        <w:rPr>
          <w:rFonts w:ascii="Arial" w:hAnsi="Arial" w:cs="Arial"/>
          <w:b/>
          <w:bCs/>
          <w:sz w:val="20"/>
          <w:szCs w:val="20"/>
        </w:rPr>
        <w:t xml:space="preserve">Yoga and Mindfulness Sessions: </w:t>
      </w:r>
      <w:r w:rsidRPr="00B61BF3">
        <w:rPr>
          <w:rFonts w:ascii="Arial" w:hAnsi="Arial" w:cs="Arial"/>
          <w:sz w:val="20"/>
          <w:szCs w:val="20"/>
        </w:rPr>
        <w:t>Voluntary daily or weekly yoga and meditation programme can reduce stress, improve concentration, and foster intrinsic motivation to limit screen time.</w:t>
      </w:r>
    </w:p>
    <w:p w14:paraId="01DB411C" w14:textId="77777777" w:rsidR="00CB683A" w:rsidRPr="00B61BF3" w:rsidRDefault="00CB683A" w:rsidP="0002121C">
      <w:pPr>
        <w:pStyle w:val="ListBullet"/>
        <w:numPr>
          <w:ilvl w:val="0"/>
          <w:numId w:val="0"/>
        </w:numPr>
        <w:tabs>
          <w:tab w:val="num" w:pos="360"/>
        </w:tabs>
        <w:spacing w:before="60" w:after="60" w:line="240" w:lineRule="auto"/>
        <w:jc w:val="both"/>
        <w:rPr>
          <w:rFonts w:ascii="Arial" w:hAnsi="Arial" w:cs="Arial"/>
          <w:color w:val="000000" w:themeColor="text1"/>
          <w:sz w:val="20"/>
          <w:szCs w:val="20"/>
        </w:rPr>
      </w:pPr>
    </w:p>
    <w:p w14:paraId="7270E56F" w14:textId="77777777" w:rsidR="007724A3" w:rsidRPr="00B61BF3" w:rsidRDefault="007724A3" w:rsidP="0002121C">
      <w:pPr>
        <w:pStyle w:val="ListBullet"/>
        <w:spacing w:line="240" w:lineRule="auto"/>
        <w:rPr>
          <w:rFonts w:ascii="Arial" w:hAnsi="Arial" w:cs="Arial"/>
          <w:sz w:val="20"/>
          <w:szCs w:val="20"/>
        </w:rPr>
      </w:pPr>
      <w:r w:rsidRPr="00B61BF3">
        <w:rPr>
          <w:rFonts w:ascii="Arial" w:hAnsi="Arial" w:cs="Arial"/>
          <w:b/>
          <w:bCs/>
          <w:sz w:val="20"/>
          <w:szCs w:val="20"/>
        </w:rPr>
        <w:t>Digital Literacy Workshops:</w:t>
      </w:r>
      <w:r w:rsidRPr="00B61BF3">
        <w:rPr>
          <w:rFonts w:ascii="Arial" w:hAnsi="Arial" w:cs="Arial"/>
          <w:sz w:val="20"/>
          <w:szCs w:val="20"/>
        </w:rPr>
        <w:t xml:space="preserve"> Structured workshops on social media algorithms, screen time management, and digital wellness strategies empower students to self-regulate usage patterns.</w:t>
      </w:r>
    </w:p>
    <w:p w14:paraId="426D4E61" w14:textId="77777777" w:rsidR="00CB683A" w:rsidRPr="00B61BF3" w:rsidRDefault="00CB683A" w:rsidP="0002121C">
      <w:pPr>
        <w:pStyle w:val="ListBullet"/>
        <w:numPr>
          <w:ilvl w:val="0"/>
          <w:numId w:val="0"/>
        </w:numPr>
        <w:spacing w:before="60" w:after="60" w:line="240" w:lineRule="auto"/>
        <w:jc w:val="both"/>
        <w:rPr>
          <w:rFonts w:ascii="Arial" w:hAnsi="Arial" w:cs="Arial"/>
          <w:color w:val="000000" w:themeColor="text1"/>
          <w:sz w:val="20"/>
          <w:szCs w:val="20"/>
        </w:rPr>
      </w:pPr>
    </w:p>
    <w:p w14:paraId="120B9B35" w14:textId="6FF2B18A" w:rsidR="00CB683A" w:rsidRPr="00B61BF3" w:rsidRDefault="007724A3" w:rsidP="0002121C">
      <w:pPr>
        <w:pStyle w:val="ListBullet"/>
        <w:spacing w:line="240" w:lineRule="auto"/>
        <w:rPr>
          <w:rFonts w:ascii="Arial" w:hAnsi="Arial" w:cs="Arial"/>
          <w:sz w:val="20"/>
          <w:szCs w:val="20"/>
        </w:rPr>
      </w:pPr>
      <w:r w:rsidRPr="00B61BF3">
        <w:rPr>
          <w:rFonts w:ascii="Arial" w:hAnsi="Arial" w:cs="Arial"/>
          <w:b/>
          <w:bCs/>
          <w:sz w:val="20"/>
          <w:szCs w:val="20"/>
        </w:rPr>
        <w:t>Physical and Sports Activities:</w:t>
      </w:r>
      <w:r w:rsidRPr="00B61BF3">
        <w:rPr>
          <w:rFonts w:ascii="Arial" w:hAnsi="Arial" w:cs="Arial"/>
          <w:sz w:val="20"/>
          <w:szCs w:val="20"/>
        </w:rPr>
        <w:t xml:space="preserve"> Investment in indoor and outdoor sports infrastructure encourages healthy habits that naturally reduce screen dependency.</w:t>
      </w:r>
    </w:p>
    <w:p w14:paraId="17C87F8A" w14:textId="77777777" w:rsidR="00CB683A" w:rsidRPr="00B61BF3" w:rsidRDefault="00CB683A" w:rsidP="0002121C">
      <w:pPr>
        <w:pStyle w:val="ListBullet"/>
        <w:numPr>
          <w:ilvl w:val="0"/>
          <w:numId w:val="0"/>
        </w:numPr>
        <w:spacing w:before="60" w:after="60" w:line="240" w:lineRule="auto"/>
        <w:jc w:val="both"/>
        <w:rPr>
          <w:rFonts w:ascii="Arial" w:hAnsi="Arial" w:cs="Arial"/>
          <w:color w:val="000000" w:themeColor="text1"/>
          <w:sz w:val="20"/>
          <w:szCs w:val="20"/>
        </w:rPr>
      </w:pPr>
    </w:p>
    <w:p w14:paraId="692A1946" w14:textId="77777777" w:rsidR="007724A3" w:rsidRPr="00B61BF3" w:rsidRDefault="007724A3" w:rsidP="0002121C">
      <w:pPr>
        <w:pStyle w:val="ListBullet"/>
        <w:spacing w:line="240" w:lineRule="auto"/>
        <w:rPr>
          <w:rFonts w:ascii="Arial" w:hAnsi="Arial" w:cs="Arial"/>
          <w:sz w:val="20"/>
          <w:szCs w:val="20"/>
        </w:rPr>
      </w:pPr>
      <w:r w:rsidRPr="00B61BF3">
        <w:rPr>
          <w:rFonts w:ascii="Arial" w:hAnsi="Arial" w:cs="Arial"/>
          <w:b/>
          <w:bCs/>
          <w:sz w:val="20"/>
          <w:szCs w:val="20"/>
        </w:rPr>
        <w:t>Peer-Led Digital Wellness Programmes</w:t>
      </w:r>
      <w:r w:rsidRPr="00B61BF3">
        <w:rPr>
          <w:rFonts w:ascii="Arial" w:hAnsi="Arial" w:cs="Arial"/>
          <w:sz w:val="20"/>
          <w:szCs w:val="20"/>
        </w:rPr>
        <w:t>: Student-led initiatives and campus campaigns on responsible digital behavior can reach peers more effectively than institutional directives alone.</w:t>
      </w:r>
    </w:p>
    <w:p w14:paraId="0F1883A6" w14:textId="77777777" w:rsidR="007724A3" w:rsidRPr="00B61BF3" w:rsidRDefault="007724A3" w:rsidP="0002121C">
      <w:pPr>
        <w:spacing w:before="40" w:after="40" w:line="240" w:lineRule="auto"/>
        <w:jc w:val="both"/>
        <w:rPr>
          <w:rFonts w:ascii="Arial" w:hAnsi="Arial" w:cs="Arial"/>
          <w:color w:val="000000" w:themeColor="text1"/>
          <w:sz w:val="20"/>
          <w:szCs w:val="20"/>
        </w:rPr>
      </w:pPr>
    </w:p>
    <w:p w14:paraId="3A7F3C64" w14:textId="77777777" w:rsidR="007724A3" w:rsidRPr="000226B0" w:rsidRDefault="007724A3" w:rsidP="0002121C">
      <w:pPr>
        <w:pStyle w:val="Heading1"/>
        <w:spacing w:before="280" w:after="120" w:line="240" w:lineRule="auto"/>
        <w:jc w:val="both"/>
        <w:rPr>
          <w:rFonts w:ascii="Arial" w:hAnsi="Arial" w:cs="Arial"/>
          <w:b/>
          <w:bCs/>
          <w:color w:val="000000" w:themeColor="text1"/>
          <w:sz w:val="22"/>
          <w:szCs w:val="22"/>
        </w:rPr>
      </w:pPr>
      <w:r w:rsidRPr="000226B0">
        <w:rPr>
          <w:rFonts w:ascii="Arial" w:hAnsi="Arial" w:cs="Arial"/>
          <w:b/>
          <w:bCs/>
          <w:color w:val="000000" w:themeColor="text1"/>
          <w:sz w:val="22"/>
          <w:szCs w:val="22"/>
        </w:rPr>
        <w:lastRenderedPageBreak/>
        <w:t>9. Conclusion</w:t>
      </w:r>
    </w:p>
    <w:p w14:paraId="3E3C8DF0" w14:textId="77777777" w:rsidR="007724A3" w:rsidRPr="00B61BF3" w:rsidRDefault="007724A3" w:rsidP="0002121C">
      <w:pPr>
        <w:spacing w:before="80" w:after="8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This study provides empirical evidence on the dual impact of smartphone usage among female undergraduate students at Maharaja Bir Bikram College. Smartphones serve as valuable tools for academic activities, social communication, and skill development. However, the majority of respondents reported daily usage exceeding three hours, associated with reduced academic concentration and perceived adverse effects on moral values.</w:t>
      </w:r>
    </w:p>
    <w:p w14:paraId="341E0036" w14:textId="77777777" w:rsidR="007724A3" w:rsidRPr="00B61BF3" w:rsidRDefault="007724A3" w:rsidP="0002121C">
      <w:pPr>
        <w:spacing w:before="80" w:after="8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Chi-square testing confirmed statistically significant associations: (a) year of study and attention from studies (χ² = 18.543, df = 8, p &lt; 0.05) and (b) age and perceived negative impact on moral values (χ² = 16.159, df = 8, p &lt; 0.05). Both null hypotheses H</w:t>
      </w:r>
      <w:r w:rsidRPr="00B61BF3">
        <w:rPr>
          <w:rFonts w:ascii="Cambria Math" w:hAnsi="Cambria Math" w:cs="Cambria Math"/>
          <w:color w:val="000000" w:themeColor="text1"/>
          <w:sz w:val="20"/>
          <w:szCs w:val="20"/>
        </w:rPr>
        <w:t>₁</w:t>
      </w:r>
      <w:r w:rsidRPr="00B61BF3">
        <w:rPr>
          <w:rFonts w:ascii="Arial" w:hAnsi="Arial" w:cs="Arial"/>
          <w:color w:val="000000" w:themeColor="text1"/>
          <w:sz w:val="20"/>
          <w:szCs w:val="20"/>
        </w:rPr>
        <w:t xml:space="preserve"> and H</w:t>
      </w:r>
      <w:r w:rsidRPr="00B61BF3">
        <w:rPr>
          <w:rFonts w:ascii="Cambria Math" w:hAnsi="Cambria Math" w:cs="Cambria Math"/>
          <w:color w:val="000000" w:themeColor="text1"/>
          <w:sz w:val="20"/>
          <w:szCs w:val="20"/>
        </w:rPr>
        <w:t>₂</w:t>
      </w:r>
      <w:r w:rsidRPr="00B61BF3">
        <w:rPr>
          <w:rFonts w:ascii="Arial" w:hAnsi="Arial" w:cs="Arial"/>
          <w:color w:val="000000" w:themeColor="text1"/>
          <w:sz w:val="20"/>
          <w:szCs w:val="20"/>
        </w:rPr>
        <w:t xml:space="preserve"> were rejected. These findings reinforce the need for higher educational institutions to develop digital wellness frameworks that balance the academic utility of smartphones with protective measures against their negative consequences, promoting responsible and purpose-driven digital engagement among students.</w:t>
      </w:r>
    </w:p>
    <w:p w14:paraId="7DFAF127" w14:textId="77777777" w:rsidR="007724A3" w:rsidRPr="00B61BF3" w:rsidRDefault="007724A3" w:rsidP="0002121C">
      <w:pPr>
        <w:spacing w:before="40" w:after="40" w:line="240" w:lineRule="auto"/>
        <w:jc w:val="both"/>
        <w:rPr>
          <w:rFonts w:ascii="Arial" w:hAnsi="Arial" w:cs="Arial"/>
          <w:color w:val="000000" w:themeColor="text1"/>
          <w:sz w:val="20"/>
          <w:szCs w:val="20"/>
        </w:rPr>
      </w:pPr>
    </w:p>
    <w:p w14:paraId="1F0267B2" w14:textId="77777777" w:rsidR="007724A3" w:rsidRPr="00B61BF3" w:rsidRDefault="007724A3" w:rsidP="003E7B31">
      <w:pPr>
        <w:pStyle w:val="Heading1"/>
        <w:spacing w:before="280" w:after="12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t>Disclaimer (Artificial Intelligence)</w:t>
      </w:r>
    </w:p>
    <w:p w14:paraId="3A50DB53" w14:textId="77777777" w:rsidR="007724A3" w:rsidRPr="00B61BF3" w:rsidRDefault="007724A3" w:rsidP="0002121C">
      <w:pPr>
        <w:spacing w:before="80" w:after="8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The authors hereby declare that no generative AI technologies such as Large Language Models (e.g., ChatGPT, Copilot) or text-to-image generators were used during the writing or editing of this manuscript.</w:t>
      </w:r>
    </w:p>
    <w:p w14:paraId="7B7E9DC6" w14:textId="77777777" w:rsidR="000C5987" w:rsidRDefault="000C5987" w:rsidP="00153095">
      <w:pPr>
        <w:spacing w:before="80" w:after="80" w:line="240" w:lineRule="auto"/>
        <w:jc w:val="both"/>
        <w:rPr>
          <w:rFonts w:ascii="Arial" w:hAnsi="Arial" w:cs="Arial"/>
          <w:b/>
          <w:bCs/>
          <w:color w:val="000000" w:themeColor="text1"/>
          <w:sz w:val="20"/>
          <w:szCs w:val="20"/>
        </w:rPr>
      </w:pPr>
    </w:p>
    <w:p w14:paraId="1A5FE524" w14:textId="66F90D42" w:rsidR="00153095" w:rsidRPr="00B61BF3" w:rsidRDefault="00153095" w:rsidP="00153095">
      <w:pPr>
        <w:spacing w:before="80" w:after="80" w:line="240" w:lineRule="auto"/>
        <w:jc w:val="both"/>
        <w:rPr>
          <w:rFonts w:ascii="Arial" w:hAnsi="Arial" w:cs="Arial"/>
          <w:b/>
          <w:bCs/>
          <w:color w:val="000000" w:themeColor="text1"/>
          <w:sz w:val="20"/>
          <w:szCs w:val="20"/>
        </w:rPr>
      </w:pPr>
      <w:r w:rsidRPr="00B61BF3">
        <w:rPr>
          <w:rFonts w:ascii="Arial" w:hAnsi="Arial" w:cs="Arial"/>
          <w:b/>
          <w:bCs/>
          <w:color w:val="000000" w:themeColor="text1"/>
          <w:sz w:val="20"/>
          <w:szCs w:val="20"/>
        </w:rPr>
        <w:t>Competing Interests</w:t>
      </w:r>
    </w:p>
    <w:p w14:paraId="23134BFE" w14:textId="7DEE0F41" w:rsidR="00153095" w:rsidRDefault="00153095" w:rsidP="00153095">
      <w:pPr>
        <w:spacing w:before="80" w:after="80" w:line="240" w:lineRule="auto"/>
        <w:jc w:val="both"/>
        <w:rPr>
          <w:rFonts w:ascii="Arial" w:hAnsi="Arial" w:cs="Arial"/>
          <w:color w:val="000000" w:themeColor="text1"/>
          <w:sz w:val="20"/>
          <w:szCs w:val="20"/>
        </w:rPr>
      </w:pPr>
      <w:r w:rsidRPr="00B61BF3">
        <w:rPr>
          <w:rFonts w:ascii="Arial" w:hAnsi="Arial" w:cs="Arial"/>
          <w:color w:val="000000" w:themeColor="text1"/>
          <w:sz w:val="20"/>
          <w:szCs w:val="20"/>
        </w:rPr>
        <w:t>Authors have declared that no competing interests exist.</w:t>
      </w:r>
    </w:p>
    <w:p w14:paraId="63CE3B1D" w14:textId="77777777" w:rsidR="000C5987" w:rsidRDefault="000C5987" w:rsidP="00153095">
      <w:pPr>
        <w:spacing w:before="80" w:after="80" w:line="240" w:lineRule="auto"/>
        <w:jc w:val="both"/>
        <w:rPr>
          <w:rFonts w:ascii="Arial" w:hAnsi="Arial" w:cs="Arial"/>
          <w:color w:val="000000" w:themeColor="text1"/>
          <w:sz w:val="20"/>
          <w:szCs w:val="20"/>
        </w:rPr>
      </w:pPr>
    </w:p>
    <w:p w14:paraId="4B00E937" w14:textId="77777777" w:rsidR="00C13CA6" w:rsidRDefault="00C13CA6" w:rsidP="00153095">
      <w:pPr>
        <w:spacing w:before="80" w:after="80" w:line="240" w:lineRule="auto"/>
        <w:jc w:val="both"/>
        <w:rPr>
          <w:rFonts w:ascii="Arial" w:hAnsi="Arial" w:cs="Arial"/>
          <w:b/>
          <w:bCs/>
          <w:color w:val="000000" w:themeColor="text1"/>
          <w:sz w:val="22"/>
          <w:szCs w:val="22"/>
        </w:rPr>
      </w:pPr>
    </w:p>
    <w:p w14:paraId="1F860666" w14:textId="64E1F1AA" w:rsidR="000C5987" w:rsidRPr="000C5987" w:rsidRDefault="000C5987" w:rsidP="00153095">
      <w:pPr>
        <w:spacing w:before="80" w:after="80" w:line="240" w:lineRule="auto"/>
        <w:jc w:val="both"/>
        <w:rPr>
          <w:rFonts w:ascii="Arial" w:hAnsi="Arial" w:cs="Arial"/>
          <w:b/>
          <w:bCs/>
          <w:color w:val="000000" w:themeColor="text1"/>
          <w:sz w:val="22"/>
          <w:szCs w:val="22"/>
        </w:rPr>
      </w:pPr>
      <w:r w:rsidRPr="000C5987">
        <w:rPr>
          <w:rFonts w:ascii="Arial" w:hAnsi="Arial" w:cs="Arial"/>
          <w:b/>
          <w:bCs/>
          <w:color w:val="000000" w:themeColor="text1"/>
          <w:sz w:val="22"/>
          <w:szCs w:val="22"/>
        </w:rPr>
        <w:t>Authors’ Contributions</w:t>
      </w:r>
    </w:p>
    <w:p w14:paraId="73B03804" w14:textId="77777777" w:rsidR="000C5987" w:rsidRDefault="000C5987" w:rsidP="00153095">
      <w:pPr>
        <w:spacing w:before="80" w:after="80" w:line="240" w:lineRule="auto"/>
        <w:jc w:val="both"/>
        <w:rPr>
          <w:rFonts w:ascii="Arial" w:hAnsi="Arial" w:cs="Arial"/>
          <w:color w:val="000000" w:themeColor="text1"/>
          <w:sz w:val="20"/>
          <w:szCs w:val="20"/>
        </w:rPr>
      </w:pPr>
    </w:p>
    <w:p w14:paraId="2786CDFA" w14:textId="602863DE" w:rsidR="000C5987" w:rsidRDefault="000C5987" w:rsidP="00153095">
      <w:pPr>
        <w:spacing w:before="80" w:after="80" w:line="240" w:lineRule="auto"/>
        <w:jc w:val="both"/>
        <w:rPr>
          <w:rFonts w:ascii="Arial" w:hAnsi="Arial" w:cs="Arial"/>
          <w:color w:val="000000" w:themeColor="text1"/>
          <w:sz w:val="20"/>
          <w:szCs w:val="20"/>
        </w:rPr>
      </w:pPr>
      <w:r w:rsidRPr="00C13CA6">
        <w:rPr>
          <w:rFonts w:ascii="Arial" w:hAnsi="Arial" w:cs="Arial"/>
          <w:b/>
          <w:bCs/>
          <w:color w:val="000000" w:themeColor="text1"/>
          <w:sz w:val="20"/>
          <w:szCs w:val="20"/>
        </w:rPr>
        <w:t xml:space="preserve">Likhmi Debatrata (Corresponding Author): </w:t>
      </w:r>
      <w:r>
        <w:rPr>
          <w:rFonts w:ascii="Arial" w:hAnsi="Arial" w:cs="Arial"/>
          <w:color w:val="000000" w:themeColor="text1"/>
          <w:sz w:val="20"/>
          <w:szCs w:val="20"/>
        </w:rPr>
        <w:t>Conceptualization; methodology design; data collection and field administration; formal statistical analysis using SPSS; interpretation of results; original draft preparation; review and editing of the final manuscript.</w:t>
      </w:r>
    </w:p>
    <w:p w14:paraId="725B2E25" w14:textId="088C2B12" w:rsidR="000C5987" w:rsidRDefault="000C5987" w:rsidP="00153095">
      <w:pPr>
        <w:spacing w:before="80" w:after="80" w:line="240" w:lineRule="auto"/>
        <w:jc w:val="both"/>
        <w:rPr>
          <w:rFonts w:ascii="Arial" w:hAnsi="Arial" w:cs="Arial"/>
          <w:color w:val="000000" w:themeColor="text1"/>
          <w:sz w:val="20"/>
          <w:szCs w:val="20"/>
        </w:rPr>
      </w:pPr>
      <w:r w:rsidRPr="00425ADD">
        <w:rPr>
          <w:rFonts w:ascii="Arial" w:hAnsi="Arial" w:cs="Arial"/>
          <w:b/>
          <w:bCs/>
          <w:color w:val="000000" w:themeColor="text1"/>
          <w:sz w:val="20"/>
          <w:szCs w:val="20"/>
        </w:rPr>
        <w:t>Apurba Das:</w:t>
      </w:r>
      <w:r>
        <w:rPr>
          <w:rFonts w:ascii="Arial" w:hAnsi="Arial" w:cs="Arial"/>
          <w:color w:val="000000" w:themeColor="text1"/>
          <w:sz w:val="20"/>
          <w:szCs w:val="20"/>
        </w:rPr>
        <w:t xml:space="preserve"> Data collection and questionnaire administration; data curation and entry; contribution to literature review; review and editing of the manuscript.</w:t>
      </w:r>
    </w:p>
    <w:p w14:paraId="1DD7AB47" w14:textId="045D08D7" w:rsidR="000C5987" w:rsidRDefault="000C5987" w:rsidP="00153095">
      <w:pPr>
        <w:spacing w:before="80" w:after="80" w:line="240" w:lineRule="auto"/>
        <w:jc w:val="both"/>
        <w:rPr>
          <w:rFonts w:ascii="Arial" w:hAnsi="Arial" w:cs="Arial"/>
          <w:color w:val="000000" w:themeColor="text1"/>
          <w:sz w:val="20"/>
          <w:szCs w:val="20"/>
        </w:rPr>
      </w:pPr>
      <w:r w:rsidRPr="00425ADD">
        <w:rPr>
          <w:rFonts w:ascii="Arial" w:hAnsi="Arial" w:cs="Arial"/>
          <w:b/>
          <w:bCs/>
          <w:color w:val="000000" w:themeColor="text1"/>
          <w:sz w:val="20"/>
          <w:szCs w:val="20"/>
        </w:rPr>
        <w:t>Nabarupa Banik:</w:t>
      </w:r>
      <w:r>
        <w:rPr>
          <w:rFonts w:ascii="Arial" w:hAnsi="Arial" w:cs="Arial"/>
          <w:color w:val="000000" w:themeColor="text1"/>
          <w:sz w:val="20"/>
          <w:szCs w:val="20"/>
        </w:rPr>
        <w:t xml:space="preserve"> Data collection and questionnaire administration; data curation and entry; contribution to literature review; review and editing of the manuscript.</w:t>
      </w:r>
    </w:p>
    <w:p w14:paraId="75D2827B" w14:textId="4FDBBB2F" w:rsidR="000C5987" w:rsidRDefault="000C5987" w:rsidP="00153095">
      <w:pPr>
        <w:spacing w:before="80" w:after="80" w:line="240" w:lineRule="auto"/>
        <w:jc w:val="both"/>
        <w:rPr>
          <w:rFonts w:ascii="Arial" w:hAnsi="Arial" w:cs="Arial"/>
          <w:color w:val="000000" w:themeColor="text1"/>
          <w:sz w:val="20"/>
          <w:szCs w:val="20"/>
        </w:rPr>
      </w:pPr>
      <w:r w:rsidRPr="00425ADD">
        <w:rPr>
          <w:rFonts w:ascii="Arial" w:hAnsi="Arial" w:cs="Arial"/>
          <w:b/>
          <w:bCs/>
          <w:color w:val="000000" w:themeColor="text1"/>
          <w:sz w:val="20"/>
          <w:szCs w:val="20"/>
        </w:rPr>
        <w:t>Dr. Goutam Saha</w:t>
      </w:r>
      <w:r>
        <w:rPr>
          <w:rFonts w:ascii="Arial" w:hAnsi="Arial" w:cs="Arial"/>
          <w:color w:val="000000" w:themeColor="text1"/>
          <w:sz w:val="20"/>
          <w:szCs w:val="20"/>
        </w:rPr>
        <w:t>: Conceptualization and study design; supervision and academic guidance throughout the research process; validation of statistical methodology and findings; critical review and final approval of the manuscript.</w:t>
      </w:r>
    </w:p>
    <w:p w14:paraId="27E491A9" w14:textId="77777777" w:rsidR="000C5987" w:rsidRDefault="000C5987" w:rsidP="00153095">
      <w:pPr>
        <w:spacing w:before="80" w:after="80" w:line="240" w:lineRule="auto"/>
        <w:jc w:val="both"/>
        <w:rPr>
          <w:rFonts w:ascii="Arial" w:hAnsi="Arial" w:cs="Arial"/>
          <w:color w:val="000000" w:themeColor="text1"/>
          <w:sz w:val="20"/>
          <w:szCs w:val="20"/>
        </w:rPr>
      </w:pPr>
    </w:p>
    <w:p w14:paraId="06B4C64E" w14:textId="77777777" w:rsidR="000C5987" w:rsidRPr="00B61BF3" w:rsidRDefault="000C5987" w:rsidP="00153095">
      <w:pPr>
        <w:spacing w:before="80" w:after="80" w:line="240" w:lineRule="auto"/>
        <w:jc w:val="both"/>
        <w:rPr>
          <w:rFonts w:ascii="Arial" w:hAnsi="Arial" w:cs="Arial"/>
          <w:color w:val="000000" w:themeColor="text1"/>
          <w:sz w:val="20"/>
          <w:szCs w:val="20"/>
        </w:rPr>
      </w:pPr>
      <w:r>
        <w:rPr>
          <w:rFonts w:ascii="Arial" w:hAnsi="Arial" w:cs="Arial"/>
          <w:color w:val="000000" w:themeColor="text1"/>
          <w:sz w:val="20"/>
          <w:szCs w:val="20"/>
        </w:rPr>
        <w:t>All authors have read and approved the final version of the manuscript for submission.</w:t>
      </w:r>
    </w:p>
    <w:p w14:paraId="4AFAD9D1" w14:textId="77777777" w:rsidR="007724A3" w:rsidRPr="00B61BF3" w:rsidRDefault="007724A3" w:rsidP="00153095">
      <w:pPr>
        <w:spacing w:before="40" w:after="40" w:line="240" w:lineRule="auto"/>
        <w:jc w:val="both"/>
        <w:rPr>
          <w:rFonts w:ascii="Arial" w:hAnsi="Arial" w:cs="Arial"/>
          <w:color w:val="000000" w:themeColor="text1"/>
          <w:sz w:val="20"/>
          <w:szCs w:val="20"/>
        </w:rPr>
      </w:pPr>
    </w:p>
    <w:p w14:paraId="4FBFB1D8" w14:textId="77777777" w:rsidR="00AB5058" w:rsidRDefault="00AB5058" w:rsidP="0064154D">
      <w:pPr>
        <w:pStyle w:val="Heading1"/>
        <w:spacing w:before="280" w:after="120" w:line="240" w:lineRule="auto"/>
        <w:jc w:val="both"/>
        <w:rPr>
          <w:rFonts w:ascii="Arial" w:hAnsi="Arial" w:cs="Arial"/>
          <w:b/>
          <w:bCs/>
          <w:color w:val="000000" w:themeColor="text1"/>
          <w:sz w:val="22"/>
          <w:szCs w:val="22"/>
        </w:rPr>
      </w:pPr>
      <w:r>
        <w:rPr>
          <w:rFonts w:ascii="Arial" w:hAnsi="Arial" w:cs="Arial"/>
          <w:b/>
          <w:bCs/>
          <w:color w:val="000000" w:themeColor="text1"/>
          <w:sz w:val="22"/>
          <w:szCs w:val="22"/>
        </w:rPr>
        <w:t>References</w:t>
      </w:r>
    </w:p>
    <w:p w14:paraId="08169126" w14:textId="77777777" w:rsidR="00AB5058" w:rsidRPr="00AB5058" w:rsidRDefault="00AB5058" w:rsidP="00AB5058"/>
    <w:p w14:paraId="09AC36E6" w14:textId="3EE9171E" w:rsidR="0092564B" w:rsidRDefault="00991280" w:rsidP="0064154D">
      <w:pPr>
        <w:spacing w:line="240" w:lineRule="auto"/>
        <w:rPr>
          <w:rFonts w:ascii="Arial" w:hAnsi="Arial" w:cs="Arial"/>
          <w:sz w:val="20"/>
          <w:szCs w:val="20"/>
        </w:rPr>
      </w:pPr>
      <w:r w:rsidRPr="00AB5058">
        <w:rPr>
          <w:rFonts w:ascii="Arial" w:hAnsi="Arial" w:cs="Arial"/>
          <w:sz w:val="20"/>
          <w:szCs w:val="20"/>
        </w:rPr>
        <w:t>Devi, M., Tomy, C., Olickal, J. J., Rose, B. M., &amp; Thankappan, K. R</w:t>
      </w:r>
      <w:r w:rsidR="003D5742" w:rsidRPr="00AB5058">
        <w:rPr>
          <w:rFonts w:ascii="Arial" w:hAnsi="Arial" w:cs="Arial"/>
          <w:sz w:val="20"/>
          <w:szCs w:val="20"/>
        </w:rPr>
        <w:t xml:space="preserve"> </w:t>
      </w:r>
      <w:r w:rsidRPr="00AB5058">
        <w:rPr>
          <w:rFonts w:ascii="Arial" w:hAnsi="Arial" w:cs="Arial"/>
          <w:sz w:val="20"/>
          <w:szCs w:val="20"/>
        </w:rPr>
        <w:t>(</w:t>
      </w:r>
      <w:r w:rsidR="003D5742" w:rsidRPr="00AB5058">
        <w:rPr>
          <w:rFonts w:ascii="Arial" w:hAnsi="Arial" w:cs="Arial"/>
          <w:sz w:val="20"/>
          <w:szCs w:val="20"/>
        </w:rPr>
        <w:t>2</w:t>
      </w:r>
      <w:r w:rsidR="00B526B8" w:rsidRPr="00AB5058">
        <w:rPr>
          <w:rFonts w:ascii="Arial" w:hAnsi="Arial" w:cs="Arial"/>
          <w:sz w:val="20"/>
          <w:szCs w:val="20"/>
        </w:rPr>
        <w:t xml:space="preserve">025). Prevalence of smartphone addiction and its associated factors among college students aged 18–23 years in Kerala, India: A cross-sectional study. Cureus, 17(2). </w:t>
      </w:r>
      <w:hyperlink r:id="rId8" w:history="1">
        <w:r w:rsidR="001D7458" w:rsidRPr="00AB5058">
          <w:rPr>
            <w:rStyle w:val="Hyperlink"/>
            <w:rFonts w:ascii="Arial" w:hAnsi="Arial" w:cs="Arial"/>
            <w:sz w:val="20"/>
            <w:szCs w:val="20"/>
          </w:rPr>
          <w:t>https://doi.org/10.7759/cureus.97301</w:t>
        </w:r>
      </w:hyperlink>
    </w:p>
    <w:p w14:paraId="22D0C6ED" w14:textId="77777777" w:rsidR="004A3DD4" w:rsidRPr="00AB5058" w:rsidRDefault="004A3DD4" w:rsidP="0064154D">
      <w:pPr>
        <w:spacing w:line="240" w:lineRule="auto"/>
        <w:rPr>
          <w:rFonts w:ascii="Arial" w:hAnsi="Arial" w:cs="Arial"/>
          <w:sz w:val="20"/>
          <w:szCs w:val="20"/>
        </w:rPr>
      </w:pPr>
    </w:p>
    <w:p w14:paraId="27C597D3" w14:textId="3ABB8082" w:rsidR="0092564B" w:rsidRPr="00AB5058" w:rsidRDefault="000D0E58" w:rsidP="0064154D">
      <w:pPr>
        <w:spacing w:line="240" w:lineRule="auto"/>
        <w:rPr>
          <w:rFonts w:ascii="Arial" w:hAnsi="Arial" w:cs="Arial"/>
          <w:sz w:val="20"/>
          <w:szCs w:val="20"/>
        </w:rPr>
      </w:pPr>
      <w:r w:rsidRPr="00AB5058">
        <w:rPr>
          <w:rFonts w:ascii="Arial" w:hAnsi="Arial" w:cs="Arial"/>
          <w:sz w:val="20"/>
          <w:szCs w:val="20"/>
        </w:rPr>
        <w:t xml:space="preserve">Ghazali, S. E., Subramaniam, P., Al-Shahrani, H. F., Rajikan, R., Abdul Wahab, N. A., Mohd. Saad, Q. H., &amp; Wahab, S. </w:t>
      </w:r>
      <w:r w:rsidR="00E364D0" w:rsidRPr="00AB5058">
        <w:rPr>
          <w:rFonts w:ascii="Arial" w:hAnsi="Arial" w:cs="Arial"/>
          <w:sz w:val="20"/>
          <w:szCs w:val="20"/>
        </w:rPr>
        <w:t xml:space="preserve"> (2026). Associations between smartphone addiction, anxiety, depression, and academic performance among university students. Scientific Reports. </w:t>
      </w:r>
      <w:hyperlink r:id="rId9" w:history="1">
        <w:r w:rsidR="00E364D0" w:rsidRPr="00AB5058">
          <w:rPr>
            <w:rStyle w:val="Hyperlink"/>
            <w:rFonts w:ascii="Arial" w:hAnsi="Arial" w:cs="Arial"/>
            <w:sz w:val="20"/>
            <w:szCs w:val="20"/>
          </w:rPr>
          <w:t>https://doi.org/10.1038/s41598-026-47811-0</w:t>
        </w:r>
      </w:hyperlink>
    </w:p>
    <w:p w14:paraId="227790A3" w14:textId="77777777" w:rsidR="00E364D0" w:rsidRPr="00AB5058" w:rsidRDefault="00E364D0" w:rsidP="0064154D">
      <w:pPr>
        <w:spacing w:line="240" w:lineRule="auto"/>
        <w:rPr>
          <w:rFonts w:ascii="Arial" w:hAnsi="Arial" w:cs="Arial"/>
          <w:sz w:val="20"/>
          <w:szCs w:val="20"/>
        </w:rPr>
      </w:pPr>
    </w:p>
    <w:p w14:paraId="77D4361B" w14:textId="111509C0" w:rsidR="0092564B" w:rsidRPr="00AB5058" w:rsidRDefault="0092564B" w:rsidP="0064154D">
      <w:pPr>
        <w:spacing w:line="240" w:lineRule="auto"/>
        <w:rPr>
          <w:rFonts w:ascii="Arial" w:hAnsi="Arial" w:cs="Arial"/>
          <w:sz w:val="20"/>
          <w:szCs w:val="20"/>
        </w:rPr>
      </w:pPr>
      <w:r w:rsidRPr="00AB5058">
        <w:rPr>
          <w:rFonts w:ascii="Arial" w:hAnsi="Arial" w:cs="Arial"/>
          <w:sz w:val="20"/>
          <w:szCs w:val="20"/>
        </w:rPr>
        <w:lastRenderedPageBreak/>
        <w:t xml:space="preserve">Gupta, S. C., &amp; Kapoor, V. K. (2007). </w:t>
      </w:r>
      <w:r w:rsidRPr="00822268">
        <w:rPr>
          <w:rFonts w:ascii="Arial" w:hAnsi="Arial" w:cs="Arial"/>
          <w:i/>
          <w:iCs/>
          <w:sz w:val="20"/>
          <w:szCs w:val="20"/>
        </w:rPr>
        <w:t xml:space="preserve">Fundamentals of applied </w:t>
      </w:r>
      <w:r w:rsidR="00822268" w:rsidRPr="00822268">
        <w:rPr>
          <w:rFonts w:ascii="Arial" w:hAnsi="Arial" w:cs="Arial"/>
          <w:i/>
          <w:iCs/>
          <w:sz w:val="20"/>
          <w:szCs w:val="20"/>
        </w:rPr>
        <w:t>statistics</w:t>
      </w:r>
      <w:r w:rsidR="00822268">
        <w:rPr>
          <w:rFonts w:ascii="Arial" w:hAnsi="Arial" w:cs="Arial"/>
          <w:sz w:val="20"/>
          <w:szCs w:val="20"/>
        </w:rPr>
        <w:t xml:space="preserve"> </w:t>
      </w:r>
      <w:r w:rsidR="00C33637">
        <w:rPr>
          <w:rFonts w:ascii="Arial" w:hAnsi="Arial" w:cs="Arial"/>
          <w:sz w:val="20"/>
          <w:szCs w:val="20"/>
        </w:rPr>
        <w:t>(4</w:t>
      </w:r>
      <w:r w:rsidR="00C33637" w:rsidRPr="00C33637">
        <w:rPr>
          <w:rFonts w:ascii="Arial" w:hAnsi="Arial" w:cs="Arial"/>
          <w:sz w:val="20"/>
          <w:szCs w:val="20"/>
          <w:vertAlign w:val="superscript"/>
        </w:rPr>
        <w:t>th</w:t>
      </w:r>
      <w:r w:rsidR="00C33637">
        <w:rPr>
          <w:rFonts w:ascii="Arial" w:hAnsi="Arial" w:cs="Arial"/>
          <w:sz w:val="20"/>
          <w:szCs w:val="20"/>
        </w:rPr>
        <w:t xml:space="preserve"> ed.)</w:t>
      </w:r>
      <w:r w:rsidRPr="00AB5058">
        <w:rPr>
          <w:rFonts w:ascii="Arial" w:hAnsi="Arial" w:cs="Arial"/>
          <w:sz w:val="20"/>
          <w:szCs w:val="20"/>
        </w:rPr>
        <w:t xml:space="preserve">. Sultan Chand &amp; Sons. </w:t>
      </w:r>
    </w:p>
    <w:p w14:paraId="60E1F83B" w14:textId="77777777" w:rsidR="001964B6" w:rsidRPr="00AB5058" w:rsidRDefault="001964B6" w:rsidP="0064154D">
      <w:pPr>
        <w:spacing w:before="80" w:after="80" w:line="240" w:lineRule="auto"/>
        <w:jc w:val="both"/>
        <w:rPr>
          <w:rFonts w:ascii="Arial" w:hAnsi="Arial" w:cs="Arial"/>
          <w:sz w:val="20"/>
          <w:szCs w:val="20"/>
        </w:rPr>
      </w:pPr>
    </w:p>
    <w:p w14:paraId="124F4DA0" w14:textId="609BE2C8" w:rsidR="00926D5F" w:rsidRDefault="00926D5F" w:rsidP="0064154D">
      <w:pPr>
        <w:spacing w:before="80" w:after="80" w:line="240" w:lineRule="auto"/>
        <w:jc w:val="both"/>
        <w:rPr>
          <w:rFonts w:ascii="Arial" w:hAnsi="Arial" w:cs="Arial"/>
          <w:color w:val="000000" w:themeColor="text1"/>
          <w:sz w:val="20"/>
          <w:szCs w:val="20"/>
        </w:rPr>
      </w:pPr>
      <w:r w:rsidRPr="00AB5058">
        <w:rPr>
          <w:rFonts w:ascii="Arial" w:hAnsi="Arial" w:cs="Arial"/>
          <w:color w:val="000000" w:themeColor="text1"/>
          <w:sz w:val="20"/>
          <w:szCs w:val="20"/>
        </w:rPr>
        <w:t>Gupta, S. C., &amp; Kapoor, V. K. (20</w:t>
      </w:r>
      <w:r w:rsidR="00503013" w:rsidRPr="00AB5058">
        <w:rPr>
          <w:rFonts w:ascii="Arial" w:hAnsi="Arial" w:cs="Arial"/>
          <w:color w:val="000000" w:themeColor="text1"/>
          <w:sz w:val="20"/>
          <w:szCs w:val="20"/>
        </w:rPr>
        <w:t>20</w:t>
      </w:r>
      <w:r w:rsidRPr="00AB5058">
        <w:rPr>
          <w:rFonts w:ascii="Arial" w:hAnsi="Arial" w:cs="Arial"/>
          <w:color w:val="000000" w:themeColor="text1"/>
          <w:sz w:val="20"/>
          <w:szCs w:val="20"/>
        </w:rPr>
        <w:t xml:space="preserve">). </w:t>
      </w:r>
      <w:r w:rsidRPr="00C33637">
        <w:rPr>
          <w:rFonts w:ascii="Arial" w:hAnsi="Arial" w:cs="Arial"/>
          <w:i/>
          <w:iCs/>
          <w:color w:val="000000" w:themeColor="text1"/>
          <w:sz w:val="20"/>
          <w:szCs w:val="20"/>
        </w:rPr>
        <w:t>Fundamentals of mathematical statistics</w:t>
      </w:r>
      <w:r w:rsidR="00913FDD" w:rsidRPr="00C33637">
        <w:rPr>
          <w:rFonts w:ascii="Arial" w:hAnsi="Arial" w:cs="Arial"/>
          <w:i/>
          <w:iCs/>
          <w:color w:val="000000" w:themeColor="text1"/>
          <w:sz w:val="20"/>
          <w:szCs w:val="20"/>
        </w:rPr>
        <w:t>(12</w:t>
      </w:r>
      <w:r w:rsidR="00913FDD" w:rsidRPr="00C33637">
        <w:rPr>
          <w:rFonts w:ascii="Arial" w:hAnsi="Arial" w:cs="Arial"/>
          <w:i/>
          <w:iCs/>
          <w:color w:val="000000" w:themeColor="text1"/>
          <w:sz w:val="20"/>
          <w:szCs w:val="20"/>
          <w:vertAlign w:val="superscript"/>
        </w:rPr>
        <w:t>th</w:t>
      </w:r>
      <w:r w:rsidR="00913FDD" w:rsidRPr="00C33637">
        <w:rPr>
          <w:rFonts w:ascii="Arial" w:hAnsi="Arial" w:cs="Arial"/>
          <w:i/>
          <w:iCs/>
          <w:color w:val="000000" w:themeColor="text1"/>
          <w:sz w:val="20"/>
          <w:szCs w:val="20"/>
        </w:rPr>
        <w:t xml:space="preserve"> </w:t>
      </w:r>
      <w:r w:rsidR="00450528" w:rsidRPr="00C33637">
        <w:rPr>
          <w:rFonts w:ascii="Arial" w:hAnsi="Arial" w:cs="Arial"/>
          <w:i/>
          <w:iCs/>
          <w:color w:val="000000" w:themeColor="text1"/>
          <w:sz w:val="20"/>
          <w:szCs w:val="20"/>
        </w:rPr>
        <w:t>ed.)</w:t>
      </w:r>
      <w:r w:rsidR="00450528">
        <w:rPr>
          <w:rFonts w:ascii="Arial" w:hAnsi="Arial" w:cs="Arial"/>
          <w:color w:val="000000" w:themeColor="text1"/>
          <w:sz w:val="20"/>
          <w:szCs w:val="20"/>
        </w:rPr>
        <w:t>.</w:t>
      </w:r>
      <w:r w:rsidRPr="00AB5058">
        <w:rPr>
          <w:rFonts w:ascii="Arial" w:hAnsi="Arial" w:cs="Arial"/>
          <w:color w:val="000000" w:themeColor="text1"/>
          <w:sz w:val="20"/>
          <w:szCs w:val="20"/>
        </w:rPr>
        <w:t xml:space="preserve">Sultan Chand &amp; Sons. </w:t>
      </w:r>
    </w:p>
    <w:p w14:paraId="68868B0C" w14:textId="77777777" w:rsidR="00E61DA1" w:rsidRPr="00AB5058" w:rsidRDefault="00E61DA1" w:rsidP="0064154D">
      <w:pPr>
        <w:spacing w:before="80" w:after="80" w:line="240" w:lineRule="auto"/>
        <w:jc w:val="both"/>
        <w:rPr>
          <w:rFonts w:ascii="Arial" w:hAnsi="Arial" w:cs="Arial"/>
          <w:color w:val="000000" w:themeColor="text1"/>
          <w:sz w:val="20"/>
          <w:szCs w:val="20"/>
        </w:rPr>
      </w:pPr>
    </w:p>
    <w:p w14:paraId="29D7F89D" w14:textId="1007F0B8" w:rsidR="00714E99" w:rsidRPr="00AB5058" w:rsidRDefault="00125A0A" w:rsidP="0064154D">
      <w:pPr>
        <w:spacing w:before="80" w:after="80" w:line="240" w:lineRule="auto"/>
        <w:jc w:val="both"/>
        <w:rPr>
          <w:rFonts w:ascii="Arial" w:hAnsi="Arial" w:cs="Arial"/>
          <w:color w:val="000000" w:themeColor="text1"/>
          <w:sz w:val="20"/>
          <w:szCs w:val="20"/>
        </w:rPr>
      </w:pPr>
      <w:r w:rsidRPr="00AB5058">
        <w:rPr>
          <w:rFonts w:ascii="Arial" w:hAnsi="Arial" w:cs="Arial"/>
          <w:color w:val="000000" w:themeColor="text1"/>
          <w:sz w:val="20"/>
          <w:szCs w:val="20"/>
        </w:rPr>
        <w:t>Haque, S., Singh, S., Narayan, J., Tripathi, A., Ahmad, M., Kumar, T., &amp; Verma, S.(</w:t>
      </w:r>
      <w:r w:rsidR="00714E99" w:rsidRPr="00AB5058">
        <w:rPr>
          <w:rFonts w:ascii="Arial" w:hAnsi="Arial" w:cs="Arial"/>
          <w:color w:val="000000" w:themeColor="text1"/>
          <w:sz w:val="20"/>
          <w:szCs w:val="20"/>
        </w:rPr>
        <w:t xml:space="preserve">2024). Effect of smartphone use on sleep and mental health status of Indian medical students: A cross-sectional study. International Journal of Research in Medical Sciences, 12(4), 1201–1208. </w:t>
      </w:r>
      <w:hyperlink r:id="rId10" w:history="1">
        <w:r w:rsidR="00714E99" w:rsidRPr="00AB5058">
          <w:rPr>
            <w:rStyle w:val="Hyperlink"/>
            <w:rFonts w:ascii="Arial" w:hAnsi="Arial" w:cs="Arial"/>
            <w:sz w:val="20"/>
            <w:szCs w:val="20"/>
          </w:rPr>
          <w:t>https://www.msjonline.org/index.php/ijrms/article/view/14037</w:t>
        </w:r>
      </w:hyperlink>
    </w:p>
    <w:p w14:paraId="3DD67003" w14:textId="77777777" w:rsidR="00D77F8E" w:rsidRPr="00AB5058" w:rsidRDefault="00D77F8E" w:rsidP="0064154D">
      <w:pPr>
        <w:spacing w:before="80" w:after="80" w:line="240" w:lineRule="auto"/>
        <w:jc w:val="both"/>
        <w:rPr>
          <w:rFonts w:ascii="Arial" w:hAnsi="Arial" w:cs="Arial"/>
          <w:color w:val="000000" w:themeColor="text1"/>
          <w:sz w:val="20"/>
          <w:szCs w:val="20"/>
        </w:rPr>
      </w:pPr>
    </w:p>
    <w:p w14:paraId="4BA4E88F" w14:textId="3D9FFDBF" w:rsidR="00B053A8" w:rsidRPr="00AB5058" w:rsidRDefault="00B053A8" w:rsidP="0064154D">
      <w:pPr>
        <w:spacing w:before="80" w:after="80" w:line="240" w:lineRule="auto"/>
        <w:jc w:val="both"/>
        <w:rPr>
          <w:rFonts w:ascii="Arial" w:hAnsi="Arial" w:cs="Arial"/>
          <w:color w:val="000000" w:themeColor="text1"/>
          <w:sz w:val="20"/>
          <w:szCs w:val="20"/>
        </w:rPr>
      </w:pPr>
      <w:r w:rsidRPr="00AB5058">
        <w:rPr>
          <w:rFonts w:ascii="Arial" w:hAnsi="Arial" w:cs="Arial"/>
          <w:color w:val="000000" w:themeColor="text1"/>
          <w:sz w:val="20"/>
          <w:szCs w:val="20"/>
        </w:rPr>
        <w:t xml:space="preserve">HemaLatha, R., &amp; Aruna, M. (2025). Smartphone usage behaviour among undergraduate and postgraduate students. All Research Journal, 12(1c), 13314. </w:t>
      </w:r>
      <w:hyperlink r:id="rId11" w:history="1">
        <w:r w:rsidRPr="00AB5058">
          <w:rPr>
            <w:rStyle w:val="Hyperlink"/>
            <w:rFonts w:ascii="Arial" w:hAnsi="Arial" w:cs="Arial"/>
            <w:sz w:val="20"/>
            <w:szCs w:val="20"/>
          </w:rPr>
          <w:t>https://doi.org/10.22271/allresearch.2026.v12.i1c.13314</w:t>
        </w:r>
      </w:hyperlink>
    </w:p>
    <w:p w14:paraId="76EF336B" w14:textId="77777777" w:rsidR="00B053A8" w:rsidRPr="00AB5058" w:rsidRDefault="00B053A8" w:rsidP="0064154D">
      <w:pPr>
        <w:spacing w:before="80" w:after="80" w:line="240" w:lineRule="auto"/>
        <w:ind w:left="504" w:hanging="504"/>
        <w:jc w:val="both"/>
        <w:rPr>
          <w:rFonts w:ascii="Arial" w:hAnsi="Arial" w:cs="Arial"/>
          <w:color w:val="000000" w:themeColor="text1"/>
          <w:sz w:val="20"/>
          <w:szCs w:val="20"/>
        </w:rPr>
      </w:pPr>
    </w:p>
    <w:p w14:paraId="354A470C" w14:textId="1A244EE9" w:rsidR="00EA40DB" w:rsidRPr="00AB5058" w:rsidRDefault="00DC76E1" w:rsidP="0064154D">
      <w:pPr>
        <w:spacing w:before="80" w:after="80" w:line="240" w:lineRule="auto"/>
        <w:jc w:val="both"/>
        <w:rPr>
          <w:rFonts w:ascii="Arial" w:hAnsi="Arial" w:cs="Arial"/>
          <w:color w:val="000000" w:themeColor="text1"/>
          <w:sz w:val="20"/>
          <w:szCs w:val="20"/>
        </w:rPr>
      </w:pPr>
      <w:r w:rsidRPr="00AB5058">
        <w:rPr>
          <w:rFonts w:ascii="Arial" w:hAnsi="Arial" w:cs="Arial"/>
          <w:color w:val="000000" w:themeColor="text1"/>
          <w:sz w:val="20"/>
          <w:szCs w:val="20"/>
        </w:rPr>
        <w:t xml:space="preserve">Kuş, M. (2025). A meta-analysis of the impact of technology-related factors on students' academic performance. Frontiers in Psychology, 16, 1524645. </w:t>
      </w:r>
      <w:hyperlink r:id="rId12" w:history="1">
        <w:r w:rsidR="00EA40DB" w:rsidRPr="00AB5058">
          <w:rPr>
            <w:rStyle w:val="Hyperlink"/>
            <w:rFonts w:ascii="Arial" w:hAnsi="Arial" w:cs="Arial"/>
            <w:sz w:val="20"/>
            <w:szCs w:val="20"/>
          </w:rPr>
          <w:t>https://doi.org/10.3389/fpsyg.2025.1524645</w:t>
        </w:r>
      </w:hyperlink>
    </w:p>
    <w:p w14:paraId="1264E0E3" w14:textId="77777777" w:rsidR="00EA40DB" w:rsidRPr="00AB5058" w:rsidRDefault="00EA40DB" w:rsidP="0064154D">
      <w:pPr>
        <w:spacing w:before="80" w:after="80" w:line="240" w:lineRule="auto"/>
        <w:jc w:val="both"/>
        <w:rPr>
          <w:rFonts w:ascii="Arial" w:hAnsi="Arial" w:cs="Arial"/>
          <w:color w:val="000000" w:themeColor="text1"/>
          <w:sz w:val="20"/>
          <w:szCs w:val="20"/>
        </w:rPr>
      </w:pPr>
    </w:p>
    <w:p w14:paraId="6A6A3D7A" w14:textId="388A0876" w:rsidR="00DC76E1" w:rsidRPr="00AB5058" w:rsidRDefault="00EA40DB" w:rsidP="0064154D">
      <w:pPr>
        <w:spacing w:before="80" w:after="80" w:line="240" w:lineRule="auto"/>
        <w:jc w:val="both"/>
        <w:rPr>
          <w:rFonts w:ascii="Arial" w:hAnsi="Arial" w:cs="Arial"/>
          <w:sz w:val="20"/>
          <w:szCs w:val="20"/>
        </w:rPr>
      </w:pPr>
      <w:r w:rsidRPr="00AB5058">
        <w:rPr>
          <w:rFonts w:ascii="Arial" w:hAnsi="Arial" w:cs="Arial"/>
          <w:color w:val="000000" w:themeColor="text1"/>
          <w:sz w:val="20"/>
          <w:szCs w:val="20"/>
        </w:rPr>
        <w:t xml:space="preserve">Naidu </w:t>
      </w:r>
      <w:r w:rsidR="001F0FD4" w:rsidRPr="00AB5058">
        <w:rPr>
          <w:rFonts w:ascii="Arial" w:hAnsi="Arial" w:cs="Arial"/>
          <w:color w:val="000000" w:themeColor="text1"/>
          <w:sz w:val="20"/>
          <w:szCs w:val="20"/>
        </w:rPr>
        <w:t xml:space="preserve">D. R. (2018). A study on smartphone usage pattern – purpose and preference among college students. International Journal of Commerce, Management and Social Sciences, 9(2), 68–77. </w:t>
      </w:r>
      <w:hyperlink r:id="rId13" w:history="1">
        <w:r w:rsidR="001F0FD4" w:rsidRPr="00AB5058">
          <w:rPr>
            <w:rStyle w:val="Hyperlink"/>
            <w:rFonts w:ascii="Arial" w:hAnsi="Arial" w:cs="Arial"/>
            <w:sz w:val="20"/>
            <w:szCs w:val="20"/>
          </w:rPr>
          <w:t>https://ideas.repec.org/a/aii/ijcmss/v09y2018i2p68-77.html</w:t>
        </w:r>
      </w:hyperlink>
    </w:p>
    <w:p w14:paraId="61384A83" w14:textId="77777777" w:rsidR="002E28DE" w:rsidRPr="00AB5058" w:rsidRDefault="002E28DE" w:rsidP="0064154D">
      <w:pPr>
        <w:spacing w:before="80" w:after="80" w:line="240" w:lineRule="auto"/>
        <w:jc w:val="both"/>
        <w:rPr>
          <w:rFonts w:ascii="Arial" w:hAnsi="Arial" w:cs="Arial"/>
          <w:sz w:val="20"/>
          <w:szCs w:val="20"/>
        </w:rPr>
      </w:pPr>
    </w:p>
    <w:p w14:paraId="7FD3B86C" w14:textId="1E37E426" w:rsidR="00203ADE" w:rsidRPr="00AB5058" w:rsidRDefault="00254915" w:rsidP="0064154D">
      <w:pPr>
        <w:spacing w:before="80" w:after="80" w:line="240" w:lineRule="auto"/>
        <w:jc w:val="both"/>
        <w:rPr>
          <w:rFonts w:ascii="Arial" w:hAnsi="Arial" w:cs="Arial"/>
          <w:sz w:val="20"/>
          <w:szCs w:val="20"/>
        </w:rPr>
      </w:pPr>
      <w:r w:rsidRPr="00AB5058">
        <w:rPr>
          <w:rFonts w:ascii="Arial" w:hAnsi="Arial" w:cs="Arial"/>
          <w:sz w:val="20"/>
          <w:szCs w:val="20"/>
        </w:rPr>
        <w:t xml:space="preserve"> </w:t>
      </w:r>
      <w:r w:rsidR="002E28DE" w:rsidRPr="00AB5058">
        <w:rPr>
          <w:rFonts w:ascii="Arial" w:hAnsi="Arial" w:cs="Arial"/>
          <w:sz w:val="20"/>
          <w:szCs w:val="20"/>
        </w:rPr>
        <w:t>Lukram, H., Baishya, R., &amp; Chakma, S..</w:t>
      </w:r>
      <w:r w:rsidRPr="00AB5058">
        <w:rPr>
          <w:rFonts w:ascii="Arial" w:hAnsi="Arial" w:cs="Arial"/>
          <w:sz w:val="20"/>
          <w:szCs w:val="20"/>
        </w:rPr>
        <w:t xml:space="preserve">(2026). Screen time patterns and their impact on academic performance: A prospective study among Phase 1 MBBS students. Cureus, 18(1), e101440. </w:t>
      </w:r>
      <w:hyperlink r:id="rId14" w:history="1">
        <w:r w:rsidRPr="00AB5058">
          <w:rPr>
            <w:rStyle w:val="Hyperlink"/>
            <w:rFonts w:ascii="Arial" w:hAnsi="Arial" w:cs="Arial"/>
            <w:sz w:val="20"/>
            <w:szCs w:val="20"/>
          </w:rPr>
          <w:t>https://doi.org/10.7759/cureus.101440</w:t>
        </w:r>
      </w:hyperlink>
    </w:p>
    <w:p w14:paraId="39CAA031" w14:textId="77777777" w:rsidR="0058631B" w:rsidRPr="00AB5058" w:rsidRDefault="0058631B" w:rsidP="0064154D">
      <w:pPr>
        <w:spacing w:before="80" w:after="80" w:line="240" w:lineRule="auto"/>
        <w:jc w:val="both"/>
        <w:rPr>
          <w:rFonts w:ascii="Arial" w:hAnsi="Arial" w:cs="Arial"/>
          <w:sz w:val="20"/>
          <w:szCs w:val="20"/>
        </w:rPr>
      </w:pPr>
    </w:p>
    <w:p w14:paraId="0B48BC8E" w14:textId="43B3F1F1" w:rsidR="001964B6" w:rsidRPr="00AB5058" w:rsidRDefault="0030102D" w:rsidP="0064154D">
      <w:pPr>
        <w:spacing w:before="80" w:after="80" w:line="240" w:lineRule="auto"/>
        <w:jc w:val="both"/>
        <w:rPr>
          <w:rFonts w:ascii="Arial" w:hAnsi="Arial" w:cs="Arial"/>
          <w:sz w:val="20"/>
          <w:szCs w:val="20"/>
        </w:rPr>
      </w:pPr>
      <w:r w:rsidRPr="00AB5058">
        <w:rPr>
          <w:rFonts w:ascii="Arial" w:hAnsi="Arial" w:cs="Arial"/>
          <w:color w:val="000000" w:themeColor="text1"/>
          <w:sz w:val="20"/>
          <w:szCs w:val="20"/>
        </w:rPr>
        <w:t>Neophytou, E., Manwell, L. A., &amp; Eikelboom, R.</w:t>
      </w:r>
      <w:r w:rsidR="001964B6" w:rsidRPr="00AB5058">
        <w:rPr>
          <w:rFonts w:ascii="Arial" w:hAnsi="Arial" w:cs="Arial"/>
          <w:color w:val="000000" w:themeColor="text1"/>
          <w:sz w:val="20"/>
          <w:szCs w:val="20"/>
        </w:rPr>
        <w:t xml:space="preserve"> (2021). Effects of excessive screen time on neurodevelopment, learning, memory, mental health, and neurodegeneration: A scoping review. International Journal of Mental Health and Addiction, 19(3), 724–744. </w:t>
      </w:r>
      <w:hyperlink r:id="rId15" w:history="1">
        <w:r w:rsidR="001964B6" w:rsidRPr="00AB5058">
          <w:rPr>
            <w:rStyle w:val="Hyperlink"/>
            <w:rFonts w:ascii="Arial" w:hAnsi="Arial" w:cs="Arial"/>
            <w:sz w:val="20"/>
            <w:szCs w:val="20"/>
          </w:rPr>
          <w:t>https://doi.org/10.1007/s11469-019-00182-2</w:t>
        </w:r>
      </w:hyperlink>
    </w:p>
    <w:p w14:paraId="0C827299" w14:textId="77777777" w:rsidR="008C7C3D" w:rsidRPr="00AB5058" w:rsidRDefault="008C7C3D" w:rsidP="0064154D">
      <w:pPr>
        <w:spacing w:before="80" w:after="80" w:line="240" w:lineRule="auto"/>
        <w:jc w:val="both"/>
        <w:rPr>
          <w:rFonts w:ascii="Arial" w:hAnsi="Arial" w:cs="Arial"/>
          <w:sz w:val="20"/>
          <w:szCs w:val="20"/>
        </w:rPr>
      </w:pPr>
    </w:p>
    <w:p w14:paraId="3433ABB4" w14:textId="0E6E4EF1" w:rsidR="008C7C3D" w:rsidRPr="00AB5058" w:rsidRDefault="006F4466" w:rsidP="0064154D">
      <w:pPr>
        <w:spacing w:before="80" w:after="80" w:line="240" w:lineRule="auto"/>
        <w:jc w:val="both"/>
        <w:rPr>
          <w:rFonts w:ascii="Arial" w:hAnsi="Arial" w:cs="Arial"/>
          <w:sz w:val="20"/>
          <w:szCs w:val="20"/>
        </w:rPr>
      </w:pPr>
      <w:r w:rsidRPr="00AB5058">
        <w:rPr>
          <w:rFonts w:ascii="Arial" w:hAnsi="Arial" w:cs="Arial"/>
          <w:sz w:val="20"/>
          <w:szCs w:val="20"/>
        </w:rPr>
        <w:t>Orben, A., Przybylski, A. K., Blakemore, S.-J., &amp; Kievit, R. A.(</w:t>
      </w:r>
      <w:r w:rsidR="008C7C3D" w:rsidRPr="00AB5058">
        <w:rPr>
          <w:rFonts w:ascii="Arial" w:hAnsi="Arial" w:cs="Arial"/>
          <w:sz w:val="20"/>
          <w:szCs w:val="20"/>
        </w:rPr>
        <w:t xml:space="preserve">2022). Windows of developmental sensitivity to social media. Nature Communications, 13, 1649. </w:t>
      </w:r>
      <w:hyperlink r:id="rId16" w:history="1">
        <w:r w:rsidR="008C7C3D" w:rsidRPr="00AB5058">
          <w:rPr>
            <w:rStyle w:val="Hyperlink"/>
            <w:rFonts w:ascii="Arial" w:hAnsi="Arial" w:cs="Arial"/>
            <w:sz w:val="20"/>
            <w:szCs w:val="20"/>
          </w:rPr>
          <w:t>https://doi.org/10.1038/s41467-022-29296-3</w:t>
        </w:r>
      </w:hyperlink>
    </w:p>
    <w:p w14:paraId="3D4EEAAA" w14:textId="77777777" w:rsidR="008C7C3D" w:rsidRPr="00AB5058" w:rsidRDefault="008C7C3D" w:rsidP="0064154D">
      <w:pPr>
        <w:spacing w:before="80" w:after="80" w:line="240" w:lineRule="auto"/>
        <w:jc w:val="both"/>
        <w:rPr>
          <w:rFonts w:ascii="Arial" w:hAnsi="Arial" w:cs="Arial"/>
          <w:color w:val="000000" w:themeColor="text1"/>
          <w:sz w:val="20"/>
          <w:szCs w:val="20"/>
        </w:rPr>
      </w:pPr>
    </w:p>
    <w:p w14:paraId="178D402C" w14:textId="1CF1033C" w:rsidR="008C7C3D" w:rsidRPr="00AB5058" w:rsidRDefault="00645AF4" w:rsidP="0064154D">
      <w:pPr>
        <w:spacing w:before="80" w:after="80" w:line="240" w:lineRule="auto"/>
        <w:jc w:val="both"/>
        <w:rPr>
          <w:rFonts w:ascii="Arial" w:hAnsi="Arial" w:cs="Arial"/>
          <w:color w:val="000000" w:themeColor="text1"/>
          <w:sz w:val="20"/>
          <w:szCs w:val="20"/>
        </w:rPr>
      </w:pPr>
      <w:r w:rsidRPr="00AB5058">
        <w:rPr>
          <w:rFonts w:ascii="Arial" w:hAnsi="Arial" w:cs="Arial"/>
          <w:color w:val="000000" w:themeColor="text1"/>
          <w:sz w:val="20"/>
          <w:szCs w:val="20"/>
        </w:rPr>
        <w:t>Paterna, A., Alcaraz-Ibáñez, M., Aguilar-Parra, J. M., Salavera, C., Demetrovics, Z., &amp; Griffiths, M. D</w:t>
      </w:r>
      <w:r w:rsidR="008C7C3D" w:rsidRPr="00AB5058">
        <w:rPr>
          <w:rFonts w:ascii="Arial" w:hAnsi="Arial" w:cs="Arial"/>
          <w:color w:val="000000" w:themeColor="text1"/>
          <w:sz w:val="20"/>
          <w:szCs w:val="20"/>
        </w:rPr>
        <w:t xml:space="preserve">(2024). Problematic smartphone use and academic achievement: A systematic review and meta-analysis. Journal of Behavioral Addictions, 13(2), 313–326. </w:t>
      </w:r>
      <w:hyperlink r:id="rId17" w:history="1">
        <w:r w:rsidR="008C7C3D" w:rsidRPr="00AB5058">
          <w:rPr>
            <w:rStyle w:val="Hyperlink"/>
            <w:rFonts w:ascii="Arial" w:hAnsi="Arial" w:cs="Arial"/>
            <w:sz w:val="20"/>
            <w:szCs w:val="20"/>
          </w:rPr>
          <w:t>https://doi.org/10.1556/2006.2024.00014</w:t>
        </w:r>
      </w:hyperlink>
    </w:p>
    <w:p w14:paraId="4CD91AC7" w14:textId="77777777" w:rsidR="0026515C" w:rsidRPr="00AB5058" w:rsidRDefault="0026515C" w:rsidP="0064154D">
      <w:pPr>
        <w:spacing w:before="80" w:after="80" w:line="240" w:lineRule="auto"/>
        <w:jc w:val="both"/>
        <w:rPr>
          <w:rFonts w:ascii="Arial" w:hAnsi="Arial" w:cs="Arial"/>
          <w:color w:val="000000" w:themeColor="text1"/>
          <w:sz w:val="20"/>
          <w:szCs w:val="20"/>
        </w:rPr>
      </w:pPr>
    </w:p>
    <w:p w14:paraId="47A77318" w14:textId="54D516FD" w:rsidR="00396B62" w:rsidRPr="00AB5058" w:rsidRDefault="0026515C" w:rsidP="0064154D">
      <w:pPr>
        <w:spacing w:before="80" w:after="80" w:line="240" w:lineRule="auto"/>
        <w:jc w:val="both"/>
        <w:rPr>
          <w:rFonts w:ascii="Arial" w:hAnsi="Arial" w:cs="Arial"/>
          <w:color w:val="000000" w:themeColor="text1"/>
          <w:sz w:val="20"/>
          <w:szCs w:val="20"/>
        </w:rPr>
      </w:pPr>
      <w:r w:rsidRPr="00AB5058">
        <w:rPr>
          <w:rFonts w:ascii="Arial" w:hAnsi="Arial" w:cs="Arial"/>
          <w:color w:val="000000" w:themeColor="text1"/>
          <w:sz w:val="20"/>
          <w:szCs w:val="20"/>
        </w:rPr>
        <w:t>Pundir, P., Andrews, T., Binu, V. S., &amp; Kamath, R.</w:t>
      </w:r>
      <w:r w:rsidR="00396B62" w:rsidRPr="00AB5058">
        <w:rPr>
          <w:rFonts w:ascii="Arial" w:hAnsi="Arial" w:cs="Arial"/>
          <w:color w:val="000000" w:themeColor="text1"/>
          <w:sz w:val="20"/>
          <w:szCs w:val="20"/>
        </w:rPr>
        <w:t xml:space="preserve"> (2026). Association of problematic mobile phone use with psychological distress and self-esteem among college students in South India: A cross-sectional study. International Journal of Community Medicine and Public Health, 13(1), 241. </w:t>
      </w:r>
      <w:hyperlink r:id="rId18" w:history="1">
        <w:r w:rsidR="00396B62" w:rsidRPr="00AB5058">
          <w:rPr>
            <w:rStyle w:val="Hyperlink"/>
            <w:rFonts w:ascii="Arial" w:hAnsi="Arial" w:cs="Arial"/>
            <w:sz w:val="20"/>
            <w:szCs w:val="20"/>
          </w:rPr>
          <w:t>https://www.ijcmph.com/index.php/ijcmph/article/view/241</w:t>
        </w:r>
      </w:hyperlink>
    </w:p>
    <w:p w14:paraId="10D0854F" w14:textId="77777777" w:rsidR="008A24EE" w:rsidRPr="00AB5058" w:rsidRDefault="008A24EE" w:rsidP="0064154D">
      <w:pPr>
        <w:spacing w:before="80" w:after="80" w:line="240" w:lineRule="auto"/>
        <w:jc w:val="both"/>
        <w:rPr>
          <w:rFonts w:ascii="Arial" w:hAnsi="Arial" w:cs="Arial"/>
          <w:color w:val="000000" w:themeColor="text1"/>
          <w:sz w:val="20"/>
          <w:szCs w:val="20"/>
        </w:rPr>
      </w:pPr>
    </w:p>
    <w:p w14:paraId="0BAD6468" w14:textId="070DEEF9" w:rsidR="004B38FE" w:rsidRPr="00AB5058" w:rsidRDefault="00B47087" w:rsidP="0064154D">
      <w:pPr>
        <w:spacing w:before="80" w:after="80" w:line="240" w:lineRule="auto"/>
        <w:jc w:val="both"/>
        <w:rPr>
          <w:rFonts w:ascii="Arial" w:hAnsi="Arial" w:cs="Arial"/>
          <w:color w:val="000000" w:themeColor="text1"/>
          <w:sz w:val="20"/>
          <w:szCs w:val="20"/>
        </w:rPr>
      </w:pPr>
      <w:r w:rsidRPr="00AB5058">
        <w:rPr>
          <w:rFonts w:ascii="Arial" w:hAnsi="Arial" w:cs="Arial"/>
          <w:color w:val="000000" w:themeColor="text1"/>
          <w:sz w:val="20"/>
          <w:szCs w:val="20"/>
        </w:rPr>
        <w:t>Sándor, C., Pirwani, N., Csibi, M., &amp; Szabo, A.</w:t>
      </w:r>
      <w:r w:rsidR="00BD1F97" w:rsidRPr="00AB5058">
        <w:rPr>
          <w:rFonts w:ascii="Arial" w:hAnsi="Arial" w:cs="Arial"/>
          <w:color w:val="000000" w:themeColor="text1"/>
          <w:sz w:val="20"/>
          <w:szCs w:val="20"/>
        </w:rPr>
        <w:t xml:space="preserve"> (2025). Gender differences regarding problematic smartphone use, mediating by mental well-being, emotional regulation, and social anxiety in young adult sample. European Psychiatry, 68, e50. </w:t>
      </w:r>
      <w:hyperlink r:id="rId19" w:history="1">
        <w:r w:rsidR="004B38FE" w:rsidRPr="00AB5058">
          <w:rPr>
            <w:rStyle w:val="Hyperlink"/>
            <w:rFonts w:ascii="Arial" w:hAnsi="Arial" w:cs="Arial"/>
            <w:sz w:val="20"/>
            <w:szCs w:val="20"/>
          </w:rPr>
          <w:t>https://doi.org/10.1192/j.eurpsy.2025.2430</w:t>
        </w:r>
      </w:hyperlink>
    </w:p>
    <w:p w14:paraId="631CC23F" w14:textId="3E8C892A" w:rsidR="004C4EE7" w:rsidRPr="00AB5058" w:rsidRDefault="004C4EE7" w:rsidP="0064154D">
      <w:pPr>
        <w:spacing w:before="80" w:after="80" w:line="240" w:lineRule="auto"/>
        <w:jc w:val="both"/>
        <w:rPr>
          <w:rFonts w:ascii="Arial" w:hAnsi="Arial" w:cs="Arial"/>
          <w:color w:val="000000" w:themeColor="text1"/>
          <w:sz w:val="20"/>
          <w:szCs w:val="20"/>
        </w:rPr>
      </w:pPr>
    </w:p>
    <w:p w14:paraId="7EA10BB3" w14:textId="38028C82" w:rsidR="00BD1F97" w:rsidRPr="00AB5058" w:rsidRDefault="004C4EE7" w:rsidP="0064154D">
      <w:pPr>
        <w:spacing w:before="80" w:after="80" w:line="240" w:lineRule="auto"/>
        <w:jc w:val="both"/>
        <w:rPr>
          <w:rFonts w:ascii="Arial" w:hAnsi="Arial" w:cs="Arial"/>
          <w:sz w:val="20"/>
          <w:szCs w:val="20"/>
        </w:rPr>
      </w:pPr>
      <w:r w:rsidRPr="00AB5058">
        <w:rPr>
          <w:rFonts w:ascii="Arial" w:hAnsi="Arial" w:cs="Arial"/>
          <w:color w:val="000000" w:themeColor="text1"/>
          <w:sz w:val="20"/>
          <w:szCs w:val="20"/>
        </w:rPr>
        <w:t xml:space="preserve">Sun S., </w:t>
      </w:r>
      <w:r w:rsidR="008C6335" w:rsidRPr="00AB5058">
        <w:rPr>
          <w:rFonts w:ascii="Arial" w:hAnsi="Arial" w:cs="Arial"/>
          <w:color w:val="000000" w:themeColor="text1"/>
          <w:sz w:val="20"/>
          <w:szCs w:val="20"/>
        </w:rPr>
        <w:t>Wang X., Wang D.,</w:t>
      </w:r>
      <w:r w:rsidR="008158F5" w:rsidRPr="00AB5058">
        <w:rPr>
          <w:rFonts w:ascii="Arial" w:hAnsi="Arial" w:cs="Arial"/>
          <w:color w:val="000000" w:themeColor="text1"/>
          <w:sz w:val="20"/>
          <w:szCs w:val="20"/>
        </w:rPr>
        <w:t xml:space="preserve">(2023). Smartphone usage patterns and social capital among university students: The moderating effect of sociability. Children and Youth Services Review, 154, 107123. </w:t>
      </w:r>
      <w:hyperlink r:id="rId20" w:history="1">
        <w:r w:rsidR="009C6F33" w:rsidRPr="00AB5058">
          <w:rPr>
            <w:rStyle w:val="Hyperlink"/>
            <w:rFonts w:ascii="Arial" w:hAnsi="Arial" w:cs="Arial"/>
            <w:sz w:val="20"/>
            <w:szCs w:val="20"/>
          </w:rPr>
          <w:t>https://doi.org/10.1016/j.childyouth.2023.107276</w:t>
        </w:r>
      </w:hyperlink>
    </w:p>
    <w:p w14:paraId="18473C5C" w14:textId="77777777" w:rsidR="00660376" w:rsidRPr="00AB5058" w:rsidRDefault="00660376" w:rsidP="0064154D">
      <w:pPr>
        <w:spacing w:before="80" w:after="80" w:line="240" w:lineRule="auto"/>
        <w:jc w:val="both"/>
        <w:rPr>
          <w:rFonts w:ascii="Arial" w:hAnsi="Arial" w:cs="Arial"/>
          <w:sz w:val="20"/>
          <w:szCs w:val="20"/>
        </w:rPr>
      </w:pPr>
    </w:p>
    <w:p w14:paraId="7E8039E4" w14:textId="592F1763" w:rsidR="00B4364C" w:rsidRPr="00AB5058" w:rsidRDefault="00B4364C" w:rsidP="0064154D">
      <w:pPr>
        <w:spacing w:before="80" w:after="80" w:line="240" w:lineRule="auto"/>
        <w:jc w:val="both"/>
        <w:rPr>
          <w:rFonts w:ascii="Arial" w:hAnsi="Arial" w:cs="Arial"/>
          <w:sz w:val="20"/>
          <w:szCs w:val="20"/>
        </w:rPr>
      </w:pPr>
      <w:r w:rsidRPr="00AB5058">
        <w:rPr>
          <w:rFonts w:ascii="Arial" w:hAnsi="Arial" w:cs="Arial"/>
          <w:color w:val="000000" w:themeColor="text1"/>
          <w:sz w:val="20"/>
          <w:szCs w:val="20"/>
        </w:rPr>
        <w:t xml:space="preserve">Tater, B., &amp; John, K. (2024). Effects of smartphone addiction on the physical and mental well-being of Indian students. Indian Journal of Science and Technology, 17(12), 1125–1134. </w:t>
      </w:r>
      <w:hyperlink r:id="rId21" w:history="1">
        <w:r w:rsidRPr="00AB5058">
          <w:rPr>
            <w:rStyle w:val="Hyperlink"/>
            <w:rFonts w:ascii="Arial" w:hAnsi="Arial" w:cs="Arial"/>
            <w:sz w:val="20"/>
            <w:szCs w:val="20"/>
          </w:rPr>
          <w:t>https://indjst.org/articles/effects-of-smartphone-addiction-on-the-physical-and-mental-well-being-of-indian-students</w:t>
        </w:r>
      </w:hyperlink>
    </w:p>
    <w:p w14:paraId="44792417" w14:textId="77777777" w:rsidR="00B4364C" w:rsidRPr="00AB5058" w:rsidRDefault="00B4364C" w:rsidP="0064154D">
      <w:pPr>
        <w:spacing w:before="80" w:after="80" w:line="240" w:lineRule="auto"/>
        <w:jc w:val="both"/>
        <w:rPr>
          <w:rFonts w:ascii="Arial" w:hAnsi="Arial" w:cs="Arial"/>
          <w:color w:val="000000" w:themeColor="text1"/>
          <w:sz w:val="20"/>
          <w:szCs w:val="20"/>
        </w:rPr>
      </w:pPr>
    </w:p>
    <w:p w14:paraId="3BA01BFD" w14:textId="10FA0E44" w:rsidR="00B4364C" w:rsidRPr="00AB5058" w:rsidRDefault="00B4364C" w:rsidP="0064154D">
      <w:pPr>
        <w:spacing w:before="80" w:after="80" w:line="240" w:lineRule="auto"/>
        <w:jc w:val="both"/>
        <w:rPr>
          <w:rFonts w:ascii="Arial" w:hAnsi="Arial" w:cs="Arial"/>
          <w:color w:val="000000" w:themeColor="text1"/>
          <w:sz w:val="20"/>
          <w:szCs w:val="20"/>
        </w:rPr>
      </w:pPr>
      <w:r w:rsidRPr="00AB5058">
        <w:rPr>
          <w:rFonts w:ascii="Arial" w:hAnsi="Arial" w:cs="Arial"/>
          <w:color w:val="000000" w:themeColor="text1"/>
          <w:sz w:val="20"/>
          <w:szCs w:val="20"/>
        </w:rPr>
        <w:t xml:space="preserve">Umarji, M. H., &amp; Patel, B. K. (2024). A study of smartphone addiction among college students. Indian Journal of Positive Psychology, 15(3), 215–221. </w:t>
      </w:r>
      <w:hyperlink r:id="rId22" w:history="1">
        <w:r w:rsidRPr="00AB5058">
          <w:rPr>
            <w:rStyle w:val="Hyperlink"/>
            <w:rFonts w:ascii="Arial" w:hAnsi="Arial" w:cs="Arial"/>
            <w:sz w:val="20"/>
            <w:szCs w:val="20"/>
          </w:rPr>
          <w:t>https://ijip.in/articles/addiction-among-college-students/</w:t>
        </w:r>
      </w:hyperlink>
    </w:p>
    <w:p w14:paraId="3A298B9B" w14:textId="77777777" w:rsidR="006C024C" w:rsidRPr="00AB5058" w:rsidRDefault="006C024C" w:rsidP="0064154D">
      <w:pPr>
        <w:spacing w:before="80" w:after="80" w:line="240" w:lineRule="auto"/>
        <w:jc w:val="both"/>
        <w:rPr>
          <w:rFonts w:ascii="Arial" w:hAnsi="Arial" w:cs="Arial"/>
          <w:color w:val="000000" w:themeColor="text1"/>
          <w:sz w:val="20"/>
          <w:szCs w:val="20"/>
        </w:rPr>
      </w:pPr>
    </w:p>
    <w:p w14:paraId="0A7E22D6" w14:textId="67B3AD7C" w:rsidR="00512595" w:rsidRPr="00AB5058" w:rsidRDefault="006C024C" w:rsidP="0064154D">
      <w:pPr>
        <w:spacing w:before="80" w:after="80" w:line="240" w:lineRule="auto"/>
        <w:jc w:val="both"/>
        <w:rPr>
          <w:rFonts w:ascii="Arial" w:hAnsi="Arial" w:cs="Arial"/>
          <w:color w:val="000000" w:themeColor="text1"/>
          <w:sz w:val="20"/>
          <w:szCs w:val="20"/>
        </w:rPr>
      </w:pPr>
      <w:r w:rsidRPr="00AB5058">
        <w:rPr>
          <w:rFonts w:ascii="Arial" w:hAnsi="Arial" w:cs="Arial"/>
          <w:color w:val="000000" w:themeColor="text1"/>
          <w:sz w:val="20"/>
          <w:szCs w:val="20"/>
        </w:rPr>
        <w:t xml:space="preserve"> </w:t>
      </w:r>
      <w:r w:rsidR="00586218" w:rsidRPr="00AB5058">
        <w:rPr>
          <w:rFonts w:ascii="Arial" w:hAnsi="Arial" w:cs="Arial"/>
          <w:color w:val="000000" w:themeColor="text1"/>
          <w:sz w:val="20"/>
          <w:szCs w:val="20"/>
        </w:rPr>
        <w:t>Zeng, Z., Shi, Z., Hou, S., Yan, J., Yang, R., &amp; Li, X.</w:t>
      </w:r>
      <w:r w:rsidRPr="00AB5058">
        <w:rPr>
          <w:rFonts w:ascii="Arial" w:hAnsi="Arial" w:cs="Arial"/>
          <w:color w:val="000000" w:themeColor="text1"/>
          <w:sz w:val="20"/>
          <w:szCs w:val="20"/>
        </w:rPr>
        <w:t>(2026). Comprehensive effects and dose–response relationship of screen exposure on university students’ physical and mental health and academic performance in the digital age: A systematic review and meta-analysis. BMC Public Health, 26, 302.</w:t>
      </w:r>
    </w:p>
    <w:p w14:paraId="5C092D5E" w14:textId="4EA18517" w:rsidR="006C024C" w:rsidRPr="00AB5058" w:rsidRDefault="006C019E" w:rsidP="0064154D">
      <w:pPr>
        <w:spacing w:before="80" w:after="80" w:line="240" w:lineRule="auto"/>
        <w:jc w:val="both"/>
        <w:rPr>
          <w:rFonts w:ascii="Arial" w:hAnsi="Arial" w:cs="Arial"/>
          <w:color w:val="000000" w:themeColor="text1"/>
          <w:sz w:val="20"/>
          <w:szCs w:val="20"/>
        </w:rPr>
      </w:pPr>
      <w:hyperlink r:id="rId23" w:history="1">
        <w:r w:rsidRPr="00AB5058">
          <w:rPr>
            <w:rStyle w:val="Hyperlink"/>
            <w:rFonts w:ascii="Arial" w:hAnsi="Arial" w:cs="Arial"/>
            <w:sz w:val="20"/>
            <w:szCs w:val="20"/>
          </w:rPr>
          <w:t>https://doi.org/10.1186/s12889-026-27025-9</w:t>
        </w:r>
      </w:hyperlink>
    </w:p>
    <w:p w14:paraId="242AFA21" w14:textId="77777777" w:rsidR="006C019E" w:rsidRPr="00AB5058" w:rsidRDefault="006C019E" w:rsidP="0064154D">
      <w:pPr>
        <w:spacing w:before="80" w:after="80" w:line="240" w:lineRule="auto"/>
        <w:jc w:val="both"/>
        <w:rPr>
          <w:rFonts w:ascii="Arial" w:hAnsi="Arial" w:cs="Arial"/>
          <w:color w:val="000000" w:themeColor="text1"/>
          <w:sz w:val="20"/>
          <w:szCs w:val="20"/>
        </w:rPr>
      </w:pPr>
    </w:p>
    <w:p w14:paraId="5C2B436B" w14:textId="77777777" w:rsidR="00512595" w:rsidRPr="00AB5058" w:rsidRDefault="00512595" w:rsidP="0064154D">
      <w:pPr>
        <w:spacing w:before="80" w:after="80" w:line="240" w:lineRule="auto"/>
        <w:jc w:val="both"/>
        <w:rPr>
          <w:rFonts w:ascii="Arial" w:hAnsi="Arial" w:cs="Arial"/>
          <w:color w:val="000000" w:themeColor="text1"/>
          <w:sz w:val="20"/>
          <w:szCs w:val="20"/>
        </w:rPr>
      </w:pPr>
    </w:p>
    <w:p w14:paraId="671E5952" w14:textId="77777777" w:rsidR="006C024C" w:rsidRPr="00AB5058" w:rsidRDefault="006C024C" w:rsidP="0064154D">
      <w:pPr>
        <w:spacing w:before="80" w:after="80" w:line="240" w:lineRule="auto"/>
        <w:jc w:val="both"/>
        <w:rPr>
          <w:rFonts w:ascii="Arial" w:hAnsi="Arial" w:cs="Arial"/>
          <w:color w:val="000000" w:themeColor="text1"/>
          <w:sz w:val="20"/>
          <w:szCs w:val="20"/>
        </w:rPr>
      </w:pPr>
    </w:p>
    <w:p w14:paraId="085E8DCF" w14:textId="77777777" w:rsidR="00B4364C" w:rsidRPr="00AB5058" w:rsidRDefault="00B4364C" w:rsidP="0064154D">
      <w:pPr>
        <w:spacing w:before="80" w:after="80" w:line="240" w:lineRule="auto"/>
        <w:jc w:val="both"/>
        <w:rPr>
          <w:rFonts w:ascii="Arial" w:hAnsi="Arial" w:cs="Arial"/>
          <w:color w:val="000000" w:themeColor="text1"/>
          <w:sz w:val="20"/>
          <w:szCs w:val="20"/>
        </w:rPr>
      </w:pPr>
    </w:p>
    <w:p w14:paraId="2E72E9F5" w14:textId="6401F0BC" w:rsidR="00B4364C" w:rsidRPr="00AB5058" w:rsidRDefault="00B4364C" w:rsidP="0064154D">
      <w:pPr>
        <w:pStyle w:val="ListNumber"/>
        <w:numPr>
          <w:ilvl w:val="0"/>
          <w:numId w:val="0"/>
        </w:numPr>
        <w:spacing w:line="240" w:lineRule="auto"/>
        <w:ind w:left="360" w:hanging="360"/>
        <w:rPr>
          <w:rFonts w:ascii="Arial" w:hAnsi="Arial" w:cs="Arial"/>
          <w:sz w:val="20"/>
          <w:szCs w:val="20"/>
        </w:rPr>
      </w:pPr>
    </w:p>
    <w:p w14:paraId="098638D8" w14:textId="77777777" w:rsidR="00B4364C" w:rsidRPr="00AB5058" w:rsidRDefault="00B4364C" w:rsidP="0064154D">
      <w:pPr>
        <w:spacing w:before="80" w:after="80" w:line="240" w:lineRule="auto"/>
        <w:jc w:val="both"/>
        <w:rPr>
          <w:rFonts w:ascii="Arial" w:hAnsi="Arial" w:cs="Arial"/>
          <w:color w:val="000000" w:themeColor="text1"/>
          <w:sz w:val="20"/>
          <w:szCs w:val="20"/>
        </w:rPr>
      </w:pPr>
    </w:p>
    <w:p w14:paraId="7D3F6BF7" w14:textId="77777777" w:rsidR="00B4364C" w:rsidRPr="00AB5058" w:rsidRDefault="00B4364C" w:rsidP="0064154D">
      <w:pPr>
        <w:spacing w:before="80" w:after="80" w:line="240" w:lineRule="auto"/>
        <w:jc w:val="both"/>
        <w:rPr>
          <w:rFonts w:ascii="Arial" w:hAnsi="Arial" w:cs="Arial"/>
          <w:color w:val="000000" w:themeColor="text1"/>
          <w:sz w:val="20"/>
          <w:szCs w:val="20"/>
        </w:rPr>
      </w:pPr>
    </w:p>
    <w:p w14:paraId="1839CDAD" w14:textId="77777777" w:rsidR="00B4364C" w:rsidRPr="00AB5058" w:rsidRDefault="00B4364C" w:rsidP="0064154D">
      <w:pPr>
        <w:spacing w:before="80" w:after="80" w:line="240" w:lineRule="auto"/>
        <w:jc w:val="both"/>
        <w:rPr>
          <w:rFonts w:ascii="Arial" w:hAnsi="Arial" w:cs="Arial"/>
          <w:color w:val="000000" w:themeColor="text1"/>
          <w:sz w:val="20"/>
          <w:szCs w:val="20"/>
        </w:rPr>
      </w:pPr>
    </w:p>
    <w:p w14:paraId="22833AAF" w14:textId="77777777" w:rsidR="00B4364C" w:rsidRPr="00AB5058" w:rsidRDefault="00B4364C" w:rsidP="0064154D">
      <w:pPr>
        <w:spacing w:before="80" w:after="80" w:line="240" w:lineRule="auto"/>
        <w:jc w:val="both"/>
        <w:rPr>
          <w:rFonts w:ascii="Arial" w:hAnsi="Arial" w:cs="Arial"/>
          <w:color w:val="000000" w:themeColor="text1"/>
          <w:sz w:val="20"/>
          <w:szCs w:val="20"/>
        </w:rPr>
      </w:pPr>
    </w:p>
    <w:p w14:paraId="428745E1" w14:textId="77777777" w:rsidR="008158F5" w:rsidRPr="00AB5058" w:rsidRDefault="008158F5" w:rsidP="0064154D">
      <w:pPr>
        <w:spacing w:before="80" w:after="80" w:line="240" w:lineRule="auto"/>
        <w:jc w:val="both"/>
        <w:rPr>
          <w:rFonts w:ascii="Arial" w:hAnsi="Arial" w:cs="Arial"/>
          <w:color w:val="000000" w:themeColor="text1"/>
          <w:sz w:val="20"/>
          <w:szCs w:val="20"/>
        </w:rPr>
      </w:pPr>
    </w:p>
    <w:p w14:paraId="7D1A500D" w14:textId="77777777" w:rsidR="00396B62" w:rsidRPr="00AB5058" w:rsidRDefault="00396B62" w:rsidP="0064154D">
      <w:pPr>
        <w:spacing w:before="80" w:after="80" w:line="240" w:lineRule="auto"/>
        <w:jc w:val="both"/>
        <w:rPr>
          <w:rFonts w:ascii="Arial" w:hAnsi="Arial" w:cs="Arial"/>
          <w:color w:val="000000" w:themeColor="text1"/>
          <w:sz w:val="20"/>
          <w:szCs w:val="20"/>
        </w:rPr>
      </w:pPr>
    </w:p>
    <w:p w14:paraId="22549E79" w14:textId="77777777" w:rsidR="00396B62" w:rsidRPr="00AB5058" w:rsidRDefault="00396B62" w:rsidP="0064154D">
      <w:pPr>
        <w:spacing w:before="80" w:after="80" w:line="240" w:lineRule="auto"/>
        <w:jc w:val="both"/>
        <w:rPr>
          <w:rFonts w:ascii="Arial" w:hAnsi="Arial" w:cs="Arial"/>
          <w:color w:val="000000" w:themeColor="text1"/>
          <w:sz w:val="20"/>
          <w:szCs w:val="20"/>
        </w:rPr>
      </w:pPr>
    </w:p>
    <w:p w14:paraId="64D96C20" w14:textId="77777777" w:rsidR="00396B62" w:rsidRPr="00AB5058" w:rsidRDefault="00396B62" w:rsidP="0064154D">
      <w:pPr>
        <w:spacing w:before="80" w:after="80" w:line="240" w:lineRule="auto"/>
        <w:jc w:val="both"/>
        <w:rPr>
          <w:rFonts w:ascii="Arial" w:hAnsi="Arial" w:cs="Arial"/>
          <w:color w:val="000000" w:themeColor="text1"/>
          <w:sz w:val="20"/>
          <w:szCs w:val="20"/>
        </w:rPr>
      </w:pPr>
    </w:p>
    <w:p w14:paraId="31BE618C" w14:textId="77777777" w:rsidR="001964B6" w:rsidRPr="00AB5058" w:rsidRDefault="001964B6" w:rsidP="0064154D">
      <w:pPr>
        <w:spacing w:before="80" w:after="80" w:line="240" w:lineRule="auto"/>
        <w:jc w:val="both"/>
        <w:rPr>
          <w:rFonts w:ascii="Arial" w:hAnsi="Arial" w:cs="Arial"/>
          <w:color w:val="000000" w:themeColor="text1"/>
          <w:sz w:val="20"/>
          <w:szCs w:val="20"/>
        </w:rPr>
      </w:pPr>
    </w:p>
    <w:p w14:paraId="1245B7BC" w14:textId="77777777" w:rsidR="001F0FD4" w:rsidRPr="00AB5058" w:rsidRDefault="001F0FD4" w:rsidP="0064154D">
      <w:pPr>
        <w:spacing w:before="80" w:after="80" w:line="240" w:lineRule="auto"/>
        <w:ind w:left="504" w:hanging="504"/>
        <w:jc w:val="both"/>
        <w:rPr>
          <w:rFonts w:ascii="Arial" w:hAnsi="Arial" w:cs="Arial"/>
          <w:color w:val="000000" w:themeColor="text1"/>
          <w:sz w:val="20"/>
          <w:szCs w:val="20"/>
        </w:rPr>
      </w:pPr>
    </w:p>
    <w:p w14:paraId="70A5D475" w14:textId="77777777" w:rsidR="001F0FD4" w:rsidRPr="00AB5058" w:rsidRDefault="001F0FD4" w:rsidP="0064154D">
      <w:pPr>
        <w:spacing w:before="80" w:after="80" w:line="240" w:lineRule="auto"/>
        <w:ind w:left="504" w:hanging="504"/>
        <w:jc w:val="both"/>
        <w:rPr>
          <w:rFonts w:ascii="Arial" w:hAnsi="Arial" w:cs="Arial"/>
          <w:color w:val="000000" w:themeColor="text1"/>
          <w:sz w:val="20"/>
          <w:szCs w:val="20"/>
        </w:rPr>
      </w:pPr>
    </w:p>
    <w:p w14:paraId="4FA4F1C7" w14:textId="685B5435" w:rsidR="00243027" w:rsidRPr="00AB5058" w:rsidRDefault="00243027" w:rsidP="0064154D">
      <w:pPr>
        <w:spacing w:before="80" w:after="80" w:line="240" w:lineRule="auto"/>
        <w:jc w:val="both"/>
        <w:rPr>
          <w:rFonts w:ascii="Arial" w:hAnsi="Arial" w:cs="Arial"/>
          <w:color w:val="000000" w:themeColor="text1"/>
          <w:sz w:val="20"/>
          <w:szCs w:val="20"/>
        </w:rPr>
      </w:pPr>
    </w:p>
    <w:sectPr w:rsidR="00243027" w:rsidRPr="00AB5058" w:rsidSect="000611B3">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857E6" w14:textId="77777777" w:rsidR="00420E71" w:rsidRDefault="00420E71" w:rsidP="00CB2E18">
      <w:pPr>
        <w:spacing w:after="0" w:line="240" w:lineRule="auto"/>
      </w:pPr>
      <w:r>
        <w:separator/>
      </w:r>
    </w:p>
  </w:endnote>
  <w:endnote w:type="continuationSeparator" w:id="0">
    <w:p w14:paraId="6D997632" w14:textId="77777777" w:rsidR="00420E71" w:rsidRDefault="00420E71" w:rsidP="00CB2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0952613"/>
      <w:docPartObj>
        <w:docPartGallery w:val="Page Numbers (Bottom of Page)"/>
        <w:docPartUnique/>
      </w:docPartObj>
    </w:sdtPr>
    <w:sdtEndPr>
      <w:rPr>
        <w:rStyle w:val="PageNumber"/>
      </w:rPr>
    </w:sdtEndPr>
    <w:sdtContent>
      <w:p w14:paraId="71F562E7" w14:textId="4CB65BF1" w:rsidR="0016208F" w:rsidRDefault="0016208F" w:rsidP="00FA74A0">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69F3A9" w14:textId="77777777" w:rsidR="0016208F" w:rsidRDefault="0016208F" w:rsidP="001620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8926492"/>
      <w:docPartObj>
        <w:docPartGallery w:val="Page Numbers (Bottom of Page)"/>
        <w:docPartUnique/>
      </w:docPartObj>
    </w:sdtPr>
    <w:sdtEndPr>
      <w:rPr>
        <w:rStyle w:val="PageNumber"/>
      </w:rPr>
    </w:sdtEndPr>
    <w:sdtContent>
      <w:p w14:paraId="5938CC14" w14:textId="22A2DC23" w:rsidR="00FA74A0" w:rsidRDefault="00FA74A0" w:rsidP="003E2A89">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E0DC89" w14:textId="77777777" w:rsidR="0016208F" w:rsidRDefault="0016208F" w:rsidP="0016208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25C5" w14:textId="77777777" w:rsidR="00041BDE" w:rsidRDefault="00041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08B81" w14:textId="77777777" w:rsidR="00420E71" w:rsidRDefault="00420E71" w:rsidP="00CB2E18">
      <w:pPr>
        <w:spacing w:after="0" w:line="240" w:lineRule="auto"/>
      </w:pPr>
      <w:r>
        <w:separator/>
      </w:r>
    </w:p>
  </w:footnote>
  <w:footnote w:type="continuationSeparator" w:id="0">
    <w:p w14:paraId="3218BF05" w14:textId="77777777" w:rsidR="00420E71" w:rsidRDefault="00420E71" w:rsidP="00CB2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65D0" w14:textId="409A1FBD" w:rsidR="00041BDE" w:rsidRDefault="00A4787B">
    <w:pPr>
      <w:pStyle w:val="Header"/>
    </w:pPr>
    <w:r>
      <w:rPr>
        <w:noProof/>
      </w:rPr>
    </w:r>
    <w:r w:rsidR="00A4787B">
      <w:rPr>
        <w:noProof/>
      </w:rPr>
      <w:pict w14:anchorId="15282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23251" o:spid="_x0000_s1027" type="#_x0000_t136" style="position:absolute;margin-left:0;margin-top:0;width:571.65pt;height:64.5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CE90" w14:textId="510A62BB" w:rsidR="00041BDE" w:rsidRDefault="00A4787B">
    <w:pPr>
      <w:pStyle w:val="Header"/>
    </w:pPr>
    <w:r>
      <w:rPr>
        <w:noProof/>
      </w:rPr>
    </w:r>
    <w:r w:rsidR="00A4787B">
      <w:rPr>
        <w:noProof/>
      </w:rPr>
      <w:pict w14:anchorId="42C66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23252" o:spid="_x0000_s1026" type="#_x0000_t136" style="position:absolute;margin-left:0;margin-top:0;width:571.65pt;height:64.5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D16E" w14:textId="0F0CFF2C" w:rsidR="00041BDE" w:rsidRDefault="00A4787B">
    <w:pPr>
      <w:pStyle w:val="Header"/>
    </w:pPr>
    <w:r>
      <w:rPr>
        <w:noProof/>
      </w:rPr>
    </w:r>
    <w:r w:rsidR="00A4787B">
      <w:rPr>
        <w:noProof/>
      </w:rPr>
      <w:pict w14:anchorId="67825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23250" o:spid="_x0000_s1025" type="#_x0000_t136" style="position:absolute;margin-left:0;margin-top:0;width:571.65pt;height:64.5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F5E412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86E58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4C157E2"/>
    <w:multiLevelType w:val="hybridMultilevel"/>
    <w:tmpl w:val="794825AC"/>
    <w:lvl w:ilvl="0" w:tplc="576653C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6583764"/>
    <w:multiLevelType w:val="hybridMultilevel"/>
    <w:tmpl w:val="51A48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8836BFD"/>
    <w:multiLevelType w:val="hybridMultilevel"/>
    <w:tmpl w:val="3B4635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40D0916"/>
    <w:multiLevelType w:val="hybridMultilevel"/>
    <w:tmpl w:val="75FCD6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BF0173B"/>
    <w:multiLevelType w:val="hybridMultilevel"/>
    <w:tmpl w:val="BE5E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BB5F54"/>
    <w:multiLevelType w:val="hybridMultilevel"/>
    <w:tmpl w:val="BA46B63E"/>
    <w:lvl w:ilvl="0" w:tplc="4009000F">
      <w:start w:val="1"/>
      <w:numFmt w:val="decimal"/>
      <w:lvlText w:val="%1."/>
      <w:lvlJc w:val="left"/>
      <w:pPr>
        <w:ind w:left="1508" w:hanging="360"/>
      </w:pPr>
    </w:lvl>
    <w:lvl w:ilvl="1" w:tplc="40090019" w:tentative="1">
      <w:start w:val="1"/>
      <w:numFmt w:val="lowerLetter"/>
      <w:lvlText w:val="%2."/>
      <w:lvlJc w:val="left"/>
      <w:pPr>
        <w:ind w:left="2228" w:hanging="360"/>
      </w:pPr>
    </w:lvl>
    <w:lvl w:ilvl="2" w:tplc="4009001B" w:tentative="1">
      <w:start w:val="1"/>
      <w:numFmt w:val="lowerRoman"/>
      <w:lvlText w:val="%3."/>
      <w:lvlJc w:val="right"/>
      <w:pPr>
        <w:ind w:left="2948" w:hanging="180"/>
      </w:pPr>
    </w:lvl>
    <w:lvl w:ilvl="3" w:tplc="4009000F" w:tentative="1">
      <w:start w:val="1"/>
      <w:numFmt w:val="decimal"/>
      <w:lvlText w:val="%4."/>
      <w:lvlJc w:val="left"/>
      <w:pPr>
        <w:ind w:left="3668" w:hanging="360"/>
      </w:pPr>
    </w:lvl>
    <w:lvl w:ilvl="4" w:tplc="40090019" w:tentative="1">
      <w:start w:val="1"/>
      <w:numFmt w:val="lowerLetter"/>
      <w:lvlText w:val="%5."/>
      <w:lvlJc w:val="left"/>
      <w:pPr>
        <w:ind w:left="4388" w:hanging="360"/>
      </w:pPr>
    </w:lvl>
    <w:lvl w:ilvl="5" w:tplc="4009001B" w:tentative="1">
      <w:start w:val="1"/>
      <w:numFmt w:val="lowerRoman"/>
      <w:lvlText w:val="%6."/>
      <w:lvlJc w:val="right"/>
      <w:pPr>
        <w:ind w:left="5108" w:hanging="180"/>
      </w:pPr>
    </w:lvl>
    <w:lvl w:ilvl="6" w:tplc="4009000F" w:tentative="1">
      <w:start w:val="1"/>
      <w:numFmt w:val="decimal"/>
      <w:lvlText w:val="%7."/>
      <w:lvlJc w:val="left"/>
      <w:pPr>
        <w:ind w:left="5828" w:hanging="360"/>
      </w:pPr>
    </w:lvl>
    <w:lvl w:ilvl="7" w:tplc="40090019" w:tentative="1">
      <w:start w:val="1"/>
      <w:numFmt w:val="lowerLetter"/>
      <w:lvlText w:val="%8."/>
      <w:lvlJc w:val="left"/>
      <w:pPr>
        <w:ind w:left="6548" w:hanging="360"/>
      </w:pPr>
    </w:lvl>
    <w:lvl w:ilvl="8" w:tplc="4009001B" w:tentative="1">
      <w:start w:val="1"/>
      <w:numFmt w:val="lowerRoman"/>
      <w:lvlText w:val="%9."/>
      <w:lvlJc w:val="right"/>
      <w:pPr>
        <w:ind w:left="7268" w:hanging="180"/>
      </w:pPr>
    </w:lvl>
  </w:abstractNum>
  <w:abstractNum w:abstractNumId="8" w15:restartNumberingAfterBreak="0">
    <w:nsid w:val="51C70932"/>
    <w:multiLevelType w:val="hybridMultilevel"/>
    <w:tmpl w:val="FDBA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CD6750"/>
    <w:multiLevelType w:val="hybridMultilevel"/>
    <w:tmpl w:val="4C1647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53C4368"/>
    <w:multiLevelType w:val="hybridMultilevel"/>
    <w:tmpl w:val="779AC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5135956">
    <w:abstractNumId w:val="4"/>
  </w:num>
  <w:num w:numId="2" w16cid:durableId="1800148826">
    <w:abstractNumId w:val="3"/>
  </w:num>
  <w:num w:numId="3" w16cid:durableId="272060272">
    <w:abstractNumId w:val="7"/>
  </w:num>
  <w:num w:numId="4" w16cid:durableId="555361526">
    <w:abstractNumId w:val="9"/>
  </w:num>
  <w:num w:numId="5" w16cid:durableId="1659070673">
    <w:abstractNumId w:val="2"/>
  </w:num>
  <w:num w:numId="6" w16cid:durableId="1782338960">
    <w:abstractNumId w:val="5"/>
  </w:num>
  <w:num w:numId="7" w16cid:durableId="282461443">
    <w:abstractNumId w:val="8"/>
  </w:num>
  <w:num w:numId="8" w16cid:durableId="533619905">
    <w:abstractNumId w:val="6"/>
  </w:num>
  <w:num w:numId="9" w16cid:durableId="1059594786">
    <w:abstractNumId w:val="0"/>
  </w:num>
  <w:num w:numId="10" w16cid:durableId="326708257">
    <w:abstractNumId w:val="1"/>
  </w:num>
  <w:num w:numId="11" w16cid:durableId="17472685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2NjO0NDQ1NjcyszRS0lEKTi0uzszPAykwrAUAhHgJ5ywAAAA="/>
  </w:docVars>
  <w:rsids>
    <w:rsidRoot w:val="00770EB2"/>
    <w:rsid w:val="00012D32"/>
    <w:rsid w:val="00013A0A"/>
    <w:rsid w:val="0002121C"/>
    <w:rsid w:val="000226B0"/>
    <w:rsid w:val="000278EC"/>
    <w:rsid w:val="00027E02"/>
    <w:rsid w:val="00036F8D"/>
    <w:rsid w:val="000406A8"/>
    <w:rsid w:val="00041119"/>
    <w:rsid w:val="00041BDE"/>
    <w:rsid w:val="00055260"/>
    <w:rsid w:val="000611B3"/>
    <w:rsid w:val="000708AB"/>
    <w:rsid w:val="00074F73"/>
    <w:rsid w:val="00075E2A"/>
    <w:rsid w:val="00080E13"/>
    <w:rsid w:val="00081F75"/>
    <w:rsid w:val="000824A2"/>
    <w:rsid w:val="000849AA"/>
    <w:rsid w:val="000A2B0B"/>
    <w:rsid w:val="000A3325"/>
    <w:rsid w:val="000B1FC2"/>
    <w:rsid w:val="000B4F80"/>
    <w:rsid w:val="000C5488"/>
    <w:rsid w:val="000C5987"/>
    <w:rsid w:val="000C5A01"/>
    <w:rsid w:val="000C66C9"/>
    <w:rsid w:val="000D0E58"/>
    <w:rsid w:val="000D1BA3"/>
    <w:rsid w:val="000D3391"/>
    <w:rsid w:val="000E2950"/>
    <w:rsid w:val="000E5704"/>
    <w:rsid w:val="001075A7"/>
    <w:rsid w:val="00107742"/>
    <w:rsid w:val="00111080"/>
    <w:rsid w:val="00111C39"/>
    <w:rsid w:val="00120F21"/>
    <w:rsid w:val="001230B1"/>
    <w:rsid w:val="00125A0A"/>
    <w:rsid w:val="001268A5"/>
    <w:rsid w:val="00126B93"/>
    <w:rsid w:val="00130801"/>
    <w:rsid w:val="001360B9"/>
    <w:rsid w:val="00142A41"/>
    <w:rsid w:val="00143B12"/>
    <w:rsid w:val="00152765"/>
    <w:rsid w:val="00152E3A"/>
    <w:rsid w:val="00153095"/>
    <w:rsid w:val="00157E34"/>
    <w:rsid w:val="0016208F"/>
    <w:rsid w:val="0016223C"/>
    <w:rsid w:val="0017240F"/>
    <w:rsid w:val="00172AB0"/>
    <w:rsid w:val="00174623"/>
    <w:rsid w:val="00174730"/>
    <w:rsid w:val="001864D0"/>
    <w:rsid w:val="00187F1E"/>
    <w:rsid w:val="001908C7"/>
    <w:rsid w:val="001946B3"/>
    <w:rsid w:val="001964B6"/>
    <w:rsid w:val="001A19BB"/>
    <w:rsid w:val="001A1E23"/>
    <w:rsid w:val="001A4CCE"/>
    <w:rsid w:val="001A57C6"/>
    <w:rsid w:val="001B62B4"/>
    <w:rsid w:val="001B6DD9"/>
    <w:rsid w:val="001C1EC4"/>
    <w:rsid w:val="001C3B93"/>
    <w:rsid w:val="001D402A"/>
    <w:rsid w:val="001D45D7"/>
    <w:rsid w:val="001D64D3"/>
    <w:rsid w:val="001D674F"/>
    <w:rsid w:val="001D7458"/>
    <w:rsid w:val="001E0114"/>
    <w:rsid w:val="001E16F6"/>
    <w:rsid w:val="001F0DC8"/>
    <w:rsid w:val="001F0FD4"/>
    <w:rsid w:val="001F1358"/>
    <w:rsid w:val="001F65A8"/>
    <w:rsid w:val="00203ADE"/>
    <w:rsid w:val="00205621"/>
    <w:rsid w:val="002139E8"/>
    <w:rsid w:val="00213C3D"/>
    <w:rsid w:val="00227F09"/>
    <w:rsid w:val="00233823"/>
    <w:rsid w:val="00243027"/>
    <w:rsid w:val="00254915"/>
    <w:rsid w:val="0026021F"/>
    <w:rsid w:val="002634FB"/>
    <w:rsid w:val="0026515C"/>
    <w:rsid w:val="00265DAE"/>
    <w:rsid w:val="002679CF"/>
    <w:rsid w:val="00271F2A"/>
    <w:rsid w:val="00280470"/>
    <w:rsid w:val="00284BCC"/>
    <w:rsid w:val="00286FC4"/>
    <w:rsid w:val="00291865"/>
    <w:rsid w:val="00296131"/>
    <w:rsid w:val="002A5C57"/>
    <w:rsid w:val="002B4331"/>
    <w:rsid w:val="002D55F6"/>
    <w:rsid w:val="002D5711"/>
    <w:rsid w:val="002E28DE"/>
    <w:rsid w:val="002E5333"/>
    <w:rsid w:val="002E6FA8"/>
    <w:rsid w:val="0030102D"/>
    <w:rsid w:val="00301810"/>
    <w:rsid w:val="00304786"/>
    <w:rsid w:val="00305CA5"/>
    <w:rsid w:val="00312625"/>
    <w:rsid w:val="00315D4B"/>
    <w:rsid w:val="003221B2"/>
    <w:rsid w:val="00325EDC"/>
    <w:rsid w:val="003327E1"/>
    <w:rsid w:val="00346D67"/>
    <w:rsid w:val="00351216"/>
    <w:rsid w:val="003529E8"/>
    <w:rsid w:val="0035459B"/>
    <w:rsid w:val="003606F7"/>
    <w:rsid w:val="0036261C"/>
    <w:rsid w:val="0037324C"/>
    <w:rsid w:val="00376931"/>
    <w:rsid w:val="00377007"/>
    <w:rsid w:val="00380BA1"/>
    <w:rsid w:val="00385B96"/>
    <w:rsid w:val="0039022F"/>
    <w:rsid w:val="00396B62"/>
    <w:rsid w:val="003B7CDB"/>
    <w:rsid w:val="003C2384"/>
    <w:rsid w:val="003C5FF1"/>
    <w:rsid w:val="003C6134"/>
    <w:rsid w:val="003C6328"/>
    <w:rsid w:val="003D5742"/>
    <w:rsid w:val="003E7B31"/>
    <w:rsid w:val="003F09E1"/>
    <w:rsid w:val="003F2ACE"/>
    <w:rsid w:val="00402CA4"/>
    <w:rsid w:val="004078ED"/>
    <w:rsid w:val="00413730"/>
    <w:rsid w:val="00420E71"/>
    <w:rsid w:val="00422483"/>
    <w:rsid w:val="004226CF"/>
    <w:rsid w:val="00425ADD"/>
    <w:rsid w:val="00427E91"/>
    <w:rsid w:val="0043347B"/>
    <w:rsid w:val="00441F41"/>
    <w:rsid w:val="004427F5"/>
    <w:rsid w:val="00450528"/>
    <w:rsid w:val="0045446B"/>
    <w:rsid w:val="004606C6"/>
    <w:rsid w:val="00465F46"/>
    <w:rsid w:val="00470CE9"/>
    <w:rsid w:val="00475CCA"/>
    <w:rsid w:val="00476E36"/>
    <w:rsid w:val="00481B91"/>
    <w:rsid w:val="00483D42"/>
    <w:rsid w:val="004867B2"/>
    <w:rsid w:val="004A1D1A"/>
    <w:rsid w:val="004A3356"/>
    <w:rsid w:val="004A3DD4"/>
    <w:rsid w:val="004A6D97"/>
    <w:rsid w:val="004A7886"/>
    <w:rsid w:val="004B38FE"/>
    <w:rsid w:val="004B4021"/>
    <w:rsid w:val="004B6ABE"/>
    <w:rsid w:val="004B769E"/>
    <w:rsid w:val="004C1BA7"/>
    <w:rsid w:val="004C4EE7"/>
    <w:rsid w:val="004D1EE2"/>
    <w:rsid w:val="004D2949"/>
    <w:rsid w:val="004E5138"/>
    <w:rsid w:val="004E72F7"/>
    <w:rsid w:val="004F1ADE"/>
    <w:rsid w:val="004F7274"/>
    <w:rsid w:val="00503013"/>
    <w:rsid w:val="00510BD9"/>
    <w:rsid w:val="00512595"/>
    <w:rsid w:val="0051473A"/>
    <w:rsid w:val="00515CC6"/>
    <w:rsid w:val="00542C4F"/>
    <w:rsid w:val="00543243"/>
    <w:rsid w:val="00554336"/>
    <w:rsid w:val="00574626"/>
    <w:rsid w:val="00577CC4"/>
    <w:rsid w:val="00586218"/>
    <w:rsid w:val="0058631B"/>
    <w:rsid w:val="00591A32"/>
    <w:rsid w:val="00592E4D"/>
    <w:rsid w:val="0059426A"/>
    <w:rsid w:val="00596431"/>
    <w:rsid w:val="0059703A"/>
    <w:rsid w:val="00597990"/>
    <w:rsid w:val="005A2375"/>
    <w:rsid w:val="005A456A"/>
    <w:rsid w:val="005B05CA"/>
    <w:rsid w:val="005B1C47"/>
    <w:rsid w:val="005B24F7"/>
    <w:rsid w:val="005B4E58"/>
    <w:rsid w:val="005C2C57"/>
    <w:rsid w:val="005E179A"/>
    <w:rsid w:val="005E5740"/>
    <w:rsid w:val="005E711C"/>
    <w:rsid w:val="005F1A1D"/>
    <w:rsid w:val="005F1CA0"/>
    <w:rsid w:val="005F743B"/>
    <w:rsid w:val="00604A44"/>
    <w:rsid w:val="006154B0"/>
    <w:rsid w:val="0062347B"/>
    <w:rsid w:val="006327C0"/>
    <w:rsid w:val="006344DA"/>
    <w:rsid w:val="00636C25"/>
    <w:rsid w:val="006408CA"/>
    <w:rsid w:val="0064154D"/>
    <w:rsid w:val="00645AF4"/>
    <w:rsid w:val="006525D5"/>
    <w:rsid w:val="0065288F"/>
    <w:rsid w:val="00652E1F"/>
    <w:rsid w:val="00656FA2"/>
    <w:rsid w:val="00660376"/>
    <w:rsid w:val="00661061"/>
    <w:rsid w:val="006700B1"/>
    <w:rsid w:val="006725FE"/>
    <w:rsid w:val="00697732"/>
    <w:rsid w:val="006A4E19"/>
    <w:rsid w:val="006C019E"/>
    <w:rsid w:val="006C024C"/>
    <w:rsid w:val="006C410D"/>
    <w:rsid w:val="006C513E"/>
    <w:rsid w:val="006D609B"/>
    <w:rsid w:val="006E27A1"/>
    <w:rsid w:val="006F312C"/>
    <w:rsid w:val="006F4466"/>
    <w:rsid w:val="006F5511"/>
    <w:rsid w:val="006F5B2E"/>
    <w:rsid w:val="007037F1"/>
    <w:rsid w:val="00704EEC"/>
    <w:rsid w:val="0071147A"/>
    <w:rsid w:val="0071202A"/>
    <w:rsid w:val="007132C9"/>
    <w:rsid w:val="00713FD3"/>
    <w:rsid w:val="00714779"/>
    <w:rsid w:val="00714E99"/>
    <w:rsid w:val="00714FC5"/>
    <w:rsid w:val="00720B34"/>
    <w:rsid w:val="0073257F"/>
    <w:rsid w:val="00745665"/>
    <w:rsid w:val="00762251"/>
    <w:rsid w:val="007633A1"/>
    <w:rsid w:val="00767281"/>
    <w:rsid w:val="00770EB2"/>
    <w:rsid w:val="007724A3"/>
    <w:rsid w:val="00773F71"/>
    <w:rsid w:val="0078516E"/>
    <w:rsid w:val="00791BF4"/>
    <w:rsid w:val="00795819"/>
    <w:rsid w:val="00796D48"/>
    <w:rsid w:val="007A7872"/>
    <w:rsid w:val="007B3C6E"/>
    <w:rsid w:val="007C0CA4"/>
    <w:rsid w:val="007C4F78"/>
    <w:rsid w:val="00800493"/>
    <w:rsid w:val="00806447"/>
    <w:rsid w:val="00812D38"/>
    <w:rsid w:val="008158F5"/>
    <w:rsid w:val="008212B2"/>
    <w:rsid w:val="00822268"/>
    <w:rsid w:val="00823EB4"/>
    <w:rsid w:val="008240F6"/>
    <w:rsid w:val="00826029"/>
    <w:rsid w:val="00836154"/>
    <w:rsid w:val="00842A45"/>
    <w:rsid w:val="00844619"/>
    <w:rsid w:val="008446E4"/>
    <w:rsid w:val="00847EE1"/>
    <w:rsid w:val="00851EE5"/>
    <w:rsid w:val="008614F9"/>
    <w:rsid w:val="00862868"/>
    <w:rsid w:val="00867D95"/>
    <w:rsid w:val="0087336F"/>
    <w:rsid w:val="00875989"/>
    <w:rsid w:val="00882FC6"/>
    <w:rsid w:val="00887DF2"/>
    <w:rsid w:val="008A0026"/>
    <w:rsid w:val="008A108D"/>
    <w:rsid w:val="008A1363"/>
    <w:rsid w:val="008A24EE"/>
    <w:rsid w:val="008A3B8D"/>
    <w:rsid w:val="008B50EB"/>
    <w:rsid w:val="008B57FE"/>
    <w:rsid w:val="008B6CA5"/>
    <w:rsid w:val="008B7C27"/>
    <w:rsid w:val="008C0115"/>
    <w:rsid w:val="008C6335"/>
    <w:rsid w:val="008C6A11"/>
    <w:rsid w:val="008C7C3D"/>
    <w:rsid w:val="008D1D4B"/>
    <w:rsid w:val="008D22A5"/>
    <w:rsid w:val="008E6193"/>
    <w:rsid w:val="008F2EBA"/>
    <w:rsid w:val="008F6084"/>
    <w:rsid w:val="008F7D99"/>
    <w:rsid w:val="00903378"/>
    <w:rsid w:val="00906030"/>
    <w:rsid w:val="00913393"/>
    <w:rsid w:val="00913FDD"/>
    <w:rsid w:val="00922922"/>
    <w:rsid w:val="0092328C"/>
    <w:rsid w:val="0092564B"/>
    <w:rsid w:val="00926D5F"/>
    <w:rsid w:val="00933792"/>
    <w:rsid w:val="009418EB"/>
    <w:rsid w:val="0095173A"/>
    <w:rsid w:val="00952776"/>
    <w:rsid w:val="00957B0E"/>
    <w:rsid w:val="00962DA8"/>
    <w:rsid w:val="0096492D"/>
    <w:rsid w:val="009673C6"/>
    <w:rsid w:val="00975687"/>
    <w:rsid w:val="00984E46"/>
    <w:rsid w:val="00984E89"/>
    <w:rsid w:val="009863FD"/>
    <w:rsid w:val="00991280"/>
    <w:rsid w:val="0099456B"/>
    <w:rsid w:val="009A417D"/>
    <w:rsid w:val="009A60F1"/>
    <w:rsid w:val="009B2B4D"/>
    <w:rsid w:val="009C28E2"/>
    <w:rsid w:val="009C5A0B"/>
    <w:rsid w:val="009C6F33"/>
    <w:rsid w:val="009D4C31"/>
    <w:rsid w:val="009D508F"/>
    <w:rsid w:val="009E09F2"/>
    <w:rsid w:val="009E1118"/>
    <w:rsid w:val="009E15F5"/>
    <w:rsid w:val="009E57E1"/>
    <w:rsid w:val="009E5E50"/>
    <w:rsid w:val="009E61C5"/>
    <w:rsid w:val="009F190F"/>
    <w:rsid w:val="009F79B3"/>
    <w:rsid w:val="009F7AF5"/>
    <w:rsid w:val="009F7DE3"/>
    <w:rsid w:val="00A0037D"/>
    <w:rsid w:val="00A102D4"/>
    <w:rsid w:val="00A14F86"/>
    <w:rsid w:val="00A33515"/>
    <w:rsid w:val="00A35935"/>
    <w:rsid w:val="00A43793"/>
    <w:rsid w:val="00A45238"/>
    <w:rsid w:val="00A4787B"/>
    <w:rsid w:val="00A5482B"/>
    <w:rsid w:val="00A564C9"/>
    <w:rsid w:val="00A648F5"/>
    <w:rsid w:val="00A71A21"/>
    <w:rsid w:val="00A80CB0"/>
    <w:rsid w:val="00A84FAC"/>
    <w:rsid w:val="00AA0126"/>
    <w:rsid w:val="00AA39D5"/>
    <w:rsid w:val="00AB5058"/>
    <w:rsid w:val="00AB63B1"/>
    <w:rsid w:val="00AB7C86"/>
    <w:rsid w:val="00AC2A9C"/>
    <w:rsid w:val="00AD0DDB"/>
    <w:rsid w:val="00AD292E"/>
    <w:rsid w:val="00AD52DF"/>
    <w:rsid w:val="00AD680A"/>
    <w:rsid w:val="00AD6CA9"/>
    <w:rsid w:val="00AD7A74"/>
    <w:rsid w:val="00AE6922"/>
    <w:rsid w:val="00AE7EF6"/>
    <w:rsid w:val="00AF1FA6"/>
    <w:rsid w:val="00AF2CAA"/>
    <w:rsid w:val="00B00A77"/>
    <w:rsid w:val="00B053A8"/>
    <w:rsid w:val="00B05A6F"/>
    <w:rsid w:val="00B070A3"/>
    <w:rsid w:val="00B105CC"/>
    <w:rsid w:val="00B11944"/>
    <w:rsid w:val="00B16DBA"/>
    <w:rsid w:val="00B22697"/>
    <w:rsid w:val="00B3387E"/>
    <w:rsid w:val="00B3771B"/>
    <w:rsid w:val="00B42A63"/>
    <w:rsid w:val="00B4364C"/>
    <w:rsid w:val="00B43B89"/>
    <w:rsid w:val="00B47087"/>
    <w:rsid w:val="00B526B8"/>
    <w:rsid w:val="00B61BF3"/>
    <w:rsid w:val="00B7760F"/>
    <w:rsid w:val="00B8265C"/>
    <w:rsid w:val="00B832E6"/>
    <w:rsid w:val="00B85175"/>
    <w:rsid w:val="00B87A3E"/>
    <w:rsid w:val="00B90B80"/>
    <w:rsid w:val="00BA4987"/>
    <w:rsid w:val="00BB2625"/>
    <w:rsid w:val="00BB41D4"/>
    <w:rsid w:val="00BB61E8"/>
    <w:rsid w:val="00BB673D"/>
    <w:rsid w:val="00BD0743"/>
    <w:rsid w:val="00BD0B76"/>
    <w:rsid w:val="00BD1F97"/>
    <w:rsid w:val="00BD41DC"/>
    <w:rsid w:val="00BD5772"/>
    <w:rsid w:val="00BE0159"/>
    <w:rsid w:val="00BE6927"/>
    <w:rsid w:val="00BF5FC2"/>
    <w:rsid w:val="00BF6984"/>
    <w:rsid w:val="00BF708B"/>
    <w:rsid w:val="00BF732E"/>
    <w:rsid w:val="00C013FA"/>
    <w:rsid w:val="00C13CA6"/>
    <w:rsid w:val="00C21740"/>
    <w:rsid w:val="00C21D53"/>
    <w:rsid w:val="00C23BD6"/>
    <w:rsid w:val="00C33637"/>
    <w:rsid w:val="00C35CFE"/>
    <w:rsid w:val="00C40624"/>
    <w:rsid w:val="00C408BD"/>
    <w:rsid w:val="00C4210A"/>
    <w:rsid w:val="00C476C3"/>
    <w:rsid w:val="00C534B7"/>
    <w:rsid w:val="00C54BD7"/>
    <w:rsid w:val="00C66FBC"/>
    <w:rsid w:val="00C67A65"/>
    <w:rsid w:val="00C74183"/>
    <w:rsid w:val="00C7679E"/>
    <w:rsid w:val="00C77920"/>
    <w:rsid w:val="00C8247E"/>
    <w:rsid w:val="00C84137"/>
    <w:rsid w:val="00C84BB7"/>
    <w:rsid w:val="00C92F1F"/>
    <w:rsid w:val="00C93542"/>
    <w:rsid w:val="00C97289"/>
    <w:rsid w:val="00CA42D6"/>
    <w:rsid w:val="00CA6DAE"/>
    <w:rsid w:val="00CA6F3A"/>
    <w:rsid w:val="00CA7844"/>
    <w:rsid w:val="00CB0B2F"/>
    <w:rsid w:val="00CB2E18"/>
    <w:rsid w:val="00CB4419"/>
    <w:rsid w:val="00CB6445"/>
    <w:rsid w:val="00CB683A"/>
    <w:rsid w:val="00CC4067"/>
    <w:rsid w:val="00CC49BC"/>
    <w:rsid w:val="00CD22A9"/>
    <w:rsid w:val="00CD2BE8"/>
    <w:rsid w:val="00CD2C91"/>
    <w:rsid w:val="00CD4ACA"/>
    <w:rsid w:val="00CD78F0"/>
    <w:rsid w:val="00CE5C19"/>
    <w:rsid w:val="00CE5F65"/>
    <w:rsid w:val="00CE6AD2"/>
    <w:rsid w:val="00CF2952"/>
    <w:rsid w:val="00CF73D6"/>
    <w:rsid w:val="00CF7CDE"/>
    <w:rsid w:val="00D35130"/>
    <w:rsid w:val="00D357BC"/>
    <w:rsid w:val="00D4734E"/>
    <w:rsid w:val="00D55CF9"/>
    <w:rsid w:val="00D647C6"/>
    <w:rsid w:val="00D755BC"/>
    <w:rsid w:val="00D757E1"/>
    <w:rsid w:val="00D77F8E"/>
    <w:rsid w:val="00D84764"/>
    <w:rsid w:val="00D8493F"/>
    <w:rsid w:val="00D94D16"/>
    <w:rsid w:val="00D95492"/>
    <w:rsid w:val="00DB0D41"/>
    <w:rsid w:val="00DC76E1"/>
    <w:rsid w:val="00DD1CC5"/>
    <w:rsid w:val="00DD6191"/>
    <w:rsid w:val="00DD77AB"/>
    <w:rsid w:val="00DD7CB4"/>
    <w:rsid w:val="00DE5958"/>
    <w:rsid w:val="00DF2ADF"/>
    <w:rsid w:val="00DF31B0"/>
    <w:rsid w:val="00E0354F"/>
    <w:rsid w:val="00E078D4"/>
    <w:rsid w:val="00E164F1"/>
    <w:rsid w:val="00E17486"/>
    <w:rsid w:val="00E221D8"/>
    <w:rsid w:val="00E24A5B"/>
    <w:rsid w:val="00E2536E"/>
    <w:rsid w:val="00E2758F"/>
    <w:rsid w:val="00E30795"/>
    <w:rsid w:val="00E3097C"/>
    <w:rsid w:val="00E33B55"/>
    <w:rsid w:val="00E364D0"/>
    <w:rsid w:val="00E476A1"/>
    <w:rsid w:val="00E47AAA"/>
    <w:rsid w:val="00E5550D"/>
    <w:rsid w:val="00E61DA1"/>
    <w:rsid w:val="00E6413F"/>
    <w:rsid w:val="00E70693"/>
    <w:rsid w:val="00E80006"/>
    <w:rsid w:val="00E8149E"/>
    <w:rsid w:val="00EA3E1D"/>
    <w:rsid w:val="00EA40DB"/>
    <w:rsid w:val="00EB7DF3"/>
    <w:rsid w:val="00EC638F"/>
    <w:rsid w:val="00EE40A0"/>
    <w:rsid w:val="00EF07C0"/>
    <w:rsid w:val="00EF2665"/>
    <w:rsid w:val="00EF475A"/>
    <w:rsid w:val="00EF6991"/>
    <w:rsid w:val="00F07B8A"/>
    <w:rsid w:val="00F208DF"/>
    <w:rsid w:val="00F230BD"/>
    <w:rsid w:val="00F27336"/>
    <w:rsid w:val="00F3566D"/>
    <w:rsid w:val="00F43AEA"/>
    <w:rsid w:val="00F43B36"/>
    <w:rsid w:val="00F47395"/>
    <w:rsid w:val="00F508EF"/>
    <w:rsid w:val="00F642A9"/>
    <w:rsid w:val="00F64371"/>
    <w:rsid w:val="00F8207D"/>
    <w:rsid w:val="00F902A9"/>
    <w:rsid w:val="00F941D2"/>
    <w:rsid w:val="00FA2E27"/>
    <w:rsid w:val="00FA531D"/>
    <w:rsid w:val="00FA6D8F"/>
    <w:rsid w:val="00FA74A0"/>
    <w:rsid w:val="00FB74DE"/>
    <w:rsid w:val="00FC4BEE"/>
    <w:rsid w:val="00FE18A2"/>
    <w:rsid w:val="00FE248C"/>
    <w:rsid w:val="00FE5C93"/>
    <w:rsid w:val="00FF1B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59727"/>
  <w15:docId w15:val="{87F2CF12-C105-1D45-82B2-A9E0D3DF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8DF"/>
  </w:style>
  <w:style w:type="paragraph" w:styleId="Heading1">
    <w:name w:val="heading 1"/>
    <w:basedOn w:val="Normal"/>
    <w:next w:val="Normal"/>
    <w:link w:val="Heading1Char"/>
    <w:uiPriority w:val="9"/>
    <w:qFormat/>
    <w:rsid w:val="00770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E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E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E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E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E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E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E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E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EB2"/>
    <w:rPr>
      <w:rFonts w:eastAsiaTheme="majorEastAsia" w:cstheme="majorBidi"/>
      <w:color w:val="272727" w:themeColor="text1" w:themeTint="D8"/>
    </w:rPr>
  </w:style>
  <w:style w:type="paragraph" w:styleId="Title">
    <w:name w:val="Title"/>
    <w:basedOn w:val="Normal"/>
    <w:next w:val="Normal"/>
    <w:link w:val="TitleChar"/>
    <w:uiPriority w:val="10"/>
    <w:qFormat/>
    <w:rsid w:val="00770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EB2"/>
    <w:pPr>
      <w:spacing w:before="160"/>
      <w:jc w:val="center"/>
    </w:pPr>
    <w:rPr>
      <w:i/>
      <w:iCs/>
      <w:color w:val="404040" w:themeColor="text1" w:themeTint="BF"/>
    </w:rPr>
  </w:style>
  <w:style w:type="character" w:customStyle="1" w:styleId="QuoteChar">
    <w:name w:val="Quote Char"/>
    <w:basedOn w:val="DefaultParagraphFont"/>
    <w:link w:val="Quote"/>
    <w:uiPriority w:val="29"/>
    <w:rsid w:val="00770EB2"/>
    <w:rPr>
      <w:i/>
      <w:iCs/>
      <w:color w:val="404040" w:themeColor="text1" w:themeTint="BF"/>
    </w:rPr>
  </w:style>
  <w:style w:type="paragraph" w:styleId="ListParagraph">
    <w:name w:val="List Paragraph"/>
    <w:basedOn w:val="Normal"/>
    <w:uiPriority w:val="34"/>
    <w:qFormat/>
    <w:rsid w:val="00770EB2"/>
    <w:pPr>
      <w:ind w:left="720"/>
      <w:contextualSpacing/>
    </w:pPr>
  </w:style>
  <w:style w:type="character" w:styleId="IntenseEmphasis">
    <w:name w:val="Intense Emphasis"/>
    <w:basedOn w:val="DefaultParagraphFont"/>
    <w:uiPriority w:val="21"/>
    <w:qFormat/>
    <w:rsid w:val="00770EB2"/>
    <w:rPr>
      <w:i/>
      <w:iCs/>
      <w:color w:val="0F4761" w:themeColor="accent1" w:themeShade="BF"/>
    </w:rPr>
  </w:style>
  <w:style w:type="paragraph" w:styleId="IntenseQuote">
    <w:name w:val="Intense Quote"/>
    <w:basedOn w:val="Normal"/>
    <w:next w:val="Normal"/>
    <w:link w:val="IntenseQuoteChar"/>
    <w:uiPriority w:val="30"/>
    <w:qFormat/>
    <w:rsid w:val="00770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EB2"/>
    <w:rPr>
      <w:i/>
      <w:iCs/>
      <w:color w:val="0F4761" w:themeColor="accent1" w:themeShade="BF"/>
    </w:rPr>
  </w:style>
  <w:style w:type="character" w:styleId="IntenseReference">
    <w:name w:val="Intense Reference"/>
    <w:basedOn w:val="DefaultParagraphFont"/>
    <w:uiPriority w:val="32"/>
    <w:qFormat/>
    <w:rsid w:val="00770EB2"/>
    <w:rPr>
      <w:b/>
      <w:bCs/>
      <w:smallCaps/>
      <w:color w:val="0F4761" w:themeColor="accent1" w:themeShade="BF"/>
      <w:spacing w:val="5"/>
    </w:rPr>
  </w:style>
  <w:style w:type="character" w:styleId="PlaceholderText">
    <w:name w:val="Placeholder Text"/>
    <w:basedOn w:val="DefaultParagraphFont"/>
    <w:uiPriority w:val="99"/>
    <w:semiHidden/>
    <w:rsid w:val="00592E4D"/>
    <w:rPr>
      <w:color w:val="666666"/>
    </w:rPr>
  </w:style>
  <w:style w:type="paragraph" w:styleId="BalloonText">
    <w:name w:val="Balloon Text"/>
    <w:basedOn w:val="Normal"/>
    <w:link w:val="BalloonTextChar"/>
    <w:uiPriority w:val="99"/>
    <w:semiHidden/>
    <w:unhideWhenUsed/>
    <w:rsid w:val="00652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88F"/>
    <w:rPr>
      <w:rFonts w:ascii="Tahoma" w:hAnsi="Tahoma" w:cs="Tahoma"/>
      <w:sz w:val="16"/>
      <w:szCs w:val="16"/>
    </w:rPr>
  </w:style>
  <w:style w:type="paragraph" w:styleId="Header">
    <w:name w:val="header"/>
    <w:basedOn w:val="Normal"/>
    <w:link w:val="HeaderChar"/>
    <w:uiPriority w:val="99"/>
    <w:unhideWhenUsed/>
    <w:rsid w:val="00CB2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E18"/>
  </w:style>
  <w:style w:type="paragraph" w:styleId="Footer">
    <w:name w:val="footer"/>
    <w:basedOn w:val="Normal"/>
    <w:link w:val="FooterChar"/>
    <w:uiPriority w:val="99"/>
    <w:unhideWhenUsed/>
    <w:rsid w:val="00CB2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E18"/>
  </w:style>
  <w:style w:type="character" w:styleId="Hyperlink">
    <w:name w:val="Hyperlink"/>
    <w:basedOn w:val="DefaultParagraphFont"/>
    <w:uiPriority w:val="99"/>
    <w:unhideWhenUsed/>
    <w:rsid w:val="00957B0E"/>
    <w:rPr>
      <w:color w:val="467886" w:themeColor="hyperlink"/>
      <w:u w:val="single"/>
    </w:rPr>
  </w:style>
  <w:style w:type="character" w:styleId="PageNumber">
    <w:name w:val="page number"/>
    <w:basedOn w:val="DefaultParagraphFont"/>
    <w:uiPriority w:val="99"/>
    <w:semiHidden/>
    <w:unhideWhenUsed/>
    <w:rsid w:val="0016208F"/>
  </w:style>
  <w:style w:type="character" w:customStyle="1" w:styleId="t286pc">
    <w:name w:val="t286pc"/>
    <w:basedOn w:val="DefaultParagraphFont"/>
    <w:rsid w:val="00597990"/>
  </w:style>
  <w:style w:type="character" w:styleId="UnresolvedMention">
    <w:name w:val="Unresolved Mention"/>
    <w:basedOn w:val="DefaultParagraphFont"/>
    <w:uiPriority w:val="99"/>
    <w:semiHidden/>
    <w:unhideWhenUsed/>
    <w:rsid w:val="00EF2665"/>
    <w:rPr>
      <w:color w:val="605E5C"/>
      <w:shd w:val="clear" w:color="auto" w:fill="E1DFDD"/>
    </w:rPr>
  </w:style>
  <w:style w:type="character" w:styleId="FollowedHyperlink">
    <w:name w:val="FollowedHyperlink"/>
    <w:basedOn w:val="DefaultParagraphFont"/>
    <w:uiPriority w:val="99"/>
    <w:semiHidden/>
    <w:unhideWhenUsed/>
    <w:rsid w:val="00EF2665"/>
    <w:rPr>
      <w:color w:val="96607D" w:themeColor="followedHyperlink"/>
      <w:u w:val="single"/>
    </w:rPr>
  </w:style>
  <w:style w:type="paragraph" w:styleId="NoSpacing">
    <w:name w:val="No Spacing"/>
    <w:uiPriority w:val="1"/>
    <w:qFormat/>
    <w:rsid w:val="000406A8"/>
    <w:pPr>
      <w:spacing w:after="0" w:line="240" w:lineRule="auto"/>
    </w:pPr>
    <w:rPr>
      <w:kern w:val="0"/>
      <w:sz w:val="22"/>
      <w:szCs w:val="22"/>
      <w:lang w:val="en-GB"/>
    </w:rPr>
  </w:style>
  <w:style w:type="paragraph" w:styleId="ListNumber">
    <w:name w:val="List Number"/>
    <w:basedOn w:val="Normal"/>
    <w:uiPriority w:val="99"/>
    <w:unhideWhenUsed/>
    <w:rsid w:val="007724A3"/>
    <w:pPr>
      <w:numPr>
        <w:numId w:val="9"/>
      </w:numPr>
      <w:tabs>
        <w:tab w:val="clear" w:pos="360"/>
      </w:tabs>
      <w:spacing w:after="200" w:line="276" w:lineRule="auto"/>
      <w:contextualSpacing/>
    </w:pPr>
    <w:rPr>
      <w:rFonts w:eastAsiaTheme="minorEastAsia"/>
      <w:kern w:val="0"/>
      <w:sz w:val="22"/>
      <w:szCs w:val="22"/>
      <w:lang w:val="en-US"/>
    </w:rPr>
  </w:style>
  <w:style w:type="table" w:styleId="TableGrid">
    <w:name w:val="Table Grid"/>
    <w:basedOn w:val="TableNormal"/>
    <w:uiPriority w:val="59"/>
    <w:rsid w:val="007724A3"/>
    <w:pPr>
      <w:spacing w:after="0" w:line="240" w:lineRule="auto"/>
    </w:pPr>
    <w:rPr>
      <w:rFonts w:eastAsiaTheme="minorEastAsia"/>
      <w:ker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7724A3"/>
    <w:pPr>
      <w:numPr>
        <w:numId w:val="10"/>
      </w:numPr>
      <w:spacing w:after="200" w:line="276" w:lineRule="auto"/>
      <w:contextualSpacing/>
    </w:pPr>
    <w:rPr>
      <w:rFonts w:eastAsiaTheme="minorEastAsia"/>
      <w:kern w:val="0"/>
      <w:sz w:val="22"/>
      <w:szCs w:val="22"/>
      <w:lang w:val="en-US"/>
    </w:rPr>
  </w:style>
  <w:style w:type="table" w:styleId="GridTable4">
    <w:name w:val="Grid Table 4"/>
    <w:basedOn w:val="TableNormal"/>
    <w:uiPriority w:val="49"/>
    <w:rsid w:val="008A108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8A108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8A108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4A33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6">
    <w:name w:val="Grid Table 4 Accent 6"/>
    <w:basedOn w:val="TableNormal"/>
    <w:uiPriority w:val="49"/>
    <w:rsid w:val="004A3356"/>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376">
      <w:bodyDiv w:val="1"/>
      <w:marLeft w:val="0"/>
      <w:marRight w:val="0"/>
      <w:marTop w:val="0"/>
      <w:marBottom w:val="0"/>
      <w:divBdr>
        <w:top w:val="none" w:sz="0" w:space="0" w:color="auto"/>
        <w:left w:val="none" w:sz="0" w:space="0" w:color="auto"/>
        <w:bottom w:val="none" w:sz="0" w:space="0" w:color="auto"/>
        <w:right w:val="none" w:sz="0" w:space="0" w:color="auto"/>
      </w:divBdr>
    </w:div>
    <w:div w:id="22248016">
      <w:bodyDiv w:val="1"/>
      <w:marLeft w:val="0"/>
      <w:marRight w:val="0"/>
      <w:marTop w:val="0"/>
      <w:marBottom w:val="0"/>
      <w:divBdr>
        <w:top w:val="none" w:sz="0" w:space="0" w:color="auto"/>
        <w:left w:val="none" w:sz="0" w:space="0" w:color="auto"/>
        <w:bottom w:val="none" w:sz="0" w:space="0" w:color="auto"/>
        <w:right w:val="none" w:sz="0" w:space="0" w:color="auto"/>
      </w:divBdr>
    </w:div>
    <w:div w:id="23945132">
      <w:bodyDiv w:val="1"/>
      <w:marLeft w:val="0"/>
      <w:marRight w:val="0"/>
      <w:marTop w:val="0"/>
      <w:marBottom w:val="0"/>
      <w:divBdr>
        <w:top w:val="none" w:sz="0" w:space="0" w:color="auto"/>
        <w:left w:val="none" w:sz="0" w:space="0" w:color="auto"/>
        <w:bottom w:val="none" w:sz="0" w:space="0" w:color="auto"/>
        <w:right w:val="none" w:sz="0" w:space="0" w:color="auto"/>
      </w:divBdr>
    </w:div>
    <w:div w:id="65077957">
      <w:bodyDiv w:val="1"/>
      <w:marLeft w:val="0"/>
      <w:marRight w:val="0"/>
      <w:marTop w:val="0"/>
      <w:marBottom w:val="0"/>
      <w:divBdr>
        <w:top w:val="none" w:sz="0" w:space="0" w:color="auto"/>
        <w:left w:val="none" w:sz="0" w:space="0" w:color="auto"/>
        <w:bottom w:val="none" w:sz="0" w:space="0" w:color="auto"/>
        <w:right w:val="none" w:sz="0" w:space="0" w:color="auto"/>
      </w:divBdr>
    </w:div>
    <w:div w:id="98524730">
      <w:bodyDiv w:val="1"/>
      <w:marLeft w:val="0"/>
      <w:marRight w:val="0"/>
      <w:marTop w:val="0"/>
      <w:marBottom w:val="0"/>
      <w:divBdr>
        <w:top w:val="none" w:sz="0" w:space="0" w:color="auto"/>
        <w:left w:val="none" w:sz="0" w:space="0" w:color="auto"/>
        <w:bottom w:val="none" w:sz="0" w:space="0" w:color="auto"/>
        <w:right w:val="none" w:sz="0" w:space="0" w:color="auto"/>
      </w:divBdr>
    </w:div>
    <w:div w:id="128786254">
      <w:bodyDiv w:val="1"/>
      <w:marLeft w:val="0"/>
      <w:marRight w:val="0"/>
      <w:marTop w:val="0"/>
      <w:marBottom w:val="0"/>
      <w:divBdr>
        <w:top w:val="none" w:sz="0" w:space="0" w:color="auto"/>
        <w:left w:val="none" w:sz="0" w:space="0" w:color="auto"/>
        <w:bottom w:val="none" w:sz="0" w:space="0" w:color="auto"/>
        <w:right w:val="none" w:sz="0" w:space="0" w:color="auto"/>
      </w:divBdr>
    </w:div>
    <w:div w:id="161623058">
      <w:bodyDiv w:val="1"/>
      <w:marLeft w:val="0"/>
      <w:marRight w:val="0"/>
      <w:marTop w:val="0"/>
      <w:marBottom w:val="0"/>
      <w:divBdr>
        <w:top w:val="none" w:sz="0" w:space="0" w:color="auto"/>
        <w:left w:val="none" w:sz="0" w:space="0" w:color="auto"/>
        <w:bottom w:val="none" w:sz="0" w:space="0" w:color="auto"/>
        <w:right w:val="none" w:sz="0" w:space="0" w:color="auto"/>
      </w:divBdr>
    </w:div>
    <w:div w:id="197356551">
      <w:bodyDiv w:val="1"/>
      <w:marLeft w:val="0"/>
      <w:marRight w:val="0"/>
      <w:marTop w:val="0"/>
      <w:marBottom w:val="0"/>
      <w:divBdr>
        <w:top w:val="none" w:sz="0" w:space="0" w:color="auto"/>
        <w:left w:val="none" w:sz="0" w:space="0" w:color="auto"/>
        <w:bottom w:val="none" w:sz="0" w:space="0" w:color="auto"/>
        <w:right w:val="none" w:sz="0" w:space="0" w:color="auto"/>
      </w:divBdr>
    </w:div>
    <w:div w:id="241256430">
      <w:bodyDiv w:val="1"/>
      <w:marLeft w:val="0"/>
      <w:marRight w:val="0"/>
      <w:marTop w:val="0"/>
      <w:marBottom w:val="0"/>
      <w:divBdr>
        <w:top w:val="none" w:sz="0" w:space="0" w:color="auto"/>
        <w:left w:val="none" w:sz="0" w:space="0" w:color="auto"/>
        <w:bottom w:val="none" w:sz="0" w:space="0" w:color="auto"/>
        <w:right w:val="none" w:sz="0" w:space="0" w:color="auto"/>
      </w:divBdr>
    </w:div>
    <w:div w:id="317274833">
      <w:bodyDiv w:val="1"/>
      <w:marLeft w:val="0"/>
      <w:marRight w:val="0"/>
      <w:marTop w:val="0"/>
      <w:marBottom w:val="0"/>
      <w:divBdr>
        <w:top w:val="none" w:sz="0" w:space="0" w:color="auto"/>
        <w:left w:val="none" w:sz="0" w:space="0" w:color="auto"/>
        <w:bottom w:val="none" w:sz="0" w:space="0" w:color="auto"/>
        <w:right w:val="none" w:sz="0" w:space="0" w:color="auto"/>
      </w:divBdr>
    </w:div>
    <w:div w:id="331294623">
      <w:bodyDiv w:val="1"/>
      <w:marLeft w:val="0"/>
      <w:marRight w:val="0"/>
      <w:marTop w:val="0"/>
      <w:marBottom w:val="0"/>
      <w:divBdr>
        <w:top w:val="none" w:sz="0" w:space="0" w:color="auto"/>
        <w:left w:val="none" w:sz="0" w:space="0" w:color="auto"/>
        <w:bottom w:val="none" w:sz="0" w:space="0" w:color="auto"/>
        <w:right w:val="none" w:sz="0" w:space="0" w:color="auto"/>
      </w:divBdr>
    </w:div>
    <w:div w:id="343673885">
      <w:bodyDiv w:val="1"/>
      <w:marLeft w:val="0"/>
      <w:marRight w:val="0"/>
      <w:marTop w:val="0"/>
      <w:marBottom w:val="0"/>
      <w:divBdr>
        <w:top w:val="none" w:sz="0" w:space="0" w:color="auto"/>
        <w:left w:val="none" w:sz="0" w:space="0" w:color="auto"/>
        <w:bottom w:val="none" w:sz="0" w:space="0" w:color="auto"/>
        <w:right w:val="none" w:sz="0" w:space="0" w:color="auto"/>
      </w:divBdr>
    </w:div>
    <w:div w:id="395474387">
      <w:bodyDiv w:val="1"/>
      <w:marLeft w:val="0"/>
      <w:marRight w:val="0"/>
      <w:marTop w:val="0"/>
      <w:marBottom w:val="0"/>
      <w:divBdr>
        <w:top w:val="none" w:sz="0" w:space="0" w:color="auto"/>
        <w:left w:val="none" w:sz="0" w:space="0" w:color="auto"/>
        <w:bottom w:val="none" w:sz="0" w:space="0" w:color="auto"/>
        <w:right w:val="none" w:sz="0" w:space="0" w:color="auto"/>
      </w:divBdr>
    </w:div>
    <w:div w:id="525559410">
      <w:bodyDiv w:val="1"/>
      <w:marLeft w:val="0"/>
      <w:marRight w:val="0"/>
      <w:marTop w:val="0"/>
      <w:marBottom w:val="0"/>
      <w:divBdr>
        <w:top w:val="none" w:sz="0" w:space="0" w:color="auto"/>
        <w:left w:val="none" w:sz="0" w:space="0" w:color="auto"/>
        <w:bottom w:val="none" w:sz="0" w:space="0" w:color="auto"/>
        <w:right w:val="none" w:sz="0" w:space="0" w:color="auto"/>
      </w:divBdr>
    </w:div>
    <w:div w:id="541020905">
      <w:bodyDiv w:val="1"/>
      <w:marLeft w:val="0"/>
      <w:marRight w:val="0"/>
      <w:marTop w:val="0"/>
      <w:marBottom w:val="0"/>
      <w:divBdr>
        <w:top w:val="none" w:sz="0" w:space="0" w:color="auto"/>
        <w:left w:val="none" w:sz="0" w:space="0" w:color="auto"/>
        <w:bottom w:val="none" w:sz="0" w:space="0" w:color="auto"/>
        <w:right w:val="none" w:sz="0" w:space="0" w:color="auto"/>
      </w:divBdr>
    </w:div>
    <w:div w:id="554970694">
      <w:bodyDiv w:val="1"/>
      <w:marLeft w:val="0"/>
      <w:marRight w:val="0"/>
      <w:marTop w:val="0"/>
      <w:marBottom w:val="0"/>
      <w:divBdr>
        <w:top w:val="none" w:sz="0" w:space="0" w:color="auto"/>
        <w:left w:val="none" w:sz="0" w:space="0" w:color="auto"/>
        <w:bottom w:val="none" w:sz="0" w:space="0" w:color="auto"/>
        <w:right w:val="none" w:sz="0" w:space="0" w:color="auto"/>
      </w:divBdr>
    </w:div>
    <w:div w:id="573130484">
      <w:bodyDiv w:val="1"/>
      <w:marLeft w:val="0"/>
      <w:marRight w:val="0"/>
      <w:marTop w:val="0"/>
      <w:marBottom w:val="0"/>
      <w:divBdr>
        <w:top w:val="none" w:sz="0" w:space="0" w:color="auto"/>
        <w:left w:val="none" w:sz="0" w:space="0" w:color="auto"/>
        <w:bottom w:val="none" w:sz="0" w:space="0" w:color="auto"/>
        <w:right w:val="none" w:sz="0" w:space="0" w:color="auto"/>
      </w:divBdr>
    </w:div>
    <w:div w:id="655108540">
      <w:bodyDiv w:val="1"/>
      <w:marLeft w:val="0"/>
      <w:marRight w:val="0"/>
      <w:marTop w:val="0"/>
      <w:marBottom w:val="0"/>
      <w:divBdr>
        <w:top w:val="none" w:sz="0" w:space="0" w:color="auto"/>
        <w:left w:val="none" w:sz="0" w:space="0" w:color="auto"/>
        <w:bottom w:val="none" w:sz="0" w:space="0" w:color="auto"/>
        <w:right w:val="none" w:sz="0" w:space="0" w:color="auto"/>
      </w:divBdr>
    </w:div>
    <w:div w:id="668679478">
      <w:bodyDiv w:val="1"/>
      <w:marLeft w:val="0"/>
      <w:marRight w:val="0"/>
      <w:marTop w:val="0"/>
      <w:marBottom w:val="0"/>
      <w:divBdr>
        <w:top w:val="none" w:sz="0" w:space="0" w:color="auto"/>
        <w:left w:val="none" w:sz="0" w:space="0" w:color="auto"/>
        <w:bottom w:val="none" w:sz="0" w:space="0" w:color="auto"/>
        <w:right w:val="none" w:sz="0" w:space="0" w:color="auto"/>
      </w:divBdr>
    </w:div>
    <w:div w:id="756365903">
      <w:bodyDiv w:val="1"/>
      <w:marLeft w:val="0"/>
      <w:marRight w:val="0"/>
      <w:marTop w:val="0"/>
      <w:marBottom w:val="0"/>
      <w:divBdr>
        <w:top w:val="none" w:sz="0" w:space="0" w:color="auto"/>
        <w:left w:val="none" w:sz="0" w:space="0" w:color="auto"/>
        <w:bottom w:val="none" w:sz="0" w:space="0" w:color="auto"/>
        <w:right w:val="none" w:sz="0" w:space="0" w:color="auto"/>
      </w:divBdr>
    </w:div>
    <w:div w:id="766510269">
      <w:bodyDiv w:val="1"/>
      <w:marLeft w:val="0"/>
      <w:marRight w:val="0"/>
      <w:marTop w:val="0"/>
      <w:marBottom w:val="0"/>
      <w:divBdr>
        <w:top w:val="none" w:sz="0" w:space="0" w:color="auto"/>
        <w:left w:val="none" w:sz="0" w:space="0" w:color="auto"/>
        <w:bottom w:val="none" w:sz="0" w:space="0" w:color="auto"/>
        <w:right w:val="none" w:sz="0" w:space="0" w:color="auto"/>
      </w:divBdr>
    </w:div>
    <w:div w:id="794831037">
      <w:bodyDiv w:val="1"/>
      <w:marLeft w:val="0"/>
      <w:marRight w:val="0"/>
      <w:marTop w:val="0"/>
      <w:marBottom w:val="0"/>
      <w:divBdr>
        <w:top w:val="none" w:sz="0" w:space="0" w:color="auto"/>
        <w:left w:val="none" w:sz="0" w:space="0" w:color="auto"/>
        <w:bottom w:val="none" w:sz="0" w:space="0" w:color="auto"/>
        <w:right w:val="none" w:sz="0" w:space="0" w:color="auto"/>
      </w:divBdr>
    </w:div>
    <w:div w:id="849562489">
      <w:bodyDiv w:val="1"/>
      <w:marLeft w:val="0"/>
      <w:marRight w:val="0"/>
      <w:marTop w:val="0"/>
      <w:marBottom w:val="0"/>
      <w:divBdr>
        <w:top w:val="none" w:sz="0" w:space="0" w:color="auto"/>
        <w:left w:val="none" w:sz="0" w:space="0" w:color="auto"/>
        <w:bottom w:val="none" w:sz="0" w:space="0" w:color="auto"/>
        <w:right w:val="none" w:sz="0" w:space="0" w:color="auto"/>
      </w:divBdr>
    </w:div>
    <w:div w:id="865291185">
      <w:bodyDiv w:val="1"/>
      <w:marLeft w:val="0"/>
      <w:marRight w:val="0"/>
      <w:marTop w:val="0"/>
      <w:marBottom w:val="0"/>
      <w:divBdr>
        <w:top w:val="none" w:sz="0" w:space="0" w:color="auto"/>
        <w:left w:val="none" w:sz="0" w:space="0" w:color="auto"/>
        <w:bottom w:val="none" w:sz="0" w:space="0" w:color="auto"/>
        <w:right w:val="none" w:sz="0" w:space="0" w:color="auto"/>
      </w:divBdr>
    </w:div>
    <w:div w:id="927271100">
      <w:bodyDiv w:val="1"/>
      <w:marLeft w:val="0"/>
      <w:marRight w:val="0"/>
      <w:marTop w:val="0"/>
      <w:marBottom w:val="0"/>
      <w:divBdr>
        <w:top w:val="none" w:sz="0" w:space="0" w:color="auto"/>
        <w:left w:val="none" w:sz="0" w:space="0" w:color="auto"/>
        <w:bottom w:val="none" w:sz="0" w:space="0" w:color="auto"/>
        <w:right w:val="none" w:sz="0" w:space="0" w:color="auto"/>
      </w:divBdr>
    </w:div>
    <w:div w:id="940642398">
      <w:bodyDiv w:val="1"/>
      <w:marLeft w:val="0"/>
      <w:marRight w:val="0"/>
      <w:marTop w:val="0"/>
      <w:marBottom w:val="0"/>
      <w:divBdr>
        <w:top w:val="none" w:sz="0" w:space="0" w:color="auto"/>
        <w:left w:val="none" w:sz="0" w:space="0" w:color="auto"/>
        <w:bottom w:val="none" w:sz="0" w:space="0" w:color="auto"/>
        <w:right w:val="none" w:sz="0" w:space="0" w:color="auto"/>
      </w:divBdr>
    </w:div>
    <w:div w:id="942615245">
      <w:bodyDiv w:val="1"/>
      <w:marLeft w:val="0"/>
      <w:marRight w:val="0"/>
      <w:marTop w:val="0"/>
      <w:marBottom w:val="0"/>
      <w:divBdr>
        <w:top w:val="none" w:sz="0" w:space="0" w:color="auto"/>
        <w:left w:val="none" w:sz="0" w:space="0" w:color="auto"/>
        <w:bottom w:val="none" w:sz="0" w:space="0" w:color="auto"/>
        <w:right w:val="none" w:sz="0" w:space="0" w:color="auto"/>
      </w:divBdr>
    </w:div>
    <w:div w:id="966668179">
      <w:bodyDiv w:val="1"/>
      <w:marLeft w:val="0"/>
      <w:marRight w:val="0"/>
      <w:marTop w:val="0"/>
      <w:marBottom w:val="0"/>
      <w:divBdr>
        <w:top w:val="none" w:sz="0" w:space="0" w:color="auto"/>
        <w:left w:val="none" w:sz="0" w:space="0" w:color="auto"/>
        <w:bottom w:val="none" w:sz="0" w:space="0" w:color="auto"/>
        <w:right w:val="none" w:sz="0" w:space="0" w:color="auto"/>
      </w:divBdr>
    </w:div>
    <w:div w:id="987319589">
      <w:bodyDiv w:val="1"/>
      <w:marLeft w:val="0"/>
      <w:marRight w:val="0"/>
      <w:marTop w:val="0"/>
      <w:marBottom w:val="0"/>
      <w:divBdr>
        <w:top w:val="none" w:sz="0" w:space="0" w:color="auto"/>
        <w:left w:val="none" w:sz="0" w:space="0" w:color="auto"/>
        <w:bottom w:val="none" w:sz="0" w:space="0" w:color="auto"/>
        <w:right w:val="none" w:sz="0" w:space="0" w:color="auto"/>
      </w:divBdr>
    </w:div>
    <w:div w:id="1048526642">
      <w:bodyDiv w:val="1"/>
      <w:marLeft w:val="0"/>
      <w:marRight w:val="0"/>
      <w:marTop w:val="0"/>
      <w:marBottom w:val="0"/>
      <w:divBdr>
        <w:top w:val="none" w:sz="0" w:space="0" w:color="auto"/>
        <w:left w:val="none" w:sz="0" w:space="0" w:color="auto"/>
        <w:bottom w:val="none" w:sz="0" w:space="0" w:color="auto"/>
        <w:right w:val="none" w:sz="0" w:space="0" w:color="auto"/>
      </w:divBdr>
    </w:div>
    <w:div w:id="1059792017">
      <w:bodyDiv w:val="1"/>
      <w:marLeft w:val="0"/>
      <w:marRight w:val="0"/>
      <w:marTop w:val="0"/>
      <w:marBottom w:val="0"/>
      <w:divBdr>
        <w:top w:val="none" w:sz="0" w:space="0" w:color="auto"/>
        <w:left w:val="none" w:sz="0" w:space="0" w:color="auto"/>
        <w:bottom w:val="none" w:sz="0" w:space="0" w:color="auto"/>
        <w:right w:val="none" w:sz="0" w:space="0" w:color="auto"/>
      </w:divBdr>
    </w:div>
    <w:div w:id="1063723822">
      <w:bodyDiv w:val="1"/>
      <w:marLeft w:val="0"/>
      <w:marRight w:val="0"/>
      <w:marTop w:val="0"/>
      <w:marBottom w:val="0"/>
      <w:divBdr>
        <w:top w:val="none" w:sz="0" w:space="0" w:color="auto"/>
        <w:left w:val="none" w:sz="0" w:space="0" w:color="auto"/>
        <w:bottom w:val="none" w:sz="0" w:space="0" w:color="auto"/>
        <w:right w:val="none" w:sz="0" w:space="0" w:color="auto"/>
      </w:divBdr>
    </w:div>
    <w:div w:id="1068921204">
      <w:bodyDiv w:val="1"/>
      <w:marLeft w:val="0"/>
      <w:marRight w:val="0"/>
      <w:marTop w:val="0"/>
      <w:marBottom w:val="0"/>
      <w:divBdr>
        <w:top w:val="none" w:sz="0" w:space="0" w:color="auto"/>
        <w:left w:val="none" w:sz="0" w:space="0" w:color="auto"/>
        <w:bottom w:val="none" w:sz="0" w:space="0" w:color="auto"/>
        <w:right w:val="none" w:sz="0" w:space="0" w:color="auto"/>
      </w:divBdr>
    </w:div>
    <w:div w:id="1170876896">
      <w:bodyDiv w:val="1"/>
      <w:marLeft w:val="0"/>
      <w:marRight w:val="0"/>
      <w:marTop w:val="0"/>
      <w:marBottom w:val="0"/>
      <w:divBdr>
        <w:top w:val="none" w:sz="0" w:space="0" w:color="auto"/>
        <w:left w:val="none" w:sz="0" w:space="0" w:color="auto"/>
        <w:bottom w:val="none" w:sz="0" w:space="0" w:color="auto"/>
        <w:right w:val="none" w:sz="0" w:space="0" w:color="auto"/>
      </w:divBdr>
    </w:div>
    <w:div w:id="1205095578">
      <w:bodyDiv w:val="1"/>
      <w:marLeft w:val="0"/>
      <w:marRight w:val="0"/>
      <w:marTop w:val="0"/>
      <w:marBottom w:val="0"/>
      <w:divBdr>
        <w:top w:val="none" w:sz="0" w:space="0" w:color="auto"/>
        <w:left w:val="none" w:sz="0" w:space="0" w:color="auto"/>
        <w:bottom w:val="none" w:sz="0" w:space="0" w:color="auto"/>
        <w:right w:val="none" w:sz="0" w:space="0" w:color="auto"/>
      </w:divBdr>
    </w:div>
    <w:div w:id="1242837234">
      <w:bodyDiv w:val="1"/>
      <w:marLeft w:val="0"/>
      <w:marRight w:val="0"/>
      <w:marTop w:val="0"/>
      <w:marBottom w:val="0"/>
      <w:divBdr>
        <w:top w:val="none" w:sz="0" w:space="0" w:color="auto"/>
        <w:left w:val="none" w:sz="0" w:space="0" w:color="auto"/>
        <w:bottom w:val="none" w:sz="0" w:space="0" w:color="auto"/>
        <w:right w:val="none" w:sz="0" w:space="0" w:color="auto"/>
      </w:divBdr>
    </w:div>
    <w:div w:id="1246769389">
      <w:bodyDiv w:val="1"/>
      <w:marLeft w:val="0"/>
      <w:marRight w:val="0"/>
      <w:marTop w:val="0"/>
      <w:marBottom w:val="0"/>
      <w:divBdr>
        <w:top w:val="none" w:sz="0" w:space="0" w:color="auto"/>
        <w:left w:val="none" w:sz="0" w:space="0" w:color="auto"/>
        <w:bottom w:val="none" w:sz="0" w:space="0" w:color="auto"/>
        <w:right w:val="none" w:sz="0" w:space="0" w:color="auto"/>
      </w:divBdr>
    </w:div>
    <w:div w:id="1258440071">
      <w:bodyDiv w:val="1"/>
      <w:marLeft w:val="0"/>
      <w:marRight w:val="0"/>
      <w:marTop w:val="0"/>
      <w:marBottom w:val="0"/>
      <w:divBdr>
        <w:top w:val="none" w:sz="0" w:space="0" w:color="auto"/>
        <w:left w:val="none" w:sz="0" w:space="0" w:color="auto"/>
        <w:bottom w:val="none" w:sz="0" w:space="0" w:color="auto"/>
        <w:right w:val="none" w:sz="0" w:space="0" w:color="auto"/>
      </w:divBdr>
    </w:div>
    <w:div w:id="1302343171">
      <w:bodyDiv w:val="1"/>
      <w:marLeft w:val="0"/>
      <w:marRight w:val="0"/>
      <w:marTop w:val="0"/>
      <w:marBottom w:val="0"/>
      <w:divBdr>
        <w:top w:val="none" w:sz="0" w:space="0" w:color="auto"/>
        <w:left w:val="none" w:sz="0" w:space="0" w:color="auto"/>
        <w:bottom w:val="none" w:sz="0" w:space="0" w:color="auto"/>
        <w:right w:val="none" w:sz="0" w:space="0" w:color="auto"/>
      </w:divBdr>
    </w:div>
    <w:div w:id="1350139796">
      <w:bodyDiv w:val="1"/>
      <w:marLeft w:val="0"/>
      <w:marRight w:val="0"/>
      <w:marTop w:val="0"/>
      <w:marBottom w:val="0"/>
      <w:divBdr>
        <w:top w:val="none" w:sz="0" w:space="0" w:color="auto"/>
        <w:left w:val="none" w:sz="0" w:space="0" w:color="auto"/>
        <w:bottom w:val="none" w:sz="0" w:space="0" w:color="auto"/>
        <w:right w:val="none" w:sz="0" w:space="0" w:color="auto"/>
      </w:divBdr>
    </w:div>
    <w:div w:id="1359117317">
      <w:bodyDiv w:val="1"/>
      <w:marLeft w:val="0"/>
      <w:marRight w:val="0"/>
      <w:marTop w:val="0"/>
      <w:marBottom w:val="0"/>
      <w:divBdr>
        <w:top w:val="none" w:sz="0" w:space="0" w:color="auto"/>
        <w:left w:val="none" w:sz="0" w:space="0" w:color="auto"/>
        <w:bottom w:val="none" w:sz="0" w:space="0" w:color="auto"/>
        <w:right w:val="none" w:sz="0" w:space="0" w:color="auto"/>
      </w:divBdr>
    </w:div>
    <w:div w:id="1434788814">
      <w:bodyDiv w:val="1"/>
      <w:marLeft w:val="0"/>
      <w:marRight w:val="0"/>
      <w:marTop w:val="0"/>
      <w:marBottom w:val="0"/>
      <w:divBdr>
        <w:top w:val="none" w:sz="0" w:space="0" w:color="auto"/>
        <w:left w:val="none" w:sz="0" w:space="0" w:color="auto"/>
        <w:bottom w:val="none" w:sz="0" w:space="0" w:color="auto"/>
        <w:right w:val="none" w:sz="0" w:space="0" w:color="auto"/>
      </w:divBdr>
    </w:div>
    <w:div w:id="1473281318">
      <w:bodyDiv w:val="1"/>
      <w:marLeft w:val="0"/>
      <w:marRight w:val="0"/>
      <w:marTop w:val="0"/>
      <w:marBottom w:val="0"/>
      <w:divBdr>
        <w:top w:val="none" w:sz="0" w:space="0" w:color="auto"/>
        <w:left w:val="none" w:sz="0" w:space="0" w:color="auto"/>
        <w:bottom w:val="none" w:sz="0" w:space="0" w:color="auto"/>
        <w:right w:val="none" w:sz="0" w:space="0" w:color="auto"/>
      </w:divBdr>
    </w:div>
    <w:div w:id="1495488637">
      <w:bodyDiv w:val="1"/>
      <w:marLeft w:val="0"/>
      <w:marRight w:val="0"/>
      <w:marTop w:val="0"/>
      <w:marBottom w:val="0"/>
      <w:divBdr>
        <w:top w:val="none" w:sz="0" w:space="0" w:color="auto"/>
        <w:left w:val="none" w:sz="0" w:space="0" w:color="auto"/>
        <w:bottom w:val="none" w:sz="0" w:space="0" w:color="auto"/>
        <w:right w:val="none" w:sz="0" w:space="0" w:color="auto"/>
      </w:divBdr>
    </w:div>
    <w:div w:id="1534685781">
      <w:bodyDiv w:val="1"/>
      <w:marLeft w:val="0"/>
      <w:marRight w:val="0"/>
      <w:marTop w:val="0"/>
      <w:marBottom w:val="0"/>
      <w:divBdr>
        <w:top w:val="none" w:sz="0" w:space="0" w:color="auto"/>
        <w:left w:val="none" w:sz="0" w:space="0" w:color="auto"/>
        <w:bottom w:val="none" w:sz="0" w:space="0" w:color="auto"/>
        <w:right w:val="none" w:sz="0" w:space="0" w:color="auto"/>
      </w:divBdr>
    </w:div>
    <w:div w:id="1550533523">
      <w:bodyDiv w:val="1"/>
      <w:marLeft w:val="0"/>
      <w:marRight w:val="0"/>
      <w:marTop w:val="0"/>
      <w:marBottom w:val="0"/>
      <w:divBdr>
        <w:top w:val="none" w:sz="0" w:space="0" w:color="auto"/>
        <w:left w:val="none" w:sz="0" w:space="0" w:color="auto"/>
        <w:bottom w:val="none" w:sz="0" w:space="0" w:color="auto"/>
        <w:right w:val="none" w:sz="0" w:space="0" w:color="auto"/>
      </w:divBdr>
    </w:div>
    <w:div w:id="1555122706">
      <w:bodyDiv w:val="1"/>
      <w:marLeft w:val="0"/>
      <w:marRight w:val="0"/>
      <w:marTop w:val="0"/>
      <w:marBottom w:val="0"/>
      <w:divBdr>
        <w:top w:val="none" w:sz="0" w:space="0" w:color="auto"/>
        <w:left w:val="none" w:sz="0" w:space="0" w:color="auto"/>
        <w:bottom w:val="none" w:sz="0" w:space="0" w:color="auto"/>
        <w:right w:val="none" w:sz="0" w:space="0" w:color="auto"/>
      </w:divBdr>
    </w:div>
    <w:div w:id="1584070882">
      <w:bodyDiv w:val="1"/>
      <w:marLeft w:val="0"/>
      <w:marRight w:val="0"/>
      <w:marTop w:val="0"/>
      <w:marBottom w:val="0"/>
      <w:divBdr>
        <w:top w:val="none" w:sz="0" w:space="0" w:color="auto"/>
        <w:left w:val="none" w:sz="0" w:space="0" w:color="auto"/>
        <w:bottom w:val="none" w:sz="0" w:space="0" w:color="auto"/>
        <w:right w:val="none" w:sz="0" w:space="0" w:color="auto"/>
      </w:divBdr>
    </w:div>
    <w:div w:id="1650593136">
      <w:bodyDiv w:val="1"/>
      <w:marLeft w:val="0"/>
      <w:marRight w:val="0"/>
      <w:marTop w:val="0"/>
      <w:marBottom w:val="0"/>
      <w:divBdr>
        <w:top w:val="none" w:sz="0" w:space="0" w:color="auto"/>
        <w:left w:val="none" w:sz="0" w:space="0" w:color="auto"/>
        <w:bottom w:val="none" w:sz="0" w:space="0" w:color="auto"/>
        <w:right w:val="none" w:sz="0" w:space="0" w:color="auto"/>
      </w:divBdr>
    </w:div>
    <w:div w:id="1651711696">
      <w:bodyDiv w:val="1"/>
      <w:marLeft w:val="0"/>
      <w:marRight w:val="0"/>
      <w:marTop w:val="0"/>
      <w:marBottom w:val="0"/>
      <w:divBdr>
        <w:top w:val="none" w:sz="0" w:space="0" w:color="auto"/>
        <w:left w:val="none" w:sz="0" w:space="0" w:color="auto"/>
        <w:bottom w:val="none" w:sz="0" w:space="0" w:color="auto"/>
        <w:right w:val="none" w:sz="0" w:space="0" w:color="auto"/>
      </w:divBdr>
    </w:div>
    <w:div w:id="1699508390">
      <w:bodyDiv w:val="1"/>
      <w:marLeft w:val="0"/>
      <w:marRight w:val="0"/>
      <w:marTop w:val="0"/>
      <w:marBottom w:val="0"/>
      <w:divBdr>
        <w:top w:val="none" w:sz="0" w:space="0" w:color="auto"/>
        <w:left w:val="none" w:sz="0" w:space="0" w:color="auto"/>
        <w:bottom w:val="none" w:sz="0" w:space="0" w:color="auto"/>
        <w:right w:val="none" w:sz="0" w:space="0" w:color="auto"/>
      </w:divBdr>
    </w:div>
    <w:div w:id="1787312655">
      <w:bodyDiv w:val="1"/>
      <w:marLeft w:val="0"/>
      <w:marRight w:val="0"/>
      <w:marTop w:val="0"/>
      <w:marBottom w:val="0"/>
      <w:divBdr>
        <w:top w:val="none" w:sz="0" w:space="0" w:color="auto"/>
        <w:left w:val="none" w:sz="0" w:space="0" w:color="auto"/>
        <w:bottom w:val="none" w:sz="0" w:space="0" w:color="auto"/>
        <w:right w:val="none" w:sz="0" w:space="0" w:color="auto"/>
      </w:divBdr>
    </w:div>
    <w:div w:id="1816873821">
      <w:bodyDiv w:val="1"/>
      <w:marLeft w:val="0"/>
      <w:marRight w:val="0"/>
      <w:marTop w:val="0"/>
      <w:marBottom w:val="0"/>
      <w:divBdr>
        <w:top w:val="none" w:sz="0" w:space="0" w:color="auto"/>
        <w:left w:val="none" w:sz="0" w:space="0" w:color="auto"/>
        <w:bottom w:val="none" w:sz="0" w:space="0" w:color="auto"/>
        <w:right w:val="none" w:sz="0" w:space="0" w:color="auto"/>
      </w:divBdr>
    </w:div>
    <w:div w:id="1831946170">
      <w:bodyDiv w:val="1"/>
      <w:marLeft w:val="0"/>
      <w:marRight w:val="0"/>
      <w:marTop w:val="0"/>
      <w:marBottom w:val="0"/>
      <w:divBdr>
        <w:top w:val="none" w:sz="0" w:space="0" w:color="auto"/>
        <w:left w:val="none" w:sz="0" w:space="0" w:color="auto"/>
        <w:bottom w:val="none" w:sz="0" w:space="0" w:color="auto"/>
        <w:right w:val="none" w:sz="0" w:space="0" w:color="auto"/>
      </w:divBdr>
    </w:div>
    <w:div w:id="1880704267">
      <w:bodyDiv w:val="1"/>
      <w:marLeft w:val="0"/>
      <w:marRight w:val="0"/>
      <w:marTop w:val="0"/>
      <w:marBottom w:val="0"/>
      <w:divBdr>
        <w:top w:val="none" w:sz="0" w:space="0" w:color="auto"/>
        <w:left w:val="none" w:sz="0" w:space="0" w:color="auto"/>
        <w:bottom w:val="none" w:sz="0" w:space="0" w:color="auto"/>
        <w:right w:val="none" w:sz="0" w:space="0" w:color="auto"/>
      </w:divBdr>
    </w:div>
    <w:div w:id="1881161991">
      <w:bodyDiv w:val="1"/>
      <w:marLeft w:val="0"/>
      <w:marRight w:val="0"/>
      <w:marTop w:val="0"/>
      <w:marBottom w:val="0"/>
      <w:divBdr>
        <w:top w:val="none" w:sz="0" w:space="0" w:color="auto"/>
        <w:left w:val="none" w:sz="0" w:space="0" w:color="auto"/>
        <w:bottom w:val="none" w:sz="0" w:space="0" w:color="auto"/>
        <w:right w:val="none" w:sz="0" w:space="0" w:color="auto"/>
      </w:divBdr>
    </w:div>
    <w:div w:id="1885753739">
      <w:bodyDiv w:val="1"/>
      <w:marLeft w:val="0"/>
      <w:marRight w:val="0"/>
      <w:marTop w:val="0"/>
      <w:marBottom w:val="0"/>
      <w:divBdr>
        <w:top w:val="none" w:sz="0" w:space="0" w:color="auto"/>
        <w:left w:val="none" w:sz="0" w:space="0" w:color="auto"/>
        <w:bottom w:val="none" w:sz="0" w:space="0" w:color="auto"/>
        <w:right w:val="none" w:sz="0" w:space="0" w:color="auto"/>
      </w:divBdr>
    </w:div>
    <w:div w:id="1900283349">
      <w:bodyDiv w:val="1"/>
      <w:marLeft w:val="0"/>
      <w:marRight w:val="0"/>
      <w:marTop w:val="0"/>
      <w:marBottom w:val="0"/>
      <w:divBdr>
        <w:top w:val="none" w:sz="0" w:space="0" w:color="auto"/>
        <w:left w:val="none" w:sz="0" w:space="0" w:color="auto"/>
        <w:bottom w:val="none" w:sz="0" w:space="0" w:color="auto"/>
        <w:right w:val="none" w:sz="0" w:space="0" w:color="auto"/>
      </w:divBdr>
    </w:div>
    <w:div w:id="1940482521">
      <w:bodyDiv w:val="1"/>
      <w:marLeft w:val="0"/>
      <w:marRight w:val="0"/>
      <w:marTop w:val="0"/>
      <w:marBottom w:val="0"/>
      <w:divBdr>
        <w:top w:val="none" w:sz="0" w:space="0" w:color="auto"/>
        <w:left w:val="none" w:sz="0" w:space="0" w:color="auto"/>
        <w:bottom w:val="none" w:sz="0" w:space="0" w:color="auto"/>
        <w:right w:val="none" w:sz="0" w:space="0" w:color="auto"/>
      </w:divBdr>
    </w:div>
    <w:div w:id="1961647471">
      <w:bodyDiv w:val="1"/>
      <w:marLeft w:val="0"/>
      <w:marRight w:val="0"/>
      <w:marTop w:val="0"/>
      <w:marBottom w:val="0"/>
      <w:divBdr>
        <w:top w:val="none" w:sz="0" w:space="0" w:color="auto"/>
        <w:left w:val="none" w:sz="0" w:space="0" w:color="auto"/>
        <w:bottom w:val="none" w:sz="0" w:space="0" w:color="auto"/>
        <w:right w:val="none" w:sz="0" w:space="0" w:color="auto"/>
      </w:divBdr>
    </w:div>
    <w:div w:id="1966303283">
      <w:bodyDiv w:val="1"/>
      <w:marLeft w:val="0"/>
      <w:marRight w:val="0"/>
      <w:marTop w:val="0"/>
      <w:marBottom w:val="0"/>
      <w:divBdr>
        <w:top w:val="none" w:sz="0" w:space="0" w:color="auto"/>
        <w:left w:val="none" w:sz="0" w:space="0" w:color="auto"/>
        <w:bottom w:val="none" w:sz="0" w:space="0" w:color="auto"/>
        <w:right w:val="none" w:sz="0" w:space="0" w:color="auto"/>
      </w:divBdr>
    </w:div>
    <w:div w:id="2032410117">
      <w:bodyDiv w:val="1"/>
      <w:marLeft w:val="0"/>
      <w:marRight w:val="0"/>
      <w:marTop w:val="0"/>
      <w:marBottom w:val="0"/>
      <w:divBdr>
        <w:top w:val="none" w:sz="0" w:space="0" w:color="auto"/>
        <w:left w:val="none" w:sz="0" w:space="0" w:color="auto"/>
        <w:bottom w:val="none" w:sz="0" w:space="0" w:color="auto"/>
        <w:right w:val="none" w:sz="0" w:space="0" w:color="auto"/>
      </w:divBdr>
    </w:div>
    <w:div w:id="2056389334">
      <w:bodyDiv w:val="1"/>
      <w:marLeft w:val="0"/>
      <w:marRight w:val="0"/>
      <w:marTop w:val="0"/>
      <w:marBottom w:val="0"/>
      <w:divBdr>
        <w:top w:val="none" w:sz="0" w:space="0" w:color="auto"/>
        <w:left w:val="none" w:sz="0" w:space="0" w:color="auto"/>
        <w:bottom w:val="none" w:sz="0" w:space="0" w:color="auto"/>
        <w:right w:val="none" w:sz="0" w:space="0" w:color="auto"/>
      </w:divBdr>
    </w:div>
    <w:div w:id="2065326923">
      <w:bodyDiv w:val="1"/>
      <w:marLeft w:val="0"/>
      <w:marRight w:val="0"/>
      <w:marTop w:val="0"/>
      <w:marBottom w:val="0"/>
      <w:divBdr>
        <w:top w:val="none" w:sz="0" w:space="0" w:color="auto"/>
        <w:left w:val="none" w:sz="0" w:space="0" w:color="auto"/>
        <w:bottom w:val="none" w:sz="0" w:space="0" w:color="auto"/>
        <w:right w:val="none" w:sz="0" w:space="0" w:color="auto"/>
      </w:divBdr>
    </w:div>
    <w:div w:id="2081364265">
      <w:bodyDiv w:val="1"/>
      <w:marLeft w:val="0"/>
      <w:marRight w:val="0"/>
      <w:marTop w:val="0"/>
      <w:marBottom w:val="0"/>
      <w:divBdr>
        <w:top w:val="none" w:sz="0" w:space="0" w:color="auto"/>
        <w:left w:val="none" w:sz="0" w:space="0" w:color="auto"/>
        <w:bottom w:val="none" w:sz="0" w:space="0" w:color="auto"/>
        <w:right w:val="none" w:sz="0" w:space="0" w:color="auto"/>
      </w:divBdr>
    </w:div>
    <w:div w:id="210190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759/cureus.97301" TargetMode="External" /><Relationship Id="rId13" Type="http://schemas.openxmlformats.org/officeDocument/2006/relationships/hyperlink" Target="https://ideas.repec.org/a/aii/ijcmss/v09y2018i2p68-77.html" TargetMode="External" /><Relationship Id="rId18" Type="http://schemas.openxmlformats.org/officeDocument/2006/relationships/hyperlink" Target="https://www.ijcmph.com/index.php/ijcmph/article/view/241" TargetMode="External" /><Relationship Id="rId26" Type="http://schemas.openxmlformats.org/officeDocument/2006/relationships/footer" Target="footer1.xml" /><Relationship Id="rId3" Type="http://schemas.openxmlformats.org/officeDocument/2006/relationships/styles" Target="styles.xml" /><Relationship Id="rId21" Type="http://schemas.openxmlformats.org/officeDocument/2006/relationships/hyperlink" Target="https://indjst.org/articles/effects-of-smartphone-addiction-on-the-physical-and-mental-well-being-of-indian-students" TargetMode="External" /><Relationship Id="rId7" Type="http://schemas.openxmlformats.org/officeDocument/2006/relationships/endnotes" Target="endnotes.xml" /><Relationship Id="rId12" Type="http://schemas.openxmlformats.org/officeDocument/2006/relationships/hyperlink" Target="https://doi.org/10.3389/fpsyg.2025.1524645" TargetMode="External" /><Relationship Id="rId17" Type="http://schemas.openxmlformats.org/officeDocument/2006/relationships/hyperlink" Target="https://doi.org/10.1556/2006.2024.00014" TargetMode="External" /><Relationship Id="rId25" Type="http://schemas.openxmlformats.org/officeDocument/2006/relationships/header" Target="header2.xml" /><Relationship Id="rId2" Type="http://schemas.openxmlformats.org/officeDocument/2006/relationships/numbering" Target="numbering.xml" /><Relationship Id="rId16" Type="http://schemas.openxmlformats.org/officeDocument/2006/relationships/hyperlink" Target="https://doi.org/10.1038/s41467-022-29296-3" TargetMode="External" /><Relationship Id="rId20" Type="http://schemas.openxmlformats.org/officeDocument/2006/relationships/hyperlink" Target="https://doi.org/10.1016/j.childyouth.2023.107276" TargetMode="External" /><Relationship Id="rId29"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22271/allresearch.2026.v12.i1c.13314" TargetMode="External" /><Relationship Id="rId24"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hyperlink" Target="https://doi.org/10.1007/s11469-019-00182-2" TargetMode="External" /><Relationship Id="rId23" Type="http://schemas.openxmlformats.org/officeDocument/2006/relationships/hyperlink" Target="https://doi.org/10.1186/s12889-026-27025-9" TargetMode="External" /><Relationship Id="rId28" Type="http://schemas.openxmlformats.org/officeDocument/2006/relationships/header" Target="header3.xml" /><Relationship Id="rId10" Type="http://schemas.openxmlformats.org/officeDocument/2006/relationships/hyperlink" Target="https://www.msjonline.org/index.php/ijrms/article/view/14037" TargetMode="External" /><Relationship Id="rId19" Type="http://schemas.openxmlformats.org/officeDocument/2006/relationships/hyperlink" Target="https://doi.org/10.1192/j.eurpsy.2025.2430" TargetMode="External" /><Relationship Id="rId31"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https://doi.org/10.1038/s41598-026-47811-0" TargetMode="External" /><Relationship Id="rId14" Type="http://schemas.openxmlformats.org/officeDocument/2006/relationships/hyperlink" Target="https://doi.org/10.7759/cureus.101440" TargetMode="External" /><Relationship Id="rId22" Type="http://schemas.openxmlformats.org/officeDocument/2006/relationships/hyperlink" Target="https://ijip.in/articles/addiction-among-college-students/" TargetMode="External" /><Relationship Id="rId27" Type="http://schemas.openxmlformats.org/officeDocument/2006/relationships/footer" Target="footer2.xml" /><Relationship Id="rId30"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790FF-9632-4D82-93D7-2A88FA8D5B2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4671</Words>
  <Characters>26630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Statistical Evaluation of Digital Screen Exposure and Its Mental Health Implications:</vt:lpstr>
    </vt:vector>
  </TitlesOfParts>
  <Company>MAHARAJA BIR BIKRAM COLLEGE, AGARTALA, TRIPURA</Company>
  <LinksUpToDate>false</LinksUpToDate>
  <CharactersWithSpaces>31239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Evaluation of Digital Screen Exposure and Its Mental Health Implications:</dc:title>
  <dc:subject>Evidence from Female Undergraduates of Maharaja BirBikram College</dc:subject>
  <dc:creator>Gautam Gupta</dc:creator>
  <cp:lastModifiedBy>Likhmi Debatrata</cp:lastModifiedBy>
  <cp:revision>2</cp:revision>
  <dcterms:created xsi:type="dcterms:W3CDTF">2026-05-01T10:40:00Z</dcterms:created>
  <dcterms:modified xsi:type="dcterms:W3CDTF">2026-05-01T10:40:00Z</dcterms:modified>
</cp:coreProperties>
</file>