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2BB" w:rsidRDefault="005E32BB" w:rsidP="00D5788D">
      <w:pPr>
        <w:spacing w:line="240" w:lineRule="auto"/>
        <w:jc w:val="right"/>
        <w:rPr>
          <w:rFonts w:eastAsia="Times New Roman"/>
          <w:b/>
          <w:bCs/>
          <w:sz w:val="36"/>
          <w:szCs w:val="36"/>
        </w:rPr>
      </w:pPr>
    </w:p>
    <w:p w:rsidR="00ED1603" w:rsidRPr="00D84FD8" w:rsidRDefault="00F84B8F" w:rsidP="00D84FD8">
      <w:pPr>
        <w:spacing w:line="240" w:lineRule="auto"/>
        <w:jc w:val="right"/>
        <w:rPr>
          <w:rFonts w:eastAsia="Times New Roman"/>
          <w:b/>
          <w:bCs/>
          <w:sz w:val="36"/>
          <w:szCs w:val="36"/>
        </w:rPr>
      </w:pPr>
      <w:r w:rsidRPr="00546284">
        <w:rPr>
          <w:rFonts w:eastAsia="Times New Roman"/>
          <w:b/>
          <w:bCs/>
          <w:sz w:val="36"/>
          <w:szCs w:val="36"/>
        </w:rPr>
        <w:t>Leveraging Digital Entrepreneurship: A Tool for Sustainable Agency and Empowerment</w:t>
      </w:r>
      <w:r w:rsidR="00567F11">
        <w:rPr>
          <w:rFonts w:eastAsia="Times New Roman"/>
          <w:b/>
          <w:bCs/>
          <w:sz w:val="36"/>
          <w:szCs w:val="36"/>
        </w:rPr>
        <w:t xml:space="preserve"> </w:t>
      </w:r>
      <w:r w:rsidR="00331AF8">
        <w:rPr>
          <w:rFonts w:eastAsia="Times New Roman"/>
          <w:b/>
          <w:bCs/>
          <w:sz w:val="36"/>
          <w:szCs w:val="36"/>
        </w:rPr>
        <w:t xml:space="preserve">of Women </w:t>
      </w:r>
      <w:r w:rsidR="00567F11">
        <w:rPr>
          <w:rFonts w:eastAsia="Times New Roman"/>
          <w:b/>
          <w:bCs/>
          <w:sz w:val="36"/>
          <w:szCs w:val="36"/>
        </w:rPr>
        <w:t>in South India</w:t>
      </w: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546284" w:rsidRDefault="00546284" w:rsidP="004B3716">
      <w:pPr>
        <w:spacing w:before="240" w:line="360" w:lineRule="auto"/>
        <w:jc w:val="both"/>
        <w:rPr>
          <w:rFonts w:eastAsia="Times New Roman"/>
          <w:b/>
          <w:bCs/>
          <w:sz w:val="24"/>
          <w:szCs w:val="24"/>
        </w:rPr>
      </w:pPr>
      <w:r>
        <w:rPr>
          <w:noProof/>
          <w:lang w:val="en-US" w:eastAsia="en-US"/>
        </w:rPr>
        <mc:AlternateContent>
          <mc:Choice Requires="wps">
            <w:drawing>
              <wp:inline distT="0" distB="0" distL="0" distR="0">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C400A9A"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a0l8yUCAABLBAAADgAAAAAAAAAAAAAAAAAuAgAAZHJzL2Uyb0RvYy54bWxQSwEC&#10;LQAUAAYACAAAACEAScjSt9YAAAACAQAADwAAAAAAAAAAAAAAAAB/BAAAZHJzL2Rvd25yZXYueG1s&#10;UEsFBgAAAAAEAAQA8wAAAIIFAAAAAA==&#10;" strokeweight="1.5pt">
                <w10:anchorlock/>
              </v:shape>
            </w:pict>
          </mc:Fallback>
        </mc:AlternateContent>
      </w:r>
    </w:p>
    <w:p w:rsidR="00546284" w:rsidRPr="00546284" w:rsidRDefault="00546284" w:rsidP="00546284">
      <w:pPr>
        <w:pStyle w:val="AbstHead"/>
        <w:spacing w:after="0"/>
        <w:jc w:val="both"/>
        <w:rPr>
          <w:rFonts w:ascii="Arial" w:hAnsi="Arial" w:cs="Arial"/>
        </w:rPr>
      </w:pPr>
      <w:r w:rsidRPr="00546284">
        <w:rPr>
          <w:rFonts w:ascii="Arial" w:hAnsi="Arial" w:cs="Arial"/>
        </w:rPr>
        <w:t xml:space="preserve">ABSTRACT </w:t>
      </w:r>
    </w:p>
    <w:p w:rsidR="00546284" w:rsidRPr="00FB3A86" w:rsidRDefault="00546284" w:rsidP="00546284">
      <w:pPr>
        <w:pStyle w:val="AbstHead"/>
        <w:spacing w:after="0"/>
        <w:jc w:val="both"/>
        <w:rPr>
          <w:rFonts w:ascii="Arial" w:hAnsi="Arial" w:cs="Arial"/>
        </w:rPr>
      </w:pPr>
    </w:p>
    <w:tbl>
      <w:tblPr>
        <w:tblW w:w="8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70"/>
      </w:tblGrid>
      <w:tr w:rsidR="00546284" w:rsidRPr="001E44FE" w:rsidTr="00D5788D">
        <w:trPr>
          <w:trHeight w:val="4008"/>
        </w:trPr>
        <w:tc>
          <w:tcPr>
            <w:tcW w:w="8270" w:type="dxa"/>
            <w:shd w:val="clear" w:color="auto" w:fill="F2F2F2"/>
          </w:tcPr>
          <w:p w:rsidR="008F18AE" w:rsidRDefault="008F18AE" w:rsidP="0047328C">
            <w:pPr>
              <w:pStyle w:val="Body"/>
              <w:spacing w:after="0"/>
              <w:rPr>
                <w:rFonts w:ascii="Arial" w:eastAsia="Calibri" w:hAnsi="Arial" w:cs="Arial"/>
                <w:b/>
                <w:szCs w:val="22"/>
              </w:rPr>
            </w:pPr>
            <w:r w:rsidRPr="008F18AE">
              <w:rPr>
                <w:b/>
              </w:rPr>
              <w:t>Background</w:t>
            </w:r>
            <w:r>
              <w:t xml:space="preserve">: South India’s rapid digital penetration alongside persistent gendered </w:t>
            </w:r>
            <w:proofErr w:type="spellStart"/>
            <w:r>
              <w:t>labour</w:t>
            </w:r>
            <w:proofErr w:type="spellEnd"/>
            <w:r>
              <w:t xml:space="preserve"> market disparities has created a unique context where high female education does not consistently translate into formal employment outcomes. In this setting, the expansion of digital platforms and entrepreneurship ecosystems offers an emerging alternative pathway for converting women’s digital access into economic participation and agency.</w:t>
            </w:r>
          </w:p>
          <w:p w:rsidR="008F18AE" w:rsidRDefault="008F18AE" w:rsidP="0047328C">
            <w:pPr>
              <w:pStyle w:val="Body"/>
              <w:spacing w:after="0"/>
              <w:rPr>
                <w:rFonts w:ascii="Arial" w:eastAsia="Calibri" w:hAnsi="Arial" w:cs="Arial"/>
                <w:b/>
                <w:szCs w:val="22"/>
              </w:rPr>
            </w:pPr>
          </w:p>
          <w:p w:rsidR="00546284" w:rsidRPr="00BA1B01" w:rsidRDefault="00546284" w:rsidP="0047328C">
            <w:pPr>
              <w:pStyle w:val="Body"/>
              <w:spacing w:after="0"/>
              <w:rPr>
                <w:rFonts w:ascii="Arial" w:eastAsia="Calibri" w:hAnsi="Arial" w:cs="Arial"/>
                <w:szCs w:val="22"/>
              </w:rPr>
            </w:pPr>
            <w:r w:rsidRPr="00BA1B01">
              <w:rPr>
                <w:rFonts w:ascii="Arial" w:eastAsia="Calibri" w:hAnsi="Arial" w:cs="Arial"/>
                <w:b/>
                <w:szCs w:val="22"/>
              </w:rPr>
              <w:t xml:space="preserve">Aims: </w:t>
            </w:r>
            <w:r w:rsidR="00691F86">
              <w:rPr>
                <w:rFonts w:ascii="Arial" w:eastAsia="Calibri" w:hAnsi="Arial" w:cs="Arial"/>
                <w:szCs w:val="22"/>
              </w:rPr>
              <w:t>The present study</w:t>
            </w:r>
            <w:r w:rsidR="00CA0FCB" w:rsidRPr="00CA0FCB">
              <w:rPr>
                <w:rFonts w:ascii="Arial" w:eastAsia="Calibri" w:hAnsi="Arial" w:cs="Arial"/>
                <w:szCs w:val="22"/>
              </w:rPr>
              <w:t xml:space="preserve"> </w:t>
            </w:r>
            <w:r w:rsidR="00567F11">
              <w:rPr>
                <w:rFonts w:ascii="Arial" w:eastAsia="Calibri" w:hAnsi="Arial" w:cs="Arial"/>
                <w:szCs w:val="22"/>
              </w:rPr>
              <w:t>investigate</w:t>
            </w:r>
            <w:r w:rsidR="00691F86">
              <w:rPr>
                <w:rFonts w:ascii="Arial" w:eastAsia="Calibri" w:hAnsi="Arial" w:cs="Arial"/>
                <w:szCs w:val="22"/>
              </w:rPr>
              <w:t>s</w:t>
            </w:r>
            <w:r w:rsidR="00567F11">
              <w:rPr>
                <w:rFonts w:ascii="Arial" w:eastAsia="Calibri" w:hAnsi="Arial" w:cs="Arial"/>
                <w:szCs w:val="22"/>
              </w:rPr>
              <w:t xml:space="preserve"> the underutiliz</w:t>
            </w:r>
            <w:r w:rsidR="00567F11" w:rsidRPr="00CA0FCB">
              <w:rPr>
                <w:rFonts w:ascii="Arial" w:eastAsia="Calibri" w:hAnsi="Arial" w:cs="Arial"/>
                <w:szCs w:val="22"/>
              </w:rPr>
              <w:t>ation</w:t>
            </w:r>
            <w:r w:rsidR="00CA0FCB" w:rsidRPr="00CA0FCB">
              <w:rPr>
                <w:rFonts w:ascii="Arial" w:eastAsia="Calibri" w:hAnsi="Arial" w:cs="Arial"/>
                <w:szCs w:val="22"/>
              </w:rPr>
              <w:t xml:space="preserve"> of female human capital in South India, exploring how digital entrepreneurship create</w:t>
            </w:r>
            <w:r w:rsidR="00567F11">
              <w:rPr>
                <w:rFonts w:ascii="Arial" w:eastAsia="Calibri" w:hAnsi="Arial" w:cs="Arial"/>
                <w:szCs w:val="22"/>
              </w:rPr>
              <w:t>s</w:t>
            </w:r>
            <w:r w:rsidR="00CA0FCB" w:rsidRPr="00CA0FCB">
              <w:rPr>
                <w:rFonts w:ascii="Arial" w:eastAsia="Calibri" w:hAnsi="Arial" w:cs="Arial"/>
                <w:szCs w:val="22"/>
              </w:rPr>
              <w:t xml:space="preserve"> a </w:t>
            </w:r>
            <w:r w:rsidR="00CA0FCB">
              <w:rPr>
                <w:rFonts w:ascii="Arial" w:eastAsia="Calibri" w:hAnsi="Arial" w:cs="Arial"/>
                <w:szCs w:val="22"/>
              </w:rPr>
              <w:t>space</w:t>
            </w:r>
            <w:r w:rsidR="00CA0FCB" w:rsidRPr="00CA0FCB">
              <w:rPr>
                <w:rFonts w:ascii="Arial" w:eastAsia="Calibri" w:hAnsi="Arial" w:cs="Arial"/>
                <w:szCs w:val="22"/>
              </w:rPr>
              <w:t xml:space="preserve"> that bypasses traditional organi</w:t>
            </w:r>
            <w:r w:rsidR="00CA0FCB">
              <w:rPr>
                <w:rFonts w:ascii="Arial" w:eastAsia="Calibri" w:hAnsi="Arial" w:cs="Arial"/>
                <w:szCs w:val="22"/>
              </w:rPr>
              <w:t>s</w:t>
            </w:r>
            <w:r w:rsidR="00CA0FCB" w:rsidRPr="00CA0FCB">
              <w:rPr>
                <w:rFonts w:ascii="Arial" w:eastAsia="Calibri" w:hAnsi="Arial" w:cs="Arial"/>
                <w:szCs w:val="22"/>
              </w:rPr>
              <w:t>ational rigi</w:t>
            </w:r>
            <w:r w:rsidR="00567F11">
              <w:rPr>
                <w:rFonts w:ascii="Arial" w:eastAsia="Calibri" w:hAnsi="Arial" w:cs="Arial"/>
                <w:szCs w:val="22"/>
              </w:rPr>
              <w:t>dities and mobility constraints faced by wome</w:t>
            </w:r>
            <w:r w:rsidR="00232F14">
              <w:rPr>
                <w:rFonts w:ascii="Arial" w:eastAsia="Calibri" w:hAnsi="Arial" w:cs="Arial"/>
                <w:szCs w:val="22"/>
              </w:rPr>
              <w:t>n.</w:t>
            </w:r>
          </w:p>
          <w:p w:rsidR="00CA0FCB" w:rsidRDefault="00546284" w:rsidP="0047328C">
            <w:pPr>
              <w:pStyle w:val="Body"/>
              <w:spacing w:after="0"/>
              <w:rPr>
                <w:rFonts w:ascii="Arial" w:eastAsia="Calibri" w:hAnsi="Arial" w:cs="Arial"/>
                <w:szCs w:val="22"/>
              </w:rPr>
            </w:pPr>
            <w:r w:rsidRPr="00BA1B01">
              <w:rPr>
                <w:rFonts w:ascii="Arial" w:eastAsia="Calibri" w:hAnsi="Arial" w:cs="Arial"/>
                <w:b/>
                <w:szCs w:val="22"/>
              </w:rPr>
              <w:t>Study design</w:t>
            </w:r>
            <w:r w:rsidR="00CA0FCB">
              <w:rPr>
                <w:rFonts w:ascii="Arial" w:eastAsia="Calibri" w:hAnsi="Arial" w:cs="Arial"/>
                <w:b/>
                <w:szCs w:val="22"/>
              </w:rPr>
              <w:t xml:space="preserve"> and Methodology</w:t>
            </w:r>
            <w:r w:rsidRPr="00BA1B01">
              <w:rPr>
                <w:rFonts w:ascii="Arial" w:eastAsia="Calibri" w:hAnsi="Arial" w:cs="Arial"/>
                <w:b/>
                <w:szCs w:val="22"/>
              </w:rPr>
              <w:t>:</w:t>
            </w:r>
            <w:r w:rsidR="00232F14">
              <w:rPr>
                <w:rFonts w:ascii="Arial" w:eastAsia="Calibri" w:hAnsi="Arial" w:cs="Arial"/>
                <w:szCs w:val="22"/>
              </w:rPr>
              <w:t xml:space="preserve"> Employing a</w:t>
            </w:r>
            <w:r w:rsidR="00CA0FCB">
              <w:rPr>
                <w:rFonts w:ascii="Arial" w:eastAsia="Calibri" w:hAnsi="Arial" w:cs="Arial"/>
                <w:szCs w:val="22"/>
              </w:rPr>
              <w:t xml:space="preserve"> </w:t>
            </w:r>
            <w:r w:rsidR="00CA0FCB" w:rsidRPr="00CA0FCB">
              <w:rPr>
                <w:rFonts w:ascii="Arial" w:eastAsia="Calibri" w:hAnsi="Arial" w:cs="Arial"/>
                <w:szCs w:val="22"/>
              </w:rPr>
              <w:t>descriptive research design</w:t>
            </w:r>
            <w:r w:rsidR="00AC36E4">
              <w:rPr>
                <w:rFonts w:ascii="Arial" w:eastAsia="Calibri" w:hAnsi="Arial" w:cs="Arial"/>
                <w:szCs w:val="22"/>
              </w:rPr>
              <w:t xml:space="preserve"> with secondary data analysis</w:t>
            </w:r>
            <w:r w:rsidR="00CA0FCB" w:rsidRPr="00CA0FCB">
              <w:rPr>
                <w:rFonts w:ascii="Arial" w:eastAsia="Calibri" w:hAnsi="Arial" w:cs="Arial"/>
                <w:szCs w:val="22"/>
              </w:rPr>
              <w:t xml:space="preserve">, the paper </w:t>
            </w:r>
            <w:r w:rsidR="00AC36E4">
              <w:rPr>
                <w:rFonts w:ascii="Arial" w:eastAsia="Calibri" w:hAnsi="Arial" w:cs="Arial"/>
                <w:szCs w:val="22"/>
              </w:rPr>
              <w:t>examines</w:t>
            </w:r>
            <w:r w:rsidR="00CA0FCB" w:rsidRPr="00CA0FCB">
              <w:rPr>
                <w:rFonts w:ascii="Arial" w:eastAsia="Calibri" w:hAnsi="Arial" w:cs="Arial"/>
                <w:szCs w:val="22"/>
              </w:rPr>
              <w:t xml:space="preserve"> </w:t>
            </w:r>
            <w:r w:rsidR="00AC36E4">
              <w:rPr>
                <w:rFonts w:ascii="Arial" w:eastAsia="Calibri" w:hAnsi="Arial" w:cs="Arial"/>
                <w:szCs w:val="22"/>
              </w:rPr>
              <w:t xml:space="preserve">macro-level </w:t>
            </w:r>
            <w:r w:rsidR="00CA0FCB" w:rsidRPr="00CA0FCB">
              <w:rPr>
                <w:rFonts w:ascii="Arial" w:eastAsia="Calibri" w:hAnsi="Arial" w:cs="Arial"/>
                <w:szCs w:val="22"/>
              </w:rPr>
              <w:t xml:space="preserve">demographic </w:t>
            </w:r>
            <w:r w:rsidR="00AC36E4">
              <w:rPr>
                <w:rFonts w:ascii="Arial" w:eastAsia="Calibri" w:hAnsi="Arial" w:cs="Arial"/>
                <w:szCs w:val="22"/>
              </w:rPr>
              <w:t xml:space="preserve">and labour data </w:t>
            </w:r>
            <w:r w:rsidR="00CA0FCB" w:rsidRPr="00CA0FCB">
              <w:rPr>
                <w:rFonts w:ascii="Arial" w:eastAsia="Calibri" w:hAnsi="Arial" w:cs="Arial"/>
                <w:szCs w:val="22"/>
              </w:rPr>
              <w:t>(NFHS-5, PLFS</w:t>
            </w:r>
            <w:r w:rsidR="00D02CBC">
              <w:rPr>
                <w:rFonts w:ascii="Arial" w:eastAsia="Calibri" w:hAnsi="Arial" w:cs="Arial"/>
                <w:szCs w:val="22"/>
              </w:rPr>
              <w:t xml:space="preserve"> 2024 -</w:t>
            </w:r>
            <w:r w:rsidR="00CA0FCB" w:rsidRPr="00CA0FCB">
              <w:rPr>
                <w:rFonts w:ascii="Arial" w:eastAsia="Calibri" w:hAnsi="Arial" w:cs="Arial"/>
                <w:szCs w:val="22"/>
              </w:rPr>
              <w:t xml:space="preserve"> 2025) across five </w:t>
            </w:r>
            <w:r w:rsidR="00AC36E4">
              <w:rPr>
                <w:rFonts w:ascii="Arial" w:eastAsia="Calibri" w:hAnsi="Arial" w:cs="Arial"/>
                <w:szCs w:val="22"/>
              </w:rPr>
              <w:t xml:space="preserve">South Indian </w:t>
            </w:r>
            <w:r w:rsidR="00CA0FCB" w:rsidRPr="00CA0FCB">
              <w:rPr>
                <w:rFonts w:ascii="Arial" w:eastAsia="Calibri" w:hAnsi="Arial" w:cs="Arial"/>
                <w:szCs w:val="22"/>
              </w:rPr>
              <w:t xml:space="preserve">states. It applies Ragnedda’s Digital Capital framework </w:t>
            </w:r>
            <w:r w:rsidR="00AC36E4">
              <w:rPr>
                <w:rFonts w:ascii="Arial" w:eastAsia="Calibri" w:hAnsi="Arial" w:cs="Arial"/>
                <w:szCs w:val="22"/>
              </w:rPr>
              <w:t>to evaluate</w:t>
            </w:r>
            <w:r w:rsidR="00CA0FCB" w:rsidRPr="00CA0FCB">
              <w:rPr>
                <w:rFonts w:ascii="Arial" w:eastAsia="Calibri" w:hAnsi="Arial" w:cs="Arial"/>
                <w:szCs w:val="22"/>
              </w:rPr>
              <w:t xml:space="preserve"> inst</w:t>
            </w:r>
            <w:r w:rsidR="00AC36E4">
              <w:rPr>
                <w:rFonts w:ascii="Arial" w:eastAsia="Calibri" w:hAnsi="Arial" w:cs="Arial"/>
                <w:szCs w:val="22"/>
              </w:rPr>
              <w:t xml:space="preserve">itutional incubation ecosystems at the regional level in </w:t>
            </w:r>
            <w:r w:rsidR="00D02CBC">
              <w:rPr>
                <w:rFonts w:ascii="Arial" w:eastAsia="Calibri" w:hAnsi="Arial" w:cs="Arial"/>
                <w:szCs w:val="22"/>
              </w:rPr>
              <w:t>fostering</w:t>
            </w:r>
            <w:r w:rsidR="00AC36E4">
              <w:rPr>
                <w:rFonts w:ascii="Arial" w:eastAsia="Calibri" w:hAnsi="Arial" w:cs="Arial"/>
                <w:szCs w:val="22"/>
              </w:rPr>
              <w:t xml:space="preserve"> agency.</w:t>
            </w:r>
          </w:p>
          <w:p w:rsidR="00CA0FCB" w:rsidRDefault="00CA0FCB" w:rsidP="00CA0FCB">
            <w:pPr>
              <w:pStyle w:val="Body"/>
              <w:spacing w:after="0"/>
              <w:rPr>
                <w:rFonts w:ascii="Arial" w:eastAsia="Calibri" w:hAnsi="Arial" w:cs="Arial"/>
                <w:szCs w:val="22"/>
              </w:rPr>
            </w:pPr>
            <w:r>
              <w:rPr>
                <w:rFonts w:ascii="Arial" w:eastAsia="Calibri" w:hAnsi="Arial" w:cs="Arial"/>
                <w:b/>
                <w:bCs/>
                <w:szCs w:val="22"/>
              </w:rPr>
              <w:t>Findings</w:t>
            </w:r>
            <w:r w:rsidR="00546284" w:rsidRPr="00BA1B01">
              <w:rPr>
                <w:rFonts w:ascii="Arial" w:eastAsia="Calibri" w:hAnsi="Arial" w:cs="Arial"/>
                <w:b/>
                <w:bCs/>
                <w:szCs w:val="22"/>
              </w:rPr>
              <w:t>:</w:t>
            </w:r>
            <w:r w:rsidR="00546284" w:rsidRPr="00BA1B01">
              <w:rPr>
                <w:rFonts w:ascii="Arial" w:eastAsia="Calibri" w:hAnsi="Arial" w:cs="Arial"/>
                <w:szCs w:val="22"/>
              </w:rPr>
              <w:t xml:space="preserve"> </w:t>
            </w:r>
            <w:r w:rsidRPr="00CA0FCB">
              <w:rPr>
                <w:rFonts w:ascii="Arial" w:eastAsia="Calibri" w:hAnsi="Arial" w:cs="Arial"/>
                <w:szCs w:val="22"/>
              </w:rPr>
              <w:t xml:space="preserve">Regional disparities in digital capital convertibility are </w:t>
            </w:r>
            <w:r w:rsidR="00B16EDE">
              <w:rPr>
                <w:rFonts w:ascii="Arial" w:eastAsia="Calibri" w:hAnsi="Arial" w:cs="Arial"/>
                <w:szCs w:val="22"/>
              </w:rPr>
              <w:t>significant</w:t>
            </w:r>
            <w:r w:rsidRPr="00CA0FCB">
              <w:rPr>
                <w:rFonts w:ascii="Arial" w:eastAsia="Calibri" w:hAnsi="Arial" w:cs="Arial"/>
                <w:szCs w:val="22"/>
              </w:rPr>
              <w:t xml:space="preserve">. </w:t>
            </w:r>
            <w:r w:rsidR="00AC36E4" w:rsidRPr="00AC36E4">
              <w:rPr>
                <w:rFonts w:ascii="Arial" w:eastAsia="Calibri" w:hAnsi="Arial" w:cs="Arial"/>
                <w:szCs w:val="22"/>
              </w:rPr>
              <w:t>For example, Kerala has a high rate of internet usage (61.1%) and a low rate of female labour force participation (31.2%), showing a conversion failure</w:t>
            </w:r>
            <w:r w:rsidRPr="00CA0FCB">
              <w:rPr>
                <w:rFonts w:ascii="Arial" w:eastAsia="Calibri" w:hAnsi="Arial" w:cs="Arial"/>
                <w:szCs w:val="22"/>
              </w:rPr>
              <w:t>.</w:t>
            </w:r>
            <w:r w:rsidR="00AC36E4">
              <w:rPr>
                <w:rFonts w:ascii="Arial" w:eastAsia="Calibri" w:hAnsi="Arial" w:cs="Arial"/>
                <w:szCs w:val="22"/>
              </w:rPr>
              <w:t xml:space="preserve"> </w:t>
            </w:r>
            <w:r w:rsidR="00AC36E4">
              <w:t>State-led incubation (Telangana) is a success in integrating women, but traditional industrial models lag.</w:t>
            </w:r>
            <w:r w:rsidRPr="00CA0FCB">
              <w:rPr>
                <w:rFonts w:ascii="Arial" w:eastAsia="Calibri" w:hAnsi="Arial" w:cs="Arial"/>
                <w:szCs w:val="22"/>
              </w:rPr>
              <w:t xml:space="preserve"> </w:t>
            </w:r>
            <w:r w:rsidR="00AC36E4">
              <w:rPr>
                <w:rFonts w:ascii="Arial" w:eastAsia="Calibri" w:hAnsi="Arial" w:cs="Arial"/>
                <w:szCs w:val="22"/>
              </w:rPr>
              <w:t>Additionally</w:t>
            </w:r>
            <w:r w:rsidRPr="00CA0FCB">
              <w:rPr>
                <w:rFonts w:ascii="Arial" w:eastAsia="Calibri" w:hAnsi="Arial" w:cs="Arial"/>
                <w:szCs w:val="22"/>
              </w:rPr>
              <w:t xml:space="preserve">, the study </w:t>
            </w:r>
            <w:r w:rsidR="00AC36E4">
              <w:rPr>
                <w:rFonts w:ascii="Arial" w:eastAsia="Calibri" w:hAnsi="Arial" w:cs="Arial"/>
                <w:szCs w:val="22"/>
              </w:rPr>
              <w:t xml:space="preserve">also </w:t>
            </w:r>
            <w:r w:rsidRPr="00CA0FCB">
              <w:rPr>
                <w:rFonts w:ascii="Arial" w:eastAsia="Calibri" w:hAnsi="Arial" w:cs="Arial"/>
                <w:szCs w:val="22"/>
              </w:rPr>
              <w:t>identifies critical challenges within the platform economy</w:t>
            </w:r>
            <w:r>
              <w:rPr>
                <w:rFonts w:ascii="Arial" w:eastAsia="Calibri" w:hAnsi="Arial" w:cs="Arial"/>
                <w:szCs w:val="22"/>
              </w:rPr>
              <w:t>.</w:t>
            </w:r>
          </w:p>
          <w:p w:rsidR="00546284" w:rsidRPr="00BA1B01" w:rsidRDefault="00CA0FCB" w:rsidP="00CA0FCB">
            <w:pPr>
              <w:pStyle w:val="Body"/>
              <w:spacing w:after="0"/>
              <w:rPr>
                <w:rFonts w:ascii="Arial" w:eastAsia="Calibri" w:hAnsi="Arial" w:cs="Arial"/>
                <w:b/>
                <w:bCs/>
                <w:szCs w:val="22"/>
              </w:rPr>
            </w:pPr>
            <w:r w:rsidRPr="00CA0FCB">
              <w:rPr>
                <w:rFonts w:ascii="Arial" w:eastAsia="Calibri" w:hAnsi="Arial" w:cs="Arial"/>
                <w:b/>
                <w:szCs w:val="22"/>
              </w:rPr>
              <w:t>Practical &amp; Social Implications</w:t>
            </w:r>
            <w:r>
              <w:rPr>
                <w:rFonts w:ascii="Arial" w:eastAsia="Calibri" w:hAnsi="Arial" w:cs="Arial"/>
                <w:szCs w:val="22"/>
              </w:rPr>
              <w:t xml:space="preserve">: Shaping an equitable Future of Work </w:t>
            </w:r>
            <w:r w:rsidRPr="00CA0FCB">
              <w:rPr>
                <w:rFonts w:ascii="Arial" w:eastAsia="Calibri" w:hAnsi="Arial" w:cs="Arial"/>
                <w:szCs w:val="22"/>
              </w:rPr>
              <w:t xml:space="preserve">requires moving beyond digital access to capital convertibility. Recommendations include enacting gender-responsive gig worker protections, implementing </w:t>
            </w:r>
            <w:r>
              <w:rPr>
                <w:rFonts w:ascii="Arial" w:eastAsia="Calibri" w:hAnsi="Arial" w:cs="Arial"/>
                <w:szCs w:val="22"/>
              </w:rPr>
              <w:t>care-sensitive</w:t>
            </w:r>
            <w:r w:rsidRPr="00CA0FCB">
              <w:rPr>
                <w:rFonts w:ascii="Arial" w:eastAsia="Calibri" w:hAnsi="Arial" w:cs="Arial"/>
                <w:szCs w:val="22"/>
              </w:rPr>
              <w:t xml:space="preserve"> </w:t>
            </w:r>
            <w:r>
              <w:rPr>
                <w:rFonts w:ascii="Arial" w:eastAsia="Calibri" w:hAnsi="Arial" w:cs="Arial"/>
                <w:szCs w:val="22"/>
              </w:rPr>
              <w:t xml:space="preserve">algorithms, and establishing a </w:t>
            </w:r>
            <w:r w:rsidRPr="00CA0FCB">
              <w:rPr>
                <w:rFonts w:ascii="Arial" w:eastAsia="Calibri" w:hAnsi="Arial" w:cs="Arial"/>
                <w:szCs w:val="22"/>
              </w:rPr>
              <w:t>Right to Disconnect.</w:t>
            </w:r>
          </w:p>
          <w:p w:rsidR="00546284" w:rsidRPr="00BA1B01" w:rsidRDefault="00546284" w:rsidP="00D02CBC">
            <w:pPr>
              <w:pStyle w:val="Body"/>
              <w:spacing w:after="0"/>
              <w:rPr>
                <w:rFonts w:ascii="Arial" w:eastAsia="Calibri" w:hAnsi="Arial" w:cs="Arial"/>
                <w:szCs w:val="22"/>
              </w:rPr>
            </w:pPr>
            <w:r w:rsidRPr="00BA1B01">
              <w:rPr>
                <w:rFonts w:ascii="Arial" w:eastAsia="Calibri" w:hAnsi="Arial" w:cs="Arial"/>
                <w:b/>
                <w:bCs/>
                <w:szCs w:val="22"/>
              </w:rPr>
              <w:t>Conclusion:</w:t>
            </w:r>
            <w:r w:rsidR="00CA0FCB">
              <w:rPr>
                <w:rFonts w:ascii="Arial" w:eastAsia="Calibri" w:hAnsi="Arial" w:cs="Arial"/>
                <w:b/>
                <w:bCs/>
                <w:szCs w:val="22"/>
              </w:rPr>
              <w:t xml:space="preserve"> </w:t>
            </w:r>
            <w:r w:rsidR="00CA0FCB">
              <w:rPr>
                <w:rFonts w:ascii="Arial" w:eastAsia="Calibri" w:hAnsi="Arial" w:cs="Arial"/>
                <w:szCs w:val="22"/>
              </w:rPr>
              <w:t xml:space="preserve">The </w:t>
            </w:r>
            <w:r w:rsidR="00CA0FCB" w:rsidRPr="00CA0FCB">
              <w:rPr>
                <w:rFonts w:ascii="Arial" w:eastAsia="Calibri" w:hAnsi="Arial" w:cs="Arial"/>
                <w:szCs w:val="22"/>
              </w:rPr>
              <w:t>study concludes that bridging the gendered di</w:t>
            </w:r>
            <w:r w:rsidR="00D5788D">
              <w:rPr>
                <w:rFonts w:ascii="Arial" w:eastAsia="Calibri" w:hAnsi="Arial" w:cs="Arial"/>
                <w:szCs w:val="22"/>
              </w:rPr>
              <w:t>gital divide is an organis</w:t>
            </w:r>
            <w:r w:rsidR="00CA0FCB" w:rsidRPr="00CA0FCB">
              <w:rPr>
                <w:rFonts w:ascii="Arial" w:eastAsia="Calibri" w:hAnsi="Arial" w:cs="Arial"/>
                <w:szCs w:val="22"/>
              </w:rPr>
              <w:t xml:space="preserve">ational and sociological </w:t>
            </w:r>
            <w:r w:rsidR="00D02CBC">
              <w:rPr>
                <w:rFonts w:ascii="Arial" w:eastAsia="Calibri" w:hAnsi="Arial" w:cs="Arial"/>
                <w:szCs w:val="22"/>
              </w:rPr>
              <w:t>issue</w:t>
            </w:r>
            <w:r w:rsidR="00CA0FCB" w:rsidRPr="00CA0FCB">
              <w:rPr>
                <w:rFonts w:ascii="Arial" w:eastAsia="Calibri" w:hAnsi="Arial" w:cs="Arial"/>
                <w:szCs w:val="22"/>
              </w:rPr>
              <w:t xml:space="preserve">, not just a technological one. </w:t>
            </w:r>
            <w:r w:rsidR="00D02CBC">
              <w:rPr>
                <w:rFonts w:ascii="Arial" w:eastAsia="Calibri" w:hAnsi="Arial" w:cs="Arial"/>
                <w:szCs w:val="22"/>
              </w:rPr>
              <w:t>By s</w:t>
            </w:r>
            <w:r w:rsidR="00D5788D">
              <w:rPr>
                <w:rFonts w:ascii="Arial" w:eastAsia="Calibri" w:hAnsi="Arial" w:cs="Arial"/>
                <w:szCs w:val="22"/>
              </w:rPr>
              <w:t xml:space="preserve">hifting policy focus from digital access to </w:t>
            </w:r>
            <w:r w:rsidR="00D02CBC">
              <w:rPr>
                <w:rFonts w:ascii="Arial" w:eastAsia="Calibri" w:hAnsi="Arial" w:cs="Arial"/>
                <w:szCs w:val="22"/>
              </w:rPr>
              <w:t>digital capital convertibility</w:t>
            </w:r>
            <w:r w:rsidR="00CA0FCB" w:rsidRPr="00CA0FCB">
              <w:rPr>
                <w:rFonts w:ascii="Arial" w:eastAsia="Calibri" w:hAnsi="Arial" w:cs="Arial"/>
                <w:szCs w:val="22"/>
              </w:rPr>
              <w:t>, South India can unlock its demographic dividend</w:t>
            </w:r>
            <w:r w:rsidR="00D5788D">
              <w:rPr>
                <w:rFonts w:ascii="Arial" w:eastAsia="Calibri" w:hAnsi="Arial" w:cs="Arial"/>
                <w:szCs w:val="22"/>
              </w:rPr>
              <w:t>.</w:t>
            </w:r>
          </w:p>
        </w:tc>
      </w:tr>
    </w:tbl>
    <w:p w:rsidR="00CE417E" w:rsidRDefault="00CE417E" w:rsidP="00724D02">
      <w:pPr>
        <w:pStyle w:val="ListParagraph"/>
        <w:spacing w:line="240" w:lineRule="auto"/>
        <w:ind w:left="0"/>
        <w:jc w:val="both"/>
        <w:rPr>
          <w:rFonts w:eastAsia="Times New Roman"/>
          <w:b/>
          <w:bCs/>
          <w:sz w:val="24"/>
          <w:szCs w:val="24"/>
        </w:rPr>
      </w:pPr>
    </w:p>
    <w:p w:rsidR="00CE417E" w:rsidRPr="00CE417E" w:rsidRDefault="00CE417E" w:rsidP="00CE417E">
      <w:pPr>
        <w:jc w:val="both"/>
        <w:rPr>
          <w:i/>
          <w:sz w:val="20"/>
          <w:szCs w:val="20"/>
        </w:rPr>
      </w:pPr>
      <w:r w:rsidRPr="00CE417E">
        <w:rPr>
          <w:rFonts w:eastAsia="Times New Roman"/>
          <w:bCs/>
          <w:i/>
          <w:sz w:val="20"/>
          <w:szCs w:val="20"/>
        </w:rPr>
        <w:t xml:space="preserve">Keywords: </w:t>
      </w:r>
      <w:r w:rsidRPr="00CE417E">
        <w:rPr>
          <w:i/>
          <w:sz w:val="20"/>
          <w:szCs w:val="20"/>
        </w:rPr>
        <w:t xml:space="preserve">Female </w:t>
      </w:r>
      <w:r>
        <w:rPr>
          <w:i/>
          <w:sz w:val="20"/>
          <w:szCs w:val="20"/>
        </w:rPr>
        <w:t>Labour</w:t>
      </w:r>
      <w:r w:rsidRPr="00CE417E">
        <w:rPr>
          <w:i/>
          <w:sz w:val="20"/>
          <w:szCs w:val="20"/>
        </w:rPr>
        <w:t xml:space="preserve"> Underutilization</w:t>
      </w:r>
      <w:r>
        <w:rPr>
          <w:i/>
          <w:sz w:val="20"/>
          <w:szCs w:val="20"/>
        </w:rPr>
        <w:t>, Gendered Digital Divide</w:t>
      </w:r>
      <w:r w:rsidRPr="00CE417E">
        <w:rPr>
          <w:i/>
          <w:sz w:val="20"/>
          <w:szCs w:val="20"/>
        </w:rPr>
        <w:t>, Digital Micro-Entrepreneurship, Social Commerce, Digital Capital, Algorithmic Precarity</w:t>
      </w:r>
      <w:r>
        <w:rPr>
          <w:i/>
          <w:sz w:val="20"/>
          <w:szCs w:val="20"/>
        </w:rPr>
        <w:t>.</w:t>
      </w:r>
    </w:p>
    <w:p w:rsidR="00CE417E" w:rsidRDefault="00CE417E" w:rsidP="00724D02">
      <w:pPr>
        <w:pStyle w:val="ListParagraph"/>
        <w:spacing w:line="240" w:lineRule="auto"/>
        <w:ind w:left="0"/>
        <w:jc w:val="both"/>
        <w:rPr>
          <w:rFonts w:eastAsia="Times New Roman"/>
          <w:b/>
          <w:bCs/>
          <w:sz w:val="24"/>
          <w:szCs w:val="24"/>
        </w:rPr>
      </w:pPr>
    </w:p>
    <w:p w:rsidR="00EC4E7C" w:rsidRDefault="00546284" w:rsidP="00724D02">
      <w:pPr>
        <w:pStyle w:val="ListParagraph"/>
        <w:spacing w:line="240" w:lineRule="auto"/>
        <w:ind w:left="0"/>
        <w:jc w:val="both"/>
        <w:rPr>
          <w:rFonts w:eastAsia="Times New Roman"/>
          <w:b/>
          <w:bCs/>
          <w:szCs w:val="24"/>
        </w:rPr>
      </w:pPr>
      <w:r>
        <w:rPr>
          <w:rFonts w:eastAsia="Times New Roman"/>
          <w:b/>
          <w:bCs/>
          <w:sz w:val="24"/>
          <w:szCs w:val="24"/>
        </w:rPr>
        <w:t xml:space="preserve">1. </w:t>
      </w:r>
      <w:r w:rsidRPr="00724D02">
        <w:rPr>
          <w:rFonts w:eastAsia="Times New Roman"/>
          <w:b/>
          <w:bCs/>
          <w:szCs w:val="24"/>
        </w:rPr>
        <w:t>INTRODUCTION</w:t>
      </w:r>
    </w:p>
    <w:p w:rsidR="00724D02" w:rsidRPr="00546284" w:rsidRDefault="00724D02" w:rsidP="00724D02">
      <w:pPr>
        <w:pStyle w:val="ListParagraph"/>
        <w:spacing w:line="240" w:lineRule="auto"/>
        <w:ind w:left="0"/>
        <w:jc w:val="both"/>
        <w:rPr>
          <w:rFonts w:eastAsia="Times New Roman"/>
          <w:b/>
          <w:bCs/>
          <w:sz w:val="24"/>
          <w:szCs w:val="24"/>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 xml:space="preserve">The southern region of India </w:t>
      </w:r>
      <w:r w:rsidR="00D02CBC" w:rsidRPr="00D02CBC">
        <w:rPr>
          <w:rFonts w:eastAsia="Times New Roman"/>
          <w:sz w:val="20"/>
          <w:szCs w:val="24"/>
        </w:rPr>
        <w:t xml:space="preserve">has emerged as a notable developmental example within </w:t>
      </w:r>
      <w:r w:rsidRPr="00546284">
        <w:rPr>
          <w:rFonts w:eastAsia="Times New Roman"/>
          <w:sz w:val="20"/>
          <w:szCs w:val="24"/>
        </w:rPr>
        <w:t xml:space="preserve">the Global South, </w:t>
      </w:r>
      <w:r w:rsidR="004B3716" w:rsidRPr="00546284">
        <w:rPr>
          <w:rFonts w:eastAsia="Times New Roman"/>
          <w:sz w:val="20"/>
          <w:szCs w:val="24"/>
        </w:rPr>
        <w:t>characterised</w:t>
      </w:r>
      <w:r w:rsidRPr="00546284">
        <w:rPr>
          <w:rFonts w:eastAsia="Times New Roman"/>
          <w:sz w:val="20"/>
          <w:szCs w:val="24"/>
        </w:rPr>
        <w:t xml:space="preserve"> by high human development indices and progressive social </w:t>
      </w:r>
      <w:r w:rsidRPr="00546284">
        <w:rPr>
          <w:rFonts w:eastAsia="Times New Roman"/>
          <w:sz w:val="20"/>
          <w:szCs w:val="24"/>
        </w:rPr>
        <w:lastRenderedPageBreak/>
        <w:t>indicators</w:t>
      </w:r>
      <w:r w:rsidR="004B3716" w:rsidRPr="00546284">
        <w:rPr>
          <w:rStyle w:val="FootnoteReference"/>
          <w:rFonts w:eastAsia="Times New Roman"/>
          <w:sz w:val="20"/>
          <w:szCs w:val="24"/>
        </w:rPr>
        <w:footnoteReference w:id="1"/>
      </w:r>
      <w:r w:rsidRPr="00546284">
        <w:rPr>
          <w:rFonts w:eastAsia="Times New Roman"/>
          <w:sz w:val="20"/>
          <w:szCs w:val="24"/>
        </w:rPr>
        <w:t>.</w:t>
      </w:r>
      <w:r w:rsidR="004B3716" w:rsidRPr="00546284">
        <w:rPr>
          <w:rFonts w:eastAsia="Times New Roman"/>
          <w:sz w:val="20"/>
          <w:szCs w:val="24"/>
        </w:rPr>
        <w:t xml:space="preserve"> </w:t>
      </w:r>
      <w:r w:rsidRPr="00546284">
        <w:rPr>
          <w:rFonts w:eastAsia="Times New Roman"/>
          <w:sz w:val="20"/>
          <w:szCs w:val="24"/>
        </w:rPr>
        <w:t>South Indian states have often recorded the highest literacy rates, which are above the national average. These robust social indicators are rooted in the history of the South Indian states, a result of the social reform movements during the early 19th century</w:t>
      </w:r>
      <w:r w:rsidR="004B3716" w:rsidRPr="00546284">
        <w:rPr>
          <w:rStyle w:val="FootnoteReference"/>
          <w:rFonts w:eastAsia="Times New Roman"/>
          <w:sz w:val="20"/>
          <w:szCs w:val="24"/>
        </w:rPr>
        <w:footnoteReference w:id="2"/>
      </w:r>
      <w:r w:rsidR="004B3716" w:rsidRPr="00546284">
        <w:rPr>
          <w:rStyle w:val="FootnoteReference"/>
          <w:rFonts w:eastAsia="Times New Roman"/>
          <w:sz w:val="20"/>
          <w:szCs w:val="24"/>
        </w:rPr>
        <w:t xml:space="preserve"> </w:t>
      </w:r>
      <w:r w:rsidRPr="00546284">
        <w:rPr>
          <w:rFonts w:eastAsia="Times New Roman"/>
          <w:sz w:val="20"/>
          <w:szCs w:val="24"/>
        </w:rPr>
        <w:t xml:space="preserve">and the state-led focus on education and public health.  This is the same in the case of the female literacy rate. According to the National Family Health Survey (NFHS 5, 2019-21), South Indian states </w:t>
      </w:r>
      <w:r w:rsidR="00673B6D" w:rsidRPr="00546284">
        <w:rPr>
          <w:rFonts w:eastAsia="Times New Roman"/>
          <w:sz w:val="20"/>
          <w:szCs w:val="24"/>
        </w:rPr>
        <w:t>such as Kerala (97.4%), Tamil Nadu (84.6%),</w:t>
      </w:r>
      <w:r w:rsidRPr="00546284">
        <w:rPr>
          <w:rFonts w:eastAsia="Times New Roman"/>
          <w:sz w:val="20"/>
          <w:szCs w:val="24"/>
        </w:rPr>
        <w:t xml:space="preserve"> and Karnataka (76%) exceed the national average of 71.5%. Thus, South Indian states like Kerala, Karnataka and Tamil Nadu were able to create a large educated and progressive female labour force.</w:t>
      </w:r>
    </w:p>
    <w:p w:rsidR="00724D02" w:rsidRPr="00546284" w:rsidRDefault="00724D02" w:rsidP="00724D02">
      <w:pPr>
        <w:spacing w:line="240" w:lineRule="auto"/>
        <w:jc w:val="both"/>
        <w:rPr>
          <w:rFonts w:eastAsia="Times New Roman"/>
          <w:sz w:val="20"/>
          <w:szCs w:val="24"/>
        </w:rPr>
      </w:pPr>
    </w:p>
    <w:p w:rsidR="004B3716" w:rsidRDefault="00F84B8F" w:rsidP="00724D02">
      <w:pPr>
        <w:spacing w:line="240" w:lineRule="auto"/>
        <w:jc w:val="both"/>
        <w:rPr>
          <w:rFonts w:eastAsia="Times New Roman"/>
          <w:sz w:val="20"/>
          <w:szCs w:val="24"/>
        </w:rPr>
      </w:pPr>
      <w:r w:rsidRPr="00546284">
        <w:rPr>
          <w:rFonts w:eastAsia="Times New Roman"/>
          <w:sz w:val="20"/>
          <w:szCs w:val="24"/>
        </w:rPr>
        <w:t xml:space="preserve">However, this educational attainment is paradoxical, as they are potential members of the labour force, but not linearly translated into formal labour force participation. This phenomenon challenges the standard assumption of development economics that states education is the primary driver of employment. Instead, South India exhibits aspects of the "U-shaped curve" of female labour participation as </w:t>
      </w:r>
      <w:r w:rsidR="00673B6D" w:rsidRPr="00546284">
        <w:rPr>
          <w:rFonts w:eastAsia="Times New Roman"/>
          <w:sz w:val="20"/>
          <w:szCs w:val="24"/>
        </w:rPr>
        <w:t>theorised</w:t>
      </w:r>
      <w:r w:rsidRPr="00546284">
        <w:rPr>
          <w:rFonts w:eastAsia="Times New Roman"/>
          <w:sz w:val="20"/>
          <w:szCs w:val="24"/>
        </w:rPr>
        <w:t xml:space="preserve"> by Claudia Goldin (1995). Goldin’s U-shaped model suggests that female participation in the workforce declines with a rise in household income, as the family prioritises a social signal that the women's participation in lower-level work will affect the family's prestige. Thus, the women with intermediate and higher education withdraw from labour participation and re-enter the market only when suitable ‘white-collar’ service jobs become available. </w:t>
      </w:r>
    </w:p>
    <w:p w:rsidR="00724D02" w:rsidRPr="00546284" w:rsidRDefault="00724D02" w:rsidP="00724D02">
      <w:pPr>
        <w:spacing w:line="240" w:lineRule="auto"/>
        <w:jc w:val="both"/>
        <w:rPr>
          <w:rFonts w:eastAsia="Times New Roman"/>
          <w:sz w:val="20"/>
          <w:szCs w:val="24"/>
        </w:rPr>
      </w:pPr>
    </w:p>
    <w:p w:rsidR="00724D02" w:rsidRDefault="00181482" w:rsidP="00724D02">
      <w:pPr>
        <w:pStyle w:val="ListParagraph"/>
        <w:numPr>
          <w:ilvl w:val="1"/>
          <w:numId w:val="5"/>
        </w:numPr>
        <w:spacing w:line="240" w:lineRule="auto"/>
        <w:jc w:val="both"/>
        <w:rPr>
          <w:rFonts w:eastAsia="Times New Roman"/>
          <w:b/>
        </w:rPr>
      </w:pPr>
      <w:r w:rsidRPr="00724D02">
        <w:rPr>
          <w:rFonts w:eastAsia="Times New Roman"/>
          <w:b/>
        </w:rPr>
        <w:t>Structural Barriers and the Digital Alternative</w:t>
      </w:r>
    </w:p>
    <w:p w:rsidR="00724D02" w:rsidRPr="00724D02" w:rsidRDefault="00724D02" w:rsidP="00724D02">
      <w:pPr>
        <w:spacing w:line="240" w:lineRule="auto"/>
        <w:jc w:val="both"/>
        <w:rPr>
          <w:rFonts w:eastAsia="Times New Roman"/>
          <w:b/>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 xml:space="preserve">Despite high educational attainments, South Indian women face substantial barriers that are rooted in deep-seated socio-cultural norms, economic inequalities, and infrastructural deficits. Patriarchal norms often tie women to the role of a nurturer; especially in rural areas, women consciously </w:t>
      </w:r>
      <w:r w:rsidR="004B3716" w:rsidRPr="00546284">
        <w:rPr>
          <w:rFonts w:eastAsia="Times New Roman"/>
          <w:sz w:val="20"/>
          <w:szCs w:val="24"/>
        </w:rPr>
        <w:t>prioritise</w:t>
      </w:r>
      <w:r w:rsidRPr="00546284">
        <w:rPr>
          <w:rFonts w:eastAsia="Times New Roman"/>
          <w:sz w:val="20"/>
          <w:szCs w:val="24"/>
        </w:rPr>
        <w:t xml:space="preserve"> caring for children, elderly in-laws and spouses not merely as a duty but as a part of social identity. These unwritten rules within the family worsen the burden of unpaid care work on women. According to the Time Use Survey of India</w:t>
      </w:r>
      <w:r w:rsidR="007B234F" w:rsidRPr="00546284">
        <w:rPr>
          <w:rFonts w:eastAsia="Times New Roman"/>
          <w:sz w:val="20"/>
          <w:szCs w:val="24"/>
        </w:rPr>
        <w:t xml:space="preserve"> (2024)</w:t>
      </w:r>
      <w:r w:rsidRPr="00546284">
        <w:rPr>
          <w:rFonts w:eastAsia="Times New Roman"/>
          <w:sz w:val="20"/>
          <w:szCs w:val="24"/>
        </w:rPr>
        <w:t xml:space="preserve">, women spend </w:t>
      </w:r>
      <w:r w:rsidR="004B3716" w:rsidRPr="00546284">
        <w:rPr>
          <w:rFonts w:eastAsia="Times New Roman"/>
          <w:sz w:val="20"/>
          <w:szCs w:val="24"/>
        </w:rPr>
        <w:t>299 minutes</w:t>
      </w:r>
      <w:r w:rsidRPr="00546284">
        <w:rPr>
          <w:rFonts w:eastAsia="Times New Roman"/>
          <w:sz w:val="20"/>
          <w:szCs w:val="24"/>
        </w:rPr>
        <w:t xml:space="preserve"> on unpaid domestic work and 134 minutes on unpaid caregiving daily, which is roughly three times more than men. As a result, traditional organisational set-ups often fail to accommodate women, due to their extended responsibilities in supporting the family. This forces the qualified women to exit the labour market to manage the reproductive labour of their family. This leads to a situation of financial dependence, which often reinforces social norms that hold women as custodians of family well-being.</w:t>
      </w:r>
    </w:p>
    <w:p w:rsidR="00331AF8" w:rsidRPr="00546284" w:rsidRDefault="00331AF8"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Consequently, as highlighted by Chatterjee</w:t>
      </w:r>
      <w:r w:rsidR="00264DED">
        <w:rPr>
          <w:rFonts w:eastAsia="Times New Roman"/>
          <w:sz w:val="20"/>
          <w:szCs w:val="24"/>
        </w:rPr>
        <w:t xml:space="preserve"> et al.</w:t>
      </w:r>
      <w:r w:rsidRPr="00546284">
        <w:rPr>
          <w:rFonts w:eastAsia="Times New Roman"/>
          <w:sz w:val="20"/>
          <w:szCs w:val="24"/>
        </w:rPr>
        <w:t xml:space="preserve"> (2018) and Mathew (1995), the rate of educated unemployment among women remains high in South Indian states, creating a </w:t>
      </w:r>
      <w:r w:rsidR="00AF0198" w:rsidRPr="00546284">
        <w:rPr>
          <w:rFonts w:eastAsia="Times New Roman"/>
          <w:sz w:val="20"/>
          <w:szCs w:val="24"/>
        </w:rPr>
        <w:t>waithood</w:t>
      </w:r>
      <w:r w:rsidRPr="00546284">
        <w:rPr>
          <w:rFonts w:eastAsia="Times New Roman"/>
          <w:sz w:val="20"/>
          <w:szCs w:val="24"/>
        </w:rPr>
        <w:t xml:space="preserve"> generation</w:t>
      </w:r>
      <w:r w:rsidR="004B3716" w:rsidRPr="00546284">
        <w:rPr>
          <w:rStyle w:val="FootnoteReference"/>
          <w:rFonts w:eastAsia="Times New Roman"/>
          <w:sz w:val="20"/>
          <w:szCs w:val="24"/>
        </w:rPr>
        <w:footnoteReference w:id="3"/>
      </w:r>
      <w:r w:rsidRPr="00546284">
        <w:rPr>
          <w:rFonts w:eastAsia="Times New Roman"/>
          <w:sz w:val="20"/>
          <w:szCs w:val="24"/>
        </w:rPr>
        <w:t xml:space="preserve"> of educated and qualified women confined within the family setting. This paper </w:t>
      </w:r>
      <w:r w:rsidR="001F53F4" w:rsidRPr="00546284">
        <w:rPr>
          <w:rFonts w:eastAsia="Times New Roman"/>
          <w:sz w:val="20"/>
          <w:szCs w:val="24"/>
        </w:rPr>
        <w:t>asserts</w:t>
      </w:r>
      <w:r w:rsidRPr="00546284">
        <w:rPr>
          <w:rFonts w:eastAsia="Times New Roman"/>
          <w:sz w:val="20"/>
          <w:szCs w:val="24"/>
        </w:rPr>
        <w:t xml:space="preserve"> that in the current digital landscape, women can actively leverage the digital economy to identify new routes for economic engagement instead of waiting for the formal sector adoption. The study argues that digital entrepreneurship, ranging from platform-based gig work to reselling, can create an alternative space where women can bypass the structural barriers and convert their untapped human capital into a productive socioeconomic outcome.</w:t>
      </w:r>
    </w:p>
    <w:p w:rsidR="00724D02" w:rsidRPr="00546284" w:rsidRDefault="00724D02" w:rsidP="00724D02">
      <w:pPr>
        <w:spacing w:line="240" w:lineRule="auto"/>
        <w:jc w:val="both"/>
        <w:rPr>
          <w:rFonts w:eastAsia="Times New Roman"/>
          <w:sz w:val="20"/>
          <w:szCs w:val="24"/>
        </w:rPr>
      </w:pPr>
    </w:p>
    <w:p w:rsidR="00EC4E7C" w:rsidRDefault="00D02CBC" w:rsidP="00724D02">
      <w:pPr>
        <w:spacing w:line="240" w:lineRule="auto"/>
        <w:jc w:val="both"/>
        <w:rPr>
          <w:rFonts w:eastAsia="Times New Roman"/>
          <w:sz w:val="20"/>
          <w:szCs w:val="24"/>
        </w:rPr>
      </w:pPr>
      <w:r>
        <w:rPr>
          <w:rFonts w:eastAsia="Times New Roman"/>
          <w:sz w:val="20"/>
          <w:szCs w:val="24"/>
        </w:rPr>
        <w:t>This</w:t>
      </w:r>
      <w:r w:rsidRPr="00D02CBC">
        <w:rPr>
          <w:rFonts w:eastAsia="Times New Roman"/>
          <w:sz w:val="20"/>
          <w:szCs w:val="24"/>
        </w:rPr>
        <w:t xml:space="preserve"> descriptive study is supported with the following research questions</w:t>
      </w:r>
      <w:r>
        <w:rPr>
          <w:rFonts w:eastAsia="Times New Roman"/>
          <w:sz w:val="20"/>
          <w:szCs w:val="24"/>
        </w:rPr>
        <w:t>:</w:t>
      </w:r>
    </w:p>
    <w:p w:rsidR="00D02CBC" w:rsidRDefault="00D02CBC" w:rsidP="00D02CBC">
      <w:pPr>
        <w:pStyle w:val="ListParagraph"/>
        <w:numPr>
          <w:ilvl w:val="0"/>
          <w:numId w:val="6"/>
        </w:numPr>
        <w:spacing w:line="240" w:lineRule="auto"/>
        <w:jc w:val="both"/>
        <w:rPr>
          <w:rFonts w:eastAsia="Times New Roman"/>
          <w:sz w:val="20"/>
          <w:szCs w:val="24"/>
        </w:rPr>
      </w:pPr>
      <w:r w:rsidRPr="00D02CBC">
        <w:rPr>
          <w:rFonts w:eastAsia="Times New Roman"/>
          <w:sz w:val="20"/>
          <w:szCs w:val="24"/>
        </w:rPr>
        <w:lastRenderedPageBreak/>
        <w:t xml:space="preserve">How does digital capital </w:t>
      </w:r>
      <w:r w:rsidR="00426282">
        <w:rPr>
          <w:rFonts w:eastAsia="Times New Roman"/>
          <w:sz w:val="20"/>
          <w:szCs w:val="24"/>
        </w:rPr>
        <w:t>translate in</w:t>
      </w:r>
      <w:r w:rsidRPr="00D02CBC">
        <w:rPr>
          <w:rFonts w:eastAsia="Times New Roman"/>
          <w:sz w:val="20"/>
          <w:szCs w:val="24"/>
        </w:rPr>
        <w:t>to women's labour force</w:t>
      </w:r>
      <w:r w:rsidR="00426282">
        <w:rPr>
          <w:rFonts w:eastAsia="Times New Roman"/>
          <w:sz w:val="20"/>
          <w:szCs w:val="24"/>
        </w:rPr>
        <w:t xml:space="preserve"> participation</w:t>
      </w:r>
      <w:r w:rsidRPr="00D02CBC">
        <w:rPr>
          <w:rFonts w:eastAsia="Times New Roman"/>
          <w:sz w:val="20"/>
          <w:szCs w:val="24"/>
        </w:rPr>
        <w:t xml:space="preserve"> in South Indian states? </w:t>
      </w:r>
    </w:p>
    <w:p w:rsidR="00426282" w:rsidRDefault="00426282" w:rsidP="00426282">
      <w:pPr>
        <w:pStyle w:val="ListParagraph"/>
        <w:numPr>
          <w:ilvl w:val="0"/>
          <w:numId w:val="6"/>
        </w:numPr>
        <w:spacing w:line="240" w:lineRule="auto"/>
        <w:jc w:val="both"/>
        <w:rPr>
          <w:rFonts w:eastAsia="Times New Roman"/>
          <w:sz w:val="20"/>
          <w:szCs w:val="24"/>
        </w:rPr>
      </w:pPr>
      <w:r w:rsidRPr="00426282">
        <w:rPr>
          <w:rFonts w:eastAsia="Times New Roman"/>
          <w:sz w:val="20"/>
          <w:szCs w:val="24"/>
        </w:rPr>
        <w:t>What are the regional disparities in digital access and usage?</w:t>
      </w:r>
      <w:r w:rsidR="00D02CBC" w:rsidRPr="00D02CBC">
        <w:rPr>
          <w:rFonts w:eastAsia="Times New Roman"/>
          <w:sz w:val="20"/>
          <w:szCs w:val="24"/>
        </w:rPr>
        <w:t xml:space="preserve"> </w:t>
      </w:r>
    </w:p>
    <w:p w:rsidR="00D02CBC" w:rsidRDefault="00426282" w:rsidP="00D02CBC">
      <w:pPr>
        <w:pStyle w:val="ListParagraph"/>
        <w:numPr>
          <w:ilvl w:val="0"/>
          <w:numId w:val="6"/>
        </w:numPr>
        <w:spacing w:line="240" w:lineRule="auto"/>
        <w:jc w:val="both"/>
        <w:rPr>
          <w:rFonts w:eastAsia="Times New Roman"/>
          <w:sz w:val="20"/>
          <w:szCs w:val="24"/>
        </w:rPr>
      </w:pPr>
      <w:r>
        <w:rPr>
          <w:rFonts w:eastAsia="Times New Roman"/>
          <w:sz w:val="20"/>
          <w:szCs w:val="24"/>
        </w:rPr>
        <w:t>How do</w:t>
      </w:r>
      <w:r w:rsidR="00D02CBC" w:rsidRPr="00D02CBC">
        <w:rPr>
          <w:rFonts w:eastAsia="Times New Roman"/>
          <w:sz w:val="20"/>
          <w:szCs w:val="24"/>
        </w:rPr>
        <w:t xml:space="preserve"> state-level entrepreneurial ecosystems </w:t>
      </w:r>
      <w:r>
        <w:rPr>
          <w:rFonts w:eastAsia="Times New Roman"/>
          <w:sz w:val="20"/>
          <w:szCs w:val="24"/>
        </w:rPr>
        <w:t>facilitate translati</w:t>
      </w:r>
      <w:r w:rsidR="0086577A">
        <w:rPr>
          <w:rFonts w:eastAsia="Times New Roman"/>
          <w:sz w:val="20"/>
          <w:szCs w:val="24"/>
        </w:rPr>
        <w:t>o</w:t>
      </w:r>
      <w:r>
        <w:rPr>
          <w:rFonts w:eastAsia="Times New Roman"/>
          <w:sz w:val="20"/>
          <w:szCs w:val="24"/>
        </w:rPr>
        <w:t>n</w:t>
      </w:r>
      <w:r w:rsidR="0086577A">
        <w:rPr>
          <w:rFonts w:eastAsia="Times New Roman"/>
          <w:sz w:val="20"/>
          <w:szCs w:val="24"/>
        </w:rPr>
        <w:t xml:space="preserve"> of digital capital into</w:t>
      </w:r>
      <w:r>
        <w:rPr>
          <w:rFonts w:eastAsia="Times New Roman"/>
          <w:sz w:val="20"/>
          <w:szCs w:val="24"/>
        </w:rPr>
        <w:t xml:space="preserve"> female labour participation</w:t>
      </w:r>
      <w:r w:rsidR="00D02CBC" w:rsidRPr="00D02CBC">
        <w:rPr>
          <w:rFonts w:eastAsia="Times New Roman"/>
          <w:sz w:val="20"/>
          <w:szCs w:val="24"/>
        </w:rPr>
        <w:t>?</w:t>
      </w:r>
    </w:p>
    <w:p w:rsidR="00426282" w:rsidRDefault="00426282" w:rsidP="00426282">
      <w:pPr>
        <w:spacing w:line="240" w:lineRule="auto"/>
        <w:jc w:val="both"/>
        <w:rPr>
          <w:rFonts w:eastAsia="Times New Roman"/>
          <w:sz w:val="20"/>
          <w:szCs w:val="24"/>
        </w:rPr>
      </w:pPr>
    </w:p>
    <w:p w:rsidR="00426282" w:rsidRPr="00426282" w:rsidRDefault="00426282" w:rsidP="00426282">
      <w:pPr>
        <w:spacing w:line="240" w:lineRule="auto"/>
        <w:jc w:val="both"/>
        <w:rPr>
          <w:rFonts w:eastAsia="Times New Roman"/>
          <w:sz w:val="20"/>
          <w:szCs w:val="24"/>
        </w:rPr>
      </w:pPr>
      <w:r w:rsidRPr="00426282">
        <w:rPr>
          <w:rFonts w:eastAsia="Times New Roman"/>
          <w:sz w:val="20"/>
          <w:szCs w:val="24"/>
        </w:rPr>
        <w:t xml:space="preserve">To </w:t>
      </w:r>
      <w:r>
        <w:rPr>
          <w:rFonts w:eastAsia="Times New Roman"/>
          <w:sz w:val="20"/>
          <w:szCs w:val="24"/>
        </w:rPr>
        <w:t>address</w:t>
      </w:r>
      <w:r w:rsidRPr="00426282">
        <w:rPr>
          <w:rFonts w:eastAsia="Times New Roman"/>
          <w:sz w:val="20"/>
          <w:szCs w:val="24"/>
        </w:rPr>
        <w:t xml:space="preserve"> these questions, the study first analyses the extent of the digital divide in South India. By applying Massimo Ragnedda’s (2018) Digital Capital framework, the paper conceptualises how women convert digital actions into economic outcomes. Through a detailed analysis of case studies of state-led initiatives like WEHUB and Kudumbashree, the paper calls for the need for a policy for skilling and ensuring equitable access for making the best out of digital entrepreneurship, as a powerful tool for agency.</w:t>
      </w:r>
    </w:p>
    <w:p w:rsidR="00724D02" w:rsidRPr="00546284" w:rsidRDefault="00724D02" w:rsidP="00724D02">
      <w:pPr>
        <w:spacing w:line="240" w:lineRule="auto"/>
        <w:jc w:val="both"/>
        <w:rPr>
          <w:rFonts w:eastAsia="Times New Roman"/>
          <w:sz w:val="20"/>
          <w:szCs w:val="24"/>
        </w:rPr>
      </w:pPr>
    </w:p>
    <w:p w:rsidR="00EC4E7C" w:rsidRPr="00724D02" w:rsidRDefault="00F84B8F" w:rsidP="00724D02">
      <w:pPr>
        <w:pStyle w:val="ListParagraph"/>
        <w:numPr>
          <w:ilvl w:val="1"/>
          <w:numId w:val="5"/>
        </w:numPr>
        <w:spacing w:line="240" w:lineRule="auto"/>
        <w:jc w:val="both"/>
        <w:rPr>
          <w:rFonts w:eastAsia="Times New Roman"/>
          <w:b/>
          <w:bCs/>
          <w:szCs w:val="24"/>
        </w:rPr>
      </w:pPr>
      <w:r w:rsidRPr="00724D02">
        <w:rPr>
          <w:rFonts w:eastAsia="Times New Roman"/>
          <w:b/>
          <w:bCs/>
          <w:szCs w:val="24"/>
        </w:rPr>
        <w:t>Literature Review</w:t>
      </w:r>
    </w:p>
    <w:p w:rsidR="00724D02" w:rsidRPr="00724D02" w:rsidRDefault="00724D02" w:rsidP="00724D02">
      <w:pPr>
        <w:spacing w:line="240" w:lineRule="auto"/>
        <w:jc w:val="both"/>
        <w:rPr>
          <w:rFonts w:eastAsia="Times New Roman"/>
          <w:b/>
          <w:bCs/>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This section gives an understanding of different but intersecting literatures on which the paper is conceptualised. The literatures include the economic theories on female labour participation, the sociological discourse on the digital divide and emerging management literature on digital entrepreneurship.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How female labour participation </w:t>
      </w:r>
      <w:r w:rsidR="004B3716" w:rsidRPr="00724D02">
        <w:rPr>
          <w:rFonts w:eastAsia="Times New Roman"/>
          <w:sz w:val="20"/>
          <w:szCs w:val="24"/>
        </w:rPr>
        <w:t>behaves</w:t>
      </w:r>
      <w:r w:rsidRPr="00724D02">
        <w:rPr>
          <w:rFonts w:eastAsia="Times New Roman"/>
          <w:sz w:val="20"/>
          <w:szCs w:val="24"/>
        </w:rPr>
        <w:t xml:space="preserve"> with respect to the economic development of an economy has always </w:t>
      </w:r>
      <w:r w:rsidR="004B3716" w:rsidRPr="00724D02">
        <w:rPr>
          <w:rFonts w:eastAsia="Times New Roman"/>
          <w:sz w:val="20"/>
          <w:szCs w:val="24"/>
        </w:rPr>
        <w:t xml:space="preserve">been </w:t>
      </w:r>
      <w:r w:rsidRPr="00724D02">
        <w:rPr>
          <w:rFonts w:eastAsia="Times New Roman"/>
          <w:sz w:val="20"/>
          <w:szCs w:val="24"/>
        </w:rPr>
        <w:t>a critical debate within the realm of dev</w:t>
      </w:r>
      <w:r w:rsidR="004B3716" w:rsidRPr="00724D02">
        <w:rPr>
          <w:rFonts w:eastAsia="Times New Roman"/>
          <w:sz w:val="20"/>
          <w:szCs w:val="24"/>
        </w:rPr>
        <w:t xml:space="preserve">elopment economics. The work of </w:t>
      </w:r>
      <w:r w:rsidRPr="00724D02">
        <w:rPr>
          <w:rFonts w:eastAsia="Times New Roman"/>
          <w:sz w:val="20"/>
          <w:szCs w:val="24"/>
        </w:rPr>
        <w:t xml:space="preserve">Claudia Goldin (1995) suggested a theoretical explanation for this. </w:t>
      </w:r>
      <w:r w:rsidR="0063604A" w:rsidRPr="00724D02">
        <w:rPr>
          <w:rFonts w:eastAsia="Times New Roman"/>
          <w:sz w:val="20"/>
          <w:szCs w:val="24"/>
        </w:rPr>
        <w:t xml:space="preserve">Goldin </w:t>
      </w:r>
      <w:r w:rsidRPr="00724D02">
        <w:rPr>
          <w:rFonts w:eastAsia="Times New Roman"/>
          <w:sz w:val="20"/>
          <w:szCs w:val="24"/>
        </w:rPr>
        <w:t xml:space="preserve">posits a U-shaped model, suggesting that the poor agricultural economies have high female participation and decline as the economy transitions to an industrial economy. She identifies that the reason for this decline is the social stigma of society and the strict working schedules of the industrial sector. But this decline is not </w:t>
      </w:r>
      <w:r w:rsidR="00303A6D" w:rsidRPr="00724D02">
        <w:rPr>
          <w:rFonts w:eastAsia="Times New Roman"/>
          <w:sz w:val="20"/>
          <w:szCs w:val="24"/>
        </w:rPr>
        <w:t>permanent, and</w:t>
      </w:r>
      <w:r w:rsidRPr="00724D02">
        <w:rPr>
          <w:rFonts w:eastAsia="Times New Roman"/>
          <w:sz w:val="20"/>
          <w:szCs w:val="24"/>
        </w:rPr>
        <w:t xml:space="preserve"> can rebound once the education level increases, and the service sectors of the economy will get strengthened; that is, the female participation increases with an increase in white-collar service jobs. However, South India experiences a deviation from the model, exhibiting a plateaued U-curve, despite growth in the sector and rising education.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Chatterjee et al. (2018) describe this as a paradox. Their analysis reveals that the withdrawal from labour participation was common among women with secondary and higher secondary levels of education. These women face a structural trap, that is, they are overqualified for manual labour; at the same time, they lack the skills or mobility required for corporate jobs. The manual labour is often viewed as socially degrading and takes an exit from the labour force, getting themselves into </w:t>
      </w:r>
      <w:r w:rsidR="00531E97" w:rsidRPr="00724D02">
        <w:rPr>
          <w:rFonts w:eastAsia="Times New Roman"/>
          <w:sz w:val="20"/>
          <w:szCs w:val="24"/>
        </w:rPr>
        <w:t>a</w:t>
      </w:r>
      <w:r w:rsidRPr="00724D02">
        <w:rPr>
          <w:rFonts w:eastAsia="Times New Roman"/>
          <w:sz w:val="20"/>
          <w:szCs w:val="24"/>
        </w:rPr>
        <w:t xml:space="preserve"> seclusion under income than that of men. This phenomenon is driven by the income effect, </w:t>
      </w:r>
      <w:proofErr w:type="spellStart"/>
      <w:r w:rsidR="00531E97" w:rsidRPr="00724D02">
        <w:rPr>
          <w:rFonts w:eastAsia="Times New Roman"/>
          <w:sz w:val="20"/>
          <w:szCs w:val="24"/>
        </w:rPr>
        <w:t>signalling</w:t>
      </w:r>
      <w:proofErr w:type="spellEnd"/>
      <w:r w:rsidRPr="00724D02">
        <w:rPr>
          <w:rFonts w:eastAsia="Times New Roman"/>
          <w:sz w:val="20"/>
          <w:szCs w:val="24"/>
        </w:rPr>
        <w:t xml:space="preserve"> higher family status. Consequently, a vast cohort of women remains in the </w:t>
      </w:r>
      <w:r w:rsidR="004B3716" w:rsidRPr="00724D02">
        <w:rPr>
          <w:rFonts w:eastAsia="Times New Roman"/>
          <w:sz w:val="20"/>
          <w:szCs w:val="24"/>
        </w:rPr>
        <w:t>waithood</w:t>
      </w:r>
      <w:r w:rsidRPr="00724D02">
        <w:rPr>
          <w:rFonts w:eastAsia="Times New Roman"/>
          <w:sz w:val="20"/>
          <w:szCs w:val="24"/>
        </w:rPr>
        <w:t xml:space="preserve">.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Digital economy is the alternative</w:t>
      </w:r>
      <w:r w:rsidR="004B3716" w:rsidRPr="00724D02">
        <w:rPr>
          <w:rFonts w:eastAsia="Times New Roman"/>
          <w:sz w:val="20"/>
          <w:szCs w:val="24"/>
        </w:rPr>
        <w:t>;</w:t>
      </w:r>
      <w:r w:rsidRPr="00724D02">
        <w:rPr>
          <w:rFonts w:eastAsia="Times New Roman"/>
          <w:sz w:val="20"/>
          <w:szCs w:val="24"/>
        </w:rPr>
        <w:t xml:space="preserve"> in case the formal economy is inaccessible, participation depends on the extent of the digital divide. The early conceptualisation of the digital divide was focused on the binary divide of haves and have-nots regarding physical access to digital tools. This conceptualisation was popular in the work of Norris (2001). Van Dijk (2005) added the second-level divide on top of mere physical access, emphasising the inequalities in skills and usage. His arguments are aligned with Sen’s</w:t>
      </w:r>
      <w:r w:rsidR="004B3716" w:rsidRPr="00724D02">
        <w:rPr>
          <w:rFonts w:eastAsia="Times New Roman"/>
          <w:sz w:val="20"/>
          <w:szCs w:val="24"/>
        </w:rPr>
        <w:t xml:space="preserve"> </w:t>
      </w:r>
      <w:r w:rsidR="00B2281F" w:rsidRPr="00724D02">
        <w:rPr>
          <w:rFonts w:eastAsia="Times New Roman"/>
          <w:sz w:val="20"/>
          <w:szCs w:val="24"/>
        </w:rPr>
        <w:t>Capability</w:t>
      </w:r>
      <w:r w:rsidR="00B2281F" w:rsidRPr="00724D02">
        <w:rPr>
          <w:rStyle w:val="FootnoteReference"/>
          <w:rFonts w:eastAsia="Times New Roman"/>
          <w:sz w:val="20"/>
          <w:szCs w:val="24"/>
        </w:rPr>
        <w:footnoteReference w:id="4"/>
      </w:r>
      <w:r w:rsidR="00B2281F" w:rsidRPr="00724D02">
        <w:rPr>
          <w:rFonts w:eastAsia="Times New Roman"/>
          <w:sz w:val="20"/>
          <w:szCs w:val="24"/>
        </w:rPr>
        <w:t xml:space="preserve"> that</w:t>
      </w:r>
      <w:r w:rsidRPr="00724D02">
        <w:rPr>
          <w:rFonts w:eastAsia="Times New Roman"/>
          <w:sz w:val="20"/>
          <w:szCs w:val="24"/>
        </w:rPr>
        <w:t xml:space="preserve"> mere access to physical resources cannot guarantee meaningful engagement that can lead to socio-economic outcomes. For such engagement, it is necessary to have the requisite skills, and the internet remains a passive medium for empowerment.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lastRenderedPageBreak/>
        <w:t>In India, the digital divide is extremely gendered. The GSMA Mobile Gender Gap Report (2024) highlights that women are 30% less likely than men to use mobile internet. The lack of finance does not merely drive this gap but is deeply rooted in socio-cultural surveillance, where female access to technology is often monitored or restricted by male family members. In this situation, bridging the digital divide needs to move beyond ensuring access to digital resources to building digital autonomy, enabling women to negotiate their economic identity.</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To understand how women can effectively overcome these barriers, the paper looks beyond the traditional definitions of entrepreneurship. According to Nambisan (2017) the digital entrepreneurship is a process where digital technologies can effectively transform the nature of the firm’s output, process, or marketing. Adopting this broader perspective of digital entrepreneurship allows us to capture the "invisible" economic activities of women.</w:t>
      </w:r>
    </w:p>
    <w:p w:rsidR="00331AF8" w:rsidRPr="00724D02" w:rsidRDefault="00331AF8" w:rsidP="00724D02">
      <w:pPr>
        <w:spacing w:line="240" w:lineRule="auto"/>
        <w:jc w:val="both"/>
        <w:rPr>
          <w:rFonts w:eastAsia="Times New Roman"/>
          <w:sz w:val="20"/>
          <w:szCs w:val="24"/>
        </w:rPr>
      </w:pPr>
    </w:p>
    <w:p w:rsidR="00EC4E7C" w:rsidRDefault="0056185A" w:rsidP="00724D02">
      <w:pPr>
        <w:spacing w:line="240" w:lineRule="auto"/>
        <w:jc w:val="both"/>
        <w:rPr>
          <w:rFonts w:eastAsia="Times New Roman"/>
          <w:sz w:val="20"/>
          <w:szCs w:val="24"/>
        </w:rPr>
      </w:pPr>
      <w:r w:rsidRPr="00724D02">
        <w:rPr>
          <w:rFonts w:eastAsia="Times New Roman"/>
          <w:sz w:val="20"/>
          <w:szCs w:val="24"/>
        </w:rPr>
        <w:t>The study</w:t>
      </w:r>
      <w:r w:rsidR="00F84B8F" w:rsidRPr="00724D02">
        <w:rPr>
          <w:rFonts w:eastAsia="Times New Roman"/>
          <w:sz w:val="20"/>
          <w:szCs w:val="24"/>
        </w:rPr>
        <w:t xml:space="preserve"> </w:t>
      </w:r>
      <w:r w:rsidRPr="00724D02">
        <w:rPr>
          <w:rFonts w:eastAsia="Times New Roman"/>
          <w:sz w:val="20"/>
          <w:szCs w:val="24"/>
        </w:rPr>
        <w:t>considers</w:t>
      </w:r>
      <w:r w:rsidR="00F84B8F" w:rsidRPr="00724D02">
        <w:rPr>
          <w:rFonts w:eastAsia="Times New Roman"/>
          <w:sz w:val="20"/>
          <w:szCs w:val="24"/>
        </w:rPr>
        <w:t xml:space="preserve"> a spectrum of Digital Entrepreneurship, ranging from gig workers to resellers, that is relevant to the South Indian ecosystem, and women can be active participants. Gig work, also called non-traditional work, is generally short-term, flexible or project-based, where individuals act as freelancers or independent contractors, such as ride-sharing, delivery, design or writing. A platform-based gig uses digital applications to connect workers with short-term work or tasks. The popular examples of gig platforms include Uber, Red Taxi, Zomato, Urban Company, etc. Platform-based gig provides a platform for women to leverage their skills from household tasks to complex fields of writing, coding, </w:t>
      </w:r>
      <w:r w:rsidR="00B2281F" w:rsidRPr="00724D02">
        <w:rPr>
          <w:rFonts w:eastAsia="Times New Roman"/>
          <w:sz w:val="20"/>
          <w:szCs w:val="24"/>
        </w:rPr>
        <w:t>etc.</w:t>
      </w:r>
      <w:r w:rsidR="00FA05D1" w:rsidRPr="00724D02">
        <w:rPr>
          <w:rFonts w:eastAsia="Times New Roman"/>
          <w:sz w:val="20"/>
          <w:szCs w:val="24"/>
        </w:rPr>
        <w:t>,</w:t>
      </w:r>
      <w:r w:rsidR="00F84B8F" w:rsidRPr="00724D02">
        <w:rPr>
          <w:rFonts w:eastAsia="Times New Roman"/>
          <w:sz w:val="20"/>
          <w:szCs w:val="24"/>
        </w:rPr>
        <w:t xml:space="preserve"> on digital platforms. These platforms offer greater flexibility for the women workers. </w:t>
      </w:r>
    </w:p>
    <w:p w:rsidR="000D0B57" w:rsidRDefault="000D0B57" w:rsidP="00724D02">
      <w:pPr>
        <w:spacing w:line="240" w:lineRule="auto"/>
        <w:jc w:val="both"/>
        <w:rPr>
          <w:rFonts w:eastAsia="Times New Roman"/>
          <w:sz w:val="20"/>
          <w:szCs w:val="24"/>
        </w:rPr>
      </w:pPr>
    </w:p>
    <w:p w:rsidR="00F532C2" w:rsidRPr="00F532C2" w:rsidRDefault="00F532C2" w:rsidP="00331AF8">
      <w:pPr>
        <w:spacing w:line="240" w:lineRule="auto"/>
        <w:jc w:val="both"/>
        <w:rPr>
          <w:rFonts w:eastAsia="Times New Roman"/>
          <w:sz w:val="20"/>
          <w:szCs w:val="24"/>
        </w:rPr>
      </w:pPr>
      <w:r w:rsidRPr="00F532C2">
        <w:rPr>
          <w:rFonts w:eastAsia="Times New Roman"/>
          <w:sz w:val="20"/>
          <w:szCs w:val="24"/>
        </w:rPr>
        <w:t xml:space="preserve">However, recent studies on the digital economy from a feminist perspective point to a duality of platform labour – the </w:t>
      </w:r>
      <w:r>
        <w:rPr>
          <w:rFonts w:eastAsia="Times New Roman"/>
          <w:sz w:val="20"/>
          <w:szCs w:val="24"/>
        </w:rPr>
        <w:t>remarkable</w:t>
      </w:r>
      <w:r w:rsidRPr="00F532C2">
        <w:rPr>
          <w:rFonts w:eastAsia="Times New Roman"/>
          <w:sz w:val="20"/>
          <w:szCs w:val="24"/>
        </w:rPr>
        <w:t xml:space="preserve"> flexibility of the platforms coupled with the possibility of replicating traditional gender differences if platforms are left ungoverned in a pro-feminist way. Without proactive and gender-equitable gig economy governance, platform work risks </w:t>
      </w:r>
      <w:r w:rsidR="00B16EDE">
        <w:rPr>
          <w:rFonts w:eastAsia="Times New Roman"/>
          <w:sz w:val="20"/>
          <w:szCs w:val="24"/>
        </w:rPr>
        <w:t>intensifying</w:t>
      </w:r>
      <w:r w:rsidRPr="00F532C2">
        <w:rPr>
          <w:rFonts w:eastAsia="Times New Roman"/>
          <w:sz w:val="20"/>
          <w:szCs w:val="24"/>
        </w:rPr>
        <w:t xml:space="preserve"> existing inequalities by neglecting women's unpaid care responsibilities, and the illusion of total independence in gig work is undermined by the concept of ‘algorithmic control’ (Wood et al., 2019), where human control is replaced by opaque data-driven surveillance that deeply affects platform worker autonomy.</w:t>
      </w:r>
    </w:p>
    <w:p w:rsidR="00F532C2" w:rsidRDefault="00F532C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Some of the Gig platforms </w:t>
      </w:r>
      <w:r w:rsidR="00B2281F" w:rsidRPr="00724D02">
        <w:rPr>
          <w:rFonts w:eastAsia="Times New Roman"/>
          <w:sz w:val="20"/>
          <w:szCs w:val="24"/>
        </w:rPr>
        <w:t>offer</w:t>
      </w:r>
      <w:r w:rsidRPr="00724D02">
        <w:rPr>
          <w:rFonts w:eastAsia="Times New Roman"/>
          <w:sz w:val="20"/>
          <w:szCs w:val="24"/>
        </w:rPr>
        <w:t xml:space="preserve"> women </w:t>
      </w:r>
      <w:r w:rsidR="00931B0B" w:rsidRPr="00724D02">
        <w:rPr>
          <w:rFonts w:eastAsia="Times New Roman"/>
          <w:sz w:val="20"/>
          <w:szCs w:val="24"/>
        </w:rPr>
        <w:t xml:space="preserve">the opportunity </w:t>
      </w:r>
      <w:r w:rsidRPr="00724D02">
        <w:rPr>
          <w:rFonts w:eastAsia="Times New Roman"/>
          <w:sz w:val="20"/>
          <w:szCs w:val="24"/>
        </w:rPr>
        <w:t xml:space="preserve">to become micro-entrepreneurs. </w:t>
      </w:r>
      <w:r w:rsidR="00B2281F" w:rsidRPr="00724D02">
        <w:rPr>
          <w:rFonts w:eastAsia="Times New Roman"/>
          <w:sz w:val="20"/>
          <w:szCs w:val="24"/>
        </w:rPr>
        <w:t>Women</w:t>
      </w:r>
      <w:r w:rsidRPr="00724D02">
        <w:rPr>
          <w:rFonts w:eastAsia="Times New Roman"/>
          <w:sz w:val="20"/>
          <w:szCs w:val="24"/>
        </w:rPr>
        <w:t xml:space="preserve">-led </w:t>
      </w:r>
      <w:r w:rsidR="00B2281F" w:rsidRPr="00724D02">
        <w:rPr>
          <w:rFonts w:eastAsia="Times New Roman"/>
          <w:sz w:val="20"/>
          <w:szCs w:val="24"/>
        </w:rPr>
        <w:t>businesses,</w:t>
      </w:r>
      <w:r w:rsidRPr="00724D02">
        <w:rPr>
          <w:rFonts w:eastAsia="Times New Roman"/>
          <w:sz w:val="20"/>
          <w:szCs w:val="24"/>
        </w:rPr>
        <w:t xml:space="preserve"> like cloud kitchens and artisanal crafts</w:t>
      </w:r>
      <w:r w:rsidR="00531E97" w:rsidRPr="00724D02">
        <w:rPr>
          <w:rFonts w:eastAsia="Times New Roman"/>
          <w:sz w:val="20"/>
          <w:szCs w:val="24"/>
        </w:rPr>
        <w:t>,</w:t>
      </w:r>
      <w:r w:rsidRPr="00724D02">
        <w:rPr>
          <w:rFonts w:eastAsia="Times New Roman"/>
          <w:sz w:val="20"/>
          <w:szCs w:val="24"/>
        </w:rPr>
        <w:t xml:space="preserve"> can easily make use of these platforms for the successful scaling of their business while being in the comfort of their homes. They can utilise the digital payment gateways like Razorpay, </w:t>
      </w:r>
      <w:r w:rsidR="00B2281F" w:rsidRPr="00724D02">
        <w:rPr>
          <w:rFonts w:eastAsia="Times New Roman"/>
          <w:sz w:val="20"/>
          <w:szCs w:val="24"/>
        </w:rPr>
        <w:t>PayPal</w:t>
      </w:r>
      <w:r w:rsidRPr="00724D02">
        <w:rPr>
          <w:rFonts w:eastAsia="Times New Roman"/>
          <w:sz w:val="20"/>
          <w:szCs w:val="24"/>
        </w:rPr>
        <w:t xml:space="preserve"> and the logistic aggregators like Porter to deliver within the city and Delhivery to deliver across cities. This will help them to scale beyond their immediate locality.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Bain &amp; Company (2020) identified </w:t>
      </w:r>
      <w:r w:rsidR="00484847" w:rsidRPr="00484847">
        <w:rPr>
          <w:rFonts w:eastAsia="Times New Roman"/>
          <w:sz w:val="20"/>
          <w:szCs w:val="24"/>
        </w:rPr>
        <w:t>that women account for nearly 80% of all social commerce sellers in</w:t>
      </w:r>
      <w:r w:rsidRPr="00724D02">
        <w:rPr>
          <w:rFonts w:eastAsia="Times New Roman"/>
          <w:sz w:val="20"/>
          <w:szCs w:val="24"/>
        </w:rPr>
        <w:t xml:space="preserve"> social commerce</w:t>
      </w:r>
      <w:r w:rsidR="00D832EC" w:rsidRPr="00724D02">
        <w:rPr>
          <w:rStyle w:val="FootnoteReference"/>
          <w:rFonts w:eastAsia="Times New Roman"/>
          <w:sz w:val="20"/>
          <w:szCs w:val="24"/>
        </w:rPr>
        <w:footnoteReference w:id="5"/>
      </w:r>
      <w:r w:rsidRPr="00724D02">
        <w:rPr>
          <w:rFonts w:eastAsia="Times New Roman"/>
          <w:sz w:val="20"/>
          <w:szCs w:val="24"/>
        </w:rPr>
        <w:t>. Social commerce uses trust-based social networks to market lifestyle products. Women can use these social networks to sell products to their friends and family by sharing the catalogues or products via WhatsApp, Instagram, etc., or order the product on their behalf using a reselling platform like Meesho. This model requires low or no investments, making it highly accessible to women with intermediate education.</w:t>
      </w:r>
    </w:p>
    <w:p w:rsidR="00724D02" w:rsidRPr="00724D02" w:rsidRDefault="00724D02" w:rsidP="00724D02">
      <w:pPr>
        <w:spacing w:line="240" w:lineRule="auto"/>
        <w:jc w:val="both"/>
        <w:rPr>
          <w:rFonts w:eastAsia="Times New Roman"/>
          <w:sz w:val="20"/>
          <w:szCs w:val="24"/>
        </w:rPr>
      </w:pPr>
    </w:p>
    <w:p w:rsidR="00662E7E" w:rsidRPr="00724D02" w:rsidRDefault="00662E7E" w:rsidP="00724D02">
      <w:pPr>
        <w:spacing w:line="240" w:lineRule="auto"/>
        <w:jc w:val="both"/>
        <w:rPr>
          <w:rFonts w:eastAsia="Times New Roman"/>
          <w:sz w:val="20"/>
          <w:szCs w:val="24"/>
        </w:rPr>
      </w:pPr>
      <w:r w:rsidRPr="00724D02">
        <w:rPr>
          <w:rFonts w:eastAsia="Times New Roman"/>
          <w:sz w:val="20"/>
          <w:szCs w:val="24"/>
        </w:rPr>
        <w:t xml:space="preserve">Despite the extensive literature on women's participation in economic activity and </w:t>
      </w:r>
      <w:r w:rsidR="00931B0B" w:rsidRPr="00724D02">
        <w:rPr>
          <w:rFonts w:eastAsia="Times New Roman"/>
          <w:sz w:val="20"/>
          <w:szCs w:val="24"/>
        </w:rPr>
        <w:t xml:space="preserve">the </w:t>
      </w:r>
      <w:r w:rsidRPr="00724D02">
        <w:rPr>
          <w:rFonts w:eastAsia="Times New Roman"/>
          <w:sz w:val="20"/>
          <w:szCs w:val="24"/>
        </w:rPr>
        <w:t xml:space="preserve">digital divide, critical gaps remain in understanding the South Indian context. Existing studies (Chatterjee et al., 2018) largely focus on why women leave the workforce but offer limited </w:t>
      </w:r>
      <w:r w:rsidRPr="00724D02">
        <w:rPr>
          <w:rFonts w:eastAsia="Times New Roman"/>
          <w:sz w:val="20"/>
          <w:szCs w:val="24"/>
        </w:rPr>
        <w:lastRenderedPageBreak/>
        <w:t>insight into how the emerging digital economy offers a structural bypass. While the "Digital Divide" is well-documented (Norris, 2001; Van Dijk, 2005), most research stops at the level of access or usage. There is a deficiency of research utilising Ragnedda’s Third Level of Digital Divide to analyse how digital skills are converted into tangible economic outcomes for women. Few management literature defines digital entrepreneurship (Nambisan, 2017), but it rarely accounts for the micro-entrepreneurial nature of women's digital work in the Global South. This paper addresses these gaps by integrating women employment dynamics with digital sociology to propose a framework for sustainable agency in South India.</w:t>
      </w:r>
    </w:p>
    <w:p w:rsidR="00181482" w:rsidRPr="00546284" w:rsidRDefault="00181482" w:rsidP="00724D02">
      <w:pPr>
        <w:spacing w:line="240" w:lineRule="auto"/>
        <w:jc w:val="both"/>
        <w:rPr>
          <w:rFonts w:eastAsia="Times New Roman"/>
          <w:b/>
          <w:bCs/>
          <w:sz w:val="24"/>
          <w:szCs w:val="24"/>
        </w:rPr>
      </w:pPr>
    </w:p>
    <w:p w:rsidR="00EC4E7C" w:rsidRDefault="00724D02" w:rsidP="00724D02">
      <w:pPr>
        <w:spacing w:line="240" w:lineRule="auto"/>
        <w:jc w:val="both"/>
        <w:rPr>
          <w:rFonts w:eastAsia="Times New Roman"/>
          <w:b/>
          <w:bCs/>
          <w:sz w:val="24"/>
          <w:szCs w:val="24"/>
        </w:rPr>
      </w:pPr>
      <w:r w:rsidRPr="00724D02">
        <w:rPr>
          <w:rFonts w:eastAsia="Times New Roman"/>
          <w:b/>
          <w:bCs/>
          <w:szCs w:val="24"/>
        </w:rPr>
        <w:t xml:space="preserve">1.3 </w:t>
      </w:r>
      <w:r w:rsidR="00F84B8F" w:rsidRPr="00724D02">
        <w:rPr>
          <w:rFonts w:eastAsia="Times New Roman"/>
          <w:b/>
          <w:bCs/>
          <w:szCs w:val="24"/>
        </w:rPr>
        <w:t>Theoretical Framework</w:t>
      </w:r>
    </w:p>
    <w:p w:rsidR="00724D02" w:rsidRPr="00546284" w:rsidRDefault="00724D02" w:rsidP="00724D02">
      <w:pPr>
        <w:spacing w:line="240" w:lineRule="auto"/>
        <w:jc w:val="both"/>
        <w:rPr>
          <w:rFonts w:eastAsia="Times New Roman"/>
          <w:b/>
          <w:bCs/>
          <w:sz w:val="24"/>
          <w:szCs w:val="24"/>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To delve deeper into understanding the digital divide, beyond the gap in digital resource accessibility, the study adopts the Digital Capital framework, advocated by Massimo Ragnedda (2018). Ragnedda argues that digital engagement is no longer neutral; it is capable of creating a specific form of capital, different from what Pierre Bourdieu (1986) defines in his capital theory as economic, social and cultural capital, but intrinsically linked to it.</w:t>
      </w:r>
    </w:p>
    <w:p w:rsidR="00724D02" w:rsidRPr="00724D02" w:rsidRDefault="00724D02"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Ragnedda defines Digital capital as the accumulation of internalised ability and externalised resources. Internalised ability is the user’s competencies to use digital </w:t>
      </w:r>
      <w:r w:rsidR="00FA05D1" w:rsidRPr="00724D02">
        <w:rPr>
          <w:rFonts w:eastAsia="Times New Roman"/>
          <w:sz w:val="20"/>
          <w:szCs w:val="20"/>
        </w:rPr>
        <w:t>products,</w:t>
      </w:r>
      <w:r w:rsidRPr="00724D02">
        <w:rPr>
          <w:rFonts w:eastAsia="Times New Roman"/>
          <w:sz w:val="20"/>
          <w:szCs w:val="20"/>
        </w:rPr>
        <w:t xml:space="preserve"> including technical skills, information literacy, and the cognitive ability to navigate through complex digital interfaces. Women in South India </w:t>
      </w:r>
      <w:r w:rsidR="00B2281F" w:rsidRPr="00724D02">
        <w:rPr>
          <w:rFonts w:eastAsia="Times New Roman"/>
          <w:sz w:val="20"/>
          <w:szCs w:val="20"/>
        </w:rPr>
        <w:t>possess</w:t>
      </w:r>
      <w:r w:rsidRPr="00724D02">
        <w:rPr>
          <w:rFonts w:eastAsia="Times New Roman"/>
          <w:sz w:val="20"/>
          <w:szCs w:val="20"/>
        </w:rPr>
        <w:t xml:space="preserve"> </w:t>
      </w:r>
      <w:r w:rsidR="00FA05D1" w:rsidRPr="00724D02">
        <w:rPr>
          <w:rFonts w:eastAsia="Times New Roman"/>
          <w:sz w:val="20"/>
          <w:szCs w:val="20"/>
        </w:rPr>
        <w:t xml:space="preserve">a </w:t>
      </w:r>
      <w:r w:rsidRPr="00724D02">
        <w:rPr>
          <w:rFonts w:eastAsia="Times New Roman"/>
          <w:sz w:val="20"/>
          <w:szCs w:val="20"/>
        </w:rPr>
        <w:t xml:space="preserve">high literacy rate, which suggests a strong foundation to capitalise on the knowledge, yet it often remains untapped due to a lack of practical application. The externalised resources are the physical resources like smartphones and </w:t>
      </w:r>
      <w:r w:rsidR="00B2281F" w:rsidRPr="00724D02">
        <w:rPr>
          <w:rFonts w:eastAsia="Times New Roman"/>
          <w:sz w:val="20"/>
          <w:szCs w:val="20"/>
        </w:rPr>
        <w:t>laptops</w:t>
      </w:r>
      <w:r w:rsidR="00FA05D1" w:rsidRPr="00724D02">
        <w:rPr>
          <w:rFonts w:eastAsia="Times New Roman"/>
          <w:sz w:val="20"/>
          <w:szCs w:val="20"/>
        </w:rPr>
        <w:t>,</w:t>
      </w:r>
      <w:r w:rsidRPr="00724D02">
        <w:rPr>
          <w:rFonts w:eastAsia="Times New Roman"/>
          <w:sz w:val="20"/>
          <w:szCs w:val="20"/>
        </w:rPr>
        <w:t xml:space="preserve"> and connectivity infrastructure like network, data plans, </w:t>
      </w:r>
      <w:r w:rsidR="00B2281F" w:rsidRPr="00724D02">
        <w:rPr>
          <w:rFonts w:eastAsia="Times New Roman"/>
          <w:sz w:val="20"/>
          <w:szCs w:val="20"/>
        </w:rPr>
        <w:t>thus</w:t>
      </w:r>
      <w:r w:rsidRPr="00724D02">
        <w:rPr>
          <w:rFonts w:eastAsia="Times New Roman"/>
          <w:sz w:val="20"/>
          <w:szCs w:val="20"/>
        </w:rPr>
        <w:t xml:space="preserve">, through the accumulation of internalised ability and externalised resources, </w:t>
      </w:r>
      <w:r w:rsidR="00B2281F" w:rsidRPr="00724D02">
        <w:rPr>
          <w:rFonts w:eastAsia="Times New Roman"/>
          <w:sz w:val="20"/>
          <w:szCs w:val="20"/>
        </w:rPr>
        <w:t>digital</w:t>
      </w:r>
      <w:r w:rsidRPr="00724D02">
        <w:rPr>
          <w:rFonts w:eastAsia="Times New Roman"/>
          <w:sz w:val="20"/>
          <w:szCs w:val="20"/>
        </w:rPr>
        <w:t xml:space="preserve"> capital acts as a mechanism that bridges digital activities to offline socio-economic outcomes. Ragnedda’s Digital Capital framework </w:t>
      </w:r>
      <w:r w:rsidR="0017176F" w:rsidRPr="00724D02">
        <w:rPr>
          <w:rFonts w:eastAsia="Times New Roman"/>
          <w:sz w:val="20"/>
          <w:szCs w:val="20"/>
        </w:rPr>
        <w:t>puts</w:t>
      </w:r>
      <w:r w:rsidR="001F53F4" w:rsidRPr="00724D02">
        <w:rPr>
          <w:rFonts w:eastAsia="Times New Roman"/>
          <w:sz w:val="20"/>
          <w:szCs w:val="20"/>
        </w:rPr>
        <w:t xml:space="preserve"> forward</w:t>
      </w:r>
      <w:r w:rsidRPr="00724D02">
        <w:rPr>
          <w:rFonts w:eastAsia="Times New Roman"/>
          <w:sz w:val="20"/>
          <w:szCs w:val="20"/>
        </w:rPr>
        <w:t xml:space="preserve"> that the digital space is not separated from social life</w:t>
      </w:r>
      <w:r w:rsidR="00B2281F" w:rsidRPr="00724D02">
        <w:rPr>
          <w:rFonts w:eastAsia="Times New Roman"/>
          <w:sz w:val="20"/>
          <w:szCs w:val="20"/>
        </w:rPr>
        <w:t>;</w:t>
      </w:r>
      <w:r w:rsidRPr="00724D02">
        <w:rPr>
          <w:rFonts w:eastAsia="Times New Roman"/>
          <w:sz w:val="20"/>
          <w:szCs w:val="20"/>
        </w:rPr>
        <w:t xml:space="preserve"> rather</w:t>
      </w:r>
      <w:r w:rsidR="00B2281F" w:rsidRPr="00724D02">
        <w:rPr>
          <w:rFonts w:eastAsia="Times New Roman"/>
          <w:sz w:val="20"/>
          <w:szCs w:val="20"/>
        </w:rPr>
        <w:t>,</w:t>
      </w:r>
      <w:r w:rsidRPr="00724D02">
        <w:rPr>
          <w:rFonts w:eastAsia="Times New Roman"/>
          <w:sz w:val="20"/>
          <w:szCs w:val="20"/>
        </w:rPr>
        <w:t xml:space="preserve"> inequalities in the social world, including patriarchal restrictions, influence the</w:t>
      </w:r>
      <w:r w:rsidR="00B2281F" w:rsidRPr="00724D02">
        <w:rPr>
          <w:rFonts w:eastAsia="Times New Roman"/>
          <w:sz w:val="20"/>
          <w:szCs w:val="20"/>
        </w:rPr>
        <w:t xml:space="preserve"> </w:t>
      </w:r>
      <w:r w:rsidRPr="00724D02">
        <w:rPr>
          <w:rFonts w:eastAsia="Times New Roman"/>
          <w:sz w:val="20"/>
          <w:szCs w:val="20"/>
        </w:rPr>
        <w:t>accumulation of digital capital, which will further influence the socio-economic improvements.</w:t>
      </w: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Ragnedda’s framework can be used to analyse the digital divide among the South Indian women as a three-tier exclusion. In the first tier, </w:t>
      </w:r>
      <w:r w:rsidR="00B2281F" w:rsidRPr="00724D02">
        <w:rPr>
          <w:rFonts w:eastAsia="Times New Roman"/>
          <w:sz w:val="20"/>
          <w:szCs w:val="20"/>
        </w:rPr>
        <w:t>it</w:t>
      </w:r>
      <w:r w:rsidRPr="00724D02">
        <w:rPr>
          <w:rFonts w:eastAsia="Times New Roman"/>
          <w:sz w:val="20"/>
          <w:szCs w:val="20"/>
        </w:rPr>
        <w:t xml:space="preserve"> is the inequalities in the physical access to resources. This is the lack of availability of </w:t>
      </w:r>
      <w:r w:rsidR="00B2281F" w:rsidRPr="00724D02">
        <w:rPr>
          <w:rFonts w:eastAsia="Times New Roman"/>
          <w:sz w:val="20"/>
          <w:szCs w:val="20"/>
        </w:rPr>
        <w:t>externalised</w:t>
      </w:r>
      <w:r w:rsidRPr="00724D02">
        <w:rPr>
          <w:rFonts w:eastAsia="Times New Roman"/>
          <w:sz w:val="20"/>
          <w:szCs w:val="20"/>
        </w:rPr>
        <w:t xml:space="preserve"> </w:t>
      </w:r>
      <w:r w:rsidR="00B2281F" w:rsidRPr="00724D02">
        <w:rPr>
          <w:rFonts w:eastAsia="Times New Roman"/>
          <w:sz w:val="20"/>
          <w:szCs w:val="20"/>
        </w:rPr>
        <w:t>resources</w:t>
      </w:r>
      <w:r w:rsidRPr="00724D02">
        <w:rPr>
          <w:rFonts w:eastAsia="Times New Roman"/>
          <w:sz w:val="20"/>
          <w:szCs w:val="20"/>
        </w:rPr>
        <w:t xml:space="preserve">, which may be due to social norms and restrictions and also due to a lack of infrastructural support. In our study, the physical access is measured by mobile phone ownership and internet connectivity. Second, there are the inequalities in </w:t>
      </w:r>
      <w:r w:rsidR="00B2281F" w:rsidRPr="00724D02">
        <w:rPr>
          <w:rFonts w:eastAsia="Times New Roman"/>
          <w:sz w:val="20"/>
          <w:szCs w:val="20"/>
        </w:rPr>
        <w:t>the use</w:t>
      </w:r>
      <w:r w:rsidRPr="00724D02">
        <w:rPr>
          <w:rFonts w:eastAsia="Times New Roman"/>
          <w:sz w:val="20"/>
          <w:szCs w:val="20"/>
        </w:rPr>
        <w:t xml:space="preserve"> of available resources. The characteristic features of the tier are whether the internalised ability of an individual is used for the consumption of content or for productivity, like running a business or learning a new skill. </w:t>
      </w:r>
      <w:r w:rsidR="00B2281F" w:rsidRPr="00724D02">
        <w:rPr>
          <w:rFonts w:eastAsia="Times New Roman"/>
          <w:sz w:val="20"/>
          <w:szCs w:val="20"/>
        </w:rPr>
        <w:t>Ragnedda</w:t>
      </w:r>
      <w:r w:rsidRPr="00724D02">
        <w:rPr>
          <w:rFonts w:eastAsia="Times New Roman"/>
          <w:sz w:val="20"/>
          <w:szCs w:val="20"/>
        </w:rPr>
        <w:t xml:space="preserve"> </w:t>
      </w:r>
      <w:r w:rsidR="00B2281F" w:rsidRPr="00724D02">
        <w:rPr>
          <w:rFonts w:eastAsia="Times New Roman"/>
          <w:sz w:val="20"/>
          <w:szCs w:val="20"/>
        </w:rPr>
        <w:t>strongly</w:t>
      </w:r>
      <w:r w:rsidRPr="00724D02">
        <w:rPr>
          <w:rFonts w:eastAsia="Times New Roman"/>
          <w:sz w:val="20"/>
          <w:szCs w:val="20"/>
        </w:rPr>
        <w:t xml:space="preserve"> argue</w:t>
      </w:r>
      <w:r w:rsidR="00F455B5">
        <w:rPr>
          <w:rFonts w:eastAsia="Times New Roman"/>
          <w:sz w:val="20"/>
          <w:szCs w:val="20"/>
        </w:rPr>
        <w:t>s</w:t>
      </w:r>
      <w:r w:rsidRPr="00724D02">
        <w:rPr>
          <w:rFonts w:eastAsia="Times New Roman"/>
          <w:sz w:val="20"/>
          <w:szCs w:val="20"/>
        </w:rPr>
        <w:t xml:space="preserve"> that meaningful digital inclusion can be achieved only through strategic an</w:t>
      </w:r>
      <w:r w:rsidR="00B2281F" w:rsidRPr="00724D02">
        <w:rPr>
          <w:rFonts w:eastAsia="Times New Roman"/>
          <w:sz w:val="20"/>
          <w:szCs w:val="20"/>
        </w:rPr>
        <w:t>d</w:t>
      </w:r>
      <w:r w:rsidRPr="00724D02">
        <w:rPr>
          <w:rFonts w:eastAsia="Times New Roman"/>
          <w:sz w:val="20"/>
          <w:szCs w:val="20"/>
        </w:rPr>
        <w:t xml:space="preserve"> </w:t>
      </w:r>
      <w:r w:rsidR="00B2281F" w:rsidRPr="00724D02">
        <w:rPr>
          <w:rFonts w:eastAsia="Times New Roman"/>
          <w:sz w:val="20"/>
          <w:szCs w:val="20"/>
        </w:rPr>
        <w:t>productive</w:t>
      </w:r>
      <w:r w:rsidRPr="00724D02">
        <w:rPr>
          <w:rFonts w:eastAsia="Times New Roman"/>
          <w:sz w:val="20"/>
          <w:szCs w:val="20"/>
        </w:rPr>
        <w:t xml:space="preserve"> use of technology. The last tier is very crucial for the study. The third tier discusses the inequalities in the tangible benefits gained from the digital resource use. It enquires how the social barrier affects two different individuals having the same resources and the same </w:t>
      </w:r>
      <w:r w:rsidR="00531E97" w:rsidRPr="00724D02">
        <w:rPr>
          <w:rFonts w:eastAsia="Times New Roman"/>
          <w:sz w:val="20"/>
          <w:szCs w:val="20"/>
        </w:rPr>
        <w:t>skills</w:t>
      </w:r>
      <w:r w:rsidRPr="00724D02">
        <w:rPr>
          <w:rFonts w:eastAsia="Times New Roman"/>
          <w:sz w:val="20"/>
          <w:szCs w:val="20"/>
        </w:rPr>
        <w:t xml:space="preserve"> </w:t>
      </w:r>
      <w:r w:rsidR="00531E97" w:rsidRPr="00724D02">
        <w:rPr>
          <w:rFonts w:eastAsia="Times New Roman"/>
          <w:sz w:val="20"/>
          <w:szCs w:val="20"/>
        </w:rPr>
        <w:t>who enjoy</w:t>
      </w:r>
      <w:r w:rsidRPr="00724D02">
        <w:rPr>
          <w:rFonts w:eastAsia="Times New Roman"/>
          <w:sz w:val="20"/>
          <w:szCs w:val="20"/>
        </w:rPr>
        <w:t xml:space="preserve"> different socio-economic benefits.</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This paper utilises Ragnedda’s framework to establish a mechanism to convert digital capital into socio-economic capital. Digital capital is valuable only if it can be converted into other forms of capital, namely, social and economic capital. Economic capital refers to financial benefits women can make out of digital skills like managing WhatsApp, content creation on social media, etc. On the other hand, Social capital includes building a professional network, ascending the ladder of leadership that was previously inaccessible due to physical isolation, through the utilisation of digital networks</w:t>
      </w:r>
      <w:r w:rsidR="00531E97" w:rsidRPr="00724D02">
        <w:rPr>
          <w:rFonts w:eastAsia="Times New Roman"/>
          <w:sz w:val="20"/>
          <w:szCs w:val="20"/>
        </w:rPr>
        <w:t>.</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study argues that Digital Entrepreneurship is the engine of converting digital capital into socio-economic capital. It allows South Indian women, who have intermediate to high-level </w:t>
      </w:r>
      <w:r w:rsidRPr="00724D02">
        <w:rPr>
          <w:rFonts w:eastAsia="Times New Roman"/>
          <w:sz w:val="20"/>
          <w:szCs w:val="20"/>
        </w:rPr>
        <w:lastRenderedPageBreak/>
        <w:t>education, to bypass the lack of traditional jobs by accumulating and leveraging Digital capital. They can establish an alternative space for production in the comfort of their home, and the digital platforms facilitate the conversion of digital skills into socio-economic empowerment.</w:t>
      </w:r>
    </w:p>
    <w:p w:rsidR="00724D02" w:rsidRPr="00724D02" w:rsidRDefault="00724D02" w:rsidP="00724D02">
      <w:pPr>
        <w:spacing w:line="240" w:lineRule="auto"/>
        <w:jc w:val="both"/>
        <w:rPr>
          <w:rFonts w:eastAsia="Times New Roman"/>
          <w:sz w:val="20"/>
          <w:szCs w:val="20"/>
        </w:rPr>
      </w:pPr>
    </w:p>
    <w:p w:rsidR="00B16EDE" w:rsidRDefault="00724D02" w:rsidP="00724D02">
      <w:pPr>
        <w:spacing w:line="240" w:lineRule="auto"/>
        <w:jc w:val="both"/>
        <w:rPr>
          <w:rFonts w:eastAsia="Times New Roman"/>
          <w:b/>
          <w:bCs/>
          <w:szCs w:val="20"/>
        </w:rPr>
      </w:pPr>
      <w:r w:rsidRPr="00724D02">
        <w:rPr>
          <w:rFonts w:eastAsia="Times New Roman"/>
          <w:b/>
          <w:bCs/>
          <w:szCs w:val="20"/>
        </w:rPr>
        <w:t xml:space="preserve">2. METHODOLOGY </w:t>
      </w:r>
    </w:p>
    <w:p w:rsidR="00331AF8" w:rsidRPr="00724D02" w:rsidRDefault="00331AF8" w:rsidP="00724D02">
      <w:pPr>
        <w:spacing w:line="240" w:lineRule="auto"/>
        <w:jc w:val="both"/>
        <w:rPr>
          <w:rFonts w:eastAsia="Times New Roman"/>
          <w:b/>
          <w:bCs/>
          <w:szCs w:val="20"/>
        </w:rPr>
      </w:pPr>
    </w:p>
    <w:p w:rsidR="00EC4E7C" w:rsidRDefault="00F84B8F" w:rsidP="00724D02">
      <w:pPr>
        <w:spacing w:line="240" w:lineRule="auto"/>
        <w:jc w:val="both"/>
        <w:rPr>
          <w:rFonts w:eastAsia="Times New Roman"/>
          <w:color w:val="000000"/>
          <w:sz w:val="20"/>
          <w:szCs w:val="20"/>
        </w:rPr>
      </w:pPr>
      <w:r w:rsidRPr="00724D02">
        <w:rPr>
          <w:rFonts w:eastAsia="Times New Roman"/>
          <w:sz w:val="20"/>
          <w:szCs w:val="20"/>
        </w:rPr>
        <w:t xml:space="preserve">To </w:t>
      </w:r>
      <w:r w:rsidR="004F61BA">
        <w:rPr>
          <w:rFonts w:eastAsia="Times New Roman"/>
          <w:sz w:val="20"/>
          <w:szCs w:val="20"/>
        </w:rPr>
        <w:t>explore</w:t>
      </w:r>
      <w:r w:rsidRPr="00724D02">
        <w:rPr>
          <w:rFonts w:eastAsia="Times New Roman"/>
          <w:sz w:val="20"/>
          <w:szCs w:val="20"/>
        </w:rPr>
        <w:t xml:space="preserve"> the proposed conceptual framework that digital entrepreneurship can change the future of work of South Indian women, the </w:t>
      </w:r>
      <w:r w:rsidR="004F61BA">
        <w:rPr>
          <w:rFonts w:eastAsia="Times New Roman"/>
          <w:sz w:val="20"/>
          <w:szCs w:val="20"/>
        </w:rPr>
        <w:t>study</w:t>
      </w:r>
      <w:r w:rsidRPr="00724D02">
        <w:rPr>
          <w:rFonts w:eastAsia="Times New Roman"/>
          <w:sz w:val="20"/>
          <w:szCs w:val="20"/>
        </w:rPr>
        <w:t xml:space="preserve"> employs a descriptive research design based on secondary data. </w:t>
      </w:r>
      <w:r w:rsidRPr="00724D02">
        <w:rPr>
          <w:rFonts w:eastAsia="Times New Roman"/>
          <w:color w:val="000000"/>
          <w:sz w:val="20"/>
          <w:szCs w:val="20"/>
        </w:rPr>
        <w:t xml:space="preserve">This approach is crucial because the rapid changes in the digital landscape necessitate the breadth of macro-level datasets to accurately identify both regional trends and structural contradictions. </w:t>
      </w:r>
    </w:p>
    <w:p w:rsidR="00724D02" w:rsidRPr="00724D02" w:rsidRDefault="00724D02" w:rsidP="00724D02">
      <w:pPr>
        <w:spacing w:line="240" w:lineRule="auto"/>
        <w:jc w:val="both"/>
        <w:rPr>
          <w:rFonts w:eastAsia="Times New Roman"/>
          <w:color w:val="000000"/>
          <w:sz w:val="20"/>
          <w:szCs w:val="20"/>
        </w:rPr>
      </w:pPr>
    </w:p>
    <w:p w:rsidR="004F61BA" w:rsidRDefault="00F84B8F" w:rsidP="004F61BA">
      <w:pPr>
        <w:spacing w:line="240" w:lineRule="auto"/>
        <w:jc w:val="both"/>
        <w:rPr>
          <w:rFonts w:eastAsia="Times New Roman"/>
          <w:sz w:val="20"/>
          <w:szCs w:val="20"/>
        </w:rPr>
      </w:pPr>
      <w:r w:rsidRPr="00724D02">
        <w:rPr>
          <w:rFonts w:eastAsia="Times New Roman"/>
          <w:sz w:val="20"/>
          <w:szCs w:val="20"/>
        </w:rPr>
        <w:t xml:space="preserve">The analysis uses data from three primary sources to map the intersection of gender, </w:t>
      </w:r>
      <w:r w:rsidR="00B2281F" w:rsidRPr="00724D02">
        <w:rPr>
          <w:rFonts w:eastAsia="Times New Roman"/>
          <w:sz w:val="20"/>
          <w:szCs w:val="20"/>
        </w:rPr>
        <w:t>employment</w:t>
      </w:r>
      <w:r w:rsidRPr="00724D02">
        <w:rPr>
          <w:rFonts w:eastAsia="Times New Roman"/>
          <w:sz w:val="20"/>
          <w:szCs w:val="20"/>
        </w:rPr>
        <w:t xml:space="preserve"> and digital access across the five target states of Tamil Nadu, Kerala, Karnataka, Andhra Pradesh and Telangana. The data on Female Labour Force Participation Rates (FLFPR) and the nature of women's employment </w:t>
      </w:r>
      <w:r w:rsidR="00531E97" w:rsidRPr="00724D02">
        <w:rPr>
          <w:rFonts w:eastAsia="Times New Roman"/>
          <w:sz w:val="20"/>
          <w:szCs w:val="20"/>
        </w:rPr>
        <w:t>are</w:t>
      </w:r>
      <w:r w:rsidRPr="00724D02">
        <w:rPr>
          <w:rFonts w:eastAsia="Times New Roman"/>
          <w:sz w:val="20"/>
          <w:szCs w:val="20"/>
        </w:rPr>
        <w:t xml:space="preserve"> taken from the Periodic Labour Force Survey (</w:t>
      </w:r>
      <w:r w:rsidR="00264DED" w:rsidRPr="00264DED">
        <w:rPr>
          <w:rFonts w:eastAsia="Times New Roman"/>
          <w:sz w:val="20"/>
          <w:szCs w:val="20"/>
        </w:rPr>
        <w:t>PLFS, 2024-2025</w:t>
      </w:r>
      <w:r w:rsidRPr="00724D02">
        <w:rPr>
          <w:rFonts w:eastAsia="Times New Roman"/>
          <w:sz w:val="20"/>
          <w:szCs w:val="20"/>
        </w:rPr>
        <w:t xml:space="preserve">). </w:t>
      </w:r>
      <w:r w:rsidR="004F61BA" w:rsidRPr="004F61BA">
        <w:rPr>
          <w:rFonts w:eastAsia="Times New Roman"/>
          <w:sz w:val="20"/>
          <w:szCs w:val="20"/>
        </w:rPr>
        <w:t>Indicators were specifically chosen to align with Ragnedda's three levels of digital capital:</w:t>
      </w:r>
    </w:p>
    <w:p w:rsidR="00B55089" w:rsidRPr="004F61BA" w:rsidRDefault="00B55089" w:rsidP="004F61BA">
      <w:pPr>
        <w:spacing w:line="240" w:lineRule="auto"/>
        <w:jc w:val="both"/>
        <w:rPr>
          <w:rFonts w:eastAsia="Times New Roman"/>
          <w:sz w:val="20"/>
          <w:szCs w:val="20"/>
        </w:rPr>
      </w:pPr>
    </w:p>
    <w:p w:rsidR="004F61BA" w:rsidRDefault="004F61BA" w:rsidP="00B55089">
      <w:pPr>
        <w:pStyle w:val="ListParagraph"/>
        <w:numPr>
          <w:ilvl w:val="0"/>
          <w:numId w:val="7"/>
        </w:numPr>
        <w:spacing w:line="240" w:lineRule="auto"/>
        <w:jc w:val="both"/>
        <w:rPr>
          <w:rFonts w:eastAsia="Times New Roman"/>
          <w:sz w:val="20"/>
          <w:szCs w:val="20"/>
        </w:rPr>
      </w:pPr>
      <w:r>
        <w:rPr>
          <w:rFonts w:eastAsia="Times New Roman"/>
          <w:sz w:val="20"/>
          <w:szCs w:val="20"/>
        </w:rPr>
        <w:t>Level 1 (Physical Access</w:t>
      </w:r>
      <w:r w:rsidRPr="004F61BA">
        <w:rPr>
          <w:rFonts w:eastAsia="Times New Roman"/>
          <w:sz w:val="20"/>
          <w:szCs w:val="20"/>
        </w:rPr>
        <w:t xml:space="preserve">): </w:t>
      </w:r>
      <w:r w:rsidR="00B55089" w:rsidRPr="00B55089">
        <w:rPr>
          <w:rFonts w:eastAsia="Times New Roman"/>
          <w:sz w:val="20"/>
          <w:szCs w:val="20"/>
        </w:rPr>
        <w:t>Measured</w:t>
      </w:r>
      <w:r w:rsidR="00B55089">
        <w:rPr>
          <w:rFonts w:eastAsia="Times New Roman"/>
          <w:sz w:val="20"/>
          <w:szCs w:val="20"/>
        </w:rPr>
        <w:t xml:space="preserve"> using the female </w:t>
      </w:r>
      <w:r w:rsidRPr="004F61BA">
        <w:rPr>
          <w:rFonts w:eastAsia="Times New Roman"/>
          <w:sz w:val="20"/>
          <w:szCs w:val="20"/>
        </w:rPr>
        <w:t>mobil</w:t>
      </w:r>
      <w:r w:rsidR="00B55089">
        <w:rPr>
          <w:rFonts w:eastAsia="Times New Roman"/>
          <w:sz w:val="20"/>
          <w:szCs w:val="20"/>
        </w:rPr>
        <w:t xml:space="preserve">e </w:t>
      </w:r>
      <w:r w:rsidR="00264DED">
        <w:rPr>
          <w:rFonts w:eastAsia="Times New Roman"/>
          <w:sz w:val="20"/>
          <w:szCs w:val="20"/>
        </w:rPr>
        <w:t>phone ownership</w:t>
      </w:r>
      <w:r w:rsidR="00F455B5">
        <w:rPr>
          <w:rFonts w:eastAsia="Times New Roman"/>
          <w:sz w:val="20"/>
          <w:szCs w:val="20"/>
        </w:rPr>
        <w:t xml:space="preserve"> from</w:t>
      </w:r>
      <w:r w:rsidRPr="004F61BA">
        <w:rPr>
          <w:rFonts w:eastAsia="Times New Roman"/>
          <w:sz w:val="20"/>
          <w:szCs w:val="20"/>
        </w:rPr>
        <w:t xml:space="preserve"> the National Family Hea</w:t>
      </w:r>
      <w:r>
        <w:rPr>
          <w:rFonts w:eastAsia="Times New Roman"/>
          <w:sz w:val="20"/>
          <w:szCs w:val="20"/>
        </w:rPr>
        <w:t>lth Survey (NHFS-5, 2019-2021).</w:t>
      </w:r>
    </w:p>
    <w:p w:rsidR="004F61BA" w:rsidRPr="004F61BA" w:rsidRDefault="004F61BA" w:rsidP="004F61BA">
      <w:pPr>
        <w:pStyle w:val="ListParagraph"/>
        <w:numPr>
          <w:ilvl w:val="0"/>
          <w:numId w:val="7"/>
        </w:numPr>
        <w:spacing w:line="240" w:lineRule="auto"/>
        <w:jc w:val="both"/>
        <w:rPr>
          <w:rFonts w:eastAsia="Times New Roman"/>
          <w:sz w:val="20"/>
          <w:szCs w:val="20"/>
        </w:rPr>
      </w:pPr>
      <w:r w:rsidRPr="004F61BA">
        <w:rPr>
          <w:rFonts w:eastAsia="Times New Roman"/>
          <w:sz w:val="20"/>
          <w:szCs w:val="20"/>
        </w:rPr>
        <w:t>Level 2 (Usages &amp; Skills): Assessed by the proportion of women who use the internet and education (10+ years of schooling)</w:t>
      </w:r>
      <w:r w:rsidR="00F455B5">
        <w:rPr>
          <w:rFonts w:eastAsia="Times New Roman"/>
          <w:sz w:val="20"/>
          <w:szCs w:val="20"/>
        </w:rPr>
        <w:t>,</w:t>
      </w:r>
      <w:r w:rsidRPr="004F61BA">
        <w:rPr>
          <w:rFonts w:eastAsia="Times New Roman"/>
          <w:sz w:val="20"/>
          <w:szCs w:val="20"/>
        </w:rPr>
        <w:t xml:space="preserve"> measured as NFHS-5.</w:t>
      </w:r>
    </w:p>
    <w:p w:rsidR="004F61BA" w:rsidRDefault="004F61BA" w:rsidP="00B55089">
      <w:pPr>
        <w:pStyle w:val="ListParagraph"/>
        <w:numPr>
          <w:ilvl w:val="0"/>
          <w:numId w:val="7"/>
        </w:numPr>
        <w:spacing w:line="240" w:lineRule="auto"/>
        <w:jc w:val="both"/>
        <w:rPr>
          <w:rFonts w:eastAsia="Times New Roman"/>
          <w:sz w:val="20"/>
          <w:szCs w:val="20"/>
        </w:rPr>
      </w:pPr>
      <w:r w:rsidRPr="00B55089">
        <w:rPr>
          <w:rFonts w:eastAsia="Times New Roman"/>
          <w:sz w:val="20"/>
          <w:szCs w:val="20"/>
        </w:rPr>
        <w:t xml:space="preserve">Level 3 (Tangible Outcomes): </w:t>
      </w:r>
      <w:r w:rsidR="00B55089" w:rsidRPr="00B55089">
        <w:rPr>
          <w:rFonts w:eastAsia="Times New Roman"/>
          <w:sz w:val="20"/>
          <w:szCs w:val="20"/>
        </w:rPr>
        <w:t>Measured via</w:t>
      </w:r>
      <w:r w:rsidR="00B55089">
        <w:rPr>
          <w:rFonts w:eastAsia="Times New Roman"/>
          <w:sz w:val="20"/>
          <w:szCs w:val="20"/>
        </w:rPr>
        <w:t xml:space="preserve"> </w:t>
      </w:r>
      <w:r w:rsidRPr="00B55089">
        <w:rPr>
          <w:rFonts w:eastAsia="Times New Roman"/>
          <w:sz w:val="20"/>
          <w:szCs w:val="20"/>
        </w:rPr>
        <w:t xml:space="preserve">Female Labour Force Participation Rates (FLFPR) </w:t>
      </w:r>
      <w:r w:rsidR="00B55089" w:rsidRPr="00B55089">
        <w:rPr>
          <w:rFonts w:eastAsia="Times New Roman"/>
          <w:sz w:val="20"/>
          <w:szCs w:val="20"/>
        </w:rPr>
        <w:t>obtained from</w:t>
      </w:r>
      <w:r w:rsidR="00B55089">
        <w:rPr>
          <w:rFonts w:eastAsia="Times New Roman"/>
          <w:sz w:val="20"/>
          <w:szCs w:val="20"/>
        </w:rPr>
        <w:t xml:space="preserve"> </w:t>
      </w:r>
      <w:r w:rsidRPr="00B55089">
        <w:rPr>
          <w:rFonts w:eastAsia="Times New Roman"/>
          <w:sz w:val="20"/>
          <w:szCs w:val="20"/>
        </w:rPr>
        <w:t>Periodic Labour Force Survey (PLFS, 2024-2025).</w:t>
      </w:r>
    </w:p>
    <w:p w:rsidR="00B55089" w:rsidRPr="00B55089" w:rsidRDefault="00B55089" w:rsidP="00B55089">
      <w:pPr>
        <w:pStyle w:val="ListParagraph"/>
        <w:spacing w:line="240" w:lineRule="auto"/>
        <w:jc w:val="both"/>
        <w:rPr>
          <w:rFonts w:eastAsia="Times New Roman"/>
          <w:sz w:val="20"/>
          <w:szCs w:val="20"/>
        </w:rPr>
      </w:pPr>
    </w:p>
    <w:p w:rsidR="00EC4E7C" w:rsidRDefault="004F61BA" w:rsidP="004F61BA">
      <w:pPr>
        <w:spacing w:line="240" w:lineRule="auto"/>
        <w:jc w:val="both"/>
        <w:rPr>
          <w:rFonts w:eastAsia="Times New Roman"/>
          <w:sz w:val="20"/>
          <w:szCs w:val="20"/>
        </w:rPr>
      </w:pPr>
      <w:r w:rsidRPr="004F61BA">
        <w:rPr>
          <w:rFonts w:eastAsia="Times New Roman"/>
          <w:sz w:val="20"/>
          <w:szCs w:val="20"/>
        </w:rPr>
        <w:t xml:space="preserve">In addition, literature from similar studies by peer-reviewed authors and the GSMA Mobile Gender Gap Report 2024 and Bain &amp; Company (2020) </w:t>
      </w:r>
      <w:r w:rsidR="00B55089" w:rsidRPr="00B55089">
        <w:rPr>
          <w:rFonts w:eastAsia="Times New Roman"/>
          <w:sz w:val="20"/>
          <w:szCs w:val="20"/>
        </w:rPr>
        <w:t>are used to contextualise the digital economy.</w:t>
      </w:r>
    </w:p>
    <w:p w:rsidR="00724D02" w:rsidRPr="00724D02" w:rsidRDefault="00724D02" w:rsidP="00724D02">
      <w:pPr>
        <w:spacing w:line="240" w:lineRule="auto"/>
        <w:jc w:val="both"/>
        <w:rPr>
          <w:rFonts w:eastAsia="Times New Roman"/>
          <w:sz w:val="20"/>
          <w:szCs w:val="20"/>
        </w:rPr>
      </w:pPr>
    </w:p>
    <w:p w:rsidR="00EC4E7C" w:rsidRDefault="00724D02" w:rsidP="00724D02">
      <w:pPr>
        <w:spacing w:line="240" w:lineRule="auto"/>
        <w:jc w:val="both"/>
        <w:rPr>
          <w:rFonts w:eastAsia="Times New Roman"/>
          <w:b/>
          <w:bCs/>
          <w:szCs w:val="20"/>
        </w:rPr>
      </w:pPr>
      <w:r w:rsidRPr="00724D02">
        <w:rPr>
          <w:rFonts w:eastAsia="Times New Roman"/>
          <w:b/>
          <w:bCs/>
          <w:szCs w:val="20"/>
        </w:rPr>
        <w:t>3. RESULTS AND DISCUSSIONS</w:t>
      </w:r>
    </w:p>
    <w:p w:rsidR="00364472" w:rsidRDefault="00364472" w:rsidP="00724D02">
      <w:pPr>
        <w:spacing w:line="240" w:lineRule="auto"/>
        <w:jc w:val="both"/>
        <w:rPr>
          <w:rFonts w:eastAsia="Times New Roman"/>
          <w:b/>
          <w:bCs/>
          <w:szCs w:val="20"/>
        </w:rPr>
      </w:pPr>
    </w:p>
    <w:p w:rsidR="00364472" w:rsidRPr="00364472" w:rsidRDefault="00364472" w:rsidP="00724D02">
      <w:pPr>
        <w:spacing w:line="240" w:lineRule="auto"/>
        <w:jc w:val="both"/>
        <w:rPr>
          <w:rFonts w:eastAsia="Times New Roman"/>
          <w:bCs/>
          <w:sz w:val="20"/>
          <w:szCs w:val="20"/>
        </w:rPr>
      </w:pPr>
      <w:r w:rsidRPr="00364472">
        <w:rPr>
          <w:rFonts w:eastAsia="Times New Roman"/>
          <w:bCs/>
          <w:sz w:val="20"/>
          <w:szCs w:val="20"/>
        </w:rPr>
        <w:t>To understand the regional disparities in digital capital convertibility across South India, a macro-level comparison of the five target states was conducted. Table 1 presents the intersection of education, physical digital access, digital usage, and the resulting female labour force participation.</w:t>
      </w:r>
    </w:p>
    <w:p w:rsidR="00B55089" w:rsidRDefault="00B55089" w:rsidP="00724D02">
      <w:pPr>
        <w:spacing w:line="240" w:lineRule="auto"/>
        <w:jc w:val="both"/>
        <w:rPr>
          <w:rFonts w:eastAsia="Times New Roman"/>
          <w:b/>
          <w:bCs/>
          <w:szCs w:val="20"/>
        </w:rPr>
      </w:pPr>
    </w:p>
    <w:p w:rsidR="00B55089" w:rsidRDefault="00B55089" w:rsidP="00B55089">
      <w:pPr>
        <w:spacing w:line="240" w:lineRule="auto"/>
        <w:jc w:val="center"/>
        <w:rPr>
          <w:rFonts w:eastAsia="Times New Roman"/>
          <w:b/>
          <w:bCs/>
          <w:sz w:val="20"/>
          <w:szCs w:val="20"/>
        </w:rPr>
      </w:pPr>
      <w:r w:rsidRPr="00724D02">
        <w:rPr>
          <w:rFonts w:eastAsia="Times New Roman"/>
          <w:b/>
          <w:bCs/>
          <w:sz w:val="20"/>
          <w:szCs w:val="20"/>
        </w:rPr>
        <w:t xml:space="preserve">Table 1: </w:t>
      </w:r>
      <w:r w:rsidR="00364472" w:rsidRPr="00364472">
        <w:rPr>
          <w:rFonts w:eastAsia="Times New Roman"/>
          <w:b/>
          <w:bCs/>
          <w:sz w:val="20"/>
          <w:szCs w:val="20"/>
        </w:rPr>
        <w:t>Comparative Analysis of Digital Capital and Female Labour Force Participation Indicators across South Indian States</w:t>
      </w:r>
    </w:p>
    <w:p w:rsidR="00B55089" w:rsidRDefault="00B55089" w:rsidP="00B55089">
      <w:pPr>
        <w:spacing w:line="240" w:lineRule="auto"/>
        <w:jc w:val="center"/>
        <w:rPr>
          <w:rFonts w:eastAsia="Times New Roman"/>
          <w:b/>
          <w:bCs/>
          <w:sz w:val="20"/>
          <w:szCs w:val="20"/>
        </w:rPr>
      </w:pP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79"/>
        <w:gridCol w:w="1183"/>
        <w:gridCol w:w="1501"/>
        <w:gridCol w:w="1482"/>
        <w:gridCol w:w="1963"/>
      </w:tblGrid>
      <w:tr w:rsidR="00B55089" w:rsidRPr="00DC3180" w:rsidTr="005A719F">
        <w:trPr>
          <w:jc w:val="center"/>
        </w:trPr>
        <w:tc>
          <w:tcPr>
            <w:tcW w:w="2079"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sz w:val="20"/>
                <w:szCs w:val="20"/>
              </w:rPr>
              <w:t>State</w:t>
            </w:r>
          </w:p>
        </w:tc>
        <w:tc>
          <w:tcPr>
            <w:tcW w:w="1183"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Education</w:t>
            </w:r>
            <w:r w:rsidRPr="00724D02">
              <w:rPr>
                <w:rFonts w:eastAsia="Times New Roman"/>
                <w:sz w:val="20"/>
                <w:szCs w:val="20"/>
              </w:rPr>
              <w:t xml:space="preserve"> </w:t>
            </w:r>
            <w:r w:rsidRPr="00724D02">
              <w:rPr>
                <w:rFonts w:eastAsia="Times New Roman"/>
                <w:i/>
                <w:iCs/>
                <w:sz w:val="20"/>
                <w:szCs w:val="20"/>
              </w:rPr>
              <w:t>(Women 10+ Years Schooling)</w:t>
            </w:r>
          </w:p>
        </w:tc>
        <w:tc>
          <w:tcPr>
            <w:tcW w:w="1501"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Digital Access</w:t>
            </w:r>
            <w:r w:rsidRPr="00724D02">
              <w:rPr>
                <w:rFonts w:eastAsia="Times New Roman"/>
                <w:sz w:val="20"/>
                <w:szCs w:val="20"/>
              </w:rPr>
              <w:t xml:space="preserve"> </w:t>
            </w:r>
            <w:r w:rsidRPr="00724D02">
              <w:rPr>
                <w:rFonts w:eastAsia="Times New Roman"/>
                <w:i/>
                <w:iCs/>
                <w:sz w:val="20"/>
                <w:szCs w:val="20"/>
              </w:rPr>
              <w:t>(Women Mobile Ownership)</w:t>
            </w:r>
          </w:p>
        </w:tc>
        <w:tc>
          <w:tcPr>
            <w:tcW w:w="1482"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 xml:space="preserve">Digital Usage </w:t>
            </w:r>
            <w:r w:rsidRPr="00724D02">
              <w:rPr>
                <w:rFonts w:eastAsia="Times New Roman"/>
                <w:i/>
                <w:iCs/>
                <w:sz w:val="20"/>
                <w:szCs w:val="20"/>
              </w:rPr>
              <w:t>(Have Women Ever Used the Internet?)</w:t>
            </w:r>
          </w:p>
        </w:tc>
        <w:tc>
          <w:tcPr>
            <w:tcW w:w="1963"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Labour Participation</w:t>
            </w:r>
            <w:r w:rsidRPr="00724D02">
              <w:rPr>
                <w:rFonts w:eastAsia="Times New Roman"/>
                <w:sz w:val="20"/>
                <w:szCs w:val="20"/>
              </w:rPr>
              <w:t xml:space="preserve"> </w:t>
            </w:r>
            <w:r w:rsidRPr="00724D02">
              <w:rPr>
                <w:rFonts w:eastAsia="Times New Roman"/>
                <w:i/>
                <w:iCs/>
                <w:sz w:val="20"/>
                <w:szCs w:val="20"/>
              </w:rPr>
              <w:t>(Female LFPR - PLFS 2025)</w:t>
            </w:r>
          </w:p>
        </w:tc>
      </w:tr>
      <w:tr w:rsidR="00B55089" w:rsidRPr="00DC3180" w:rsidTr="005A719F">
        <w:trPr>
          <w:trHeight w:val="20"/>
          <w:jc w:val="center"/>
        </w:trPr>
        <w:tc>
          <w:tcPr>
            <w:tcW w:w="2079"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Kerala</w:t>
            </w:r>
          </w:p>
        </w:tc>
        <w:tc>
          <w:tcPr>
            <w:tcW w:w="1183"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77.0%</w:t>
            </w:r>
            <w:r w:rsidRPr="00724D02">
              <w:rPr>
                <w:rFonts w:eastAsia="Times New Roman"/>
                <w:sz w:val="20"/>
                <w:szCs w:val="20"/>
              </w:rPr>
              <w:t xml:space="preserve"> </w:t>
            </w:r>
          </w:p>
        </w:tc>
        <w:tc>
          <w:tcPr>
            <w:tcW w:w="1501"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86.6%</w:t>
            </w:r>
            <w:r w:rsidRPr="00724D02">
              <w:rPr>
                <w:rFonts w:eastAsia="Times New Roman"/>
                <w:sz w:val="20"/>
                <w:szCs w:val="20"/>
              </w:rPr>
              <w:t xml:space="preserve"> </w:t>
            </w:r>
          </w:p>
        </w:tc>
        <w:tc>
          <w:tcPr>
            <w:tcW w:w="1482"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61.1%</w:t>
            </w:r>
          </w:p>
        </w:tc>
        <w:tc>
          <w:tcPr>
            <w:tcW w:w="1963"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31.2%</w:t>
            </w:r>
          </w:p>
        </w:tc>
      </w:tr>
      <w:tr w:rsidR="00B55089" w:rsidRPr="00DC3180" w:rsidTr="005A719F">
        <w:trPr>
          <w:trHeight w:val="20"/>
          <w:jc w:val="center"/>
        </w:trPr>
        <w:tc>
          <w:tcPr>
            <w:tcW w:w="2079"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Tamil Nadu</w:t>
            </w:r>
          </w:p>
        </w:tc>
        <w:tc>
          <w:tcPr>
            <w:tcW w:w="118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56.6%</w:t>
            </w:r>
          </w:p>
        </w:tc>
        <w:tc>
          <w:tcPr>
            <w:tcW w:w="1501"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74.6%</w:t>
            </w:r>
          </w:p>
        </w:tc>
        <w:tc>
          <w:tcPr>
            <w:tcW w:w="1482"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46.9%</w:t>
            </w:r>
          </w:p>
        </w:tc>
        <w:tc>
          <w:tcPr>
            <w:tcW w:w="196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40.8%</w:t>
            </w:r>
          </w:p>
        </w:tc>
      </w:tr>
      <w:tr w:rsidR="00B55089" w:rsidRPr="00DC3180" w:rsidTr="005A719F">
        <w:trPr>
          <w:trHeight w:val="20"/>
          <w:jc w:val="center"/>
        </w:trPr>
        <w:tc>
          <w:tcPr>
            <w:tcW w:w="2079"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Telangana</w:t>
            </w:r>
          </w:p>
        </w:tc>
        <w:tc>
          <w:tcPr>
            <w:tcW w:w="118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45.5%</w:t>
            </w:r>
          </w:p>
        </w:tc>
        <w:tc>
          <w:tcPr>
            <w:tcW w:w="1501"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60.1%</w:t>
            </w:r>
          </w:p>
        </w:tc>
        <w:tc>
          <w:tcPr>
            <w:tcW w:w="1482"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26.5%</w:t>
            </w:r>
          </w:p>
        </w:tc>
        <w:tc>
          <w:tcPr>
            <w:tcW w:w="196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43.1%</w:t>
            </w:r>
            <w:r w:rsidRPr="00724D02">
              <w:rPr>
                <w:rFonts w:eastAsia="Times New Roman"/>
                <w:sz w:val="20"/>
                <w:szCs w:val="20"/>
              </w:rPr>
              <w:t xml:space="preserve"> </w:t>
            </w:r>
          </w:p>
        </w:tc>
      </w:tr>
      <w:tr w:rsidR="00B55089" w:rsidRPr="00DC3180" w:rsidTr="005A719F">
        <w:trPr>
          <w:trHeight w:val="20"/>
          <w:jc w:val="center"/>
        </w:trPr>
        <w:tc>
          <w:tcPr>
            <w:tcW w:w="2079"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Karnataka</w:t>
            </w:r>
          </w:p>
        </w:tc>
        <w:tc>
          <w:tcPr>
            <w:tcW w:w="118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50.2%</w:t>
            </w:r>
          </w:p>
        </w:tc>
        <w:tc>
          <w:tcPr>
            <w:tcW w:w="1501"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61.8%</w:t>
            </w:r>
          </w:p>
        </w:tc>
        <w:tc>
          <w:tcPr>
            <w:tcW w:w="1482"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35.0%</w:t>
            </w:r>
          </w:p>
        </w:tc>
        <w:tc>
          <w:tcPr>
            <w:tcW w:w="196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37.2%</w:t>
            </w:r>
          </w:p>
        </w:tc>
      </w:tr>
      <w:tr w:rsidR="00B55089" w:rsidRPr="00DC3180" w:rsidTr="005A719F">
        <w:trPr>
          <w:trHeight w:val="20"/>
          <w:jc w:val="center"/>
        </w:trPr>
        <w:tc>
          <w:tcPr>
            <w:tcW w:w="2079"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Andhra Pradesh</w:t>
            </w:r>
          </w:p>
        </w:tc>
        <w:tc>
          <w:tcPr>
            <w:tcW w:w="1183"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 xml:space="preserve">39.6% </w:t>
            </w:r>
          </w:p>
        </w:tc>
        <w:tc>
          <w:tcPr>
            <w:tcW w:w="1501"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48.7%</w:t>
            </w:r>
          </w:p>
        </w:tc>
        <w:tc>
          <w:tcPr>
            <w:tcW w:w="1482"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21.0%</w:t>
            </w:r>
          </w:p>
        </w:tc>
        <w:tc>
          <w:tcPr>
            <w:tcW w:w="1963"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39.5%</w:t>
            </w:r>
          </w:p>
        </w:tc>
      </w:tr>
    </w:tbl>
    <w:p w:rsidR="00B55089" w:rsidRDefault="00B55089" w:rsidP="00B55089">
      <w:pPr>
        <w:spacing w:line="240" w:lineRule="auto"/>
        <w:rPr>
          <w:rFonts w:eastAsia="Times New Roman"/>
          <w:i/>
          <w:iCs/>
          <w:sz w:val="20"/>
          <w:szCs w:val="20"/>
        </w:rPr>
      </w:pPr>
      <w:r w:rsidRPr="00724D02">
        <w:rPr>
          <w:rFonts w:eastAsia="Times New Roman"/>
          <w:i/>
          <w:iCs/>
          <w:sz w:val="20"/>
          <w:szCs w:val="20"/>
        </w:rPr>
        <w:t xml:space="preserve">(Source: </w:t>
      </w:r>
      <w:r w:rsidR="00364472" w:rsidRPr="00364472">
        <w:rPr>
          <w:rFonts w:eastAsia="Times New Roman"/>
          <w:i/>
          <w:iCs/>
          <w:sz w:val="20"/>
          <w:szCs w:val="20"/>
        </w:rPr>
        <w:t>Compiled by authors using data from NFHS-5 [2019-2021] and PLFS [2024-2025</w:t>
      </w:r>
      <w:r w:rsidR="00364472">
        <w:rPr>
          <w:rFonts w:eastAsia="Times New Roman"/>
          <w:i/>
          <w:iCs/>
          <w:sz w:val="20"/>
          <w:szCs w:val="20"/>
        </w:rPr>
        <w:t>]</w:t>
      </w:r>
      <w:r w:rsidRPr="00724D02">
        <w:rPr>
          <w:rFonts w:eastAsia="Times New Roman"/>
          <w:i/>
          <w:iCs/>
          <w:sz w:val="20"/>
          <w:szCs w:val="20"/>
        </w:rPr>
        <w:t>)</w:t>
      </w:r>
    </w:p>
    <w:p w:rsidR="00B55089" w:rsidRPr="00724D02" w:rsidRDefault="00B55089" w:rsidP="00B55089">
      <w:pPr>
        <w:spacing w:line="240" w:lineRule="auto"/>
        <w:rPr>
          <w:rFonts w:eastAsia="Times New Roman"/>
          <w:i/>
          <w:iCs/>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lastRenderedPageBreak/>
        <w:t xml:space="preserve">Table 1 presents a comparative analysis of the South Indian Paradox, revealing significant intra-regional disparities. Kerala exhibits the highest endowments of both internalised ability and externalised resources. 77% of education, 86.6% of women's mobile ownership and 61.1% of internet usage are the highest among the South Indian states. Theoretically, high digital access and usage should correlate with high economic outcomes, but female labour participation is lowest at 31.2%, which indicates a failure of Ragnedda’s third tier of digital divide. Women possess digital capital, but face structural constraints in converting it into economic capital. </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 xml:space="preserve">Recent literature substantiates these constraints as a triad of economic, sociological, and institutional barriers. </w:t>
      </w:r>
      <w:proofErr w:type="spellStart"/>
      <w:r w:rsidRPr="00724D02">
        <w:rPr>
          <w:rFonts w:eastAsia="Times New Roman"/>
          <w:sz w:val="20"/>
          <w:szCs w:val="20"/>
        </w:rPr>
        <w:t>Dhanuraj</w:t>
      </w:r>
      <w:proofErr w:type="spellEnd"/>
      <w:r w:rsidRPr="00724D02">
        <w:rPr>
          <w:rFonts w:eastAsia="Times New Roman"/>
          <w:sz w:val="20"/>
          <w:szCs w:val="20"/>
        </w:rPr>
        <w:t xml:space="preserve"> and Solomon (2024) identify the economic constraints as Kerala’s reliance on remittances. The increase in household income from migration allows families to purchase the seclusion of women. </w:t>
      </w:r>
      <w:proofErr w:type="spellStart"/>
      <w:r w:rsidRPr="00724D02">
        <w:rPr>
          <w:rFonts w:eastAsia="Times New Roman"/>
          <w:sz w:val="20"/>
          <w:szCs w:val="20"/>
        </w:rPr>
        <w:t>Shameerdas</w:t>
      </w:r>
      <w:proofErr w:type="spellEnd"/>
      <w:r w:rsidRPr="00724D02">
        <w:rPr>
          <w:rFonts w:eastAsia="Times New Roman"/>
          <w:sz w:val="20"/>
          <w:szCs w:val="20"/>
        </w:rPr>
        <w:t xml:space="preserve"> (2024) argues that the constraint is sociological, and that is a "waithood" phenomenon, where highly educated women have high minimum acceptable salaries, and prefer to remain unemployed. Finally, Sivan and Balakrishnan (2024) highlight the institutional constraint that even for those willing to work, significant gender wage disparities and workplace hierarchies in the traditional sector discourage long-term retention.</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To bridge this gap, the state leverages its vast community-based network, Kudumbashree, to act as a digital facilitator, through initiatives like 'Kudumbashree Bazaar,' an e-commerce platform and logistical support that allows women to bypass traditional market barriers. However, a highly educated and digitally literate women population is the right candidate for high-skilled digital gig work like online tutoring, freelance coding, etc., that offers flexibility missing in the traditional sector.</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While Kerala shows a strong connection between the first and second tiers of digital capital, Andhra Pradesh shows a critical disconnect. While 48.7% of women own mobile phones, only 21% have ever used the internet. This sharp 27-percentage point gap highlights that physical access does not guarantee digital literacy. The infrastructure exists, but the internalised ability or the digital skill to navigate the digital world is missing. This calls for the need for urgent policy intervention that focuses on digital literacy training rather than mere infrastructure distribution.</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Tamil Nadu shows a balanced figure in all three metrics. While the female literacy stands at 56.6%, the digital access and internet usage are at 74.6% and 46.9%. Unlike Kerala, Tamil Nadu was able to convert its digital and educational capital into an economic engagement with 40.8% of female labour force participation. These attainments can be attributed to its long history of industrialisation, coupled with social welfare. The initiatives like TN-RISE (Tamil Nadu Rural Incubator and Start-Up Enabler) can push this achievement further into remote areas.</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Karnataka has a global reputation as the tech hub of the country, but the state-level data draws a contradiction. Despite being the ‘Silicon Valley of India’, the state-wide female internet usage stands at 35%, significantly lower than Kerala (61.1%) and Tamil Nadu (46.9%). Still, the female labour participation is moderate with 37.2%. This suggests the presence of a hyper-digitised urban population coexisting with a less digitally integrated rural population. This may be because of the initiatives like ‘</w:t>
      </w:r>
      <w:proofErr w:type="spellStart"/>
      <w:r w:rsidRPr="00724D02">
        <w:rPr>
          <w:rFonts w:eastAsia="Times New Roman"/>
          <w:sz w:val="20"/>
          <w:szCs w:val="20"/>
        </w:rPr>
        <w:t>WEscalate</w:t>
      </w:r>
      <w:proofErr w:type="spellEnd"/>
      <w:r w:rsidRPr="00724D02">
        <w:rPr>
          <w:rFonts w:eastAsia="Times New Roman"/>
          <w:sz w:val="20"/>
          <w:szCs w:val="20"/>
        </w:rPr>
        <w:t xml:space="preserve">’ only supporting high-tech, driven entrepreneurs, leaving the rural population behind. For Karnataka, the challenge is not in creating high-tech ventures but in democratising digital skills among the rural population. </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 xml:space="preserve">Telangana presents a unique case. Despite having a moderate literacy rate of 45.5% and internet usage of 26.5%, it records the highest labour participation (43.1%). This suggests the </w:t>
      </w:r>
      <w:r w:rsidRPr="00724D02">
        <w:rPr>
          <w:rFonts w:eastAsia="Times New Roman"/>
          <w:sz w:val="20"/>
          <w:szCs w:val="20"/>
        </w:rPr>
        <w:lastRenderedPageBreak/>
        <w:t xml:space="preserve">presence of a robust ecosystem where women are actively integrated into the economy. The presence of state-led accelerators like WE HUB likely plays a catalytic role here, helping women with lower educational levels bypass the "Digital Divide" by providing institutional support to monetise their skills. This </w:t>
      </w:r>
      <w:r w:rsidR="00484847" w:rsidRPr="00484847">
        <w:rPr>
          <w:rFonts w:eastAsia="Times New Roman"/>
          <w:sz w:val="20"/>
          <w:szCs w:val="20"/>
        </w:rPr>
        <w:t xml:space="preserve">suggests </w:t>
      </w:r>
      <w:r w:rsidRPr="00724D02">
        <w:rPr>
          <w:rFonts w:eastAsia="Times New Roman"/>
          <w:sz w:val="20"/>
          <w:szCs w:val="20"/>
        </w:rPr>
        <w:t>that the participation of an individual with lower education can be ensured through enabling an ecosystem.</w:t>
      </w:r>
    </w:p>
    <w:p w:rsidR="00B55089" w:rsidRDefault="00B55089" w:rsidP="00724D02">
      <w:pPr>
        <w:spacing w:line="240" w:lineRule="auto"/>
        <w:jc w:val="both"/>
        <w:rPr>
          <w:rFonts w:eastAsia="Times New Roman"/>
          <w:b/>
          <w:bCs/>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Analysing the macro data of the South Indian states through the lens of Ragnedda’s framework helps in understanding how digital platforms and institutional </w:t>
      </w:r>
      <w:r w:rsidR="00531E97" w:rsidRPr="00724D02">
        <w:rPr>
          <w:rFonts w:eastAsia="Times New Roman"/>
          <w:sz w:val="20"/>
          <w:szCs w:val="20"/>
        </w:rPr>
        <w:t xml:space="preserve">ecosystems </w:t>
      </w:r>
      <w:r w:rsidRPr="00724D02">
        <w:rPr>
          <w:rFonts w:eastAsia="Times New Roman"/>
          <w:sz w:val="20"/>
          <w:szCs w:val="20"/>
        </w:rPr>
        <w:t>can facilitate the conversion of digital capital i</w:t>
      </w:r>
      <w:r w:rsidR="00331AF8">
        <w:rPr>
          <w:rFonts w:eastAsia="Times New Roman"/>
          <w:sz w:val="20"/>
          <w:szCs w:val="20"/>
        </w:rPr>
        <w:t xml:space="preserve">nto socio-economic empowerment. </w:t>
      </w:r>
      <w:r w:rsidRPr="00724D02">
        <w:rPr>
          <w:rFonts w:eastAsia="Times New Roman"/>
          <w:sz w:val="20"/>
          <w:szCs w:val="20"/>
        </w:rPr>
        <w:t xml:space="preserve">The traditional binary of office v/s home has historically restricted Indian women, bound by unpaid care duties. Digital entrepreneurship disrupts this binary by creating a ‘third space’ in the comfort of their home. Thus, the digital economy offers the potential solution to the spatial and temporal constraints faced by South Indian women to actively participate in the labour force by decoupling economic activity from physical mobility.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 rise of social commerce acts as a primary tool in developin</w:t>
      </w:r>
      <w:r w:rsidR="00D75281" w:rsidRPr="00724D02">
        <w:rPr>
          <w:rFonts w:eastAsia="Times New Roman"/>
          <w:sz w:val="20"/>
          <w:szCs w:val="20"/>
        </w:rPr>
        <w:t>g the third space and w</w:t>
      </w:r>
      <w:r w:rsidRPr="00724D02">
        <w:rPr>
          <w:rFonts w:eastAsia="Times New Roman"/>
          <w:sz w:val="20"/>
          <w:szCs w:val="20"/>
        </w:rPr>
        <w:t>omen account for nearly 80% of social commerce sellers in India</w:t>
      </w:r>
      <w:r w:rsidR="00D75281" w:rsidRPr="00724D02">
        <w:rPr>
          <w:rFonts w:eastAsia="Times New Roman"/>
          <w:sz w:val="20"/>
          <w:szCs w:val="20"/>
        </w:rPr>
        <w:t xml:space="preserve"> (Bain &amp; Company). </w:t>
      </w:r>
      <w:r w:rsidRPr="00724D02">
        <w:rPr>
          <w:rFonts w:eastAsia="Times New Roman"/>
          <w:sz w:val="20"/>
          <w:szCs w:val="20"/>
        </w:rPr>
        <w:t xml:space="preserve">These resellers leverage their existing social trust and community influence to market the curated product on social platforms to generate economic capital. These digital platforms enable a woman entrepreneur to list her product in a WhatsApp community or group and sell it without the need </w:t>
      </w:r>
      <w:r w:rsidR="00531E97" w:rsidRPr="00724D02">
        <w:rPr>
          <w:rFonts w:eastAsia="Times New Roman"/>
          <w:sz w:val="20"/>
          <w:szCs w:val="20"/>
        </w:rPr>
        <w:t>for</w:t>
      </w:r>
      <w:r w:rsidRPr="00724D02">
        <w:rPr>
          <w:rFonts w:eastAsia="Times New Roman"/>
          <w:sz w:val="20"/>
          <w:szCs w:val="20"/>
        </w:rPr>
        <w:t xml:space="preserve"> </w:t>
      </w:r>
      <w:r w:rsidR="00531E97" w:rsidRPr="00724D02">
        <w:rPr>
          <w:rFonts w:eastAsia="Times New Roman"/>
          <w:sz w:val="20"/>
          <w:szCs w:val="20"/>
        </w:rPr>
        <w:t xml:space="preserve">a </w:t>
      </w:r>
      <w:r w:rsidRPr="00724D02">
        <w:rPr>
          <w:rFonts w:eastAsia="Times New Roman"/>
          <w:sz w:val="20"/>
          <w:szCs w:val="20"/>
        </w:rPr>
        <w:t xml:space="preserve">huge investment in setting up a physical shop. </w:t>
      </w:r>
      <w:r w:rsidR="00303A6D" w:rsidRPr="00724D02">
        <w:rPr>
          <w:rFonts w:eastAsia="Times New Roman"/>
          <w:sz w:val="20"/>
          <w:szCs w:val="20"/>
        </w:rPr>
        <w:t>Thus, women entrepreneurs can</w:t>
      </w:r>
      <w:r w:rsidRPr="00724D02">
        <w:rPr>
          <w:rFonts w:eastAsia="Times New Roman"/>
          <w:sz w:val="20"/>
          <w:szCs w:val="20"/>
        </w:rPr>
        <w:t xml:space="preserve"> </w:t>
      </w:r>
      <w:r w:rsidR="00303A6D" w:rsidRPr="00724D02">
        <w:rPr>
          <w:rFonts w:eastAsia="Times New Roman"/>
          <w:sz w:val="20"/>
          <w:szCs w:val="20"/>
        </w:rPr>
        <w:t>convert</w:t>
      </w:r>
      <w:r w:rsidRPr="00724D02">
        <w:rPr>
          <w:rFonts w:eastAsia="Times New Roman"/>
          <w:sz w:val="20"/>
          <w:szCs w:val="20"/>
        </w:rPr>
        <w:t xml:space="preserve"> </w:t>
      </w:r>
      <w:r w:rsidR="00303A6D" w:rsidRPr="00724D02">
        <w:rPr>
          <w:rFonts w:eastAsia="Times New Roman"/>
          <w:sz w:val="20"/>
          <w:szCs w:val="20"/>
        </w:rPr>
        <w:t>thei</w:t>
      </w:r>
      <w:r w:rsidRPr="00724D02">
        <w:rPr>
          <w:rFonts w:eastAsia="Times New Roman"/>
          <w:sz w:val="20"/>
          <w:szCs w:val="20"/>
        </w:rPr>
        <w:t xml:space="preserve">r digital and networking skills into immediate revenue. Moreover, generating income, the transition of a woman to a business owner also alters the power dynamics within the household. They get more visibility or decision-making authority regarding household finances within the family. Ragnedda’s theory </w:t>
      </w:r>
      <w:r w:rsidR="00D75281" w:rsidRPr="00724D02">
        <w:rPr>
          <w:rFonts w:eastAsia="Times New Roman"/>
          <w:sz w:val="20"/>
          <w:szCs w:val="20"/>
        </w:rPr>
        <w:t>proposes</w:t>
      </w:r>
      <w:r w:rsidRPr="00724D02">
        <w:rPr>
          <w:rFonts w:eastAsia="Times New Roman"/>
          <w:sz w:val="20"/>
          <w:szCs w:val="20"/>
        </w:rPr>
        <w:t xml:space="preserve"> that digital capital can enhance social standings and empowerment.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Previous discussion highlights the need for individual agency in converting digital capital to socio-economic empowerment; the data from Telangana and Kerala suggest that the state-led ecosystems act as force multipliers. WE HUB of Telangana functions as a state-led incubator for women entrepreneurs. By providing mentorship, technical skilling, and access to venture capital, WE HUB targets </w:t>
      </w:r>
      <w:r w:rsidR="00531E97" w:rsidRPr="00724D02">
        <w:rPr>
          <w:rFonts w:eastAsia="Times New Roman"/>
          <w:sz w:val="20"/>
          <w:szCs w:val="20"/>
        </w:rPr>
        <w:t>the second-tier</w:t>
      </w:r>
      <w:r w:rsidRPr="00724D02">
        <w:rPr>
          <w:rFonts w:eastAsia="Times New Roman"/>
          <w:sz w:val="20"/>
          <w:szCs w:val="20"/>
        </w:rPr>
        <w:t xml:space="preserve"> digital divide by </w:t>
      </w:r>
      <w:proofErr w:type="spellStart"/>
      <w:r w:rsidR="00673B6D" w:rsidRPr="00724D02">
        <w:rPr>
          <w:rFonts w:eastAsia="Times New Roman"/>
          <w:sz w:val="20"/>
          <w:szCs w:val="20"/>
        </w:rPr>
        <w:t>internalising</w:t>
      </w:r>
      <w:proofErr w:type="spellEnd"/>
      <w:r w:rsidRPr="00724D02">
        <w:rPr>
          <w:rFonts w:eastAsia="Times New Roman"/>
          <w:sz w:val="20"/>
          <w:szCs w:val="20"/>
        </w:rPr>
        <w:t xml:space="preserve"> the ability of women. It focuses on moving women from the informal sector to the formal economy, addressing the skills gap. This</w:t>
      </w:r>
      <w:r w:rsidR="00531E97" w:rsidRPr="00724D02">
        <w:rPr>
          <w:rFonts w:eastAsia="Times New Roman"/>
          <w:sz w:val="20"/>
          <w:szCs w:val="20"/>
        </w:rPr>
        <w:t xml:space="preserve"> top-down approach explains Tela</w:t>
      </w:r>
      <w:r w:rsidRPr="00724D02">
        <w:rPr>
          <w:rFonts w:eastAsia="Times New Roman"/>
          <w:sz w:val="20"/>
          <w:szCs w:val="20"/>
        </w:rPr>
        <w:t xml:space="preserve">ngana’s high female labour participation despite moderate internet usage. WE HUB creates an ecosystem </w:t>
      </w:r>
      <w:r w:rsidR="00531E97" w:rsidRPr="00724D02">
        <w:rPr>
          <w:rFonts w:eastAsia="Times New Roman"/>
          <w:sz w:val="20"/>
          <w:szCs w:val="20"/>
        </w:rPr>
        <w:t xml:space="preserve">that </w:t>
      </w:r>
      <w:r w:rsidR="00D931AE" w:rsidRPr="00724D02">
        <w:rPr>
          <w:rFonts w:eastAsia="Times New Roman"/>
          <w:sz w:val="20"/>
          <w:szCs w:val="20"/>
        </w:rPr>
        <w:t>builds</w:t>
      </w:r>
      <w:r w:rsidRPr="00724D02">
        <w:rPr>
          <w:rFonts w:eastAsia="Times New Roman"/>
          <w:sz w:val="20"/>
          <w:szCs w:val="20"/>
        </w:rPr>
        <w:t xml:space="preserve"> capacity among women to use technology productively.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While WE HUB operates to solve the second tier of the digital divide, Kerala’s Kudumbashree operates as a Community-Based Organisation. Kudumbashree Bazar, a marketplace of Kudumbashree, addresses tiers one and three of the digital divide. One of the constraints of rural women entrepreneurs </w:t>
      </w:r>
      <w:r w:rsidR="00D931AE" w:rsidRPr="00724D02">
        <w:rPr>
          <w:rFonts w:eastAsia="Times New Roman"/>
          <w:sz w:val="20"/>
          <w:szCs w:val="20"/>
        </w:rPr>
        <w:t>includes</w:t>
      </w:r>
      <w:r w:rsidRPr="00724D02">
        <w:rPr>
          <w:rFonts w:eastAsia="Times New Roman"/>
          <w:sz w:val="20"/>
          <w:szCs w:val="20"/>
        </w:rPr>
        <w:t xml:space="preserve"> </w:t>
      </w:r>
      <w:r w:rsidR="00D931AE" w:rsidRPr="00724D02">
        <w:rPr>
          <w:rFonts w:eastAsia="Times New Roman"/>
          <w:sz w:val="20"/>
          <w:szCs w:val="20"/>
        </w:rPr>
        <w:t xml:space="preserve">a </w:t>
      </w:r>
      <w:r w:rsidRPr="00724D02">
        <w:rPr>
          <w:rFonts w:eastAsia="Times New Roman"/>
          <w:sz w:val="20"/>
          <w:szCs w:val="20"/>
        </w:rPr>
        <w:t xml:space="preserve">lack of logistics and marketing reach to sell their products. Kudumbashree provides the externalised resource that is an e-commerce </w:t>
      </w:r>
      <w:r w:rsidR="00D931AE" w:rsidRPr="00724D02">
        <w:rPr>
          <w:rFonts w:eastAsia="Times New Roman"/>
          <w:sz w:val="20"/>
          <w:szCs w:val="20"/>
        </w:rPr>
        <w:t>platform</w:t>
      </w:r>
      <w:r w:rsidRPr="00724D02">
        <w:rPr>
          <w:rFonts w:eastAsia="Times New Roman"/>
          <w:sz w:val="20"/>
          <w:szCs w:val="20"/>
        </w:rPr>
        <w:t xml:space="preserve"> </w:t>
      </w:r>
      <w:r w:rsidR="00D931AE" w:rsidRPr="00724D02">
        <w:rPr>
          <w:rFonts w:eastAsia="Times New Roman"/>
          <w:sz w:val="20"/>
          <w:szCs w:val="20"/>
        </w:rPr>
        <w:t>a</w:t>
      </w:r>
      <w:r w:rsidRPr="00724D02">
        <w:rPr>
          <w:rFonts w:eastAsia="Times New Roman"/>
          <w:sz w:val="20"/>
          <w:szCs w:val="20"/>
        </w:rPr>
        <w:t>nd</w:t>
      </w:r>
      <w:r w:rsidR="00D931AE" w:rsidRPr="00724D02">
        <w:rPr>
          <w:rFonts w:eastAsia="Times New Roman"/>
          <w:sz w:val="20"/>
          <w:szCs w:val="20"/>
        </w:rPr>
        <w:t xml:space="preserve"> </w:t>
      </w:r>
      <w:r w:rsidRPr="00724D02">
        <w:rPr>
          <w:rFonts w:eastAsia="Times New Roman"/>
          <w:sz w:val="20"/>
          <w:szCs w:val="20"/>
        </w:rPr>
        <w:t>logistic support</w:t>
      </w:r>
      <w:r w:rsidR="00673B6D" w:rsidRPr="00724D02">
        <w:rPr>
          <w:rFonts w:eastAsia="Times New Roman"/>
          <w:sz w:val="20"/>
          <w:szCs w:val="20"/>
        </w:rPr>
        <w:t>,</w:t>
      </w:r>
      <w:r w:rsidRPr="00724D02">
        <w:rPr>
          <w:rFonts w:eastAsia="Times New Roman"/>
          <w:sz w:val="20"/>
          <w:szCs w:val="20"/>
        </w:rPr>
        <w:t xml:space="preserve"> allowing rural entrepreneurs to access the global market. This bottom-up approach proves that the digital capital can be collectivised to benefit the marginalised women entrepreneurs who might lack individual resources.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However, the analysis also reveals that the South Indian states have adopted different institutional models to bridge the divide. Tamil Nadu has recently adopted a hybrid model through TN-RISE (Tamil Nadu Rural Incubator and Start-Up Enabler), which is similar to Kerala’s Kudumbashree in its rural reach but operates in a way that Telangana’s WEHUB specifically targets the infrastructure support for rural women entrepreneurs. On the other hand, Karnataka employs a 'Capital-First </w:t>
      </w:r>
      <w:r w:rsidR="00D931AE" w:rsidRPr="00724D02">
        <w:rPr>
          <w:rFonts w:eastAsia="Times New Roman"/>
          <w:sz w:val="20"/>
          <w:szCs w:val="20"/>
        </w:rPr>
        <w:t>Model' through programs like ‘</w:t>
      </w:r>
      <w:proofErr w:type="spellStart"/>
      <w:r w:rsidR="00D931AE" w:rsidRPr="00724D02">
        <w:rPr>
          <w:rFonts w:eastAsia="Times New Roman"/>
          <w:sz w:val="20"/>
          <w:szCs w:val="20"/>
        </w:rPr>
        <w:t>WE</w:t>
      </w:r>
      <w:r w:rsidRPr="00724D02">
        <w:rPr>
          <w:rFonts w:eastAsia="Times New Roman"/>
          <w:sz w:val="20"/>
          <w:szCs w:val="20"/>
        </w:rPr>
        <w:t>scalate</w:t>
      </w:r>
      <w:proofErr w:type="spellEnd"/>
      <w:r w:rsidRPr="00724D02">
        <w:rPr>
          <w:rFonts w:eastAsia="Times New Roman"/>
          <w:sz w:val="20"/>
          <w:szCs w:val="20"/>
        </w:rPr>
        <w:t xml:space="preserve">’, which </w:t>
      </w:r>
      <w:r w:rsidRPr="00724D02">
        <w:rPr>
          <w:rFonts w:eastAsia="Times New Roman"/>
          <w:sz w:val="20"/>
          <w:szCs w:val="20"/>
        </w:rPr>
        <w:lastRenderedPageBreak/>
        <w:t>focus on funding support for high-tech startups, addressing the third-tier divide for women who already possess high digital capital.</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Contrarily, Andhra Pradesh relies on an 'Association-Led Industrial Model', unlike the direct state-led digital incubation. Andhra Pradesh depends on non-profit bodies like ALEAP (Association of Lady Entrepreneurs of India) that focus on providing 'industrial infrastructure' and manufacturing support. This emphasis on physical capital (industrial estates) rather than digital skilling may be the reason why Andhra Pradesh lags in the tier two digital divide</w:t>
      </w:r>
      <w:r w:rsidR="00FA05D1" w:rsidRPr="00724D02">
        <w:rPr>
          <w:rFonts w:eastAsia="Times New Roman"/>
          <w:sz w:val="20"/>
          <w:szCs w:val="20"/>
        </w:rPr>
        <w:t>,</w:t>
      </w:r>
      <w:r w:rsidRPr="00724D02">
        <w:rPr>
          <w:rFonts w:eastAsia="Times New Roman"/>
          <w:sz w:val="20"/>
          <w:szCs w:val="20"/>
        </w:rPr>
        <w:t xml:space="preserve"> with low internet usage at 21% among women.</w:t>
      </w:r>
    </w:p>
    <w:p w:rsidR="00F81D5D" w:rsidRPr="00724D02" w:rsidRDefault="00F81D5D" w:rsidP="00724D02">
      <w:pPr>
        <w:spacing w:line="240" w:lineRule="auto"/>
        <w:jc w:val="both"/>
        <w:rPr>
          <w:rFonts w:eastAsia="Times New Roman"/>
          <w:sz w:val="20"/>
          <w:szCs w:val="20"/>
        </w:rPr>
      </w:pPr>
    </w:p>
    <w:p w:rsidR="00EC4E7C" w:rsidRDefault="00484847" w:rsidP="00724D02">
      <w:pPr>
        <w:spacing w:line="240" w:lineRule="auto"/>
        <w:jc w:val="both"/>
        <w:rPr>
          <w:rFonts w:eastAsia="Times New Roman"/>
          <w:sz w:val="20"/>
          <w:szCs w:val="20"/>
        </w:rPr>
      </w:pPr>
      <w:r w:rsidRPr="00484847">
        <w:rPr>
          <w:rFonts w:eastAsia="Times New Roman"/>
          <w:sz w:val="20"/>
          <w:szCs w:val="20"/>
        </w:rPr>
        <w:t>However, descriptive analysis indicates that th</w:t>
      </w:r>
      <w:r>
        <w:rPr>
          <w:rFonts w:eastAsia="Times New Roman"/>
          <w:sz w:val="20"/>
          <w:szCs w:val="20"/>
        </w:rPr>
        <w:t>ere are unintended consequences</w:t>
      </w:r>
      <w:r w:rsidR="001F53F4" w:rsidRPr="00724D02">
        <w:rPr>
          <w:rFonts w:eastAsia="Times New Roman"/>
          <w:sz w:val="20"/>
          <w:szCs w:val="20"/>
        </w:rPr>
        <w:t>.</w:t>
      </w:r>
      <w:r w:rsidR="00F84B8F" w:rsidRPr="00724D02">
        <w:rPr>
          <w:rFonts w:eastAsia="Times New Roman"/>
          <w:sz w:val="20"/>
          <w:szCs w:val="20"/>
        </w:rPr>
        <w:t xml:space="preserve"> While the third space offers flexibility, it creates a set of Human resource management challenges regarding Work-life integration. The blurring of the line between home and work leads to the intensification of the job. The always-on nature of digital platforms can lead to a double burden for South Indian women</w:t>
      </w:r>
      <w:r w:rsidR="00673B6D" w:rsidRPr="00724D02">
        <w:rPr>
          <w:rFonts w:eastAsia="Times New Roman"/>
          <w:sz w:val="20"/>
          <w:szCs w:val="20"/>
        </w:rPr>
        <w:t>,</w:t>
      </w:r>
      <w:r w:rsidR="00F84B8F" w:rsidRPr="00724D02">
        <w:rPr>
          <w:rFonts w:eastAsia="Times New Roman"/>
          <w:sz w:val="20"/>
          <w:szCs w:val="20"/>
        </w:rPr>
        <w:t xml:space="preserve"> as they are already burdened with </w:t>
      </w:r>
      <w:r w:rsidR="00625C14" w:rsidRPr="00625C14">
        <w:rPr>
          <w:rFonts w:eastAsia="Times New Roman"/>
          <w:sz w:val="20"/>
          <w:szCs w:val="20"/>
        </w:rPr>
        <w:t>disproportionate</w:t>
      </w:r>
      <w:r w:rsidR="00625C14">
        <w:rPr>
          <w:rFonts w:eastAsia="Times New Roman"/>
          <w:sz w:val="20"/>
          <w:szCs w:val="20"/>
        </w:rPr>
        <w:t xml:space="preserve"> </w:t>
      </w:r>
      <w:r w:rsidR="00F84B8F" w:rsidRPr="00724D02">
        <w:rPr>
          <w:rFonts w:eastAsia="Times New Roman"/>
          <w:sz w:val="20"/>
          <w:szCs w:val="20"/>
        </w:rPr>
        <w:t xml:space="preserve">unpaid care work in addition to managing their business 24/7. This can lead to time poverty and often results in exhaustion. </w:t>
      </w:r>
    </w:p>
    <w:p w:rsidR="00331AF8" w:rsidRPr="00724D02" w:rsidRDefault="00331AF8"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Another problem to be addressed is the increasing algorithmic precarity</w:t>
      </w:r>
      <w:r w:rsidR="00D931AE" w:rsidRPr="00724D02">
        <w:rPr>
          <w:rStyle w:val="FootnoteReference"/>
          <w:rFonts w:eastAsia="Times New Roman"/>
          <w:sz w:val="20"/>
          <w:szCs w:val="20"/>
        </w:rPr>
        <w:footnoteReference w:id="6"/>
      </w:r>
      <w:r w:rsidRPr="00724D02">
        <w:rPr>
          <w:rFonts w:eastAsia="Times New Roman"/>
          <w:sz w:val="20"/>
          <w:szCs w:val="20"/>
        </w:rPr>
        <w:t>, as the human manager gets replaced by the opaque algorithmic metrics</w:t>
      </w:r>
      <w:r w:rsidR="00673B6D" w:rsidRPr="00724D02">
        <w:rPr>
          <w:rFonts w:eastAsia="Times New Roman"/>
          <w:sz w:val="20"/>
          <w:szCs w:val="20"/>
        </w:rPr>
        <w:t>,</w:t>
      </w:r>
      <w:r w:rsidRPr="00724D02">
        <w:rPr>
          <w:rFonts w:eastAsia="Times New Roman"/>
          <w:sz w:val="20"/>
          <w:szCs w:val="20"/>
        </w:rPr>
        <w:t xml:space="preserve"> like response time, ratings for platform-based gig work.</w:t>
      </w:r>
      <w:r w:rsidR="00C80196">
        <w:rPr>
          <w:rFonts w:eastAsia="Times New Roman"/>
          <w:sz w:val="20"/>
          <w:szCs w:val="20"/>
        </w:rPr>
        <w:t xml:space="preserve"> </w:t>
      </w:r>
      <w:r w:rsidR="00C80196" w:rsidRPr="00C80196">
        <w:rPr>
          <w:rFonts w:eastAsia="Times New Roman"/>
          <w:sz w:val="20"/>
          <w:szCs w:val="20"/>
        </w:rPr>
        <w:t>Wood et al. (2019) describe this phenomenon as a paradox of the platform economy, in which workers have the duties and liabilities of an entrepreneur, but are subjected to the strict control of a subordinate</w:t>
      </w:r>
      <w:r w:rsidR="00C80196">
        <w:rPr>
          <w:rFonts w:eastAsia="Times New Roman"/>
          <w:sz w:val="20"/>
          <w:szCs w:val="20"/>
        </w:rPr>
        <w:t>.</w:t>
      </w:r>
      <w:r w:rsidRPr="00724D02">
        <w:rPr>
          <w:rFonts w:eastAsia="Times New Roman"/>
          <w:sz w:val="20"/>
          <w:szCs w:val="20"/>
        </w:rPr>
        <w:t xml:space="preserve"> If the women step away for care breaks, their response rates may fall, and they may be penalised as the algorithm may deprioritise their visibility</w:t>
      </w:r>
      <w:r w:rsidR="00C80196">
        <w:rPr>
          <w:rFonts w:eastAsia="Times New Roman"/>
          <w:sz w:val="20"/>
          <w:szCs w:val="20"/>
        </w:rPr>
        <w:t xml:space="preserve">. </w:t>
      </w:r>
      <w:r w:rsidR="00C80196" w:rsidRPr="00C80196">
        <w:rPr>
          <w:rFonts w:eastAsia="Times New Roman"/>
          <w:sz w:val="20"/>
          <w:szCs w:val="20"/>
        </w:rPr>
        <w:t xml:space="preserve">To rectify this, there is a need for gig economy governance that clearly takes into account women's ‘time poverty' rather than </w:t>
      </w:r>
      <w:proofErr w:type="spellStart"/>
      <w:r w:rsidR="00C80196" w:rsidRPr="00C80196">
        <w:rPr>
          <w:rFonts w:eastAsia="Times New Roman"/>
          <w:sz w:val="20"/>
          <w:szCs w:val="20"/>
        </w:rPr>
        <w:t>penalising</w:t>
      </w:r>
      <w:proofErr w:type="spellEnd"/>
      <w:r w:rsidR="00C80196" w:rsidRPr="00C80196">
        <w:rPr>
          <w:rFonts w:eastAsia="Times New Roman"/>
          <w:sz w:val="20"/>
          <w:szCs w:val="20"/>
        </w:rPr>
        <w:t xml:space="preserve"> them for it</w:t>
      </w:r>
      <w:r w:rsidR="00C80196">
        <w:rPr>
          <w:rFonts w:eastAsia="Times New Roman"/>
          <w:sz w:val="20"/>
          <w:szCs w:val="20"/>
        </w:rPr>
        <w:t xml:space="preserve"> as highlighted by</w:t>
      </w:r>
      <w:r w:rsidR="00C80196" w:rsidRPr="00C80196">
        <w:rPr>
          <w:rFonts w:eastAsia="Times New Roman"/>
          <w:sz w:val="20"/>
          <w:szCs w:val="20"/>
        </w:rPr>
        <w:t xml:space="preserve"> Hunt and </w:t>
      </w:r>
      <w:proofErr w:type="spellStart"/>
      <w:r w:rsidR="00C80196" w:rsidRPr="00C80196">
        <w:rPr>
          <w:rFonts w:eastAsia="Times New Roman"/>
          <w:sz w:val="20"/>
          <w:szCs w:val="20"/>
        </w:rPr>
        <w:t>Samman</w:t>
      </w:r>
      <w:proofErr w:type="spellEnd"/>
      <w:r w:rsidR="00C80196">
        <w:rPr>
          <w:rFonts w:eastAsia="Times New Roman"/>
          <w:sz w:val="20"/>
          <w:szCs w:val="20"/>
        </w:rPr>
        <w:t xml:space="preserve"> (</w:t>
      </w:r>
      <w:r w:rsidR="00C80196" w:rsidRPr="00C80196">
        <w:rPr>
          <w:rFonts w:eastAsia="Times New Roman"/>
          <w:sz w:val="20"/>
          <w:szCs w:val="20"/>
        </w:rPr>
        <w:t>2019).</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Therefore, while digital entrepreneurship acts as a tool for agency,</w:t>
      </w:r>
      <w:r w:rsidR="0056185A" w:rsidRPr="00724D02">
        <w:rPr>
          <w:rFonts w:eastAsia="Times New Roman"/>
          <w:sz w:val="20"/>
          <w:szCs w:val="20"/>
        </w:rPr>
        <w:t xml:space="preserve"> it necessitates a shift in how</w:t>
      </w:r>
      <w:r w:rsidRPr="00724D02">
        <w:rPr>
          <w:rFonts w:eastAsia="Times New Roman"/>
          <w:sz w:val="20"/>
          <w:szCs w:val="20"/>
        </w:rPr>
        <w:t xml:space="preserve"> labour rights</w:t>
      </w:r>
      <w:r w:rsidR="0056185A" w:rsidRPr="00724D02">
        <w:rPr>
          <w:rFonts w:eastAsia="Times New Roman"/>
          <w:sz w:val="20"/>
          <w:szCs w:val="20"/>
        </w:rPr>
        <w:t xml:space="preserve"> are viewed</w:t>
      </w:r>
      <w:r w:rsidRPr="00724D02">
        <w:rPr>
          <w:rFonts w:eastAsia="Times New Roman"/>
          <w:sz w:val="20"/>
          <w:szCs w:val="20"/>
        </w:rPr>
        <w:t>. Moving away from the traditional concept of work-life balance to Work-life integration, it is necessary to ensure that the adoption of digital capital does not come at the cost of well-being.</w:t>
      </w:r>
    </w:p>
    <w:p w:rsidR="00F81D5D" w:rsidRPr="00724D02" w:rsidRDefault="00F81D5D" w:rsidP="00724D02">
      <w:pPr>
        <w:spacing w:line="240" w:lineRule="auto"/>
        <w:jc w:val="both"/>
        <w:rPr>
          <w:rFonts w:eastAsia="Times New Roman"/>
          <w:sz w:val="20"/>
          <w:szCs w:val="20"/>
        </w:rPr>
      </w:pPr>
    </w:p>
    <w:p w:rsidR="00364472" w:rsidRDefault="00F81D5D" w:rsidP="00724D02">
      <w:pPr>
        <w:spacing w:line="240" w:lineRule="auto"/>
        <w:jc w:val="both"/>
        <w:rPr>
          <w:rFonts w:eastAsia="Times New Roman"/>
          <w:b/>
          <w:bCs/>
          <w:szCs w:val="20"/>
        </w:rPr>
      </w:pPr>
      <w:r w:rsidRPr="00F81D5D">
        <w:rPr>
          <w:rFonts w:eastAsia="Times New Roman"/>
          <w:b/>
          <w:bCs/>
          <w:szCs w:val="20"/>
        </w:rPr>
        <w:t xml:space="preserve">4. </w:t>
      </w:r>
      <w:r w:rsidR="00364472">
        <w:rPr>
          <w:rFonts w:eastAsia="Times New Roman"/>
          <w:b/>
          <w:bCs/>
          <w:szCs w:val="20"/>
        </w:rPr>
        <w:t>LIMITATIONS</w:t>
      </w:r>
    </w:p>
    <w:p w:rsidR="00364472" w:rsidRDefault="00364472" w:rsidP="00724D02">
      <w:pPr>
        <w:spacing w:line="240" w:lineRule="auto"/>
        <w:jc w:val="both"/>
        <w:rPr>
          <w:rFonts w:eastAsia="Times New Roman"/>
          <w:bCs/>
          <w:sz w:val="20"/>
          <w:szCs w:val="20"/>
        </w:rPr>
      </w:pPr>
    </w:p>
    <w:p w:rsidR="00364472" w:rsidRDefault="00364472" w:rsidP="00724D02">
      <w:pPr>
        <w:spacing w:line="240" w:lineRule="auto"/>
        <w:jc w:val="both"/>
        <w:rPr>
          <w:rFonts w:eastAsia="Times New Roman"/>
          <w:bCs/>
          <w:sz w:val="20"/>
          <w:szCs w:val="20"/>
        </w:rPr>
      </w:pPr>
      <w:r w:rsidRPr="00364472">
        <w:rPr>
          <w:rFonts w:eastAsia="Times New Roman"/>
          <w:bCs/>
          <w:sz w:val="20"/>
          <w:szCs w:val="20"/>
        </w:rPr>
        <w:t xml:space="preserve">The study is descriptive </w:t>
      </w:r>
      <w:r>
        <w:rPr>
          <w:rFonts w:eastAsia="Times New Roman"/>
          <w:bCs/>
          <w:sz w:val="20"/>
          <w:szCs w:val="20"/>
        </w:rPr>
        <w:t>a</w:t>
      </w:r>
      <w:r w:rsidRPr="00364472">
        <w:rPr>
          <w:rFonts w:eastAsia="Times New Roman"/>
          <w:bCs/>
          <w:sz w:val="20"/>
          <w:szCs w:val="20"/>
        </w:rPr>
        <w:t xml:space="preserve">nd based on macro-level secondary data analysis, </w:t>
      </w:r>
      <w:r>
        <w:rPr>
          <w:rFonts w:eastAsia="Times New Roman"/>
          <w:bCs/>
          <w:sz w:val="20"/>
          <w:szCs w:val="20"/>
        </w:rPr>
        <w:t xml:space="preserve">hence </w:t>
      </w:r>
      <w:r w:rsidR="000D0B57" w:rsidRPr="000D0B57">
        <w:rPr>
          <w:rFonts w:eastAsia="Times New Roman"/>
          <w:bCs/>
          <w:sz w:val="20"/>
          <w:szCs w:val="20"/>
        </w:rPr>
        <w:t>several methodological limitations must be acknowledged.</w:t>
      </w:r>
      <w:r w:rsidR="000D0B57">
        <w:rPr>
          <w:rFonts w:eastAsia="Times New Roman"/>
          <w:bCs/>
          <w:sz w:val="20"/>
          <w:szCs w:val="20"/>
        </w:rPr>
        <w:t xml:space="preserve"> </w:t>
      </w:r>
      <w:r w:rsidRPr="00364472">
        <w:rPr>
          <w:rFonts w:eastAsia="Times New Roman"/>
          <w:bCs/>
          <w:sz w:val="20"/>
          <w:szCs w:val="20"/>
        </w:rPr>
        <w:t xml:space="preserve">First, the study is based on </w:t>
      </w:r>
      <w:r w:rsidR="000D0B57">
        <w:rPr>
          <w:rFonts w:eastAsia="Times New Roman"/>
          <w:bCs/>
          <w:sz w:val="20"/>
          <w:szCs w:val="20"/>
        </w:rPr>
        <w:t>data</w:t>
      </w:r>
      <w:r w:rsidRPr="00364472">
        <w:rPr>
          <w:rFonts w:eastAsia="Times New Roman"/>
          <w:bCs/>
          <w:sz w:val="20"/>
          <w:szCs w:val="20"/>
        </w:rPr>
        <w:t xml:space="preserve"> collected from different time periods (NFHS-5 2019-2021 and PLFS 2024-2025), which could lead to measurement inconsistencies. Second, the data at the state level masks the high intra-state urban-rural variations. Third, the study relies on a descriptive analysis approach, not on empirical modeling, thus the relationship between digital entrepreneurship and women</w:t>
      </w:r>
      <w:r w:rsidR="00984F57">
        <w:rPr>
          <w:rFonts w:eastAsia="Times New Roman"/>
          <w:bCs/>
          <w:sz w:val="20"/>
          <w:szCs w:val="20"/>
        </w:rPr>
        <w:t>’s</w:t>
      </w:r>
      <w:r w:rsidRPr="00364472">
        <w:rPr>
          <w:rFonts w:eastAsia="Times New Roman"/>
          <w:bCs/>
          <w:sz w:val="20"/>
          <w:szCs w:val="20"/>
        </w:rPr>
        <w:t xml:space="preserve"> empowerment is more conceptual rather than a tested statistical causality. Lastly, there is no primary qualitative evidence of women's lived experiences, algorithmic working conditions, and intra-household decision making processes that are essential to a full picture of algorithmic precarity.</w:t>
      </w:r>
    </w:p>
    <w:p w:rsidR="00364472" w:rsidRPr="00364472" w:rsidRDefault="00364472" w:rsidP="00724D02">
      <w:pPr>
        <w:spacing w:line="240" w:lineRule="auto"/>
        <w:jc w:val="both"/>
        <w:rPr>
          <w:rFonts w:eastAsia="Times New Roman"/>
          <w:bCs/>
          <w:sz w:val="20"/>
          <w:szCs w:val="20"/>
        </w:rPr>
      </w:pPr>
    </w:p>
    <w:p w:rsidR="00F81D5D" w:rsidRPr="00F81D5D" w:rsidRDefault="00364472" w:rsidP="00724D02">
      <w:pPr>
        <w:spacing w:line="240" w:lineRule="auto"/>
        <w:jc w:val="both"/>
        <w:rPr>
          <w:rFonts w:eastAsia="Times New Roman"/>
          <w:b/>
          <w:bCs/>
          <w:szCs w:val="20"/>
        </w:rPr>
      </w:pPr>
      <w:r>
        <w:rPr>
          <w:rFonts w:eastAsia="Times New Roman"/>
          <w:b/>
          <w:bCs/>
          <w:szCs w:val="20"/>
        </w:rPr>
        <w:t xml:space="preserve">5. </w:t>
      </w:r>
      <w:r w:rsidR="00F81D5D" w:rsidRPr="00F81D5D">
        <w:rPr>
          <w:rFonts w:eastAsia="Times New Roman"/>
          <w:b/>
          <w:bCs/>
          <w:szCs w:val="20"/>
        </w:rPr>
        <w:t>CONCLUSION</w:t>
      </w:r>
      <w:r w:rsidR="00874C20">
        <w:rPr>
          <w:rFonts w:eastAsia="Times New Roman"/>
          <w:b/>
          <w:bCs/>
          <w:szCs w:val="20"/>
        </w:rPr>
        <w:t>S</w:t>
      </w:r>
      <w:r w:rsidR="00F81D5D" w:rsidRPr="00F81D5D">
        <w:rPr>
          <w:rFonts w:eastAsia="Times New Roman"/>
          <w:b/>
          <w:bCs/>
          <w:szCs w:val="20"/>
        </w:rPr>
        <w:t xml:space="preserve"> </w:t>
      </w:r>
    </w:p>
    <w:p w:rsidR="00EC4E7C" w:rsidRDefault="00264DED" w:rsidP="00724D02">
      <w:pPr>
        <w:spacing w:line="240" w:lineRule="auto"/>
        <w:jc w:val="both"/>
        <w:rPr>
          <w:rFonts w:eastAsia="Times New Roman"/>
          <w:sz w:val="20"/>
          <w:szCs w:val="20"/>
        </w:rPr>
      </w:pPr>
      <w:r>
        <w:rPr>
          <w:rFonts w:eastAsia="Times New Roman"/>
          <w:sz w:val="20"/>
          <w:szCs w:val="20"/>
        </w:rPr>
        <w:t>The study argues</w:t>
      </w:r>
      <w:r w:rsidR="00F84B8F" w:rsidRPr="00724D02">
        <w:rPr>
          <w:rFonts w:eastAsia="Times New Roman"/>
          <w:sz w:val="20"/>
          <w:szCs w:val="20"/>
        </w:rPr>
        <w:t xml:space="preserve"> that the South Indian state possess a unique feature where high female literacy is coupled with low labour participation. This is not a mere economic anomaly, but a structural failure of the traditional formal sector to accommodate the socio-cultural realities of </w:t>
      </w:r>
      <w:r w:rsidR="00F84B8F" w:rsidRPr="00724D02">
        <w:rPr>
          <w:rFonts w:eastAsia="Times New Roman"/>
          <w:sz w:val="20"/>
          <w:szCs w:val="20"/>
        </w:rPr>
        <w:lastRenderedPageBreak/>
        <w:t xml:space="preserve">women. By applying Ragnedda’s Digital Capital Framework, </w:t>
      </w:r>
      <w:r w:rsidR="0056185A" w:rsidRPr="00724D02">
        <w:rPr>
          <w:rFonts w:eastAsia="Times New Roman"/>
          <w:sz w:val="20"/>
          <w:szCs w:val="20"/>
        </w:rPr>
        <w:t>the study</w:t>
      </w:r>
      <w:r w:rsidR="00F84B8F" w:rsidRPr="00724D02">
        <w:rPr>
          <w:rFonts w:eastAsia="Times New Roman"/>
          <w:sz w:val="20"/>
          <w:szCs w:val="20"/>
        </w:rPr>
        <w:t xml:space="preserve"> </w:t>
      </w:r>
      <w:r w:rsidR="0056185A" w:rsidRPr="00724D02">
        <w:rPr>
          <w:rFonts w:eastAsia="Times New Roman"/>
          <w:sz w:val="20"/>
          <w:szCs w:val="20"/>
        </w:rPr>
        <w:t>identifies</w:t>
      </w:r>
      <w:r w:rsidR="00F84B8F" w:rsidRPr="00724D02">
        <w:rPr>
          <w:rFonts w:eastAsia="Times New Roman"/>
          <w:sz w:val="20"/>
          <w:szCs w:val="20"/>
        </w:rPr>
        <w:t xml:space="preserve"> that the tier one digital divide is a barrier in states like Andhra Pradesh, the pressing challenge in tier three divides Kerala and Tamil Nadu, that is, the inability to convert high literacy into economic outcomes.</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analysis also reveals that Digital Entrepreneurship acts as a third space, decoupling the need for physical presence in the work location. It allows women to bypass mobility restrictions to achieve socio-economic empowerment. The potential of digital entrepreneurship is unevenly realised across states. While State-led ecosystems like WE HUB and Kudumbashree have successfully institutionalised the accumulation of digital capital, the lack of a standard policy framework in digital entrepreneurship leaves many women vulnerable to time poverty and algorithmic precarity. </w:t>
      </w:r>
    </w:p>
    <w:p w:rsidR="00F81D5D" w:rsidRPr="00724D02" w:rsidRDefault="00F81D5D"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The paper concludes that digital entrepreneurship is a tool for agency; ‘access’ alone is insufficient, but to bridge the divide, the right policy that focuses on the convertibility of capital must be drawn. As evidenced by the</w:t>
      </w:r>
      <w:r w:rsidR="00F455B5">
        <w:rPr>
          <w:rFonts w:eastAsia="Times New Roman"/>
          <w:sz w:val="20"/>
          <w:szCs w:val="20"/>
        </w:rPr>
        <w:t xml:space="preserve"> Andhra Pradesh case, dependence</w:t>
      </w:r>
      <w:r w:rsidRPr="00724D02">
        <w:rPr>
          <w:rFonts w:eastAsia="Times New Roman"/>
          <w:sz w:val="20"/>
          <w:szCs w:val="20"/>
        </w:rPr>
        <w:t xml:space="preserve"> on </w:t>
      </w:r>
      <w:r w:rsidR="00673B6D" w:rsidRPr="00724D02">
        <w:rPr>
          <w:rFonts w:eastAsia="Times New Roman"/>
          <w:sz w:val="20"/>
          <w:szCs w:val="20"/>
        </w:rPr>
        <w:t xml:space="preserve">the </w:t>
      </w:r>
      <w:r w:rsidRPr="00724D02">
        <w:rPr>
          <w:rFonts w:eastAsia="Times New Roman"/>
          <w:sz w:val="20"/>
          <w:szCs w:val="20"/>
        </w:rPr>
        <w:t xml:space="preserve">'Association-Led Industrial Model' focusing on infrastructure for manufacturing fails to bridge the second-tier divide by improving the internalised ability of women. In contrast, the success of Telangana shows that active state-led digital incubation is required to convert potential into participation. </w:t>
      </w: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It is essential to ensure that digital entrepreneurship acts as a sustainable driver of agency rather than a mere survival strategy. For this, the paper proposes a versatile policy recommendation. Currently, gig workers exist in a legal grey area without any social security measures or welfare for them. This paper </w:t>
      </w:r>
      <w:r w:rsidR="00673B6D" w:rsidRPr="00724D02">
        <w:rPr>
          <w:rFonts w:eastAsia="Times New Roman"/>
          <w:sz w:val="20"/>
          <w:szCs w:val="20"/>
        </w:rPr>
        <w:t>recommends</w:t>
      </w:r>
      <w:r w:rsidRPr="00724D02">
        <w:rPr>
          <w:rFonts w:eastAsia="Times New Roman"/>
          <w:sz w:val="20"/>
          <w:szCs w:val="20"/>
        </w:rPr>
        <w:t xml:space="preserve"> </w:t>
      </w:r>
      <w:r w:rsidR="00673B6D" w:rsidRPr="00724D02">
        <w:rPr>
          <w:rFonts w:eastAsia="Times New Roman"/>
          <w:sz w:val="20"/>
          <w:szCs w:val="20"/>
        </w:rPr>
        <w:t xml:space="preserve">that </w:t>
      </w:r>
      <w:r w:rsidRPr="00724D02">
        <w:rPr>
          <w:rFonts w:eastAsia="Times New Roman"/>
          <w:sz w:val="20"/>
          <w:szCs w:val="20"/>
        </w:rPr>
        <w:t xml:space="preserve">all the Indian states, especially south, in the context of the study, adopt the legislative framework pioneered by the Karnataka Platform-based Gig Workers (Social Security and Welfare) Bill, 2024. State government must classify the platform-based workers, including resellers, as a different labour, so that the government can mandate the platforms to contribute to the welfare fund of the gig workers. </w:t>
      </w:r>
      <w:r w:rsidR="00181482" w:rsidRPr="00724D02">
        <w:rPr>
          <w:rFonts w:eastAsia="Times New Roman"/>
          <w:sz w:val="20"/>
          <w:szCs w:val="20"/>
        </w:rPr>
        <w:t xml:space="preserve"> This will ensure access to gender-specific labour welfare measures, including maternity benefits, creche support, health insurance and grievance redressal under the Prevention of Sexual Harassment (POSH) Act</w:t>
      </w:r>
      <w:r w:rsidRPr="00724D02">
        <w:rPr>
          <w:rFonts w:eastAsia="Times New Roman"/>
          <w:sz w:val="20"/>
          <w:szCs w:val="20"/>
        </w:rPr>
        <w:t>. This policy will effectively transform informal gig workers into the formal sector.</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To mitigate the double burden of domestic and digital labour, due to the always-on nature of the digital economy, policy intervention is required to draw the lines. Right to Disconnect Bill (2025), recently introduced in the Kerala Legislative Assembly, can be considered as a blueprint for all other states in drawing the digital boundaries. This policy can bring in algorithmic fairness to gig workers and digital entrepreneurs by preventing them from being penalised for lower response rates or availability due to managing household care duties. This will ensure that the flexibility offered by the gig economy do</w:t>
      </w:r>
      <w:r w:rsidR="00181482" w:rsidRPr="00724D02">
        <w:rPr>
          <w:rFonts w:eastAsia="Times New Roman"/>
          <w:sz w:val="20"/>
          <w:szCs w:val="20"/>
        </w:rPr>
        <w:t xml:space="preserve">es not demand 24/7 availability at the cost of women's well-being. </w:t>
      </w:r>
    </w:p>
    <w:p w:rsidR="00F81D5D" w:rsidRPr="00724D02" w:rsidRDefault="00F81D5D" w:rsidP="00724D02">
      <w:pPr>
        <w:spacing w:line="240" w:lineRule="auto"/>
        <w:jc w:val="both"/>
        <w:rPr>
          <w:rFonts w:eastAsia="Times New Roman"/>
          <w:sz w:val="20"/>
          <w:szCs w:val="20"/>
        </w:rPr>
      </w:pPr>
    </w:p>
    <w:p w:rsidR="00691F86" w:rsidRDefault="00F84B8F" w:rsidP="00691F86">
      <w:pPr>
        <w:spacing w:line="240" w:lineRule="auto"/>
        <w:jc w:val="both"/>
        <w:rPr>
          <w:rFonts w:eastAsia="Times New Roman"/>
          <w:sz w:val="20"/>
          <w:szCs w:val="20"/>
        </w:rPr>
      </w:pPr>
      <w:r w:rsidRPr="00724D02">
        <w:rPr>
          <w:rFonts w:eastAsia="Times New Roman"/>
          <w:sz w:val="20"/>
          <w:szCs w:val="20"/>
        </w:rPr>
        <w:t>India experiences a large-scale adoption of UPI, but the mere adoption of a payment mechanism is not sufficient for effective digital empowerment; it can</w:t>
      </w:r>
      <w:r w:rsidR="00D931AE" w:rsidRPr="00724D02">
        <w:rPr>
          <w:rFonts w:eastAsia="Times New Roman"/>
          <w:sz w:val="20"/>
          <w:szCs w:val="20"/>
        </w:rPr>
        <w:t xml:space="preserve"> </w:t>
      </w:r>
      <w:r w:rsidRPr="00724D02">
        <w:rPr>
          <w:rFonts w:eastAsia="Times New Roman"/>
          <w:sz w:val="20"/>
          <w:szCs w:val="20"/>
        </w:rPr>
        <w:t xml:space="preserve">be achieved only through </w:t>
      </w:r>
      <w:r w:rsidR="00D931AE" w:rsidRPr="00724D02">
        <w:rPr>
          <w:rFonts w:eastAsia="Times New Roman"/>
          <w:sz w:val="20"/>
          <w:szCs w:val="20"/>
        </w:rPr>
        <w:t>sensitising</w:t>
      </w:r>
      <w:r w:rsidRPr="00724D02">
        <w:rPr>
          <w:rFonts w:eastAsia="Times New Roman"/>
          <w:sz w:val="20"/>
          <w:szCs w:val="20"/>
        </w:rPr>
        <w:t xml:space="preserve"> the credit management and responsible credit behaviour in the digital space. To enrich Financial Digital Literacy, interventions must be taken by the government to move beyond basic usage.  Aligning with the RBI Financial Literacy Week 2025 theme of "Financial Literacy: Women's Prosperity," State Rural Livelihood Missions should </w:t>
      </w:r>
      <w:r w:rsidR="00D931AE" w:rsidRPr="00724D02">
        <w:rPr>
          <w:rFonts w:eastAsia="Times New Roman"/>
          <w:sz w:val="20"/>
          <w:szCs w:val="20"/>
        </w:rPr>
        <w:t>sensitise</w:t>
      </w:r>
      <w:r w:rsidRPr="00724D02">
        <w:rPr>
          <w:rFonts w:eastAsia="Times New Roman"/>
          <w:sz w:val="20"/>
          <w:szCs w:val="20"/>
        </w:rPr>
        <w:t xml:space="preserve"> and integrate modules on "Digital Credit Management" and "Cyber-Fraud Prevention" into their SHG training. As women step into digital entrepreneurship, they become targets for digital fraud; </w:t>
      </w:r>
      <w:r w:rsidR="00FA05D1" w:rsidRPr="00724D02">
        <w:rPr>
          <w:rFonts w:eastAsia="Times New Roman"/>
          <w:sz w:val="20"/>
          <w:szCs w:val="20"/>
        </w:rPr>
        <w:t>this</w:t>
      </w:r>
      <w:r w:rsidRPr="00724D02">
        <w:rPr>
          <w:rFonts w:eastAsia="Times New Roman"/>
          <w:sz w:val="20"/>
          <w:szCs w:val="20"/>
        </w:rPr>
        <w:t xml:space="preserve"> training will help them to understand the threats and risks in the digital space and protect their economic capital. This is as important as supporting them in generating wealth and </w:t>
      </w:r>
      <w:r w:rsidR="00181482" w:rsidRPr="00724D02">
        <w:rPr>
          <w:rFonts w:eastAsia="Times New Roman"/>
          <w:sz w:val="20"/>
          <w:szCs w:val="20"/>
        </w:rPr>
        <w:t>ensuring that financial decision-making power remains with the woman, rather than male family members.</w:t>
      </w:r>
    </w:p>
    <w:p w:rsidR="00691F86" w:rsidRPr="00691F86" w:rsidRDefault="00691F86" w:rsidP="00691F86">
      <w:pPr>
        <w:spacing w:line="240" w:lineRule="auto"/>
        <w:jc w:val="both"/>
        <w:rPr>
          <w:rFonts w:eastAsia="Times New Roman"/>
          <w:sz w:val="20"/>
          <w:szCs w:val="20"/>
        </w:rPr>
      </w:pPr>
      <w:r w:rsidRPr="00F81D5D">
        <w:rPr>
          <w:rFonts w:eastAsia="Times New Roman"/>
          <w:b/>
          <w:bCs/>
          <w:szCs w:val="20"/>
        </w:rPr>
        <w:lastRenderedPageBreak/>
        <w:t>POLICY RECOMMENDATIONS</w:t>
      </w:r>
    </w:p>
    <w:p w:rsidR="00691F86" w:rsidRDefault="00691F86" w:rsidP="00724D02">
      <w:pPr>
        <w:spacing w:line="240" w:lineRule="auto"/>
        <w:jc w:val="both"/>
        <w:rPr>
          <w:rFonts w:eastAsia="Times New Roman"/>
          <w:sz w:val="20"/>
          <w:szCs w:val="20"/>
        </w:rPr>
      </w:pP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w:t>
      </w:r>
      <w:r w:rsidR="00691F86">
        <w:rPr>
          <w:rFonts w:eastAsia="Times New Roman"/>
          <w:sz w:val="20"/>
          <w:szCs w:val="20"/>
        </w:rPr>
        <w:t>study</w:t>
      </w:r>
      <w:r w:rsidRPr="00724D02">
        <w:rPr>
          <w:rFonts w:eastAsia="Times New Roman"/>
          <w:sz w:val="20"/>
          <w:szCs w:val="20"/>
        </w:rPr>
        <w:t xml:space="preserve"> recommends establishing "Common Service </w:t>
      </w:r>
      <w:r w:rsidR="00FA05D1" w:rsidRPr="00724D02">
        <w:rPr>
          <w:rFonts w:eastAsia="Times New Roman"/>
          <w:sz w:val="20"/>
          <w:szCs w:val="20"/>
        </w:rPr>
        <w:t>Centres</w:t>
      </w:r>
      <w:r w:rsidRPr="00724D02">
        <w:rPr>
          <w:rFonts w:eastAsia="Times New Roman"/>
          <w:sz w:val="20"/>
          <w:szCs w:val="20"/>
        </w:rPr>
        <w:t xml:space="preserve"> (CSCs) for Women" modelled on the Kudumbashree. These </w:t>
      </w:r>
      <w:r w:rsidR="00673B6D" w:rsidRPr="00724D02">
        <w:rPr>
          <w:rFonts w:eastAsia="Times New Roman"/>
          <w:sz w:val="20"/>
          <w:szCs w:val="20"/>
        </w:rPr>
        <w:t>centers</w:t>
      </w:r>
      <w:r w:rsidRPr="00724D02">
        <w:rPr>
          <w:rFonts w:eastAsia="Times New Roman"/>
          <w:sz w:val="20"/>
          <w:szCs w:val="20"/>
        </w:rPr>
        <w:t xml:space="preserve"> must be equipped with high-speed internet and female facilitators, so that they ca</w:t>
      </w:r>
      <w:r w:rsidR="00181482" w:rsidRPr="00724D02">
        <w:rPr>
          <w:rFonts w:eastAsia="Times New Roman"/>
          <w:sz w:val="20"/>
          <w:szCs w:val="20"/>
        </w:rPr>
        <w:t xml:space="preserve">n act as a digital capital hub. This ensures that </w:t>
      </w:r>
      <w:r w:rsidRPr="00724D02">
        <w:rPr>
          <w:rFonts w:eastAsia="Times New Roman"/>
          <w:sz w:val="20"/>
          <w:szCs w:val="20"/>
        </w:rPr>
        <w:t>the women who do not have access to a personal digital device can access and step into digital entrepreneurship effectively, utilising the externalised re</w:t>
      </w:r>
      <w:bookmarkStart w:id="0" w:name="_GoBack"/>
      <w:bookmarkEnd w:id="0"/>
      <w:r w:rsidRPr="00724D02">
        <w:rPr>
          <w:rFonts w:eastAsia="Times New Roman"/>
          <w:sz w:val="20"/>
          <w:szCs w:val="20"/>
        </w:rPr>
        <w:t xml:space="preserve">sources for socio-economic empowerment. The Common Service Centres are essential to states like Andhra Pradesh, where the first tier of </w:t>
      </w:r>
      <w:r w:rsidR="00FA05D1" w:rsidRPr="00724D02">
        <w:rPr>
          <w:rFonts w:eastAsia="Times New Roman"/>
          <w:sz w:val="20"/>
          <w:szCs w:val="20"/>
        </w:rPr>
        <w:t>the digital</w:t>
      </w:r>
      <w:r w:rsidRPr="00724D02">
        <w:rPr>
          <w:rFonts w:eastAsia="Times New Roman"/>
          <w:sz w:val="20"/>
          <w:szCs w:val="20"/>
        </w:rPr>
        <w:t xml:space="preserve"> divide </w:t>
      </w:r>
      <w:r w:rsidR="00FA05D1" w:rsidRPr="00724D02">
        <w:rPr>
          <w:rFonts w:eastAsia="Times New Roman"/>
          <w:sz w:val="20"/>
          <w:szCs w:val="20"/>
        </w:rPr>
        <w:t>exists,</w:t>
      </w:r>
      <w:r w:rsidRPr="00724D02">
        <w:rPr>
          <w:rFonts w:eastAsia="Times New Roman"/>
          <w:sz w:val="20"/>
          <w:szCs w:val="20"/>
        </w:rPr>
        <w:t xml:space="preserve"> and externalised resources are insufficient.</w:t>
      </w:r>
    </w:p>
    <w:p w:rsidR="00331AF8" w:rsidRPr="00724D02" w:rsidRDefault="00331AF8" w:rsidP="00724D02">
      <w:pPr>
        <w:spacing w:line="240" w:lineRule="auto"/>
        <w:jc w:val="both"/>
        <w:rPr>
          <w:rFonts w:eastAsia="Times New Roman"/>
          <w:sz w:val="20"/>
          <w:szCs w:val="20"/>
        </w:rPr>
      </w:pPr>
    </w:p>
    <w:p w:rsidR="00F81D5D" w:rsidRDefault="00F84B8F" w:rsidP="00724D02">
      <w:pPr>
        <w:spacing w:line="240" w:lineRule="auto"/>
        <w:jc w:val="both"/>
        <w:rPr>
          <w:rFonts w:eastAsia="Times New Roman"/>
          <w:sz w:val="20"/>
          <w:szCs w:val="20"/>
        </w:rPr>
      </w:pPr>
      <w:r w:rsidRPr="00724D02">
        <w:rPr>
          <w:rFonts w:eastAsia="Times New Roman"/>
          <w:sz w:val="20"/>
          <w:szCs w:val="20"/>
        </w:rPr>
        <w:t xml:space="preserve">Ultimately, the paper argues that bridging the divide is not a technological challenge alone; it is a sociological one. By shifting policy focus from Digital Access to Digital Capital </w:t>
      </w:r>
      <w:r w:rsidR="00FA05D1" w:rsidRPr="00724D02">
        <w:rPr>
          <w:rFonts w:eastAsia="Times New Roman"/>
          <w:sz w:val="20"/>
          <w:szCs w:val="20"/>
        </w:rPr>
        <w:t>convertibility</w:t>
      </w:r>
      <w:r w:rsidRPr="00724D02">
        <w:rPr>
          <w:rFonts w:eastAsia="Times New Roman"/>
          <w:sz w:val="20"/>
          <w:szCs w:val="20"/>
        </w:rPr>
        <w:t>, South India can unlock its demographic dividend, transforming its educated women from content consumers to digital entrepreneurs.</w:t>
      </w:r>
    </w:p>
    <w:p w:rsidR="006F584E" w:rsidRDefault="006F584E" w:rsidP="00724D02">
      <w:pPr>
        <w:spacing w:line="240" w:lineRule="auto"/>
        <w:jc w:val="both"/>
        <w:rPr>
          <w:rFonts w:eastAsia="Times New Roman"/>
          <w:sz w:val="20"/>
          <w:szCs w:val="20"/>
        </w:rPr>
      </w:pPr>
    </w:p>
    <w:p w:rsidR="006F584E" w:rsidRPr="00005ED1" w:rsidRDefault="006F584E" w:rsidP="006F584E">
      <w:pPr>
        <w:pStyle w:val="NoSpacing"/>
        <w:rPr>
          <w:rFonts w:ascii="Arial" w:hAnsi="Arial" w:cs="Arial"/>
          <w:highlight w:val="yellow"/>
        </w:rPr>
      </w:pPr>
      <w:r w:rsidRPr="00005ED1">
        <w:rPr>
          <w:rFonts w:ascii="Arial" w:hAnsi="Arial" w:cs="Arial"/>
          <w:highlight w:val="yellow"/>
        </w:rPr>
        <w:t>Disclaimer (Artificial intelligence)</w:t>
      </w:r>
    </w:p>
    <w:p w:rsidR="006F584E" w:rsidRPr="00005ED1" w:rsidRDefault="006F584E" w:rsidP="006F584E">
      <w:pPr>
        <w:pStyle w:val="NoSpacing"/>
        <w:rPr>
          <w:rFonts w:ascii="Arial" w:hAnsi="Arial" w:cs="Arial"/>
          <w:highlight w:val="yellow"/>
        </w:rPr>
      </w:pPr>
    </w:p>
    <w:p w:rsidR="006F584E" w:rsidRDefault="006F584E" w:rsidP="006F584E">
      <w:pPr>
        <w:spacing w:line="240" w:lineRule="auto"/>
        <w:jc w:val="both"/>
        <w:rPr>
          <w:rFonts w:eastAsia="Times New Roman"/>
          <w:sz w:val="20"/>
          <w:szCs w:val="20"/>
        </w:rPr>
      </w:pPr>
      <w:r w:rsidRPr="00005ED1">
        <w:rPr>
          <w:highlight w:val="yellow"/>
        </w:rPr>
        <w:t>Author(s) hereby declare that NO generative AI technologies such as Large Language Models (</w:t>
      </w:r>
      <w:proofErr w:type="spellStart"/>
      <w:r w:rsidRPr="00005ED1">
        <w:rPr>
          <w:highlight w:val="yellow"/>
        </w:rPr>
        <w:t>ChatGPT</w:t>
      </w:r>
      <w:proofErr w:type="spellEnd"/>
      <w:r w:rsidRPr="00005ED1">
        <w:rPr>
          <w:highlight w:val="yellow"/>
        </w:rPr>
        <w:t>, COPILOT, etc.) and text-to-image generators have been used during the writing or editing of this manuscript.</w:t>
      </w: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 </w:t>
      </w:r>
    </w:p>
    <w:p w:rsidR="00DF5456" w:rsidRPr="00D5788D" w:rsidRDefault="00DF5456" w:rsidP="00724D02">
      <w:pPr>
        <w:spacing w:line="240" w:lineRule="auto"/>
        <w:jc w:val="both"/>
        <w:rPr>
          <w:rFonts w:eastAsia="Times New Roman"/>
          <w:sz w:val="20"/>
          <w:szCs w:val="24"/>
        </w:rPr>
      </w:pPr>
    </w:p>
    <w:p w:rsidR="00F00C7E" w:rsidRDefault="00F81D5D" w:rsidP="00724D02">
      <w:pPr>
        <w:spacing w:line="240" w:lineRule="auto"/>
        <w:jc w:val="both"/>
        <w:rPr>
          <w:rFonts w:eastAsia="Times New Roman"/>
          <w:b/>
          <w:szCs w:val="24"/>
        </w:rPr>
      </w:pPr>
      <w:r w:rsidRPr="00F81D5D">
        <w:rPr>
          <w:rFonts w:eastAsia="Times New Roman"/>
          <w:b/>
          <w:szCs w:val="24"/>
        </w:rPr>
        <w:t>REFERENCES</w:t>
      </w:r>
    </w:p>
    <w:p w:rsidR="00F81D5D" w:rsidRPr="00F81D5D" w:rsidRDefault="00F81D5D" w:rsidP="00724D02">
      <w:pPr>
        <w:spacing w:line="240" w:lineRule="auto"/>
        <w:jc w:val="both"/>
        <w:rPr>
          <w:rFonts w:eastAsia="Times New Roman"/>
          <w:szCs w:val="24"/>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Association of Lady Entrepreneurs of India (ALEAP). (n.d.). Industrial estates and incubation </w:t>
      </w:r>
      <w:r w:rsidR="00FB7340">
        <w:rPr>
          <w:rFonts w:ascii="Arial" w:hAnsi="Arial" w:cs="Arial"/>
          <w:sz w:val="20"/>
        </w:rPr>
        <w:t>centres</w:t>
      </w:r>
      <w:r w:rsidRPr="00F81D5D">
        <w:rPr>
          <w:rFonts w:ascii="Arial" w:hAnsi="Arial" w:cs="Arial"/>
          <w:sz w:val="20"/>
        </w:rPr>
        <w:t xml:space="preserve">. </w:t>
      </w:r>
      <w:hyperlink r:id="rId8" w:history="1">
        <w:r w:rsidRPr="00874996">
          <w:rPr>
            <w:rStyle w:val="Hyperlink"/>
            <w:rFonts w:ascii="Arial" w:hAnsi="Arial" w:cs="Arial"/>
            <w:sz w:val="20"/>
          </w:rPr>
          <w:t>https://www.aleap.org/</w:t>
        </w:r>
      </w:hyperlink>
      <w:r>
        <w:rPr>
          <w:rFonts w:ascii="Arial" w:hAnsi="Arial" w:cs="Arial"/>
          <w:sz w:val="20"/>
        </w:rPr>
        <w:t xml:space="preserve"> </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Bain &amp; Company</w:t>
      </w:r>
      <w:r w:rsidR="00F57CF0">
        <w:rPr>
          <w:rFonts w:ascii="Arial" w:hAnsi="Arial" w:cs="Arial"/>
          <w:sz w:val="20"/>
        </w:rPr>
        <w:t>,</w:t>
      </w:r>
      <w:r w:rsidRPr="00F81D5D">
        <w:rPr>
          <w:rFonts w:ascii="Arial" w:hAnsi="Arial" w:cs="Arial"/>
          <w:sz w:val="20"/>
        </w:rPr>
        <w:t xml:space="preserve"> &amp; Sequoia India. (2020). The future of commerce in India: The rise of social commerce. </w:t>
      </w:r>
      <w:hyperlink r:id="rId9" w:history="1">
        <w:r w:rsidRPr="00874996">
          <w:rPr>
            <w:rStyle w:val="Hyperlink"/>
            <w:rFonts w:ascii="Arial" w:hAnsi="Arial" w:cs="Arial"/>
            <w:sz w:val="20"/>
          </w:rPr>
          <w:t>https://www.bain.com/insights/the-future-of-commerce-in-india-the-rise-of-social-commerce/</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Chatterjee, E., Desai, S., &amp; </w:t>
      </w:r>
      <w:proofErr w:type="spellStart"/>
      <w:r w:rsidRPr="00F81D5D">
        <w:rPr>
          <w:rFonts w:ascii="Arial" w:hAnsi="Arial" w:cs="Arial"/>
          <w:sz w:val="20"/>
        </w:rPr>
        <w:t>Vanneman</w:t>
      </w:r>
      <w:proofErr w:type="spellEnd"/>
      <w:r w:rsidRPr="00F81D5D">
        <w:rPr>
          <w:rFonts w:ascii="Arial" w:hAnsi="Arial" w:cs="Arial"/>
          <w:sz w:val="20"/>
        </w:rPr>
        <w:t xml:space="preserve">, R. (2018). Indian paradox: Rising education, declining women's employment. Demographic Research, 38, 855–878. </w:t>
      </w:r>
      <w:hyperlink r:id="rId10" w:history="1">
        <w:r w:rsidRPr="00874996">
          <w:rPr>
            <w:rStyle w:val="Hyperlink"/>
            <w:rFonts w:ascii="Arial" w:hAnsi="Arial" w:cs="Arial"/>
            <w:sz w:val="20"/>
          </w:rPr>
          <w:t>https://doi.org/10.4054/DemRes.2018.38.31</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Dhanuraj</w:t>
      </w:r>
      <w:proofErr w:type="spellEnd"/>
      <w:r w:rsidRPr="00F81D5D">
        <w:rPr>
          <w:rFonts w:ascii="Arial" w:hAnsi="Arial" w:cs="Arial"/>
          <w:sz w:val="20"/>
        </w:rPr>
        <w:t>, D., &amp; Solomon, N. (2024</w:t>
      </w:r>
      <w:r w:rsidR="00F57CF0">
        <w:rPr>
          <w:rFonts w:ascii="Arial" w:hAnsi="Arial" w:cs="Arial"/>
          <w:sz w:val="20"/>
        </w:rPr>
        <w:t xml:space="preserve">, </w:t>
      </w:r>
      <w:r w:rsidR="00F57CF0" w:rsidRPr="00F57CF0">
        <w:rPr>
          <w:rFonts w:ascii="Arial" w:hAnsi="Arial" w:cs="Arial"/>
          <w:sz w:val="20"/>
        </w:rPr>
        <w:t>September 9</w:t>
      </w:r>
      <w:r w:rsidRPr="00F81D5D">
        <w:rPr>
          <w:rFonts w:ascii="Arial" w:hAnsi="Arial" w:cs="Arial"/>
          <w:sz w:val="20"/>
        </w:rPr>
        <w:t xml:space="preserve">). Kerala’s patriarchal dominance and low female workforce participation. Deccan Herald. </w:t>
      </w:r>
      <w:hyperlink r:id="rId11" w:history="1">
        <w:r w:rsidRPr="00874996">
          <w:rPr>
            <w:rStyle w:val="Hyperlink"/>
            <w:rFonts w:ascii="Arial" w:hAnsi="Arial" w:cs="Arial"/>
            <w:sz w:val="20"/>
          </w:rPr>
          <w:t>https://www.deccanherald.com/opinion/keralas-patriarchal-dominance-and-low-female-workforce-participation-3182265</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Drèze</w:t>
      </w:r>
      <w:proofErr w:type="spellEnd"/>
      <w:r w:rsidRPr="00F81D5D">
        <w:rPr>
          <w:rFonts w:ascii="Arial" w:hAnsi="Arial" w:cs="Arial"/>
          <w:sz w:val="20"/>
        </w:rPr>
        <w:t>, J., &amp; Sen, A. (2013). An uncertain glory: India and its contradictions. Princeton University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Goldin, C. (1995). The U-shaped female </w:t>
      </w:r>
      <w:proofErr w:type="spellStart"/>
      <w:r w:rsidRPr="00F81D5D">
        <w:rPr>
          <w:rFonts w:ascii="Arial" w:hAnsi="Arial" w:cs="Arial"/>
          <w:sz w:val="20"/>
        </w:rPr>
        <w:t>labor</w:t>
      </w:r>
      <w:proofErr w:type="spellEnd"/>
      <w:r w:rsidRPr="00F81D5D">
        <w:rPr>
          <w:rFonts w:ascii="Arial" w:hAnsi="Arial" w:cs="Arial"/>
          <w:sz w:val="20"/>
        </w:rPr>
        <w:t xml:space="preserve"> force function in economic development and economic history. In T. P. Schultz (Ed.), Investment in women’s human capital (pp. 61–90). University of Chicago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GSMA. (2024). The mobile gender gap report 2024. GSMA Connected Women. </w:t>
      </w:r>
      <w:hyperlink r:id="rId12" w:history="1">
        <w:r w:rsidRPr="00874996">
          <w:rPr>
            <w:rStyle w:val="Hyperlink"/>
            <w:rFonts w:ascii="Arial" w:hAnsi="Arial" w:cs="Arial"/>
            <w:sz w:val="20"/>
          </w:rPr>
          <w:t>https://www.gsma.com/r/gender-gap/</w:t>
        </w:r>
      </w:hyperlink>
    </w:p>
    <w:p w:rsidR="00B16EDE" w:rsidRDefault="00B16EDE" w:rsidP="00F81D5D">
      <w:pPr>
        <w:pStyle w:val="NormalWeb"/>
        <w:spacing w:before="0" w:beforeAutospacing="0" w:after="0" w:afterAutospacing="0"/>
        <w:jc w:val="both"/>
        <w:rPr>
          <w:rFonts w:ascii="Arial" w:hAnsi="Arial" w:cs="Arial"/>
          <w:sz w:val="20"/>
        </w:rPr>
      </w:pPr>
    </w:p>
    <w:p w:rsidR="00B16EDE" w:rsidRDefault="00B16EDE" w:rsidP="00F81D5D">
      <w:pPr>
        <w:pStyle w:val="NormalWeb"/>
        <w:spacing w:before="0" w:beforeAutospacing="0" w:after="0" w:afterAutospacing="0"/>
        <w:jc w:val="both"/>
        <w:rPr>
          <w:rFonts w:ascii="Arial" w:hAnsi="Arial" w:cs="Arial"/>
          <w:sz w:val="20"/>
        </w:rPr>
      </w:pPr>
      <w:r w:rsidRPr="00B16EDE">
        <w:rPr>
          <w:rFonts w:ascii="Arial" w:hAnsi="Arial" w:cs="Arial"/>
          <w:sz w:val="20"/>
        </w:rPr>
        <w:lastRenderedPageBreak/>
        <w:t xml:space="preserve">Hunt, A., &amp; </w:t>
      </w:r>
      <w:proofErr w:type="spellStart"/>
      <w:r w:rsidRPr="00B16EDE">
        <w:rPr>
          <w:rFonts w:ascii="Arial" w:hAnsi="Arial" w:cs="Arial"/>
          <w:sz w:val="20"/>
        </w:rPr>
        <w:t>Samman</w:t>
      </w:r>
      <w:proofErr w:type="spellEnd"/>
      <w:r w:rsidRPr="00B16EDE">
        <w:rPr>
          <w:rFonts w:ascii="Arial" w:hAnsi="Arial" w:cs="Arial"/>
          <w:sz w:val="20"/>
        </w:rPr>
        <w:t xml:space="preserve">, E. (2019). Gender and the gig economy: Critical steps for evidence-based policy. Overseas Development Institute (ODI). </w:t>
      </w:r>
      <w:hyperlink r:id="rId13" w:history="1">
        <w:r w:rsidRPr="007A32F2">
          <w:rPr>
            <w:rStyle w:val="Hyperlink"/>
            <w:rFonts w:ascii="Arial" w:hAnsi="Arial" w:cs="Arial"/>
            <w:sz w:val="20"/>
          </w:rPr>
          <w:t>https://odi.org/en/publications/gender-and-the-gig-economy-critical-steps-for-evidence-based-policy/</w:t>
        </w:r>
      </w:hyperlink>
    </w:p>
    <w:p w:rsidR="00B16EDE" w:rsidRDefault="00B16EDE"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International Institute for Population Sciences (IIPS) &amp; ICF. (2021). National Family Health Survey (NFHS-5), 2019–21: India. </w:t>
      </w:r>
      <w:hyperlink r:id="rId14" w:history="1">
        <w:r w:rsidRPr="00874996">
          <w:rPr>
            <w:rStyle w:val="Hyperlink"/>
            <w:rFonts w:ascii="Arial" w:hAnsi="Arial" w:cs="Arial"/>
            <w:sz w:val="20"/>
          </w:rPr>
          <w:t>https://dhsprogram.com/pubs/pdf/FR375/FR375.pdf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Karnataka Innovation and Technology Society (KITS). (n.d.). </w:t>
      </w:r>
      <w:proofErr w:type="spellStart"/>
      <w:r w:rsidRPr="00F81D5D">
        <w:rPr>
          <w:rFonts w:ascii="Arial" w:hAnsi="Arial" w:cs="Arial"/>
          <w:sz w:val="20"/>
        </w:rPr>
        <w:t>Wescalate</w:t>
      </w:r>
      <w:proofErr w:type="spellEnd"/>
      <w:r w:rsidRPr="00F81D5D">
        <w:rPr>
          <w:rFonts w:ascii="Arial" w:hAnsi="Arial" w:cs="Arial"/>
          <w:sz w:val="20"/>
        </w:rPr>
        <w:t xml:space="preserve">: Women entrepreneurship scale program. Government of Karnataka. </w:t>
      </w:r>
      <w:hyperlink r:id="rId15" w:history="1">
        <w:r w:rsidRPr="00874996">
          <w:rPr>
            <w:rStyle w:val="Hyperlink"/>
            <w:rFonts w:ascii="Arial" w:hAnsi="Arial" w:cs="Arial"/>
            <w:sz w:val="20"/>
          </w:rPr>
          <w:t>https://eitbt.karnataka.gov.in/startup/public/109/wescalate/en</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Kudumbashree. (n.d.). Kudumbashree Bazaar: E-commerce portal. Government of Kerala. </w:t>
      </w:r>
      <w:hyperlink r:id="rId16" w:history="1">
        <w:r w:rsidRPr="00874996">
          <w:rPr>
            <w:rStyle w:val="Hyperlink"/>
            <w:rFonts w:ascii="Arial" w:hAnsi="Arial" w:cs="Arial"/>
            <w:sz w:val="20"/>
          </w:rPr>
          <w:t>https://www.kudumbashree.org/</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Mathew, E. T. (1995). Educated unemployment in Kerala: Some observations. Economic and Political Weekly, 30(6), 325–335.</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Ministry of Statistics and Programme Implementation (</w:t>
      </w:r>
      <w:proofErr w:type="spellStart"/>
      <w:r w:rsidRPr="00F81D5D">
        <w:rPr>
          <w:rFonts w:ascii="Arial" w:hAnsi="Arial" w:cs="Arial"/>
          <w:sz w:val="20"/>
        </w:rPr>
        <w:t>MoSPI</w:t>
      </w:r>
      <w:proofErr w:type="spellEnd"/>
      <w:r w:rsidRPr="00F81D5D">
        <w:rPr>
          <w:rFonts w:ascii="Arial" w:hAnsi="Arial" w:cs="Arial"/>
          <w:sz w:val="20"/>
        </w:rPr>
        <w:t xml:space="preserve">). (2025). Periodic Labour Force Survey (PLFS) – </w:t>
      </w:r>
      <w:r w:rsidR="00F57CF0">
        <w:rPr>
          <w:rFonts w:ascii="Arial" w:hAnsi="Arial" w:cs="Arial"/>
          <w:sz w:val="20"/>
        </w:rPr>
        <w:t>Annual Report 2024-2025</w:t>
      </w:r>
      <w:r w:rsidRPr="00F81D5D">
        <w:rPr>
          <w:rFonts w:ascii="Arial" w:hAnsi="Arial" w:cs="Arial"/>
          <w:sz w:val="20"/>
        </w:rPr>
        <w:t xml:space="preserve">. Government of India. </w:t>
      </w:r>
      <w:hyperlink r:id="rId17" w:history="1">
        <w:r w:rsidRPr="00874996">
          <w:rPr>
            <w:rStyle w:val="Hyperlink"/>
            <w:rFonts w:ascii="Arial" w:hAnsi="Arial" w:cs="Arial"/>
            <w:sz w:val="20"/>
          </w:rPr>
          <w:t>https://www.mospi.gov.in/sites/default/files/publication_reports/PLFS_Changes-in-2025_rev.pdf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Ministry of Statistics and Programme Implementation (</w:t>
      </w:r>
      <w:proofErr w:type="spellStart"/>
      <w:r w:rsidRPr="00F81D5D">
        <w:rPr>
          <w:rFonts w:ascii="Arial" w:hAnsi="Arial" w:cs="Arial"/>
          <w:sz w:val="20"/>
        </w:rPr>
        <w:t>MoSPI</w:t>
      </w:r>
      <w:proofErr w:type="spellEnd"/>
      <w:r w:rsidRPr="00F81D5D">
        <w:rPr>
          <w:rFonts w:ascii="Arial" w:hAnsi="Arial" w:cs="Arial"/>
          <w:sz w:val="20"/>
        </w:rPr>
        <w:t xml:space="preserve">). (2020). Time use in India – 2024. Government of India. </w:t>
      </w:r>
      <w:hyperlink r:id="rId18" w:history="1">
        <w:r w:rsidRPr="00874996">
          <w:rPr>
            <w:rStyle w:val="Hyperlink"/>
            <w:rFonts w:ascii="Arial" w:hAnsi="Arial" w:cs="Arial"/>
            <w:sz w:val="20"/>
          </w:rPr>
          <w:t>https://www.mospi.gov.in/sites/default/files/publication_reports/TUS_Factsheet_25022025.pdf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Nambisan, S. (2017). Digital entrepreneurship: Toward a digital technology perspective of entrepreneurship. Entrepreneurship Theory and Practice, 41(6), 1029–1055. </w:t>
      </w:r>
      <w:hyperlink r:id="rId19" w:history="1">
        <w:r w:rsidRPr="00874996">
          <w:rPr>
            <w:rStyle w:val="Hyperlink"/>
            <w:rFonts w:ascii="Arial" w:hAnsi="Arial" w:cs="Arial"/>
            <w:sz w:val="20"/>
          </w:rPr>
          <w:t>https://doi.org/10.1111/etap.12254</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Norris, P. (2001). Digital divide: Civic engagement, information poverty, and the Internet worldwide. Cambridge University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Ragnedda, M. (2018). Conceptualizing digital capital. Telematics and Informatics, 35(8), 2366–2375. </w:t>
      </w:r>
      <w:hyperlink r:id="rId20" w:history="1">
        <w:r w:rsidRPr="00874996">
          <w:rPr>
            <w:rStyle w:val="Hyperlink"/>
            <w:rFonts w:ascii="Arial" w:hAnsi="Arial" w:cs="Arial"/>
            <w:sz w:val="20"/>
          </w:rPr>
          <w:t>https://doi.org/10.1016/j.tele.2018.10.006</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Sahoo, A. (2023). Women’s movement and social change in India. International Journal for Multidisciplinary Research, 5(1). </w:t>
      </w:r>
      <w:hyperlink r:id="rId21" w:history="1">
        <w:r w:rsidRPr="00874996">
          <w:rPr>
            <w:rStyle w:val="Hyperlink"/>
            <w:rFonts w:ascii="Arial" w:hAnsi="Arial" w:cs="Arial"/>
            <w:sz w:val="20"/>
          </w:rPr>
          <w:t>https://doi.org/10.36948/ijfmr.2023.v05i01.22590</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Shameerdas</w:t>
      </w:r>
      <w:proofErr w:type="spellEnd"/>
      <w:r w:rsidRPr="00F81D5D">
        <w:rPr>
          <w:rFonts w:ascii="Arial" w:hAnsi="Arial" w:cs="Arial"/>
          <w:sz w:val="20"/>
        </w:rPr>
        <w:t xml:space="preserve">, T. (2024). Level of education and female employment: A Kerala experience. International Journal for Multidisciplinary Research, 6(4). </w:t>
      </w:r>
      <w:hyperlink r:id="rId22" w:history="1">
        <w:r w:rsidRPr="00874996">
          <w:rPr>
            <w:rStyle w:val="Hyperlink"/>
            <w:rFonts w:ascii="Arial" w:hAnsi="Arial" w:cs="Arial"/>
            <w:sz w:val="20"/>
          </w:rPr>
          <w:t>https://doi.org/10.36948/ijfmr.2024.v06i04.25147</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Sivan, G., &amp; Balakrishnan, A. (2024). Gender discrimination and choice of decision-making among the working women in Kerala. Centre for Applied Research, </w:t>
      </w:r>
      <w:proofErr w:type="spellStart"/>
      <w:r w:rsidRPr="00F81D5D">
        <w:rPr>
          <w:rFonts w:ascii="Arial" w:hAnsi="Arial" w:cs="Arial"/>
          <w:sz w:val="20"/>
        </w:rPr>
        <w:t>Gandhigram</w:t>
      </w:r>
      <w:proofErr w:type="spellEnd"/>
      <w:r w:rsidRPr="00F81D5D">
        <w:rPr>
          <w:rFonts w:ascii="Arial" w:hAnsi="Arial" w:cs="Arial"/>
          <w:sz w:val="20"/>
        </w:rPr>
        <w:t xml:space="preserve"> Rural Institute.</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Tamil Nadu Rural Incubator and Start-Up Enabler (TN-RISE). (2024). About TN-RISE. Tamil Nadu Corporation for Development of Women. </w:t>
      </w:r>
      <w:hyperlink r:id="rId23" w:history="1">
        <w:r w:rsidRPr="00874996">
          <w:rPr>
            <w:rStyle w:val="Hyperlink"/>
            <w:rFonts w:ascii="Arial" w:hAnsi="Arial" w:cs="Arial"/>
            <w:sz w:val="20"/>
          </w:rPr>
          <w:t>https://www.tnrise.co.in/</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van Dijk, J. A. G. M. (2005). The deepening divide: Inequality in the information society. Sage Publications.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Style w:val="Hyperlink"/>
          <w:rFonts w:ascii="Arial" w:hAnsi="Arial" w:cs="Arial"/>
          <w:sz w:val="20"/>
        </w:rPr>
      </w:pPr>
      <w:r w:rsidRPr="00F81D5D">
        <w:rPr>
          <w:rFonts w:ascii="Arial" w:hAnsi="Arial" w:cs="Arial"/>
          <w:sz w:val="20"/>
        </w:rPr>
        <w:t xml:space="preserve">WE HUB. (n.d.). Programs and incubation. Government of Telangana. </w:t>
      </w:r>
      <w:hyperlink r:id="rId24" w:history="1">
        <w:r w:rsidRPr="00874996">
          <w:rPr>
            <w:rStyle w:val="Hyperlink"/>
            <w:rFonts w:ascii="Arial" w:hAnsi="Arial" w:cs="Arial"/>
            <w:sz w:val="20"/>
          </w:rPr>
          <w:t>https://wehub.telangana.gov.in/</w:t>
        </w:r>
      </w:hyperlink>
    </w:p>
    <w:p w:rsidR="00B16EDE" w:rsidRDefault="00B16EDE" w:rsidP="00F81D5D">
      <w:pPr>
        <w:pStyle w:val="NormalWeb"/>
        <w:spacing w:before="0" w:beforeAutospacing="0" w:after="0" w:afterAutospacing="0"/>
        <w:jc w:val="both"/>
        <w:rPr>
          <w:rStyle w:val="Hyperlink"/>
          <w:rFonts w:ascii="Arial" w:hAnsi="Arial" w:cs="Arial"/>
          <w:sz w:val="20"/>
        </w:rPr>
      </w:pPr>
    </w:p>
    <w:p w:rsidR="00B16EDE" w:rsidRDefault="00B16EDE" w:rsidP="00F81D5D">
      <w:pPr>
        <w:pStyle w:val="NormalWeb"/>
        <w:spacing w:before="0" w:beforeAutospacing="0" w:after="0" w:afterAutospacing="0"/>
        <w:jc w:val="both"/>
        <w:rPr>
          <w:rFonts w:ascii="Arial" w:hAnsi="Arial" w:cs="Arial"/>
          <w:sz w:val="20"/>
        </w:rPr>
      </w:pPr>
      <w:r w:rsidRPr="00B16EDE">
        <w:rPr>
          <w:rFonts w:ascii="Arial" w:hAnsi="Arial" w:cs="Arial"/>
          <w:sz w:val="20"/>
        </w:rPr>
        <w:t xml:space="preserve">Wood, A. J., Graham, M., </w:t>
      </w:r>
      <w:proofErr w:type="spellStart"/>
      <w:r w:rsidRPr="00B16EDE">
        <w:rPr>
          <w:rFonts w:ascii="Arial" w:hAnsi="Arial" w:cs="Arial"/>
          <w:sz w:val="20"/>
        </w:rPr>
        <w:t>Lehdonvirta</w:t>
      </w:r>
      <w:proofErr w:type="spellEnd"/>
      <w:r w:rsidRPr="00B16EDE">
        <w:rPr>
          <w:rFonts w:ascii="Arial" w:hAnsi="Arial" w:cs="Arial"/>
          <w:sz w:val="20"/>
        </w:rPr>
        <w:t xml:space="preserve">, V., &amp; Hjorth, I. (2019). Good gig, bad gig: autonomy and algorithmic control in the global gig economy. Work, Employment and Society, 33(1), 56-75. </w:t>
      </w:r>
      <w:hyperlink r:id="rId25" w:history="1">
        <w:r w:rsidRPr="007A32F2">
          <w:rPr>
            <w:rStyle w:val="Hyperlink"/>
            <w:rFonts w:ascii="Arial" w:hAnsi="Arial" w:cs="Arial"/>
            <w:sz w:val="20"/>
          </w:rPr>
          <w:t>https://doi.org/10.1177/0950017018785616</w:t>
        </w:r>
      </w:hyperlink>
      <w:r>
        <w:rPr>
          <w:rFonts w:ascii="Arial" w:hAnsi="Arial" w:cs="Arial"/>
          <w:sz w:val="20"/>
        </w:rPr>
        <w:t xml:space="preserve"> </w:t>
      </w:r>
    </w:p>
    <w:p w:rsidR="00F00C7E" w:rsidRPr="00F81D5D" w:rsidRDefault="007B234F" w:rsidP="00F81D5D">
      <w:pPr>
        <w:spacing w:line="240" w:lineRule="auto"/>
        <w:ind w:left="360"/>
        <w:jc w:val="both"/>
        <w:rPr>
          <w:rFonts w:eastAsia="Times New Roman"/>
          <w:sz w:val="20"/>
          <w:szCs w:val="24"/>
        </w:rPr>
      </w:pPr>
      <w:r w:rsidRPr="00F81D5D">
        <w:rPr>
          <w:rFonts w:eastAsia="Times New Roman"/>
          <w:sz w:val="20"/>
          <w:szCs w:val="24"/>
        </w:rPr>
        <w:t xml:space="preserve"> </w:t>
      </w:r>
    </w:p>
    <w:sectPr w:rsidR="00F00C7E" w:rsidRPr="00F81D5D" w:rsidSect="00ED1603">
      <w:headerReference w:type="even" r:id="rId26"/>
      <w:headerReference w:type="default" r:id="rId27"/>
      <w:footerReference w:type="even" r:id="rId28"/>
      <w:footerReference w:type="default" r:id="rId29"/>
      <w:headerReference w:type="first" r:id="rId30"/>
      <w:footerReference w:type="first" r:id="rId31"/>
      <w:pgSz w:w="12240" w:h="15840"/>
      <w:pgMar w:top="1440" w:right="2016" w:bottom="2016" w:left="2016" w:header="720" w:footer="145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A7C" w:rsidRDefault="00842A7C" w:rsidP="004B3716">
      <w:pPr>
        <w:spacing w:line="240" w:lineRule="auto"/>
      </w:pPr>
      <w:r>
        <w:separator/>
      </w:r>
    </w:p>
  </w:endnote>
  <w:endnote w:type="continuationSeparator" w:id="0">
    <w:p w:rsidR="00842A7C" w:rsidRDefault="00842A7C" w:rsidP="004B3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EABCB70D-7F08-4258-8051-6E86844F2054}"/>
    <w:embedBold r:id="rId2" w:fontKey="{5C0F5CEB-FBAF-4CCE-9371-F767E91254B5}"/>
  </w:font>
  <w:font w:name="Cambria">
    <w:panose1 w:val="02040503050406030204"/>
    <w:charset w:val="00"/>
    <w:family w:val="roman"/>
    <w:pitch w:val="variable"/>
    <w:sig w:usb0="E00006FF" w:usb1="420024FF" w:usb2="02000000" w:usb3="00000000" w:csb0="0000019F" w:csb1="00000000"/>
    <w:embedRegular r:id="rId3" w:fontKey="{E1D78428-5560-495B-BE7A-F71DD69F80EF}"/>
  </w:font>
  <w:font w:name="Calibri">
    <w:panose1 w:val="020F0502020204030204"/>
    <w:charset w:val="00"/>
    <w:family w:val="swiss"/>
    <w:pitch w:val="variable"/>
    <w:sig w:usb0="E4002EFF" w:usb1="C200247B" w:usb2="00000009" w:usb3="00000000" w:csb0="000001FF" w:csb1="00000000"/>
    <w:embedRegular r:id="rId4" w:fontKey="{64C3F048-62F8-4025-AB74-0856A3C0549B}"/>
    <w:embedBold r:id="rId5" w:fontKey="{A72E7DFB-CA8B-4440-8559-CF387516AC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A7C" w:rsidRDefault="00842A7C" w:rsidP="004B3716">
      <w:pPr>
        <w:spacing w:line="240" w:lineRule="auto"/>
      </w:pPr>
      <w:r>
        <w:separator/>
      </w:r>
    </w:p>
  </w:footnote>
  <w:footnote w:type="continuationSeparator" w:id="0">
    <w:p w:rsidR="00842A7C" w:rsidRDefault="00842A7C" w:rsidP="004B3716">
      <w:pPr>
        <w:spacing w:line="240" w:lineRule="auto"/>
      </w:pPr>
      <w:r>
        <w:continuationSeparator/>
      </w:r>
    </w:p>
  </w:footnote>
  <w:footnote w:id="1">
    <w:p w:rsidR="004B3716" w:rsidRPr="00EF286C" w:rsidRDefault="004B3716" w:rsidP="00331AF8">
      <w:pPr>
        <w:ind w:left="270"/>
        <w:jc w:val="both"/>
        <w:rPr>
          <w:rFonts w:ascii="Times New Roman" w:eastAsia="Times New Roman" w:hAnsi="Times New Roman" w:cs="Times New Roman"/>
          <w:sz w:val="20"/>
          <w:szCs w:val="20"/>
        </w:rPr>
      </w:pPr>
      <w:r w:rsidRPr="00EF286C">
        <w:rPr>
          <w:rStyle w:val="FootnoteReference"/>
          <w:rFonts w:ascii="Times New Roman" w:hAnsi="Times New Roman" w:cs="Times New Roman"/>
          <w:sz w:val="20"/>
          <w:szCs w:val="20"/>
        </w:rPr>
        <w:footnoteRef/>
      </w:r>
      <w:r w:rsidRPr="00EF286C">
        <w:rPr>
          <w:rFonts w:ascii="Times New Roman" w:hAnsi="Times New Roman" w:cs="Times New Roman"/>
          <w:sz w:val="20"/>
          <w:szCs w:val="20"/>
        </w:rPr>
        <w:t xml:space="preserve"> </w:t>
      </w:r>
      <w:r w:rsidRPr="00EF286C">
        <w:rPr>
          <w:rFonts w:ascii="Times New Roman" w:eastAsia="Times New Roman" w:hAnsi="Times New Roman" w:cs="Times New Roman"/>
          <w:sz w:val="20"/>
          <w:szCs w:val="20"/>
        </w:rPr>
        <w:t xml:space="preserve">Drèze, J., &amp; Sen, A. (2013). An Uncertain Glory: India and Its Contradictions. Princeton University Press. &amp; NITI Aayog. (2021). SDG India Index &amp; Dashboard 2020–21. </w:t>
      </w:r>
    </w:p>
  </w:footnote>
  <w:footnote w:id="2">
    <w:p w:rsidR="004B3716" w:rsidRPr="00EF286C" w:rsidRDefault="004B3716" w:rsidP="00331AF8">
      <w:pPr>
        <w:ind w:left="270"/>
        <w:jc w:val="both"/>
        <w:rPr>
          <w:rFonts w:ascii="Times New Roman" w:eastAsia="Times New Roman" w:hAnsi="Times New Roman" w:cs="Times New Roman"/>
          <w:sz w:val="20"/>
          <w:szCs w:val="20"/>
        </w:rPr>
      </w:pPr>
      <w:r w:rsidRPr="00EF286C">
        <w:rPr>
          <w:rStyle w:val="FootnoteReference"/>
          <w:rFonts w:ascii="Times New Roman" w:hAnsi="Times New Roman" w:cs="Times New Roman"/>
          <w:sz w:val="20"/>
          <w:szCs w:val="20"/>
        </w:rPr>
        <w:footnoteRef/>
      </w:r>
      <w:r w:rsidRPr="00EF286C">
        <w:rPr>
          <w:rFonts w:ascii="Times New Roman" w:hAnsi="Times New Roman" w:cs="Times New Roman"/>
          <w:sz w:val="20"/>
          <w:szCs w:val="20"/>
        </w:rPr>
        <w:t xml:space="preserve"> </w:t>
      </w:r>
      <w:r w:rsidRPr="00EF286C">
        <w:rPr>
          <w:rFonts w:ascii="Times New Roman" w:eastAsia="Times New Roman" w:hAnsi="Times New Roman" w:cs="Times New Roman"/>
          <w:sz w:val="20"/>
          <w:szCs w:val="20"/>
        </w:rPr>
        <w:t xml:space="preserve">Sahoo, A. (2023). Women’s Movement and Social Change in India. </w:t>
      </w:r>
      <w:r w:rsidRPr="00EF286C">
        <w:rPr>
          <w:rFonts w:ascii="Times New Roman" w:eastAsia="Times New Roman" w:hAnsi="Times New Roman" w:cs="Times New Roman"/>
          <w:iCs/>
          <w:sz w:val="20"/>
          <w:szCs w:val="20"/>
        </w:rPr>
        <w:t>International Journal For Multidisciplinary Research</w:t>
      </w:r>
      <w:r w:rsidRPr="00EF286C">
        <w:rPr>
          <w:rFonts w:ascii="Times New Roman" w:eastAsia="Times New Roman" w:hAnsi="Times New Roman" w:cs="Times New Roman"/>
          <w:sz w:val="20"/>
          <w:szCs w:val="20"/>
        </w:rPr>
        <w:t xml:space="preserve">, </w:t>
      </w:r>
      <w:r w:rsidRPr="00EF286C">
        <w:rPr>
          <w:rFonts w:ascii="Times New Roman" w:eastAsia="Times New Roman" w:hAnsi="Times New Roman" w:cs="Times New Roman"/>
          <w:iCs/>
          <w:sz w:val="20"/>
          <w:szCs w:val="20"/>
        </w:rPr>
        <w:t>5</w:t>
      </w:r>
      <w:r w:rsidRPr="00EF286C">
        <w:rPr>
          <w:rFonts w:ascii="Times New Roman" w:eastAsia="Times New Roman" w:hAnsi="Times New Roman" w:cs="Times New Roman"/>
          <w:sz w:val="20"/>
          <w:szCs w:val="20"/>
        </w:rPr>
        <w:t xml:space="preserve">(1). </w:t>
      </w:r>
    </w:p>
  </w:footnote>
  <w:footnote w:id="3">
    <w:p w:rsidR="004B3716" w:rsidRPr="00EF286C" w:rsidRDefault="004B3716" w:rsidP="00331AF8">
      <w:pPr>
        <w:pStyle w:val="FootnoteText"/>
        <w:spacing w:line="276" w:lineRule="auto"/>
        <w:ind w:left="284"/>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Waithood describes a stage where young adults face delayed trad</w:t>
      </w:r>
      <w:r w:rsidR="00B2281F" w:rsidRPr="00EF286C">
        <w:rPr>
          <w:rFonts w:ascii="Times New Roman" w:hAnsi="Times New Roman" w:cs="Times New Roman"/>
        </w:rPr>
        <w:t>itional milestones</w:t>
      </w:r>
      <w:r w:rsidRPr="00EF286C">
        <w:rPr>
          <w:rFonts w:ascii="Times New Roman" w:hAnsi="Times New Roman" w:cs="Times New Roman"/>
        </w:rPr>
        <w:t>, due to job scarcity and a “silver ceiling” caused by older generations delaying retirement.</w:t>
      </w:r>
    </w:p>
  </w:footnote>
  <w:footnote w:id="4">
    <w:p w:rsidR="00B2281F" w:rsidRPr="00EF286C" w:rsidRDefault="00B2281F">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Sen, A. K. (1984). Commodities and capabilities. North-Holland</w:t>
      </w:r>
    </w:p>
  </w:footnote>
  <w:footnote w:id="5">
    <w:p w:rsidR="00D832EC" w:rsidRPr="00EF286C" w:rsidRDefault="00D832EC" w:rsidP="00EF286C">
      <w:pPr>
        <w:pStyle w:val="FootnoteText"/>
        <w:jc w:val="both"/>
        <w:rPr>
          <w:rFonts w:ascii="Times New Roman" w:hAnsi="Times New Roman" w:cs="Times New Roman"/>
          <w:lang w:val="en-IN"/>
        </w:rPr>
      </w:pPr>
      <w:r w:rsidRPr="00EF286C">
        <w:rPr>
          <w:rStyle w:val="FootnoteReference"/>
          <w:rFonts w:ascii="Times New Roman" w:hAnsi="Times New Roman" w:cs="Times New Roman"/>
        </w:rPr>
        <w:footnoteRef/>
      </w:r>
      <w:r w:rsidRPr="00EF286C">
        <w:rPr>
          <w:rFonts w:ascii="Times New Roman" w:hAnsi="Times New Roman" w:cs="Times New Roman"/>
        </w:rPr>
        <w:t xml:space="preserve"> Bain and company defines social commerce as a burgeoning, community-driven e-commerce model where consumers discover, explore, and purchase products directly within social platforms, blending entertainment (content, influencers) with sales for a seamless "discovery-to-conversion" journey</w:t>
      </w:r>
      <w:r w:rsidR="00EF286C" w:rsidRPr="00EF286C">
        <w:rPr>
          <w:rFonts w:ascii="Times New Roman" w:hAnsi="Times New Roman" w:cs="Times New Roman"/>
        </w:rPr>
        <w:t>.</w:t>
      </w:r>
    </w:p>
  </w:footnote>
  <w:footnote w:id="6">
    <w:p w:rsidR="00D931AE" w:rsidRPr="00EF286C" w:rsidRDefault="00D931AE">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Algorithmic precarity refers to unstable conditions caused by reliance on algorithms in work and life.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691F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691F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691F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15994"/>
    <w:multiLevelType w:val="hybridMultilevel"/>
    <w:tmpl w:val="585E8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564807"/>
    <w:multiLevelType w:val="hybridMultilevel"/>
    <w:tmpl w:val="9B8009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7A57AE8"/>
    <w:multiLevelType w:val="hybridMultilevel"/>
    <w:tmpl w:val="2910A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02A1F64"/>
    <w:multiLevelType w:val="multilevel"/>
    <w:tmpl w:val="F1B0A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A8C64B8"/>
    <w:multiLevelType w:val="multilevel"/>
    <w:tmpl w:val="42203E7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565071E"/>
    <w:multiLevelType w:val="hybridMultilevel"/>
    <w:tmpl w:val="67A81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6BD0A50"/>
    <w:multiLevelType w:val="hybridMultilevel"/>
    <w:tmpl w:val="2EF6DA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0trAwNjU0MrA0MTFX0lEKTi0uzszPAykwrAUA6toTfywAAAA="/>
  </w:docVars>
  <w:rsids>
    <w:rsidRoot w:val="00EC4E7C"/>
    <w:rsid w:val="000D0B57"/>
    <w:rsid w:val="0017176F"/>
    <w:rsid w:val="00181482"/>
    <w:rsid w:val="001A401C"/>
    <w:rsid w:val="001F53F4"/>
    <w:rsid w:val="00232F14"/>
    <w:rsid w:val="00264DED"/>
    <w:rsid w:val="0029297C"/>
    <w:rsid w:val="002B2F54"/>
    <w:rsid w:val="002E38D6"/>
    <w:rsid w:val="00303A6D"/>
    <w:rsid w:val="00331AF8"/>
    <w:rsid w:val="00364472"/>
    <w:rsid w:val="003B23C2"/>
    <w:rsid w:val="00406C35"/>
    <w:rsid w:val="004259F5"/>
    <w:rsid w:val="0042618E"/>
    <w:rsid w:val="00426282"/>
    <w:rsid w:val="00484847"/>
    <w:rsid w:val="004B3716"/>
    <w:rsid w:val="004F61BA"/>
    <w:rsid w:val="00531E97"/>
    <w:rsid w:val="00546284"/>
    <w:rsid w:val="0056185A"/>
    <w:rsid w:val="00567F11"/>
    <w:rsid w:val="005E32BB"/>
    <w:rsid w:val="00625C14"/>
    <w:rsid w:val="0063604A"/>
    <w:rsid w:val="00662E7E"/>
    <w:rsid w:val="00673B6D"/>
    <w:rsid w:val="006822A6"/>
    <w:rsid w:val="00691F86"/>
    <w:rsid w:val="006A4144"/>
    <w:rsid w:val="006E11C1"/>
    <w:rsid w:val="006E2EA9"/>
    <w:rsid w:val="006F584E"/>
    <w:rsid w:val="00724D02"/>
    <w:rsid w:val="007514CD"/>
    <w:rsid w:val="00787611"/>
    <w:rsid w:val="007B234F"/>
    <w:rsid w:val="00842A7C"/>
    <w:rsid w:val="0086577A"/>
    <w:rsid w:val="00866C24"/>
    <w:rsid w:val="00874C20"/>
    <w:rsid w:val="00896D0A"/>
    <w:rsid w:val="008E2E8C"/>
    <w:rsid w:val="008F18AE"/>
    <w:rsid w:val="00931B0B"/>
    <w:rsid w:val="00970A2F"/>
    <w:rsid w:val="00984F57"/>
    <w:rsid w:val="00A47F89"/>
    <w:rsid w:val="00A83497"/>
    <w:rsid w:val="00AB3070"/>
    <w:rsid w:val="00AC36E4"/>
    <w:rsid w:val="00AE1B4F"/>
    <w:rsid w:val="00AF0198"/>
    <w:rsid w:val="00B16EDE"/>
    <w:rsid w:val="00B2281F"/>
    <w:rsid w:val="00B55089"/>
    <w:rsid w:val="00C80196"/>
    <w:rsid w:val="00CA0FCB"/>
    <w:rsid w:val="00CE417E"/>
    <w:rsid w:val="00D02CBC"/>
    <w:rsid w:val="00D5788D"/>
    <w:rsid w:val="00D75281"/>
    <w:rsid w:val="00D832EC"/>
    <w:rsid w:val="00D84FD8"/>
    <w:rsid w:val="00D931AE"/>
    <w:rsid w:val="00DB7D8A"/>
    <w:rsid w:val="00DC68CA"/>
    <w:rsid w:val="00DD317E"/>
    <w:rsid w:val="00DF5456"/>
    <w:rsid w:val="00EC4E7C"/>
    <w:rsid w:val="00ED1603"/>
    <w:rsid w:val="00EF286C"/>
    <w:rsid w:val="00F00C7E"/>
    <w:rsid w:val="00F455B5"/>
    <w:rsid w:val="00F532C2"/>
    <w:rsid w:val="00F57CF0"/>
    <w:rsid w:val="00F639DC"/>
    <w:rsid w:val="00F8196A"/>
    <w:rsid w:val="00F81D5D"/>
    <w:rsid w:val="00F84B8F"/>
    <w:rsid w:val="00FA05D1"/>
    <w:rsid w:val="00FB73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7DE03"/>
  <w15:docId w15:val="{6068A3D9-5BB6-4C89-A737-6247ECFA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B234F"/>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FootnoteText">
    <w:name w:val="footnote text"/>
    <w:basedOn w:val="Normal"/>
    <w:link w:val="FootnoteTextChar"/>
    <w:uiPriority w:val="99"/>
    <w:semiHidden/>
    <w:unhideWhenUsed/>
    <w:rsid w:val="004B3716"/>
    <w:pPr>
      <w:spacing w:line="240" w:lineRule="auto"/>
    </w:pPr>
    <w:rPr>
      <w:sz w:val="20"/>
      <w:szCs w:val="20"/>
    </w:rPr>
  </w:style>
  <w:style w:type="character" w:customStyle="1" w:styleId="FootnoteTextChar">
    <w:name w:val="Footnote Text Char"/>
    <w:basedOn w:val="DefaultParagraphFont"/>
    <w:link w:val="FootnoteText"/>
    <w:uiPriority w:val="99"/>
    <w:semiHidden/>
    <w:rsid w:val="004B3716"/>
    <w:rPr>
      <w:sz w:val="20"/>
      <w:szCs w:val="20"/>
    </w:rPr>
  </w:style>
  <w:style w:type="character" w:styleId="FootnoteReference">
    <w:name w:val="footnote reference"/>
    <w:basedOn w:val="DefaultParagraphFont"/>
    <w:uiPriority w:val="99"/>
    <w:semiHidden/>
    <w:unhideWhenUsed/>
    <w:rsid w:val="004B3716"/>
    <w:rPr>
      <w:vertAlign w:val="superscript"/>
    </w:rPr>
  </w:style>
  <w:style w:type="character" w:styleId="Hyperlink">
    <w:name w:val="Hyperlink"/>
    <w:basedOn w:val="DefaultParagraphFont"/>
    <w:uiPriority w:val="99"/>
    <w:unhideWhenUsed/>
    <w:rsid w:val="004B3716"/>
    <w:rPr>
      <w:color w:val="0000FF"/>
      <w:u w:val="single"/>
    </w:rPr>
  </w:style>
  <w:style w:type="table" w:styleId="TableGrid">
    <w:name w:val="Table Grid"/>
    <w:basedOn w:val="TableNormal"/>
    <w:uiPriority w:val="39"/>
    <w:rsid w:val="00B228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C7E"/>
    <w:pPr>
      <w:ind w:left="720"/>
      <w:contextualSpacing/>
    </w:pPr>
  </w:style>
  <w:style w:type="character" w:styleId="FollowedHyperlink">
    <w:name w:val="FollowedHyperlink"/>
    <w:basedOn w:val="DefaultParagraphFont"/>
    <w:uiPriority w:val="99"/>
    <w:semiHidden/>
    <w:unhideWhenUsed/>
    <w:rsid w:val="007B234F"/>
    <w:rPr>
      <w:color w:val="800080" w:themeColor="followedHyperlink"/>
      <w:u w:val="single"/>
    </w:rPr>
  </w:style>
  <w:style w:type="character" w:styleId="LineNumber">
    <w:name w:val="line number"/>
    <w:basedOn w:val="DefaultParagraphFont"/>
    <w:uiPriority w:val="99"/>
    <w:semiHidden/>
    <w:unhideWhenUsed/>
    <w:rsid w:val="00546284"/>
  </w:style>
  <w:style w:type="paragraph" w:customStyle="1" w:styleId="Body">
    <w:name w:val="Body"/>
    <w:basedOn w:val="Normal"/>
    <w:rsid w:val="00546284"/>
    <w:pPr>
      <w:spacing w:after="240" w:line="240" w:lineRule="auto"/>
      <w:jc w:val="both"/>
    </w:pPr>
    <w:rPr>
      <w:rFonts w:ascii="Helvetica" w:eastAsia="Times New Roman" w:hAnsi="Helvetica" w:cs="Times New Roman"/>
      <w:sz w:val="20"/>
      <w:szCs w:val="20"/>
      <w:lang w:val="en-US" w:eastAsia="en-US"/>
    </w:rPr>
  </w:style>
  <w:style w:type="paragraph" w:customStyle="1" w:styleId="AbstHead">
    <w:name w:val="Abst Head"/>
    <w:basedOn w:val="Normal"/>
    <w:rsid w:val="00546284"/>
    <w:pPr>
      <w:keepNext/>
      <w:spacing w:after="240" w:line="240" w:lineRule="auto"/>
    </w:pPr>
    <w:rPr>
      <w:rFonts w:ascii="Helvetica" w:eastAsia="Times New Roman" w:hAnsi="Helvetica" w:cs="Times New Roman"/>
      <w:b/>
      <w:caps/>
      <w:szCs w:val="20"/>
      <w:lang w:val="en-US" w:eastAsia="en-US"/>
    </w:rPr>
  </w:style>
  <w:style w:type="table" w:styleId="PlainTable2">
    <w:name w:val="Plain Table 2"/>
    <w:basedOn w:val="TableNormal"/>
    <w:uiPriority w:val="42"/>
    <w:rsid w:val="00724D0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81D5D"/>
    <w:pPr>
      <w:spacing w:before="100" w:beforeAutospacing="1" w:after="100" w:afterAutospacing="1" w:line="240" w:lineRule="auto"/>
    </w:pPr>
    <w:rPr>
      <w:rFonts w:ascii="Times New Roman" w:eastAsia="Times New Roman" w:hAnsi="Times New Roman" w:cs="Times New Roman"/>
      <w:sz w:val="24"/>
      <w:szCs w:val="24"/>
      <w:lang w:val="en-IN"/>
    </w:rPr>
  </w:style>
  <w:style w:type="paragraph" w:customStyle="1" w:styleId="AcknHead">
    <w:name w:val="Ackn Head"/>
    <w:basedOn w:val="Normal"/>
    <w:rsid w:val="00F81D5D"/>
    <w:pPr>
      <w:keepNext/>
      <w:spacing w:after="240" w:line="240" w:lineRule="auto"/>
    </w:pPr>
    <w:rPr>
      <w:rFonts w:ascii="Helvetica" w:eastAsia="Times New Roman" w:hAnsi="Helvetica" w:cs="Times New Roman"/>
      <w:b/>
      <w:caps/>
      <w:szCs w:val="20"/>
      <w:lang w:val="en-US" w:eastAsia="en-US"/>
    </w:rPr>
  </w:style>
  <w:style w:type="paragraph" w:styleId="Header">
    <w:name w:val="header"/>
    <w:basedOn w:val="Normal"/>
    <w:link w:val="HeaderChar"/>
    <w:uiPriority w:val="99"/>
    <w:unhideWhenUsed/>
    <w:rsid w:val="00D5788D"/>
    <w:pPr>
      <w:tabs>
        <w:tab w:val="center" w:pos="4513"/>
        <w:tab w:val="right" w:pos="9026"/>
      </w:tabs>
      <w:spacing w:line="240" w:lineRule="auto"/>
    </w:pPr>
  </w:style>
  <w:style w:type="character" w:customStyle="1" w:styleId="HeaderChar">
    <w:name w:val="Header Char"/>
    <w:basedOn w:val="DefaultParagraphFont"/>
    <w:link w:val="Header"/>
    <w:uiPriority w:val="99"/>
    <w:rsid w:val="00D5788D"/>
  </w:style>
  <w:style w:type="paragraph" w:styleId="Footer">
    <w:name w:val="footer"/>
    <w:basedOn w:val="Normal"/>
    <w:link w:val="FooterChar"/>
    <w:unhideWhenUsed/>
    <w:rsid w:val="00D5788D"/>
    <w:pPr>
      <w:tabs>
        <w:tab w:val="center" w:pos="4513"/>
        <w:tab w:val="right" w:pos="9026"/>
      </w:tabs>
      <w:spacing w:line="240" w:lineRule="auto"/>
    </w:pPr>
  </w:style>
  <w:style w:type="character" w:customStyle="1" w:styleId="FooterChar">
    <w:name w:val="Footer Char"/>
    <w:basedOn w:val="DefaultParagraphFont"/>
    <w:link w:val="Footer"/>
    <w:rsid w:val="00D5788D"/>
  </w:style>
  <w:style w:type="paragraph" w:customStyle="1" w:styleId="ReferHead">
    <w:name w:val="Refer Head"/>
    <w:basedOn w:val="Normal"/>
    <w:rsid w:val="00D5788D"/>
    <w:pPr>
      <w:keepNext/>
      <w:spacing w:after="240" w:line="240" w:lineRule="auto"/>
    </w:pPr>
    <w:rPr>
      <w:rFonts w:ascii="Helvetica" w:eastAsia="Times New Roman" w:hAnsi="Helvetica" w:cs="Times New Roman"/>
      <w:b/>
      <w:caps/>
      <w:szCs w:val="20"/>
      <w:lang w:val="en-US" w:eastAsia="en-US"/>
    </w:rPr>
  </w:style>
  <w:style w:type="character" w:customStyle="1" w:styleId="UnresolvedMention1">
    <w:name w:val="Unresolved Mention1"/>
    <w:basedOn w:val="DefaultParagraphFont"/>
    <w:uiPriority w:val="99"/>
    <w:semiHidden/>
    <w:unhideWhenUsed/>
    <w:rsid w:val="005E32BB"/>
    <w:rPr>
      <w:color w:val="605E5C"/>
      <w:shd w:val="clear" w:color="auto" w:fill="E1DFDD"/>
    </w:rPr>
  </w:style>
  <w:style w:type="paragraph" w:styleId="NoSpacing">
    <w:name w:val="No Spacing"/>
    <w:uiPriority w:val="1"/>
    <w:qFormat/>
    <w:rsid w:val="006F584E"/>
    <w:pPr>
      <w:spacing w:line="240" w:lineRule="auto"/>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19944">
      <w:bodyDiv w:val="1"/>
      <w:marLeft w:val="0"/>
      <w:marRight w:val="0"/>
      <w:marTop w:val="0"/>
      <w:marBottom w:val="0"/>
      <w:divBdr>
        <w:top w:val="none" w:sz="0" w:space="0" w:color="auto"/>
        <w:left w:val="none" w:sz="0" w:space="0" w:color="auto"/>
        <w:bottom w:val="none" w:sz="0" w:space="0" w:color="auto"/>
        <w:right w:val="none" w:sz="0" w:space="0" w:color="auto"/>
      </w:divBdr>
    </w:div>
    <w:div w:id="631012865">
      <w:bodyDiv w:val="1"/>
      <w:marLeft w:val="0"/>
      <w:marRight w:val="0"/>
      <w:marTop w:val="0"/>
      <w:marBottom w:val="0"/>
      <w:divBdr>
        <w:top w:val="none" w:sz="0" w:space="0" w:color="auto"/>
        <w:left w:val="none" w:sz="0" w:space="0" w:color="auto"/>
        <w:bottom w:val="none" w:sz="0" w:space="0" w:color="auto"/>
        <w:right w:val="none" w:sz="0" w:space="0" w:color="auto"/>
      </w:divBdr>
    </w:div>
    <w:div w:id="698703776">
      <w:bodyDiv w:val="1"/>
      <w:marLeft w:val="0"/>
      <w:marRight w:val="0"/>
      <w:marTop w:val="0"/>
      <w:marBottom w:val="0"/>
      <w:divBdr>
        <w:top w:val="none" w:sz="0" w:space="0" w:color="auto"/>
        <w:left w:val="none" w:sz="0" w:space="0" w:color="auto"/>
        <w:bottom w:val="none" w:sz="0" w:space="0" w:color="auto"/>
        <w:right w:val="none" w:sz="0" w:space="0" w:color="auto"/>
      </w:divBdr>
    </w:div>
    <w:div w:id="1165171565">
      <w:bodyDiv w:val="1"/>
      <w:marLeft w:val="0"/>
      <w:marRight w:val="0"/>
      <w:marTop w:val="0"/>
      <w:marBottom w:val="0"/>
      <w:divBdr>
        <w:top w:val="none" w:sz="0" w:space="0" w:color="auto"/>
        <w:left w:val="none" w:sz="0" w:space="0" w:color="auto"/>
        <w:bottom w:val="none" w:sz="0" w:space="0" w:color="auto"/>
        <w:right w:val="none" w:sz="0" w:space="0" w:color="auto"/>
      </w:divBdr>
    </w:div>
    <w:div w:id="1848716869">
      <w:bodyDiv w:val="1"/>
      <w:marLeft w:val="0"/>
      <w:marRight w:val="0"/>
      <w:marTop w:val="0"/>
      <w:marBottom w:val="0"/>
      <w:divBdr>
        <w:top w:val="none" w:sz="0" w:space="0" w:color="auto"/>
        <w:left w:val="none" w:sz="0" w:space="0" w:color="auto"/>
        <w:bottom w:val="none" w:sz="0" w:space="0" w:color="auto"/>
        <w:right w:val="none" w:sz="0" w:space="0" w:color="auto"/>
      </w:divBdr>
    </w:div>
    <w:div w:id="2101174333">
      <w:bodyDiv w:val="1"/>
      <w:marLeft w:val="0"/>
      <w:marRight w:val="0"/>
      <w:marTop w:val="0"/>
      <w:marBottom w:val="0"/>
      <w:divBdr>
        <w:top w:val="none" w:sz="0" w:space="0" w:color="auto"/>
        <w:left w:val="none" w:sz="0" w:space="0" w:color="auto"/>
        <w:bottom w:val="none" w:sz="0" w:space="0" w:color="auto"/>
        <w:right w:val="none" w:sz="0" w:space="0" w:color="auto"/>
      </w:divBdr>
    </w:div>
    <w:div w:id="2105223018">
      <w:bodyDiv w:val="1"/>
      <w:marLeft w:val="0"/>
      <w:marRight w:val="0"/>
      <w:marTop w:val="0"/>
      <w:marBottom w:val="0"/>
      <w:divBdr>
        <w:top w:val="none" w:sz="0" w:space="0" w:color="auto"/>
        <w:left w:val="none" w:sz="0" w:space="0" w:color="auto"/>
        <w:bottom w:val="none" w:sz="0" w:space="0" w:color="auto"/>
        <w:right w:val="none" w:sz="0" w:space="0" w:color="auto"/>
      </w:divBdr>
    </w:div>
    <w:div w:id="2109956948">
      <w:bodyDiv w:val="1"/>
      <w:marLeft w:val="0"/>
      <w:marRight w:val="0"/>
      <w:marTop w:val="0"/>
      <w:marBottom w:val="0"/>
      <w:divBdr>
        <w:top w:val="none" w:sz="0" w:space="0" w:color="auto"/>
        <w:left w:val="none" w:sz="0" w:space="0" w:color="auto"/>
        <w:bottom w:val="none" w:sz="0" w:space="0" w:color="auto"/>
        <w:right w:val="none" w:sz="0" w:space="0" w:color="auto"/>
      </w:divBdr>
    </w:div>
    <w:div w:id="2118286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di.org/en/publications/gender-and-the-gig-economy-critical-steps-for-evidence-based-policy/" TargetMode="External"/><Relationship Id="rId18" Type="http://schemas.openxmlformats.org/officeDocument/2006/relationships/hyperlink" Target="https://www.mospi.gov.in/sites/default/files/publication_reports/TUS_Factsheet_25022025.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6948/ijfmr.2023.v05i01.22590" TargetMode="External"/><Relationship Id="rId7" Type="http://schemas.openxmlformats.org/officeDocument/2006/relationships/endnotes" Target="endnotes.xml"/><Relationship Id="rId12" Type="http://schemas.openxmlformats.org/officeDocument/2006/relationships/hyperlink" Target="https://www.gsma.com/r/gender-gap/" TargetMode="External"/><Relationship Id="rId17" Type="http://schemas.openxmlformats.org/officeDocument/2006/relationships/hyperlink" Target="https://www.mospi.gov.in/sites/default/files/publication_reports/PLFS_Changes-in-2025_rev.pdf" TargetMode="External"/><Relationship Id="rId25" Type="http://schemas.openxmlformats.org/officeDocument/2006/relationships/hyperlink" Target="https://doi.org/10.1177/095001701878561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udumbashree.org/" TargetMode="External"/><Relationship Id="rId20" Type="http://schemas.openxmlformats.org/officeDocument/2006/relationships/hyperlink" Target="https://doi.org/10.1016/j.tele.2018.10.00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canherald.com/opinion/keralas-patriarchal-dominance-and-low-female-workforce-participation-3182265" TargetMode="External"/><Relationship Id="rId24" Type="http://schemas.openxmlformats.org/officeDocument/2006/relationships/hyperlink" Target="https://wehub.telangana.gov.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itbt.karnataka.gov.in/startup/public/109/wescalate/en" TargetMode="External"/><Relationship Id="rId23" Type="http://schemas.openxmlformats.org/officeDocument/2006/relationships/hyperlink" Target="https://www.tnrise.co.in/" TargetMode="External"/><Relationship Id="rId28" Type="http://schemas.openxmlformats.org/officeDocument/2006/relationships/footer" Target="footer1.xml"/><Relationship Id="rId10" Type="http://schemas.openxmlformats.org/officeDocument/2006/relationships/hyperlink" Target="https://doi.org/10.4054/DemRes.2018.38.31" TargetMode="External"/><Relationship Id="rId19" Type="http://schemas.openxmlformats.org/officeDocument/2006/relationships/hyperlink" Target="https://doi.org/10.1111/etap.12254"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ain.com/insights/the-future-of-commerce-in-india-the-rise-of-social-commerce/" TargetMode="External"/><Relationship Id="rId14" Type="http://schemas.openxmlformats.org/officeDocument/2006/relationships/hyperlink" Target="https://dhsprogram.com/pubs/pdf/FR375/FR375.pdf" TargetMode="External"/><Relationship Id="rId22" Type="http://schemas.openxmlformats.org/officeDocument/2006/relationships/hyperlink" Target="https://doi.org/10.36948/ijfmr.2024.v06i04.25147"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aleap.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03A46-766B-4B9E-8F23-329C9319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13</Pages>
  <Words>6367</Words>
  <Characters>36294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kumar</dc:creator>
  <cp:lastModifiedBy>SDI PC New 16</cp:lastModifiedBy>
  <cp:revision>16</cp:revision>
  <cp:lastPrinted>2026-05-09T07:27:00Z</cp:lastPrinted>
  <dcterms:created xsi:type="dcterms:W3CDTF">2026-05-04T17:27:00Z</dcterms:created>
  <dcterms:modified xsi:type="dcterms:W3CDTF">2026-05-13T09:41:00Z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64263313-a61f-4835-a839-47d1ad22ba1c</vt:lpwstr>
  </property>
</Properties>
</file>