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125F" w14:textId="35BA9852" w:rsidR="008125C5" w:rsidRPr="00F6445C" w:rsidRDefault="00EE5A42" w:rsidP="00EE5A42">
      <w:pPr>
        <w:spacing w:line="360" w:lineRule="auto"/>
        <w:jc w:val="both"/>
        <w:rPr>
          <w:rFonts w:ascii="Times New Roman" w:hAnsi="Times New Roman" w:cs="Times New Roman"/>
          <w:b/>
          <w:bCs/>
          <w:sz w:val="28"/>
          <w:szCs w:val="28"/>
        </w:rPr>
      </w:pPr>
      <w:r w:rsidRPr="00F6445C">
        <w:rPr>
          <w:rFonts w:ascii="Times New Roman" w:hAnsi="Times New Roman" w:cs="Times New Roman"/>
          <w:b/>
          <w:bCs/>
          <w:sz w:val="28"/>
          <w:szCs w:val="28"/>
        </w:rPr>
        <w:t>BEYOND MARKET CO-MOVEMENT: A SEEMINGLY UNRELATED REGRESSION (SUR) BASED ANALYSIS OF HIDDEN SECTORAL CONNECTEDNESS IN INDIAN EQUITY INDICES</w:t>
      </w:r>
    </w:p>
    <w:p w14:paraId="498AC2AC" w14:textId="77777777" w:rsidR="00C5474A" w:rsidRDefault="00C5474A" w:rsidP="00EE5A42">
      <w:pPr>
        <w:spacing w:line="360" w:lineRule="auto"/>
        <w:jc w:val="both"/>
        <w:rPr>
          <w:rFonts w:ascii="Times New Roman" w:hAnsi="Times New Roman" w:cs="Times New Roman"/>
          <w:b/>
          <w:bCs/>
        </w:rPr>
      </w:pPr>
    </w:p>
    <w:p w14:paraId="70307869" w14:textId="7B7712BE" w:rsidR="008453FF" w:rsidRPr="00F6445C" w:rsidRDefault="008453FF" w:rsidP="00EE5A42">
      <w:pPr>
        <w:spacing w:line="360" w:lineRule="auto"/>
        <w:jc w:val="both"/>
        <w:rPr>
          <w:rFonts w:ascii="Times New Roman" w:hAnsi="Times New Roman" w:cs="Times New Roman"/>
        </w:rPr>
      </w:pPr>
      <w:r w:rsidRPr="00F6445C">
        <w:rPr>
          <w:rFonts w:ascii="Times New Roman" w:hAnsi="Times New Roman" w:cs="Times New Roman"/>
          <w:b/>
          <w:bCs/>
        </w:rPr>
        <w:t>Abstract</w:t>
      </w:r>
      <w:r w:rsidRPr="00F6445C">
        <w:rPr>
          <w:rFonts w:ascii="Times New Roman" w:hAnsi="Times New Roman" w:cs="Times New Roman"/>
        </w:rPr>
        <w:t xml:space="preserve">: </w:t>
      </w:r>
      <w:r w:rsidR="0058196C" w:rsidRPr="00F6445C">
        <w:rPr>
          <w:rFonts w:ascii="Times New Roman" w:hAnsi="Times New Roman" w:cs="Times New Roman"/>
        </w:rPr>
        <w:t xml:space="preserve">Understanding sectoral interdependence in equity markets requires distinguishing between co-movement driven by common macro-financial factors and residual cross-sectoral linkages. This study examines conditional sectoral connectedness in the Indian equity market using a Seemingly Unrelated Regression (SUR) framework. Daily return data for eight major NIFTY sectoral indices over the period 2020–2026 are </w:t>
      </w:r>
      <w:proofErr w:type="spellStart"/>
      <w:r w:rsidR="0058196C" w:rsidRPr="00F6445C">
        <w:rPr>
          <w:rFonts w:ascii="Times New Roman" w:hAnsi="Times New Roman" w:cs="Times New Roman"/>
        </w:rPr>
        <w:t>analyzed</w:t>
      </w:r>
      <w:proofErr w:type="spellEnd"/>
      <w:r w:rsidR="0058196C" w:rsidRPr="00F6445C">
        <w:rPr>
          <w:rFonts w:ascii="Times New Roman" w:hAnsi="Times New Roman" w:cs="Times New Roman"/>
        </w:rPr>
        <w:t>. Each sector’s return is mode</w:t>
      </w:r>
      <w:r w:rsidR="007C2AD5">
        <w:rPr>
          <w:rFonts w:ascii="Times New Roman" w:hAnsi="Times New Roman" w:cs="Times New Roman"/>
        </w:rPr>
        <w:t>l</w:t>
      </w:r>
      <w:r w:rsidR="0058196C" w:rsidRPr="00F6445C">
        <w:rPr>
          <w:rFonts w:ascii="Times New Roman" w:hAnsi="Times New Roman" w:cs="Times New Roman"/>
        </w:rPr>
        <w:t xml:space="preserve">led as a function of lagged own returns and lagged macro-financial variables, including the NIFTY 50 index, India VIX, USD/INR exchange rate, Brent crude oil prices, S&amp;P 500 index, and gold prices, to mitigate simultaneity effects. The SUR–Feasible Generalized Least Squares (FGLS) approach enables efficient joint estimation while capturing contemporaneous correlations across sectoral residuals. The results indicate that global market movements, particularly the S&amp;P 500, exert a strong and consistent influence across all sectors, highlighting the importance of international </w:t>
      </w:r>
      <w:proofErr w:type="spellStart"/>
      <w:r w:rsidR="0058196C" w:rsidRPr="00F6445C">
        <w:rPr>
          <w:rFonts w:ascii="Times New Roman" w:hAnsi="Times New Roman" w:cs="Times New Roman"/>
        </w:rPr>
        <w:t>spillovers</w:t>
      </w:r>
      <w:proofErr w:type="spellEnd"/>
      <w:r w:rsidR="0058196C" w:rsidRPr="00F6445C">
        <w:rPr>
          <w:rFonts w:ascii="Times New Roman" w:hAnsi="Times New Roman" w:cs="Times New Roman"/>
        </w:rPr>
        <w:t xml:space="preserve">. Commodity-linked sectors such as Energy and Metals exhibit strong positive associations with oil price movements, while exchange-rate sensitivities vary significantly across sectors. Despite controlling for observed drivers, the residual covariance structure reveals a dense network of positive contemporaneous associations, suggesting the presence of latent shared influences across sectors. </w:t>
      </w:r>
      <w:r w:rsidR="001203DC" w:rsidRPr="001203DC">
        <w:rPr>
          <w:rFonts w:ascii="Times New Roman" w:hAnsi="Times New Roman" w:cs="Times New Roman"/>
        </w:rPr>
        <w:t>The strongest residual linkage is observed between Energy and Metals</w:t>
      </w:r>
      <w:r w:rsidR="0058196C" w:rsidRPr="00F6445C">
        <w:rPr>
          <w:rFonts w:ascii="Times New Roman" w:hAnsi="Times New Roman" w:cs="Times New Roman"/>
        </w:rPr>
        <w:t>, indicating persistent commodity-cycle effects. Sensitivity analysis confirms that the connectedness network is robust to alternative correlation thresholds. Residual diagnostics indicate limited first-order serial dependence, although some higher-order dependence remains. Overall, the findings suggest that sectoral connectedness in Indian equity markets is conditional in nature, with both global and domestic factors playing a significant role, alongside latent cross-sectoral linkages not captured by observable variables.</w:t>
      </w:r>
    </w:p>
    <w:p w14:paraId="3B7E7E5C" w14:textId="6B5B2928" w:rsidR="00EE5A42" w:rsidRDefault="00B17C55" w:rsidP="00EE5A42">
      <w:pPr>
        <w:spacing w:line="360" w:lineRule="auto"/>
        <w:jc w:val="both"/>
        <w:rPr>
          <w:rFonts w:ascii="Times New Roman" w:hAnsi="Times New Roman" w:cs="Times New Roman"/>
          <w:i/>
          <w:iCs/>
        </w:rPr>
      </w:pPr>
      <w:r w:rsidRPr="00F6445C">
        <w:rPr>
          <w:rFonts w:ascii="Times New Roman" w:hAnsi="Times New Roman" w:cs="Times New Roman"/>
          <w:b/>
          <w:bCs/>
          <w:i/>
          <w:iCs/>
        </w:rPr>
        <w:t>Keywords</w:t>
      </w:r>
      <w:r w:rsidRPr="00F6445C">
        <w:rPr>
          <w:rFonts w:ascii="Times New Roman" w:hAnsi="Times New Roman" w:cs="Times New Roman"/>
          <w:i/>
          <w:iCs/>
        </w:rPr>
        <w:t xml:space="preserve"> - Seemingly unrelated regression; sectoral equity indices; systemic risk; market beta; volatility </w:t>
      </w:r>
      <w:proofErr w:type="spellStart"/>
      <w:r w:rsidRPr="00F6445C">
        <w:rPr>
          <w:rFonts w:ascii="Times New Roman" w:hAnsi="Times New Roman" w:cs="Times New Roman"/>
          <w:i/>
          <w:iCs/>
        </w:rPr>
        <w:t>spillovers</w:t>
      </w:r>
      <w:proofErr w:type="spellEnd"/>
      <w:r w:rsidRPr="00F6445C">
        <w:rPr>
          <w:rFonts w:ascii="Times New Roman" w:hAnsi="Times New Roman" w:cs="Times New Roman"/>
          <w:i/>
          <w:iCs/>
        </w:rPr>
        <w:t>; financial connectedness</w:t>
      </w:r>
    </w:p>
    <w:p w14:paraId="2346DA38" w14:textId="702E6564" w:rsidR="00C5474A" w:rsidRDefault="00C5474A" w:rsidP="00EE5A42">
      <w:pPr>
        <w:spacing w:line="360" w:lineRule="auto"/>
        <w:jc w:val="both"/>
        <w:rPr>
          <w:rFonts w:ascii="Times New Roman" w:hAnsi="Times New Roman" w:cs="Times New Roman"/>
          <w:i/>
          <w:iCs/>
        </w:rPr>
      </w:pPr>
    </w:p>
    <w:p w14:paraId="3EF49F5F" w14:textId="77777777" w:rsidR="00C5474A" w:rsidRPr="00F6445C" w:rsidRDefault="00C5474A" w:rsidP="00EE5A42">
      <w:pPr>
        <w:spacing w:line="360" w:lineRule="auto"/>
        <w:jc w:val="both"/>
        <w:rPr>
          <w:rFonts w:ascii="Times New Roman" w:hAnsi="Times New Roman" w:cs="Times New Roman"/>
          <w:i/>
          <w:iCs/>
        </w:rPr>
      </w:pPr>
    </w:p>
    <w:p w14:paraId="573C86D8" w14:textId="68264905"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INTRODUCTION</w:t>
      </w:r>
    </w:p>
    <w:p w14:paraId="480E0002" w14:textId="133ECA2E"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Financial markets are inherently interconnected systems in which shocks rarely remain confined to a single asset or </w:t>
      </w:r>
      <w:r w:rsidR="00BE4402" w:rsidRPr="00F6445C">
        <w:rPr>
          <w:rFonts w:ascii="Times New Roman" w:hAnsi="Times New Roman" w:cs="Times New Roman"/>
          <w:iCs/>
        </w:rPr>
        <w:t>sector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 xml:space="preserve">. In equity markets, sectoral indices often co-move not only due to shared exposure to aggregate market conditions, but also because of deeper structural linkages such as supply-chain dependencies, financial intermediation channels, and common macroeconomic risk factors. Understanding how shocks propagate across sectors is therefore central to asset pricing, portfolio diversification, and systemic risk </w:t>
      </w:r>
      <w:r w:rsidR="00BE4402" w:rsidRPr="00F6445C">
        <w:rPr>
          <w:rFonts w:ascii="Times New Roman" w:hAnsi="Times New Roman" w:cs="Times New Roman"/>
          <w:iCs/>
        </w:rPr>
        <w:t xml:space="preserve">assessment </w:t>
      </w:r>
      <w:r w:rsidR="008D7F52" w:rsidRPr="00F6445C">
        <w:rPr>
          <w:rFonts w:ascii="Times New Roman" w:hAnsi="Times New Roman" w:cs="Times New Roman"/>
          <w:iCs/>
        </w:rPr>
        <w:t>(2</w:t>
      </w:r>
      <w:r w:rsidR="00BE4402" w:rsidRPr="00F6445C">
        <w:rPr>
          <w:rFonts w:ascii="Times New Roman" w:hAnsi="Times New Roman" w:cs="Times New Roman"/>
          <w:iCs/>
        </w:rPr>
        <w:t>)</w:t>
      </w:r>
      <w:r w:rsidRPr="00F6445C">
        <w:rPr>
          <w:rFonts w:ascii="Times New Roman" w:hAnsi="Times New Roman" w:cs="Times New Roman"/>
          <w:iCs/>
        </w:rPr>
        <w:t>. This issue is particularly salient for emerging markets such as India, where sectoral heterogeneity is pronounced and market dynamics are frequently influenced by global uncertainty, capital flows, a</w:t>
      </w:r>
      <w:r w:rsidR="00CD6F25" w:rsidRPr="00F6445C">
        <w:rPr>
          <w:rFonts w:ascii="Times New Roman" w:hAnsi="Times New Roman" w:cs="Times New Roman"/>
          <w:iCs/>
        </w:rPr>
        <w:t>nd commodity price fluctuations.</w:t>
      </w:r>
    </w:p>
    <w:p w14:paraId="5C232A03" w14:textId="38252119"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Existing empirical evidence on sectoral interdependence has largely relied on unconditional correlation measures or multivariate time-series frameworks such as vector </w:t>
      </w:r>
      <w:r w:rsidR="008C7091">
        <w:rPr>
          <w:rFonts w:ascii="Times New Roman" w:hAnsi="Times New Roman" w:cs="Times New Roman"/>
          <w:iCs/>
        </w:rPr>
        <w:t>auto</w:t>
      </w:r>
      <w:r w:rsidR="0073531B" w:rsidRPr="00F6445C">
        <w:rPr>
          <w:rFonts w:ascii="Times New Roman" w:hAnsi="Times New Roman" w:cs="Times New Roman"/>
          <w:iCs/>
        </w:rPr>
        <w:t>regressions</w:t>
      </w:r>
      <w:r w:rsidRPr="00F6445C">
        <w:rPr>
          <w:rFonts w:ascii="Times New Roman" w:hAnsi="Times New Roman" w:cs="Times New Roman"/>
          <w:iCs/>
        </w:rPr>
        <w:t xml:space="preserve"> and volatility </w:t>
      </w:r>
      <w:proofErr w:type="spellStart"/>
      <w:r w:rsidR="00DD2D10">
        <w:rPr>
          <w:rFonts w:ascii="Times New Roman" w:hAnsi="Times New Roman" w:cs="Times New Roman"/>
          <w:iCs/>
        </w:rPr>
        <w:t>spill</w:t>
      </w:r>
      <w:r w:rsidR="0073531B" w:rsidRPr="00F6445C">
        <w:rPr>
          <w:rFonts w:ascii="Times New Roman" w:hAnsi="Times New Roman" w:cs="Times New Roman"/>
          <w:iCs/>
        </w:rPr>
        <w:t>over</w:t>
      </w:r>
      <w:proofErr w:type="spellEnd"/>
      <w:r w:rsidRPr="00F6445C">
        <w:rPr>
          <w:rFonts w:ascii="Times New Roman" w:hAnsi="Times New Roman" w:cs="Times New Roman"/>
          <w:iCs/>
        </w:rPr>
        <w:t xml:space="preserve"> indices</w:t>
      </w:r>
      <w:r w:rsidR="00BE4402" w:rsidRPr="00F6445C">
        <w:rPr>
          <w:rFonts w:ascii="Times New Roman" w:hAnsi="Times New Roman" w:cs="Times New Roman"/>
          <w:iCs/>
        </w:rPr>
        <w:t xml:space="preserve"> </w:t>
      </w:r>
      <w:r w:rsidR="008D7F52" w:rsidRPr="00F6445C">
        <w:rPr>
          <w:rFonts w:ascii="Times New Roman" w:hAnsi="Times New Roman" w:cs="Times New Roman"/>
          <w:iCs/>
        </w:rPr>
        <w:t>(3</w:t>
      </w:r>
      <w:r w:rsidR="00BE4402" w:rsidRPr="00F6445C">
        <w:rPr>
          <w:rFonts w:ascii="Times New Roman" w:hAnsi="Times New Roman" w:cs="Times New Roman"/>
          <w:iCs/>
        </w:rPr>
        <w:t>)</w:t>
      </w:r>
      <w:r w:rsidRPr="00F6445C">
        <w:rPr>
          <w:rFonts w:ascii="Times New Roman" w:hAnsi="Times New Roman" w:cs="Times New Roman"/>
          <w:iCs/>
        </w:rPr>
        <w:t>. While these approaches provide useful descriptive insights, they often conflate common factor exposure with genuine cross-sector dependence</w:t>
      </w:r>
      <w:r w:rsidR="00BE4402" w:rsidRPr="00F6445C">
        <w:rPr>
          <w:rFonts w:ascii="Times New Roman" w:hAnsi="Times New Roman" w:cs="Times New Roman"/>
          <w:iCs/>
        </w:rPr>
        <w:t xml:space="preserve"> </w:t>
      </w:r>
      <w:r w:rsidR="008D7F52" w:rsidRPr="00F6445C">
        <w:rPr>
          <w:rFonts w:ascii="Times New Roman" w:hAnsi="Times New Roman" w:cs="Times New Roman"/>
          <w:iCs/>
        </w:rPr>
        <w:t>(</w:t>
      </w:r>
      <w:r w:rsidR="00BE4402" w:rsidRPr="00F6445C">
        <w:rPr>
          <w:rFonts w:ascii="Times New Roman" w:hAnsi="Times New Roman" w:cs="Times New Roman"/>
          <w:iCs/>
        </w:rPr>
        <w:t>4)</w:t>
      </w:r>
      <w:r w:rsidRPr="00F6445C">
        <w:rPr>
          <w:rFonts w:ascii="Times New Roman" w:hAnsi="Times New Roman" w:cs="Times New Roman"/>
          <w:iCs/>
        </w:rPr>
        <w:t>. As a result, observed co-movements may simply reflect shared sensitivity to market-wide shocks rather than meaningful inter-sector transmission. This distinction is economically important: from a risk-management perspective, diversification benefits depend not on raw correlations, but on conditional dependence after controlling for systematic drivers.</w:t>
      </w:r>
    </w:p>
    <w:p w14:paraId="4C0F9466" w14:textId="7171E2F0"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Indian equity market offers a compelling setting to revisit this issue. Sectoral indices such as Banking, Information Technology, Energy, and Metals differ markedly in their exposure to domestic demand, global trade, financial conditions, and commodity cycles. Moreover, periods of heightened uncertainty—captured by volatility indices, exchange-rate movements, and energy price shocks—can induce asymmetric and nonlinear responses across sectors. Despite this richness, most existing Indian studies continue to assess sectoral linkages using correlation-based or event-driven methods, leaving the structure of conditional contemporaneous dependence largely unexplored</w:t>
      </w:r>
      <w:r w:rsidR="00BE4402" w:rsidRPr="00F6445C">
        <w:rPr>
          <w:rFonts w:ascii="Times New Roman" w:hAnsi="Times New Roman" w:cs="Times New Roman"/>
          <w:iCs/>
        </w:rPr>
        <w:t xml:space="preserve"> </w:t>
      </w:r>
      <w:r w:rsidR="008D7F52" w:rsidRPr="00F6445C">
        <w:rPr>
          <w:rFonts w:ascii="Times New Roman" w:hAnsi="Times New Roman" w:cs="Times New Roman"/>
          <w:iCs/>
        </w:rPr>
        <w:t>(1</w:t>
      </w:r>
      <w:r w:rsidR="00BE4402" w:rsidRPr="00F6445C">
        <w:rPr>
          <w:rFonts w:ascii="Times New Roman" w:hAnsi="Times New Roman" w:cs="Times New Roman"/>
          <w:iCs/>
        </w:rPr>
        <w:t>)</w:t>
      </w:r>
      <w:r w:rsidRPr="00F6445C">
        <w:rPr>
          <w:rFonts w:ascii="Times New Roman" w:hAnsi="Times New Roman" w:cs="Times New Roman"/>
          <w:iCs/>
        </w:rPr>
        <w:t>.</w:t>
      </w:r>
    </w:p>
    <w:p w14:paraId="0CBCE8B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This study addresses this gap by adopting a system-based econometric framework that explicitly separates common factor effects from residual cross-sector dependence. We model daily returns </w:t>
      </w:r>
      <w:r w:rsidRPr="00F6445C">
        <w:rPr>
          <w:rFonts w:ascii="Times New Roman" w:hAnsi="Times New Roman" w:cs="Times New Roman"/>
          <w:iCs/>
        </w:rPr>
        <w:lastRenderedPageBreak/>
        <w:t>of eight major NIFTY sectoral indices within a Seemingly Unrelated Regressions (SUR) system augmented with key macro-financial factors, including the NIFTY 50 market return, India VIX, USD/INR exchange rate, and Brent crude oil prices. By exploiting the contemporaneous correlation structure of equation-specific disturbances, the SUR framework enables efficient estimation and provides direct insight into latent inter-sector linkages that remain hidden in single-equation regressions.</w:t>
      </w:r>
    </w:p>
    <w:p w14:paraId="4637ADC2" w14:textId="77777777"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The contribution of this paper is threefold. First, it provides a comprehensive system-level analysis of Indian sectoral returns that distinguishes between market-driven co-movement and residual connectedness. Second, it documents economically meaningful patterns of contemporaneous residual correlation across sectors, revealing both reinforcing and offsetting relationships that are not visible in raw return correlations. Third, by visualizing these residual dependencies as a network, the study offers an intuitive representation of sectoral connectedness with direct implications for diversification and systemic risk monitoring.</w:t>
      </w:r>
    </w:p>
    <w:p w14:paraId="04272AF1" w14:textId="4463E339"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The remainder of the paper is structured as follows. Section 2 reviews the relevant literature on sectoral co-movement and system-based </w:t>
      </w:r>
      <w:proofErr w:type="spellStart"/>
      <w:r w:rsidRPr="00F6445C">
        <w:rPr>
          <w:rFonts w:ascii="Times New Roman" w:hAnsi="Times New Roman" w:cs="Times New Roman"/>
          <w:iCs/>
        </w:rPr>
        <w:t>modeling</w:t>
      </w:r>
      <w:proofErr w:type="spellEnd"/>
      <w:r w:rsidRPr="00F6445C">
        <w:rPr>
          <w:rFonts w:ascii="Times New Roman" w:hAnsi="Times New Roman" w:cs="Times New Roman"/>
          <w:iCs/>
        </w:rPr>
        <w:t xml:space="preserve"> approaches. Section 3 describes the data and econometric methodology. Section 4 presents and discusses the empirical results. Section 5 concludes and outlines directions for future research.</w:t>
      </w:r>
      <w:r w:rsidR="00DF5007">
        <w:rPr>
          <w:rFonts w:ascii="Times New Roman" w:hAnsi="Times New Roman" w:cs="Times New Roman"/>
          <w:iCs/>
        </w:rPr>
        <w:t xml:space="preserve"> </w:t>
      </w:r>
    </w:p>
    <w:p w14:paraId="6DA72382" w14:textId="00E8BC90" w:rsidR="00281F22" w:rsidRPr="00F6445C" w:rsidRDefault="00EE5A42" w:rsidP="00EE5A42">
      <w:pPr>
        <w:spacing w:line="360" w:lineRule="auto"/>
        <w:jc w:val="both"/>
        <w:rPr>
          <w:rFonts w:ascii="Times New Roman" w:hAnsi="Times New Roman" w:cs="Times New Roman"/>
          <w:b/>
          <w:bCs/>
          <w:iCs/>
        </w:rPr>
      </w:pPr>
      <w:r w:rsidRPr="00F6445C">
        <w:rPr>
          <w:rFonts w:ascii="Times New Roman" w:hAnsi="Times New Roman" w:cs="Times New Roman"/>
          <w:b/>
          <w:bCs/>
          <w:iCs/>
        </w:rPr>
        <w:t>LITERATURE REVIEW</w:t>
      </w:r>
    </w:p>
    <w:p w14:paraId="400A28C3" w14:textId="3275264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Research on equity market interdependence has a long tradition in financial economics, with early studies focusing on correlation structures and common factor models. In the context of sectoral analysis, correlations have been widely used to infer diversification benefits and co-movement patterns</w:t>
      </w:r>
      <w:r w:rsidR="00BE4402" w:rsidRPr="00F6445C">
        <w:rPr>
          <w:rFonts w:ascii="Times New Roman" w:hAnsi="Times New Roman" w:cs="Times New Roman"/>
          <w:iCs/>
        </w:rPr>
        <w:t xml:space="preserve"> </w:t>
      </w:r>
      <w:r w:rsidR="008D7F52" w:rsidRPr="00F6445C">
        <w:rPr>
          <w:rFonts w:ascii="Times New Roman" w:hAnsi="Times New Roman" w:cs="Times New Roman"/>
          <w:iCs/>
        </w:rPr>
        <w:t>(5</w:t>
      </w:r>
      <w:r w:rsidR="00BE4402" w:rsidRPr="00F6445C">
        <w:rPr>
          <w:rFonts w:ascii="Times New Roman" w:hAnsi="Times New Roman" w:cs="Times New Roman"/>
          <w:iCs/>
        </w:rPr>
        <w:t>)</w:t>
      </w:r>
      <w:r w:rsidR="008D7F52" w:rsidRPr="00F6445C">
        <w:rPr>
          <w:rFonts w:ascii="Times New Roman" w:hAnsi="Times New Roman" w:cs="Times New Roman"/>
          <w:iCs/>
        </w:rPr>
        <w:t>(6)(7)</w:t>
      </w:r>
      <w:r w:rsidRPr="00F6445C">
        <w:rPr>
          <w:rFonts w:ascii="Times New Roman" w:hAnsi="Times New Roman" w:cs="Times New Roman"/>
          <w:iCs/>
        </w:rPr>
        <w:t>. However, unconditional correlations are known to be unstable over time and sensitive to market regimes, particularly during periods of financial stress when correlations tend to increase sharply</w:t>
      </w:r>
      <w:r w:rsidR="00E31307" w:rsidRPr="00F6445C">
        <w:rPr>
          <w:rFonts w:ascii="Times New Roman" w:hAnsi="Times New Roman" w:cs="Times New Roman"/>
          <w:iCs/>
        </w:rPr>
        <w:t xml:space="preserve"> </w:t>
      </w:r>
      <w:r w:rsidR="008D7F52" w:rsidRPr="00F6445C">
        <w:rPr>
          <w:rFonts w:ascii="Times New Roman" w:hAnsi="Times New Roman" w:cs="Times New Roman"/>
          <w:iCs/>
        </w:rPr>
        <w:t>(</w:t>
      </w:r>
      <w:r w:rsidR="00E31307" w:rsidRPr="00F6445C">
        <w:rPr>
          <w:rFonts w:ascii="Times New Roman" w:hAnsi="Times New Roman" w:cs="Times New Roman"/>
          <w:iCs/>
        </w:rPr>
        <w:t>8)</w:t>
      </w:r>
      <w:r w:rsidRPr="00F6445C">
        <w:rPr>
          <w:rFonts w:ascii="Times New Roman" w:hAnsi="Times New Roman" w:cs="Times New Roman"/>
          <w:iCs/>
        </w:rPr>
        <w:t>.</w:t>
      </w:r>
    </w:p>
    <w:p w14:paraId="60CAA877" w14:textId="0AD012DA"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To address these limitations, subsequent studies have employed multivariate time-series frameworks such as vector autoregressions (VAR), vector error-correction models, and volatility </w:t>
      </w:r>
      <w:proofErr w:type="spellStart"/>
      <w:r w:rsidRPr="00F6445C">
        <w:rPr>
          <w:rFonts w:ascii="Times New Roman" w:hAnsi="Times New Roman" w:cs="Times New Roman"/>
          <w:iCs/>
        </w:rPr>
        <w:t>spillover</w:t>
      </w:r>
      <w:proofErr w:type="spellEnd"/>
      <w:r w:rsidRPr="00F6445C">
        <w:rPr>
          <w:rFonts w:ascii="Times New Roman" w:hAnsi="Times New Roman" w:cs="Times New Roman"/>
          <w:iCs/>
        </w:rPr>
        <w:t xml:space="preserve"> indices. The connectedness framework proposed by Diebold and Yilmaz has been especially influential, allowing researchers to quantify directional </w:t>
      </w:r>
      <w:proofErr w:type="spellStart"/>
      <w:r w:rsidRPr="00F6445C">
        <w:rPr>
          <w:rFonts w:ascii="Times New Roman" w:hAnsi="Times New Roman" w:cs="Times New Roman"/>
          <w:iCs/>
        </w:rPr>
        <w:t>spillovers</w:t>
      </w:r>
      <w:proofErr w:type="spellEnd"/>
      <w:r w:rsidRPr="00F6445C">
        <w:rPr>
          <w:rFonts w:ascii="Times New Roman" w:hAnsi="Times New Roman" w:cs="Times New Roman"/>
          <w:iCs/>
        </w:rPr>
        <w:t xml:space="preserve"> in returns and volatility across assets and sectors</w:t>
      </w:r>
      <w:r w:rsidR="00E31307" w:rsidRPr="00F6445C">
        <w:rPr>
          <w:rFonts w:ascii="Times New Roman" w:hAnsi="Times New Roman" w:cs="Times New Roman"/>
          <w:iCs/>
        </w:rPr>
        <w:t xml:space="preserve"> </w:t>
      </w:r>
      <w:r w:rsidR="008D7F52" w:rsidRPr="00F6445C">
        <w:rPr>
          <w:rFonts w:ascii="Times New Roman" w:hAnsi="Times New Roman" w:cs="Times New Roman"/>
          <w:iCs/>
        </w:rPr>
        <w:t>(9</w:t>
      </w:r>
      <w:r w:rsidR="00E31307" w:rsidRPr="00F6445C">
        <w:rPr>
          <w:rFonts w:ascii="Times New Roman" w:hAnsi="Times New Roman" w:cs="Times New Roman"/>
          <w:iCs/>
        </w:rPr>
        <w:t>)</w:t>
      </w:r>
      <w:r w:rsidRPr="00F6445C">
        <w:rPr>
          <w:rFonts w:ascii="Times New Roman" w:hAnsi="Times New Roman" w:cs="Times New Roman"/>
          <w:iCs/>
        </w:rPr>
        <w:t xml:space="preserve">. While powerful, these approaches often focus on dynamic </w:t>
      </w:r>
      <w:r w:rsidRPr="00F6445C">
        <w:rPr>
          <w:rFonts w:ascii="Times New Roman" w:hAnsi="Times New Roman" w:cs="Times New Roman"/>
          <w:iCs/>
        </w:rPr>
        <w:lastRenderedPageBreak/>
        <w:t>transmission mechanisms and variance decompositions, rather than isolating contemporaneous dependence conditional on common explanatory variables</w:t>
      </w:r>
      <w:r w:rsidR="00E31307" w:rsidRPr="00F6445C">
        <w:rPr>
          <w:rFonts w:ascii="Times New Roman" w:hAnsi="Times New Roman" w:cs="Times New Roman"/>
          <w:iCs/>
        </w:rPr>
        <w:t xml:space="preserve"> (</w:t>
      </w:r>
      <w:r w:rsidR="00206763" w:rsidRPr="00F6445C">
        <w:rPr>
          <w:rFonts w:ascii="Times New Roman" w:hAnsi="Times New Roman" w:cs="Times New Roman"/>
          <w:iCs/>
        </w:rPr>
        <w:t>10) (</w:t>
      </w:r>
      <w:r w:rsidR="003D4ECB" w:rsidRPr="00F6445C">
        <w:rPr>
          <w:rFonts w:ascii="Times New Roman" w:hAnsi="Times New Roman" w:cs="Times New Roman"/>
          <w:iCs/>
        </w:rPr>
        <w:t>11)</w:t>
      </w:r>
      <w:r w:rsidRPr="00F6445C">
        <w:rPr>
          <w:rFonts w:ascii="Times New Roman" w:hAnsi="Times New Roman" w:cs="Times New Roman"/>
          <w:iCs/>
        </w:rPr>
        <w:t>.</w:t>
      </w:r>
    </w:p>
    <w:p w14:paraId="59ADBF16" w14:textId="5452FA06" w:rsidR="00281F22"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 xml:space="preserve">Within the Indian context, several studies have examined sectoral co-movement using correlation analysis, rolling-window techniques, or VAR-based </w:t>
      </w:r>
      <w:proofErr w:type="spellStart"/>
      <w:r w:rsidRPr="00F6445C">
        <w:rPr>
          <w:rFonts w:ascii="Times New Roman" w:hAnsi="Times New Roman" w:cs="Times New Roman"/>
          <w:iCs/>
        </w:rPr>
        <w:t>spillover</w:t>
      </w:r>
      <w:proofErr w:type="spellEnd"/>
      <w:r w:rsidRPr="00F6445C">
        <w:rPr>
          <w:rFonts w:ascii="Times New Roman" w:hAnsi="Times New Roman" w:cs="Times New Roman"/>
          <w:iCs/>
        </w:rPr>
        <w:t xml:space="preserve"> measures</w:t>
      </w:r>
      <w:r w:rsidR="00EE787D" w:rsidRPr="00F6445C">
        <w:rPr>
          <w:rFonts w:ascii="Times New Roman" w:hAnsi="Times New Roman" w:cs="Times New Roman"/>
          <w:iCs/>
        </w:rPr>
        <w:t xml:space="preserve"> </w:t>
      </w:r>
      <w:r w:rsidR="003D4ECB" w:rsidRPr="00F6445C">
        <w:rPr>
          <w:rFonts w:ascii="Times New Roman" w:hAnsi="Times New Roman" w:cs="Times New Roman"/>
          <w:iCs/>
        </w:rPr>
        <w:t>(12</w:t>
      </w:r>
      <w:r w:rsidR="00EE787D" w:rsidRPr="00F6445C">
        <w:rPr>
          <w:rFonts w:ascii="Times New Roman" w:hAnsi="Times New Roman" w:cs="Times New Roman"/>
          <w:iCs/>
        </w:rPr>
        <w:t>)</w:t>
      </w:r>
      <w:r w:rsidRPr="00F6445C">
        <w:rPr>
          <w:rFonts w:ascii="Times New Roman" w:hAnsi="Times New Roman" w:cs="Times New Roman"/>
          <w:iCs/>
        </w:rPr>
        <w:t>. These studies generally find strong integration among cyclical sectors such as Banking, Auto, and Realty, particularly during crisis periods</w:t>
      </w:r>
      <w:r w:rsidR="00524F48" w:rsidRPr="00F6445C">
        <w:rPr>
          <w:rFonts w:ascii="Times New Roman" w:hAnsi="Times New Roman" w:cs="Times New Roman"/>
          <w:iCs/>
        </w:rPr>
        <w:t xml:space="preserve"> (</w:t>
      </w:r>
      <w:r w:rsidR="003D4ECB" w:rsidRPr="00F6445C">
        <w:rPr>
          <w:rFonts w:ascii="Times New Roman" w:hAnsi="Times New Roman" w:cs="Times New Roman"/>
          <w:iCs/>
        </w:rPr>
        <w:t>13</w:t>
      </w:r>
      <w:r w:rsidR="00524F48" w:rsidRPr="00F6445C">
        <w:rPr>
          <w:rFonts w:ascii="Times New Roman" w:hAnsi="Times New Roman" w:cs="Times New Roman"/>
          <w:iCs/>
        </w:rPr>
        <w:t>)</w:t>
      </w:r>
      <w:r w:rsidRPr="00F6445C">
        <w:rPr>
          <w:rFonts w:ascii="Times New Roman" w:hAnsi="Times New Roman" w:cs="Times New Roman"/>
          <w:iCs/>
        </w:rPr>
        <w:t xml:space="preserve">. However, most of this literature does not explicitly control for shared exposure to macro-financial risk factors, raising concerns that reported </w:t>
      </w:r>
      <w:proofErr w:type="spellStart"/>
      <w:r w:rsidRPr="00F6445C">
        <w:rPr>
          <w:rFonts w:ascii="Times New Roman" w:hAnsi="Times New Roman" w:cs="Times New Roman"/>
          <w:iCs/>
        </w:rPr>
        <w:t>spillovers</w:t>
      </w:r>
      <w:proofErr w:type="spellEnd"/>
      <w:r w:rsidRPr="00F6445C">
        <w:rPr>
          <w:rFonts w:ascii="Times New Roman" w:hAnsi="Times New Roman" w:cs="Times New Roman"/>
          <w:iCs/>
        </w:rPr>
        <w:t xml:space="preserve"> may largely reflect common shocks rather than structural inter-sector linkages.</w:t>
      </w:r>
    </w:p>
    <w:p w14:paraId="7988915F" w14:textId="01A3825E" w:rsidR="00281F22"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System regression techniques, such as Seemingly Unrelated Regressions, provide a natural framework to address this issue. Originally developed to improve efficiency when multiple equations are linked through correlated disturbances, SUR models have been applied in asset pricing, macroeconomics, and international finance to capture cross-equation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14</w:t>
      </w:r>
      <w:r w:rsidR="00EE787D" w:rsidRPr="00F6445C">
        <w:rPr>
          <w:rFonts w:ascii="Times New Roman" w:hAnsi="Times New Roman" w:cs="Times New Roman"/>
          <w:iCs/>
        </w:rPr>
        <w:t>)</w:t>
      </w:r>
      <w:r w:rsidR="003D4ECB" w:rsidRPr="00F6445C">
        <w:rPr>
          <w:rFonts w:ascii="Times New Roman" w:hAnsi="Times New Roman" w:cs="Times New Roman"/>
          <w:iCs/>
        </w:rPr>
        <w:t>(15)(16)</w:t>
      </w:r>
      <w:r w:rsidRPr="00F6445C">
        <w:rPr>
          <w:rFonts w:ascii="Times New Roman" w:hAnsi="Times New Roman" w:cs="Times New Roman"/>
          <w:iCs/>
        </w:rPr>
        <w:t>. By estimating the full covariance structure of residuals, SUR allows researchers to distinguish between explained co-movement and latent contemporaneous dependence</w:t>
      </w:r>
      <w:r w:rsidR="00EE787D" w:rsidRPr="00F6445C">
        <w:rPr>
          <w:rFonts w:ascii="Times New Roman" w:hAnsi="Times New Roman" w:cs="Times New Roman"/>
          <w:iCs/>
        </w:rPr>
        <w:t xml:space="preserve"> </w:t>
      </w:r>
      <w:r w:rsidR="003D4ECB" w:rsidRPr="00F6445C">
        <w:rPr>
          <w:rFonts w:ascii="Times New Roman" w:hAnsi="Times New Roman" w:cs="Times New Roman"/>
          <w:iCs/>
        </w:rPr>
        <w:t>(17</w:t>
      </w:r>
      <w:r w:rsidR="00EE787D" w:rsidRPr="00F6445C">
        <w:rPr>
          <w:rFonts w:ascii="Times New Roman" w:hAnsi="Times New Roman" w:cs="Times New Roman"/>
          <w:iCs/>
        </w:rPr>
        <w:t>)</w:t>
      </w:r>
      <w:r w:rsidR="003D4ECB" w:rsidRPr="00F6445C">
        <w:rPr>
          <w:rFonts w:ascii="Times New Roman" w:hAnsi="Times New Roman" w:cs="Times New Roman"/>
          <w:iCs/>
        </w:rPr>
        <w:t>(18)</w:t>
      </w:r>
      <w:r w:rsidRPr="00F6445C">
        <w:rPr>
          <w:rFonts w:ascii="Times New Roman" w:hAnsi="Times New Roman" w:cs="Times New Roman"/>
          <w:iCs/>
        </w:rPr>
        <w:t>. Despite its suitability, SUR remains underutilized in empirical studies of equity sector connectedness, particularly in emerging markets.</w:t>
      </w:r>
    </w:p>
    <w:p w14:paraId="1C7CFD4F" w14:textId="7072B8AB" w:rsidR="00DF5007" w:rsidRPr="00F6445C" w:rsidRDefault="00DF5007" w:rsidP="00EE5A42">
      <w:pPr>
        <w:spacing w:line="360" w:lineRule="auto"/>
        <w:jc w:val="both"/>
        <w:rPr>
          <w:rFonts w:ascii="Times New Roman" w:hAnsi="Times New Roman" w:cs="Times New Roman"/>
          <w:iCs/>
        </w:rPr>
      </w:pPr>
      <w:r w:rsidRPr="00DF5007">
        <w:rPr>
          <w:rFonts w:ascii="Times New Roman" w:hAnsi="Times New Roman" w:cs="Times New Roman"/>
          <w:iCs/>
        </w:rPr>
        <w:t xml:space="preserve">Recent literature highlights the role of global supply chain disruptions in amplifying sectoral interdependence, particularly across manufacturing, energy, and commodity-linked sectors. Such disruptions create asymmetric shocks that propagate across industries, reinforcing the importance of </w:t>
      </w:r>
      <w:proofErr w:type="spellStart"/>
      <w:r w:rsidRPr="00DF5007">
        <w:rPr>
          <w:rFonts w:ascii="Times New Roman" w:hAnsi="Times New Roman" w:cs="Times New Roman"/>
          <w:iCs/>
        </w:rPr>
        <w:t>modeling</w:t>
      </w:r>
      <w:proofErr w:type="spellEnd"/>
      <w:r w:rsidRPr="00DF5007">
        <w:rPr>
          <w:rFonts w:ascii="Times New Roman" w:hAnsi="Times New Roman" w:cs="Times New Roman"/>
          <w:iCs/>
        </w:rPr>
        <w:t xml:space="preserve"> conditional connectedness.</w:t>
      </w:r>
    </w:p>
    <w:p w14:paraId="309B23F6" w14:textId="66BE6702" w:rsidR="00346368" w:rsidRPr="00F6445C" w:rsidRDefault="00281F22" w:rsidP="00EE5A42">
      <w:pPr>
        <w:spacing w:line="360" w:lineRule="auto"/>
        <w:jc w:val="both"/>
        <w:rPr>
          <w:rFonts w:ascii="Times New Roman" w:hAnsi="Times New Roman" w:cs="Times New Roman"/>
          <w:iCs/>
        </w:rPr>
      </w:pPr>
      <w:r w:rsidRPr="00F6445C">
        <w:rPr>
          <w:rFonts w:ascii="Times New Roman" w:hAnsi="Times New Roman" w:cs="Times New Roman"/>
          <w:iCs/>
        </w:rPr>
        <w:t>This study builds on and extends the existing literature by applying a SUR–FGLS framework to Indian sectoral returns, explicitly mode</w:t>
      </w:r>
      <w:r w:rsidR="007C2AD5">
        <w:rPr>
          <w:rFonts w:ascii="Times New Roman" w:hAnsi="Times New Roman" w:cs="Times New Roman"/>
          <w:iCs/>
        </w:rPr>
        <w:t>l</w:t>
      </w:r>
      <w:r w:rsidRPr="00F6445C">
        <w:rPr>
          <w:rFonts w:ascii="Times New Roman" w:hAnsi="Times New Roman" w:cs="Times New Roman"/>
          <w:iCs/>
        </w:rPr>
        <w:t>ling both systematic risk exposure and residual interdependence. In doing so, it bridges the gap between correlation-based connectedness analysis and system-level econometric mode</w:t>
      </w:r>
      <w:r w:rsidR="007C2AD5">
        <w:rPr>
          <w:rFonts w:ascii="Times New Roman" w:hAnsi="Times New Roman" w:cs="Times New Roman"/>
          <w:iCs/>
        </w:rPr>
        <w:t>l</w:t>
      </w:r>
      <w:r w:rsidRPr="00F6445C">
        <w:rPr>
          <w:rFonts w:ascii="Times New Roman" w:hAnsi="Times New Roman" w:cs="Times New Roman"/>
          <w:iCs/>
        </w:rPr>
        <w:t>ling, offering a more nuanced view of how shocks propagate across equity sectors.</w:t>
      </w:r>
    </w:p>
    <w:p w14:paraId="1B37393A" w14:textId="3709A90C" w:rsidR="00346368" w:rsidRPr="00F6445C" w:rsidRDefault="00EE5A42" w:rsidP="00EE5A42">
      <w:pPr>
        <w:spacing w:line="360" w:lineRule="auto"/>
        <w:jc w:val="both"/>
        <w:rPr>
          <w:rFonts w:ascii="Times New Roman" w:hAnsi="Times New Roman" w:cs="Times New Roman"/>
          <w:b/>
          <w:iCs/>
        </w:rPr>
      </w:pPr>
      <w:r w:rsidRPr="00F6445C">
        <w:rPr>
          <w:rFonts w:ascii="Times New Roman" w:hAnsi="Times New Roman" w:cs="Times New Roman"/>
          <w:b/>
          <w:iCs/>
        </w:rPr>
        <w:t>METHODOLOGY</w:t>
      </w:r>
    </w:p>
    <w:p w14:paraId="51588CD2" w14:textId="77777777" w:rsidR="005A59AF" w:rsidRPr="005A59AF" w:rsidRDefault="005A59AF" w:rsidP="005A59AF">
      <w:pPr>
        <w:pStyle w:val="NormalWeb"/>
        <w:spacing w:line="360" w:lineRule="auto"/>
        <w:jc w:val="both"/>
        <w:rPr>
          <w:b/>
          <w:bCs/>
          <w:iCs/>
        </w:rPr>
      </w:pPr>
      <w:r w:rsidRPr="005A59AF">
        <w:rPr>
          <w:b/>
          <w:bCs/>
          <w:iCs/>
        </w:rPr>
        <w:t>3.1 Data and Variable Construction</w:t>
      </w:r>
    </w:p>
    <w:p w14:paraId="4D1F303A" w14:textId="31829670" w:rsidR="005A59AF" w:rsidRPr="005A59AF" w:rsidRDefault="005A59AF" w:rsidP="005A59AF">
      <w:pPr>
        <w:pStyle w:val="NormalWeb"/>
        <w:spacing w:line="360" w:lineRule="auto"/>
        <w:jc w:val="both"/>
        <w:rPr>
          <w:iCs/>
        </w:rPr>
      </w:pPr>
      <w:r w:rsidRPr="005A59AF">
        <w:rPr>
          <w:iCs/>
        </w:rPr>
        <w:lastRenderedPageBreak/>
        <w:t xml:space="preserve">The empirical analysis is conducted using daily closing price data for eight major sectoral indices of the Indian equity market: NIFTY IT, NIFTY FMCG, NIFTY PHARMA, NIFTY AUTO, NIFTY BANK, NIFTY ENERGY, NIFTY METAL, and NIFTY REALTY. The sample period extends from 1 January 2020 to 1 January 2026, based on data availability from Yahoo Finance. </w:t>
      </w:r>
      <w:r w:rsidR="00DF5007" w:rsidRPr="00DF5007">
        <w:rPr>
          <w:iCs/>
        </w:rPr>
        <w:t>The sample period encompasses major economic disruptions</w:t>
      </w:r>
      <w:r w:rsidR="007C2AD5">
        <w:rPr>
          <w:iCs/>
        </w:rPr>
        <w:t>,</w:t>
      </w:r>
      <w:r w:rsidR="00DF5007" w:rsidRPr="00DF5007">
        <w:rPr>
          <w:iCs/>
        </w:rPr>
        <w:t xml:space="preserve"> including the COVID-19 pandemic, post-pandemic recovery, inflationary pressures, and global monetary tightening, which are expected to influence sectoral return dynamics</w:t>
      </w:r>
      <w:r w:rsidR="00DF5007">
        <w:rPr>
          <w:iCs/>
        </w:rPr>
        <w:t xml:space="preserve">. </w:t>
      </w:r>
      <w:r w:rsidRPr="005A59AF">
        <w:rPr>
          <w:iCs/>
        </w:rPr>
        <w:t>These indices collectively capture a broad cross-section of sectoral dynamics, including both cyclical and defensive segments of the economy.</w:t>
      </w:r>
      <w:r w:rsidR="00A421CE">
        <w:rPr>
          <w:iCs/>
        </w:rPr>
        <w:t xml:space="preserve"> </w:t>
      </w:r>
      <w:r w:rsidR="00C06B19" w:rsidRPr="00C06B19">
        <w:rPr>
          <w:iCs/>
        </w:rPr>
        <w:t xml:space="preserve">The analysis is implemented using Python libraries such as pandas and NumPy for data processing and </w:t>
      </w:r>
      <w:proofErr w:type="spellStart"/>
      <w:r w:rsidR="00C06B19" w:rsidRPr="00C06B19">
        <w:rPr>
          <w:iCs/>
        </w:rPr>
        <w:t>statsmodels</w:t>
      </w:r>
      <w:proofErr w:type="spellEnd"/>
      <w:r w:rsidR="00C06B19" w:rsidRPr="00C06B19">
        <w:rPr>
          <w:iCs/>
        </w:rPr>
        <w:t xml:space="preserve"> for econometric estimation, ensuring transparency and replicability.</w:t>
      </w:r>
      <w:r w:rsidR="00C06B19">
        <w:rPr>
          <w:iCs/>
        </w:rPr>
        <w:t xml:space="preserve"> </w:t>
      </w:r>
      <w:r w:rsidR="00A421CE">
        <w:t>All variables are stationary in return form, consistent with standard financial econometric practice.</w:t>
      </w:r>
      <w:r w:rsidR="00206763">
        <w:t xml:space="preserve"> </w:t>
      </w:r>
    </w:p>
    <w:p w14:paraId="4089F60A" w14:textId="77777777" w:rsidR="005A59AF" w:rsidRPr="005A59AF" w:rsidRDefault="005A59AF" w:rsidP="005A59AF">
      <w:pPr>
        <w:pStyle w:val="NormalWeb"/>
        <w:spacing w:line="360" w:lineRule="auto"/>
        <w:jc w:val="both"/>
        <w:rPr>
          <w:iCs/>
        </w:rPr>
      </w:pPr>
      <w:r w:rsidRPr="005A59AF">
        <w:rPr>
          <w:iCs/>
        </w:rPr>
        <w:t xml:space="preserve">To control for common macro-financial influences, the model incorporates a set of widely used global and domestic risk factors. These include the NIFTY 50 index return (market factor), the India VIX (market uncertainty proxy), the USD/INR exchange rate (external financial conditions proxy), Brent crude oil prices (commodity price proxy), the S&amp;P 500 index (global equity market proxy), and gold prices (safe-haven asset proxy). These variables are selected to capture key channels through which domestic sectoral returns may be influenced, including global </w:t>
      </w:r>
      <w:proofErr w:type="spellStart"/>
      <w:r w:rsidRPr="005A59AF">
        <w:rPr>
          <w:iCs/>
        </w:rPr>
        <w:t>spillovers</w:t>
      </w:r>
      <w:proofErr w:type="spellEnd"/>
      <w:r w:rsidRPr="005A59AF">
        <w:rPr>
          <w:iCs/>
        </w:rPr>
        <w:t>, volatility transmission, exchange-rate effects, and commodity price dynamics.</w:t>
      </w:r>
    </w:p>
    <w:p w14:paraId="07B0B6BA" w14:textId="5BF20EF5" w:rsidR="005A59AF" w:rsidRPr="005A59AF" w:rsidRDefault="005A59AF" w:rsidP="005A59AF">
      <w:pPr>
        <w:pStyle w:val="NormalWeb"/>
        <w:spacing w:line="360" w:lineRule="auto"/>
        <w:jc w:val="both"/>
        <w:rPr>
          <w:iCs/>
        </w:rPr>
      </w:pPr>
      <w:r w:rsidRPr="005A59AF">
        <w:rPr>
          <w:iCs/>
        </w:rPr>
        <w:t>All variables are transformed into continuously compounded daily returns using log-differences scaled by 100</w:t>
      </w:r>
      <w:r>
        <w:rPr>
          <w:iCs/>
        </w:rPr>
        <w:t>:</w:t>
      </w:r>
    </w:p>
    <w:p w14:paraId="420C48FE" w14:textId="2F805B10" w:rsidR="005A59AF" w:rsidRPr="005A59AF" w:rsidRDefault="007C2AD5"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sSub>
                      <m:sSubPr>
                        <m:ctrlPr>
                          <w:rPr>
                            <w:rFonts w:ascii="Cambria Math" w:hAnsi="Cambria Math"/>
                          </w:rPr>
                        </m:ctrlPr>
                      </m:sSubPr>
                      <m:e>
                        <m:r>
                          <w:rPr>
                            <w:rFonts w:ascii="Cambria Math" w:hAnsi="Cambria Math"/>
                          </w:rPr>
                          <m:t>R</m:t>
                        </m:r>
                      </m:e>
                      <m:sub>
                        <m:r>
                          <w:rPr>
                            <w:rFonts w:ascii="Cambria Math" w:hAnsi="Cambria Math"/>
                          </w:rPr>
                          <m:t>i,t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i,t</m:t>
                                    </m:r>
                                  </m:sub>
                                </m:sSub>
                              </m:num>
                              <m:den>
                                <m:sSub>
                                  <m:sSubPr>
                                    <m:ctrlPr>
                                      <w:rPr>
                                        <w:rFonts w:ascii="Cambria Math" w:hAnsi="Cambria Math"/>
                                      </w:rPr>
                                    </m:ctrlPr>
                                  </m:sSubPr>
                                  <m:e>
                                    <m:r>
                                      <w:rPr>
                                        <w:rFonts w:ascii="Cambria Math" w:hAnsi="Cambria Math"/>
                                      </w:rPr>
                                      <m:t>P</m:t>
                                    </m:r>
                                  </m:e>
                                  <m:sub>
                                    <m:r>
                                      <w:rPr>
                                        <w:rFonts w:ascii="Cambria Math" w:hAnsi="Cambria Math"/>
                                      </w:rPr>
                                      <m:t>i,t-1</m:t>
                                    </m:r>
                                  </m:sub>
                                </m:sSub>
                              </m:den>
                            </m:f>
                          </m:e>
                        </m:d>
                      </m:e>
                    </m:func>
                  </m:e>
                  <m:e/>
                  <m:e/>
                </m:mr>
              </m:m>
              <m:r>
                <w:rPr>
                  <w:rFonts w:ascii="Cambria Math" w:hAnsi="Cambria Math"/>
                </w:rPr>
                <m:t>#</m:t>
              </m:r>
              <m:d>
                <m:dPr>
                  <m:ctrlPr>
                    <w:rPr>
                      <w:rFonts w:ascii="Cambria Math" w:hAnsi="Cambria Math"/>
                      <w:i/>
                    </w:rPr>
                  </m:ctrlPr>
                </m:dPr>
                <m:e>
                  <m:r>
                    <w:rPr>
                      <w:rFonts w:ascii="Cambria Math" w:hAnsi="Cambria Math"/>
                    </w:rPr>
                    <m:t>1</m:t>
                  </m:r>
                </m:e>
              </m:d>
            </m:e>
          </m:eqArr>
        </m:oMath>
      </m:oMathPara>
    </w:p>
    <w:p w14:paraId="1DA0066F" w14:textId="252E834B" w:rsidR="005A59AF" w:rsidRPr="005A59AF" w:rsidRDefault="007C2AD5"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X</m:t>
                  </m:r>
                </m:e>
                <m:sub>
                  <m:r>
                    <w:rPr>
                      <w:rFonts w:ascii="Cambria Math" w:hAnsi="Cambria Math"/>
                    </w:rPr>
                    <m:t>k,t</m:t>
                  </m:r>
                </m:sub>
              </m:sSub>
              <m:r>
                <w:rPr>
                  <w:rFonts w:ascii="Cambria Math" w:hAnsi="Cambria Math"/>
                </w:rPr>
                <m:t>=100×</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k,t</m:t>
                              </m:r>
                            </m:sub>
                          </m:sSub>
                        </m:num>
                        <m:den>
                          <m:sSub>
                            <m:sSubPr>
                              <m:ctrlPr>
                                <w:rPr>
                                  <w:rFonts w:ascii="Cambria Math" w:hAnsi="Cambria Math"/>
                                  <w:i/>
                                </w:rPr>
                              </m:ctrlPr>
                            </m:sSubPr>
                            <m:e>
                              <m:r>
                                <w:rPr>
                                  <w:rFonts w:ascii="Cambria Math" w:hAnsi="Cambria Math"/>
                                </w:rPr>
                                <m:t>F</m:t>
                              </m:r>
                            </m:e>
                            <m:sub>
                              <m:r>
                                <w:rPr>
                                  <w:rFonts w:ascii="Cambria Math" w:hAnsi="Cambria Math"/>
                                </w:rPr>
                                <m:t>k,t-1</m:t>
                              </m:r>
                            </m:sub>
                          </m:sSub>
                        </m:den>
                      </m:f>
                    </m:e>
                  </m:d>
                </m:e>
              </m:func>
              <m:r>
                <w:rPr>
                  <w:rFonts w:ascii="Cambria Math" w:hAnsi="Cambria Math"/>
                </w:rPr>
                <m:t xml:space="preserve"> #</m:t>
              </m:r>
              <m:d>
                <m:dPr>
                  <m:ctrlPr>
                    <w:rPr>
                      <w:rFonts w:ascii="Cambria Math" w:hAnsi="Cambria Math"/>
                      <w:i/>
                    </w:rPr>
                  </m:ctrlPr>
                </m:dPr>
                <m:e>
                  <m:r>
                    <w:rPr>
                      <w:rFonts w:ascii="Cambria Math" w:hAnsi="Cambria Math"/>
                    </w:rPr>
                    <m:t>2</m:t>
                  </m:r>
                </m:e>
              </m:d>
            </m:e>
          </m:eqArr>
        </m:oMath>
      </m:oMathPara>
    </w:p>
    <w:p w14:paraId="1878F0DB" w14:textId="77777777" w:rsidR="005A59AF" w:rsidRPr="005A59AF" w:rsidRDefault="005A59AF" w:rsidP="005A59AF">
      <w:pPr>
        <w:pStyle w:val="NormalWeb"/>
        <w:spacing w:line="360" w:lineRule="auto"/>
        <w:jc w:val="bot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i,t</m:t>
            </m:r>
          </m:sub>
        </m:sSub>
      </m:oMath>
      <w:r>
        <w:t xml:space="preserve"> </w:t>
      </w:r>
      <w:r w:rsidRPr="005A59AF">
        <w:t>denotes the closing price of sector</w:t>
      </w:r>
      <w:r>
        <w:t xml:space="preserve"> </w:t>
      </w:r>
      <m:oMath>
        <m:r>
          <w:rPr>
            <w:rFonts w:ascii="Cambria Math" w:hAnsi="Cambria Math"/>
          </w:rPr>
          <m:t>i</m:t>
        </m:r>
      </m:oMath>
      <w:r>
        <w:t xml:space="preserve"> at time </w:t>
      </w:r>
      <m:oMath>
        <m:r>
          <w:rPr>
            <w:rFonts w:ascii="Cambria Math" w:hAnsi="Cambria Math"/>
          </w:rPr>
          <m:t>t</m:t>
        </m:r>
        <m:r>
          <w:rPr>
            <w:rFonts w:ascii="Cambria Math"/>
          </w:rPr>
          <m:t xml:space="preserve">, </m:t>
        </m:r>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k,t</m:t>
            </m:r>
          </m:sub>
        </m:sSub>
      </m:oMath>
      <w:r>
        <w:t xml:space="preserve"> </w:t>
      </w:r>
      <w:r w:rsidRPr="005A59AF">
        <w:t>denotes the value of macro-financial factor</w:t>
      </w:r>
      <w:r>
        <w:t xml:space="preserve"> </w:t>
      </w:r>
      <m:oMath>
        <m:r>
          <w:rPr>
            <w:rFonts w:ascii="Cambria Math" w:hAnsi="Cambria Math"/>
          </w:rPr>
          <m:t>k</m:t>
        </m:r>
        <m:r>
          <w:rPr>
            <w:rFonts w:ascii="Cambria Math"/>
          </w:rPr>
          <m:t>.</m:t>
        </m:r>
      </m:oMath>
      <w:r>
        <w:t xml:space="preserve"> </w:t>
      </w:r>
      <w:r w:rsidRPr="005A59AF">
        <w:t>All series are aligned on a common trading calendar using an inner join to ensure a balanced panel.</w:t>
      </w:r>
    </w:p>
    <w:p w14:paraId="13CC7037" w14:textId="77777777" w:rsidR="005A59AF" w:rsidRPr="005A59AF" w:rsidRDefault="005A59AF" w:rsidP="005A59AF">
      <w:pPr>
        <w:pStyle w:val="NormalWeb"/>
        <w:spacing w:line="360" w:lineRule="auto"/>
        <w:jc w:val="both"/>
        <w:rPr>
          <w:b/>
          <w:bCs/>
        </w:rPr>
      </w:pPr>
      <w:r w:rsidRPr="005A59AF">
        <w:rPr>
          <w:b/>
          <w:bCs/>
        </w:rPr>
        <w:lastRenderedPageBreak/>
        <w:t>Model Specification</w:t>
      </w:r>
    </w:p>
    <w:p w14:paraId="24F99745" w14:textId="77777777" w:rsidR="005A59AF" w:rsidRPr="005A59AF" w:rsidRDefault="005A59AF" w:rsidP="005A59AF">
      <w:pPr>
        <w:pStyle w:val="NormalWeb"/>
        <w:spacing w:line="360" w:lineRule="auto"/>
        <w:jc w:val="both"/>
      </w:pPr>
      <w:r w:rsidRPr="005A59AF">
        <w:t xml:space="preserve">To capture both sector-specific dynamics and common macro-financial influences, each sectoral return is </w:t>
      </w:r>
      <w:proofErr w:type="spellStart"/>
      <w:r w:rsidRPr="005A59AF">
        <w:t>modeled</w:t>
      </w:r>
      <w:proofErr w:type="spellEnd"/>
      <w:r w:rsidRPr="005A59AF">
        <w:t xml:space="preserve"> as a function of lagged own returns and lagged macro-financial variables. The use of lagged regressors is motivated by the need to mitigate simultaneity and endogeneity concerns inherent in daily financial data, where contemporaneous relationships may be bidirectional.</w:t>
      </w:r>
    </w:p>
    <w:p w14:paraId="162CE8C4" w14:textId="57750400" w:rsidR="005A59AF" w:rsidRDefault="005A59AF" w:rsidP="005A59AF">
      <w:pPr>
        <w:pStyle w:val="NormalWeb"/>
        <w:spacing w:line="360" w:lineRule="auto"/>
        <w:jc w:val="both"/>
      </w:pPr>
      <w:r w:rsidRPr="005A59AF">
        <w:t>The conditional mean equation for sector</w:t>
      </w:r>
      <w:r>
        <w:t xml:space="preserve"> </w:t>
      </w:r>
      <m:oMath>
        <m:r>
          <w:rPr>
            <w:rFonts w:ascii="Cambria Math" w:hAnsi="Cambria Math"/>
          </w:rPr>
          <m:t>i</m:t>
        </m:r>
      </m:oMath>
      <w:r>
        <w:t xml:space="preserve"> is specified as:</w:t>
      </w:r>
    </w:p>
    <w:p w14:paraId="3C90533E" w14:textId="290D1EAF" w:rsidR="00346368" w:rsidRPr="005A59AF" w:rsidRDefault="007C2AD5" w:rsidP="00EE5A42">
      <w:pPr>
        <w:pStyle w:val="NormalWeb"/>
        <w:spacing w:line="360" w:lineRule="auto"/>
        <w:jc w:val="both"/>
        <w:rPr>
          <w:sz w:val="18"/>
        </w:rPr>
      </w:pPr>
      <m:oMathPara>
        <m:oMath>
          <m:eqArr>
            <m:eqArrPr>
              <m:maxDist m:val="1"/>
              <m:ctrlPr>
                <w:rPr>
                  <w:rFonts w:ascii="Cambria Math" w:hAnsi="Cambria Math"/>
                  <w:i/>
                  <w:sz w:val="18"/>
                </w:rPr>
              </m:ctrlPr>
            </m:eqArrPr>
            <m:e>
              <m:sSub>
                <m:sSubPr>
                  <m:ctrlPr>
                    <w:rPr>
                      <w:rFonts w:ascii="Cambria Math" w:hAnsi="Cambria Math"/>
                      <w:sz w:val="18"/>
                    </w:rPr>
                  </m:ctrlPr>
                </m:sSubPr>
                <m:e>
                  <m:r>
                    <w:rPr>
                      <w:rFonts w:ascii="Cambria Math" w:hAnsi="Cambria Math"/>
                      <w:sz w:val="18"/>
                    </w:rPr>
                    <m:t>R</m:t>
                  </m:r>
                </m:e>
                <m:sub>
                  <m:r>
                    <w:rPr>
                      <w:rFonts w:ascii="Cambria Math" w:hAnsi="Cambria Math"/>
                      <w:sz w:val="18"/>
                    </w:rPr>
                    <m:t>i,t</m:t>
                  </m:r>
                </m:sub>
              </m:sSub>
              <m:r>
                <w:rPr>
                  <w:rFonts w:ascii="Cambria Math" w:hAnsi="Cambria Math"/>
                  <w:sz w:val="18"/>
                </w:rPr>
                <m:t>=</m:t>
              </m:r>
              <m:sSub>
                <m:sSubPr>
                  <m:ctrlPr>
                    <w:rPr>
                      <w:rFonts w:ascii="Cambria Math" w:hAnsi="Cambria Math"/>
                      <w:sz w:val="18"/>
                    </w:rPr>
                  </m:ctrlPr>
                </m:sSubPr>
                <m:e>
                  <m:r>
                    <w:rPr>
                      <w:rFonts w:ascii="Cambria Math" w:hAnsi="Cambria Math"/>
                      <w:sz w:val="18"/>
                    </w:rPr>
                    <m:t>α</m:t>
                  </m:r>
                </m:e>
                <m:sub>
                  <m:r>
                    <w:rPr>
                      <w:rFonts w:ascii="Cambria Math" w:hAnsi="Cambria Math"/>
                      <w:sz w:val="18"/>
                    </w:rPr>
                    <m:t>i</m:t>
                  </m:r>
                </m:sub>
              </m:sSub>
              <m:r>
                <w:rPr>
                  <w:rFonts w:ascii="Cambria Math" w:hAnsi="Cambria Math"/>
                  <w:sz w:val="18"/>
                </w:rPr>
                <m:t>+</m:t>
              </m:r>
              <m:sSub>
                <m:sSubPr>
                  <m:ctrlPr>
                    <w:rPr>
                      <w:rFonts w:ascii="Cambria Math" w:hAnsi="Cambria Math"/>
                      <w:sz w:val="18"/>
                    </w:rPr>
                  </m:ctrlPr>
                </m:sSubPr>
                <m:e>
                  <m:r>
                    <w:rPr>
                      <w:rFonts w:ascii="Cambria Math" w:hAnsi="Cambria Math"/>
                      <w:sz w:val="18"/>
                    </w:rPr>
                    <m:t>ϕ</m:t>
                  </m:r>
                </m:e>
                <m:sub>
                  <m:r>
                    <w:rPr>
                      <w:rFonts w:ascii="Cambria Math" w:hAnsi="Cambria Math"/>
                      <w:sz w:val="18"/>
                    </w:rPr>
                    <m:t>i</m:t>
                  </m:r>
                </m:sub>
              </m:sSub>
              <m:sSub>
                <m:sSubPr>
                  <m:ctrlPr>
                    <w:rPr>
                      <w:rFonts w:ascii="Cambria Math" w:hAnsi="Cambria Math"/>
                      <w:sz w:val="18"/>
                    </w:rPr>
                  </m:ctrlPr>
                </m:sSubPr>
                <m:e>
                  <m:r>
                    <w:rPr>
                      <w:rFonts w:ascii="Cambria Math" w:hAnsi="Cambria Math"/>
                      <w:sz w:val="18"/>
                    </w:rPr>
                    <m:t>R</m:t>
                  </m:r>
                </m:e>
                <m:sub>
                  <m:r>
                    <w:rPr>
                      <w:rFonts w:ascii="Cambria Math" w:hAnsi="Cambria Math"/>
                      <w:sz w:val="18"/>
                    </w:rPr>
                    <m:t>i,t-1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1i</m:t>
                  </m:r>
                </m:sub>
              </m:sSub>
              <m:r>
                <w:rPr>
                  <w:rFonts w:ascii="Cambria Math" w:hAnsi="Cambria Math"/>
                  <w:sz w:val="18"/>
                </w:rPr>
                <m:t>MK</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2i</m:t>
                  </m:r>
                </m:sub>
              </m:sSub>
              <m:r>
                <w:rPr>
                  <w:rFonts w:ascii="Cambria Math" w:hAnsi="Cambria Math"/>
                  <w:sz w:val="18"/>
                </w:rPr>
                <m:t>VI</m:t>
              </m:r>
              <m:sSub>
                <m:sSubPr>
                  <m:ctrlPr>
                    <w:rPr>
                      <w:rFonts w:ascii="Cambria Math" w:hAnsi="Cambria Math"/>
                      <w:sz w:val="18"/>
                    </w:rPr>
                  </m:ctrlPr>
                </m:sSubPr>
                <m:e>
                  <m:r>
                    <w:rPr>
                      <w:rFonts w:ascii="Cambria Math" w:hAnsi="Cambria Math"/>
                      <w:sz w:val="18"/>
                    </w:rPr>
                    <m:t>X</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3i</m:t>
                  </m:r>
                </m:sub>
              </m:sSub>
              <m:r>
                <w:rPr>
                  <w:rFonts w:ascii="Cambria Math" w:hAnsi="Cambria Math"/>
                  <w:sz w:val="18"/>
                </w:rPr>
                <m:t>USDIN</m:t>
              </m:r>
              <m:sSub>
                <m:sSubPr>
                  <m:ctrlPr>
                    <w:rPr>
                      <w:rFonts w:ascii="Cambria Math" w:hAnsi="Cambria Math"/>
                      <w:sz w:val="18"/>
                    </w:rPr>
                  </m:ctrlPr>
                </m:sSubPr>
                <m:e>
                  <m:r>
                    <w:rPr>
                      <w:rFonts w:ascii="Cambria Math" w:hAnsi="Cambria Math"/>
                      <w:sz w:val="18"/>
                    </w:rPr>
                    <m:t>R</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4i</m:t>
                  </m:r>
                </m:sub>
              </m:sSub>
              <m:r>
                <w:rPr>
                  <w:rFonts w:ascii="Cambria Math" w:hAnsi="Cambria Math"/>
                  <w:sz w:val="18"/>
                </w:rPr>
                <m:t>BREN</m:t>
              </m:r>
              <m:sSub>
                <m:sSubPr>
                  <m:ctrlPr>
                    <w:rPr>
                      <w:rFonts w:ascii="Cambria Math" w:hAnsi="Cambria Math"/>
                      <w:sz w:val="18"/>
                    </w:rPr>
                  </m:ctrlPr>
                </m:sSubPr>
                <m:e>
                  <m:r>
                    <w:rPr>
                      <w:rFonts w:ascii="Cambria Math" w:hAnsi="Cambria Math"/>
                      <w:sz w:val="18"/>
                    </w:rPr>
                    <m:t>T</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5i</m:t>
                  </m:r>
                </m:sub>
              </m:sSub>
              <m:r>
                <w:rPr>
                  <w:rFonts w:ascii="Cambria Math" w:hAnsi="Cambria Math"/>
                  <w:sz w:val="18"/>
                </w:rPr>
                <m:t>SP</m:t>
              </m:r>
              <m:sSub>
                <m:sSubPr>
                  <m:ctrlPr>
                    <w:rPr>
                      <w:rFonts w:ascii="Cambria Math" w:hAnsi="Cambria Math"/>
                      <w:sz w:val="18"/>
                    </w:rPr>
                  </m:ctrlPr>
                </m:sSubPr>
                <m:e>
                  <m:r>
                    <w:rPr>
                      <w:rFonts w:ascii="Cambria Math" w:hAnsi="Cambria Math"/>
                      <w:sz w:val="18"/>
                    </w:rPr>
                    <m:t>500</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β</m:t>
                  </m:r>
                </m:e>
                <m:sub>
                  <m:r>
                    <w:rPr>
                      <w:rFonts w:ascii="Cambria Math" w:hAnsi="Cambria Math"/>
                      <w:sz w:val="18"/>
                    </w:rPr>
                    <m:t>6i</m:t>
                  </m:r>
                </m:sub>
              </m:sSub>
              <m:r>
                <w:rPr>
                  <w:rFonts w:ascii="Cambria Math" w:hAnsi="Cambria Math"/>
                  <w:sz w:val="18"/>
                </w:rPr>
                <m:t>GOL</m:t>
              </m:r>
              <m:sSub>
                <m:sSubPr>
                  <m:ctrlPr>
                    <w:rPr>
                      <w:rFonts w:ascii="Cambria Math" w:hAnsi="Cambria Math"/>
                      <w:sz w:val="18"/>
                    </w:rPr>
                  </m:ctrlPr>
                </m:sSubPr>
                <m:e>
                  <m:r>
                    <w:rPr>
                      <w:rFonts w:ascii="Cambria Math" w:hAnsi="Cambria Math"/>
                      <w:sz w:val="18"/>
                    </w:rPr>
                    <m:t>D</m:t>
                  </m:r>
                </m:e>
                <m:sub>
                  <m:r>
                    <w:rPr>
                      <w:rFonts w:ascii="Cambria Math" w:hAnsi="Cambria Math"/>
                      <w:sz w:val="18"/>
                    </w:rPr>
                    <m:t>t-1</m:t>
                  </m:r>
                </m:sub>
              </m:sSub>
              <m:r>
                <w:rPr>
                  <w:rFonts w:ascii="Cambria Math" w:hAnsi="Cambria Math"/>
                  <w:sz w:val="18"/>
                </w:rPr>
                <m:t>+</m:t>
              </m:r>
              <m:sSub>
                <m:sSubPr>
                  <m:ctrlPr>
                    <w:rPr>
                      <w:rFonts w:ascii="Cambria Math" w:hAnsi="Cambria Math"/>
                      <w:sz w:val="18"/>
                    </w:rPr>
                  </m:ctrlPr>
                </m:sSubPr>
                <m:e>
                  <m:r>
                    <w:rPr>
                      <w:rFonts w:ascii="Cambria Math" w:hAnsi="Cambria Math"/>
                      <w:sz w:val="18"/>
                    </w:rPr>
                    <m:t>ε</m:t>
                  </m:r>
                </m:e>
                <m:sub>
                  <m:r>
                    <w:rPr>
                      <w:rFonts w:ascii="Cambria Math" w:hAnsi="Cambria Math"/>
                      <w:sz w:val="18"/>
                    </w:rPr>
                    <m:t>i,t</m:t>
                  </m:r>
                </m:sub>
              </m:sSub>
              <m:r>
                <w:rPr>
                  <w:rFonts w:ascii="Cambria Math"/>
                  <w:sz w:val="18"/>
                </w:rPr>
                <m:t xml:space="preserve"> </m:t>
              </m:r>
              <m:r>
                <w:rPr>
                  <w:rFonts w:ascii="Cambria Math" w:hAnsi="Cambria Math"/>
                  <w:sz w:val="18"/>
                </w:rPr>
                <m:t>#</m:t>
              </m:r>
              <m:d>
                <m:dPr>
                  <m:ctrlPr>
                    <w:rPr>
                      <w:rFonts w:ascii="Cambria Math" w:hAnsi="Cambria Math"/>
                      <w:i/>
                      <w:sz w:val="18"/>
                    </w:rPr>
                  </m:ctrlPr>
                </m:dPr>
                <m:e>
                  <m:r>
                    <w:rPr>
                      <w:rFonts w:ascii="Cambria Math"/>
                      <w:sz w:val="18"/>
                    </w:rPr>
                    <m:t>3</m:t>
                  </m:r>
                </m:e>
              </m:d>
            </m:e>
          </m:eqArr>
        </m:oMath>
      </m:oMathPara>
    </w:p>
    <w:p w14:paraId="095E685A" w14:textId="74DB868A" w:rsidR="002D21BB" w:rsidRPr="005A59AF" w:rsidRDefault="005A59AF" w:rsidP="002D21BB">
      <w:pPr>
        <w:pStyle w:val="NormalWeb"/>
        <w:spacing w:line="360" w:lineRule="auto"/>
        <w:jc w:val="both"/>
      </w:pPr>
      <w:r>
        <w:t xml:space="preserve">Where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sub>
        </m:sSub>
      </m:oMath>
      <w:r>
        <w:t xml:space="preserve"> </w:t>
      </w:r>
      <w:r w:rsidRPr="005A59AF">
        <w:t xml:space="preserve">is the return of sector </w:t>
      </w:r>
      <w:proofErr w:type="spellStart"/>
      <w:r>
        <w:t>i</w:t>
      </w:r>
      <w:proofErr w:type="spellEnd"/>
      <w:r w:rsidRPr="005A59AF">
        <w:t xml:space="preserve"> at time </w:t>
      </w:r>
      <w:r>
        <w:t>t</w:t>
      </w:r>
      <w:r w:rsidRPr="005A59AF">
        <w:t>,</w:t>
      </w:r>
      <w:r>
        <w:t xml:space="preserve"> </w:t>
      </w:r>
      <m:oMath>
        <m:sSub>
          <m:sSubPr>
            <m:ctrlPr>
              <w:rPr>
                <w:rFonts w:ascii="Cambria Math" w:hAnsi="Cambria Math"/>
              </w:rPr>
            </m:ctrlPr>
          </m:sSubPr>
          <m:e>
            <m:r>
              <w:rPr>
                <w:rFonts w:ascii="Cambria Math" w:hAnsi="Cambria Math"/>
              </w:rPr>
              <m:t>R</m:t>
            </m:r>
          </m:e>
          <m:sub>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-1</m:t>
            </m:r>
          </m:sub>
        </m:sSub>
      </m:oMath>
      <w:r>
        <w:t xml:space="preserve"> </w:t>
      </w:r>
      <w:r w:rsidRPr="005A59AF">
        <w:t>captures short-term persistence in returns,</w:t>
      </w:r>
      <w:r>
        <w:t xml:space="preserve"> </w:t>
      </w:r>
      <m:oMath>
        <m:r>
          <w:rPr>
            <w:rFonts w:ascii="Cambria Math" w:hAnsi="Cambria Math"/>
          </w:rPr>
          <m:t>MK</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VI</m:t>
        </m:r>
        <m:sSub>
          <m:sSubPr>
            <m:ctrlPr>
              <w:rPr>
                <w:rFonts w:ascii="Cambria Math" w:hAnsi="Cambria Math"/>
              </w:rPr>
            </m:ctrlPr>
          </m:sSubPr>
          <m:e>
            <m:r>
              <w:rPr>
                <w:rFonts w:ascii="Cambria Math" w:hAnsi="Cambria Math"/>
              </w:rPr>
              <m:t>X</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USDIN</m:t>
        </m:r>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BREN</m:t>
        </m:r>
        <m:sSub>
          <m:sSubPr>
            <m:ctrlPr>
              <w:rPr>
                <w:rFonts w:ascii="Cambria Math" w:hAnsi="Cambria Math"/>
              </w:rPr>
            </m:ctrlPr>
          </m:sSubPr>
          <m:e>
            <m:r>
              <w:rPr>
                <w:rFonts w:ascii="Cambria Math" w:hAnsi="Cambria Math"/>
              </w:rPr>
              <m:t>T</m:t>
            </m:r>
          </m:e>
          <m:sub>
            <m:r>
              <w:rPr>
                <w:rFonts w:ascii="Cambria Math" w:hAnsi="Cambria Math"/>
              </w:rPr>
              <m:t>t</m:t>
            </m:r>
            <m:r>
              <m:rPr>
                <m:sty m:val="p"/>
              </m:rPr>
              <w:rPr>
                <w:rFonts w:ascii="Cambria Math" w:hAnsi="Cambria Math"/>
              </w:rPr>
              <m:t>-1</m:t>
            </m:r>
          </m:sub>
        </m:sSub>
      </m:oMath>
      <w:r>
        <w:t xml:space="preserve">, </w:t>
      </w:r>
      <m:oMath>
        <m:r>
          <w:rPr>
            <w:rFonts w:ascii="Cambria Math" w:hAnsi="Cambria Math"/>
          </w:rPr>
          <m:t>SP</m:t>
        </m:r>
        <m:sSub>
          <m:sSubPr>
            <m:ctrlPr>
              <w:rPr>
                <w:rFonts w:ascii="Cambria Math" w:hAnsi="Cambria Math"/>
              </w:rPr>
            </m:ctrlPr>
          </m:sSubPr>
          <m:e>
            <m:r>
              <m:rPr>
                <m:sty m:val="p"/>
              </m:rPr>
              <w:rPr>
                <w:rFonts w:ascii="Cambria Math" w:hAnsi="Cambria Math"/>
              </w:rPr>
              <m:t>500</m:t>
            </m:r>
          </m:e>
          <m:sub>
            <m:r>
              <w:rPr>
                <w:rFonts w:ascii="Cambria Math" w:hAnsi="Cambria Math"/>
              </w:rPr>
              <m:t>t</m:t>
            </m:r>
            <m:r>
              <m:rPr>
                <m:sty m:val="p"/>
              </m:rPr>
              <w:rPr>
                <w:rFonts w:ascii="Cambria Math" w:hAnsi="Cambria Math"/>
              </w:rPr>
              <m:t>-1</m:t>
            </m:r>
          </m:sub>
        </m:sSub>
      </m:oMath>
      <w:r>
        <w:t xml:space="preserve">, </w:t>
      </w:r>
      <w:r w:rsidRPr="005A59AF">
        <w:t>and</w:t>
      </w:r>
      <w:r>
        <w:t xml:space="preserve"> </w:t>
      </w:r>
      <m:oMath>
        <m:r>
          <w:rPr>
            <w:rFonts w:ascii="Cambria Math" w:hAnsi="Cambria Math"/>
          </w:rPr>
          <m:t>GOL</m:t>
        </m:r>
        <m:sSub>
          <m:sSubPr>
            <m:ctrlPr>
              <w:rPr>
                <w:rFonts w:ascii="Cambria Math" w:hAnsi="Cambria Math"/>
              </w:rPr>
            </m:ctrlPr>
          </m:sSubPr>
          <m:e>
            <m:r>
              <w:rPr>
                <w:rFonts w:ascii="Cambria Math" w:hAnsi="Cambria Math"/>
              </w:rPr>
              <m:t>D</m:t>
            </m:r>
          </m:e>
          <m:sub>
            <m:r>
              <w:rPr>
                <w:rFonts w:ascii="Cambria Math" w:hAnsi="Cambria Math"/>
              </w:rPr>
              <m:t>t</m:t>
            </m:r>
            <m:r>
              <m:rPr>
                <m:sty m:val="p"/>
              </m:rPr>
              <w:rPr>
                <w:rFonts w:ascii="Cambria Math" w:hAnsi="Cambria Math"/>
              </w:rPr>
              <m:t>-1</m:t>
            </m:r>
          </m:sub>
        </m:sSub>
      </m:oMath>
      <w:r>
        <w:t xml:space="preserve"> </w:t>
      </w:r>
      <w:r w:rsidRPr="005A59AF">
        <w:t>represent</w:t>
      </w:r>
      <w:r>
        <w:t xml:space="preserve"> </w:t>
      </w:r>
      <w:r w:rsidR="002D21BB">
        <w:t xml:space="preserve">lagged macro-financial factors, </w:t>
      </w:r>
      <m:oMath>
        <m:sSub>
          <m:sSubPr>
            <m:ctrlPr>
              <w:rPr>
                <w:rFonts w:ascii="Cambria Math" w:hAnsi="Cambria Math"/>
              </w:rPr>
            </m:ctrlPr>
          </m:sSubPr>
          <m:e>
            <m:r>
              <w:rPr>
                <w:rFonts w:ascii="Cambria Math" w:hAnsi="Cambria Math"/>
              </w:rPr>
              <m:t>ε</m:t>
            </m:r>
          </m:e>
          <m:sub>
            <m:r>
              <w:rPr>
                <w:rFonts w:ascii="Cambria Math" w:hAnsi="Cambria Math"/>
              </w:rPr>
              <m:t>i</m:t>
            </m:r>
            <m:r>
              <m:rPr>
                <m:sty m:val="p"/>
              </m:rPr>
              <w:rPr>
                <w:rFonts w:ascii="Cambria Math" w:hAnsi="Cambria Math"/>
              </w:rPr>
              <m:t>,</m:t>
            </m:r>
            <m:r>
              <w:rPr>
                <w:rFonts w:ascii="Cambria Math" w:hAnsi="Cambria Math"/>
              </w:rPr>
              <m:t>t</m:t>
            </m:r>
          </m:sub>
        </m:sSub>
      </m:oMath>
      <w:r w:rsidR="002D21BB">
        <w:t xml:space="preserve"> </w:t>
      </w:r>
      <w:r w:rsidR="002D21BB" w:rsidRPr="002D21BB">
        <w:t>denotes the sector-specific innovation.</w:t>
      </w:r>
      <w:r w:rsidR="002D21BB">
        <w:t xml:space="preserve"> The coefficients </w:t>
      </w:r>
      <m:oMath>
        <m:sSub>
          <m:sSubPr>
            <m:ctrlPr>
              <w:rPr>
                <w:rFonts w:ascii="Cambria Math" w:hAnsi="Cambria Math"/>
              </w:rPr>
            </m:ctrlPr>
          </m:sSubPr>
          <m:e>
            <m:r>
              <w:rPr>
                <w:rFonts w:ascii="Cambria Math" w:hAnsi="Cambria Math"/>
              </w:rPr>
              <m:t>β</m:t>
            </m:r>
          </m:e>
          <m:sub>
            <m:r>
              <w:rPr>
                <w:rFonts w:ascii="Cambria Math" w:hAnsi="Cambria Math"/>
              </w:rPr>
              <m:t>ki</m:t>
            </m:r>
          </m:sub>
        </m:sSub>
      </m:oMath>
      <w:r w:rsidR="002D21BB" w:rsidRPr="002D21BB">
        <w:t xml:space="preserve"> measure the lagged sensitivity of sector </w:t>
      </w:r>
      <w:proofErr w:type="spellStart"/>
      <w:r w:rsidR="0007073B">
        <w:t>i</w:t>
      </w:r>
      <w:proofErr w:type="spellEnd"/>
      <w:r w:rsidR="002D21BB" w:rsidRPr="002D21BB">
        <w:t xml:space="preserve"> to each macro-financial factor, conditional on other controls. This specification allows the model to capture delayed transmission effects while reducing simultaneity bias.</w:t>
      </w:r>
    </w:p>
    <w:p w14:paraId="61084F4C" w14:textId="77777777" w:rsidR="002D21BB" w:rsidRDefault="002D21BB" w:rsidP="00EE5A42">
      <w:pPr>
        <w:pStyle w:val="NormalWeb"/>
        <w:spacing w:line="360" w:lineRule="auto"/>
        <w:jc w:val="both"/>
        <w:rPr>
          <w:b/>
        </w:rPr>
      </w:pPr>
      <w:r w:rsidRPr="002D21BB">
        <w:rPr>
          <w:b/>
        </w:rPr>
        <w:t>Motivation for System Estimation</w:t>
      </w:r>
    </w:p>
    <w:p w14:paraId="58B0CC76" w14:textId="11F22CFC" w:rsidR="002D21BB" w:rsidRPr="002D21BB" w:rsidRDefault="002D21BB" w:rsidP="002D21BB">
      <w:pPr>
        <w:pStyle w:val="NormalWeb"/>
        <w:spacing w:line="360" w:lineRule="auto"/>
        <w:jc w:val="both"/>
      </w:pPr>
      <w:r w:rsidRPr="002D21BB">
        <w:t>Estimating the above equations separately using ordinary least squares (OLS) ignores the possibility that sector-specific innovations may be correlated across equations. In financial markets, unobserved shocks—such as sudden changes in investor sentiment, liquidity conditions, or policy expectations—often affect multiple sectors simultaneously.</w:t>
      </w:r>
      <w:r w:rsidR="00C06B19">
        <w:t xml:space="preserve"> </w:t>
      </w:r>
      <w:r w:rsidR="00C06B19" w:rsidRPr="00C06B19">
        <w:t>Under correlated error structures, SUR yields more efficient estimators than OLS by exploiting cross-equation covariance, as established in classical econometric theory.</w:t>
      </w:r>
    </w:p>
    <w:p w14:paraId="11A0C022" w14:textId="77777777" w:rsidR="002D21BB" w:rsidRPr="002D21BB" w:rsidRDefault="002D21BB" w:rsidP="002D21BB">
      <w:pPr>
        <w:pStyle w:val="NormalWeb"/>
        <w:spacing w:line="360" w:lineRule="auto"/>
        <w:jc w:val="both"/>
      </w:pPr>
      <w:r w:rsidRPr="002D21BB">
        <w:t>Formally, the model allows for contemporaneous cross-equation dependence:</w:t>
      </w:r>
    </w:p>
    <w:p w14:paraId="59AEC7F8" w14:textId="571ADFAA"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m:rPr>
                        <m:nor/>
                      </m:rPr>
                      <m:t> </m:t>
                    </m:r>
                    <m:r>
                      <w:rPr>
                        <w:rFonts w:ascii="Cambria Math" w:hAnsi="Cambria Math"/>
                      </w:rPr>
                      <m:t>Cov</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ε</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j,t</m:t>
                            </m:r>
                          </m:sub>
                        </m:sSub>
                      </m:e>
                    </m:d>
                    <m: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ij</m:t>
                        </m:r>
                      </m:sub>
                    </m:sSub>
                    <m:r>
                      <w:rPr>
                        <w:rFonts w:ascii="Cambria Math" w:hAnsi="Cambria Math"/>
                      </w:rPr>
                      <m:t>,i≠j,</m:t>
                    </m:r>
                  </m:e>
                  <m:e/>
                  <m:e/>
                </m:mr>
              </m:m>
              <m:r>
                <w:rPr>
                  <w:rFonts w:ascii="Cambria Math" w:hAnsi="Cambria Math"/>
                </w:rPr>
                <m:t>#</m:t>
              </m:r>
              <m:d>
                <m:dPr>
                  <m:ctrlPr>
                    <w:rPr>
                      <w:rFonts w:ascii="Cambria Math" w:hAnsi="Cambria Math"/>
                      <w:i/>
                    </w:rPr>
                  </m:ctrlPr>
                </m:dPr>
                <m:e>
                  <m:r>
                    <w:rPr>
                      <w:rFonts w:ascii="Cambria Math" w:hAnsi="Cambria Math"/>
                    </w:rPr>
                    <m:t>4</m:t>
                  </m:r>
                </m:e>
              </m:d>
            </m:e>
          </m:eqArr>
        </m:oMath>
      </m:oMathPara>
    </w:p>
    <w:p w14:paraId="64DB3A3B" w14:textId="0FBC4BFF" w:rsidR="0020796B" w:rsidRPr="00F6445C" w:rsidRDefault="0020796B" w:rsidP="00EE5A42">
      <w:pPr>
        <w:pStyle w:val="NormalWeb"/>
        <w:spacing w:line="360" w:lineRule="auto"/>
      </w:pPr>
      <w:r w:rsidRPr="00F6445C">
        <w:t>which implies a non-diagonal covariance matrix:</w:t>
      </w:r>
    </w:p>
    <w:p w14:paraId="4DC8D241" w14:textId="5090AF85"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r>
                      <w:rPr>
                        <w:rFonts w:ascii="Cambria Math" w:hAnsi="Cambria Math"/>
                      </w:rPr>
                      <m:t>Σ=</m:t>
                    </m:r>
                    <m:d>
                      <m:dPr>
                        <m:begChr m:val="["/>
                        <m:endChr m:val="]"/>
                        <m:ctrlPr>
                          <w:rPr>
                            <w:rFonts w:ascii="Cambria Math" w:hAnsi="Cambria Math"/>
                            <w:i/>
                          </w:rPr>
                        </m:ctrlPr>
                      </m:dPr>
                      <m:e>
                        <m:m>
                          <m:mPr>
                            <m:plcHide m:val="1"/>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σ</m:t>
                                  </m:r>
                                </m:e>
                                <m:sub>
                                  <m:r>
                                    <w:rPr>
                                      <w:rFonts w:ascii="Cambria Math" w:hAnsi="Cambria Math"/>
                                    </w:rPr>
                                    <m:t>11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1N</m:t>
                                  </m:r>
                                </m:sub>
                              </m:sSub>
                            </m:e>
                          </m:mr>
                          <m:mr>
                            <m:e>
                              <m:r>
                                <w:rPr>
                                  <w:rFonts w:ascii="Cambria Math" w:hAnsi="Cambria Math"/>
                                </w:rPr>
                                <m:t>⋮</m:t>
                              </m:r>
                              <m:phant>
                                <m:phantPr>
                                  <m:zeroAsc m:val="1"/>
                                  <m:ctrlPr>
                                    <w:rPr>
                                      <w:rFonts w:ascii="Cambria Math" w:hAnsi="Cambria Math"/>
                                    </w:rPr>
                                  </m:ctrlPr>
                                </m:phantPr>
                                <m:e/>
                              </m:phant>
                            </m:e>
                            <m:e>
                              <m:r>
                                <w:rPr>
                                  <w:rFonts w:ascii="Cambria Math" w:hAnsi="Cambria Math"/>
                                </w:rPr>
                                <m:t>⋱</m:t>
                              </m:r>
                            </m:e>
                            <m:e>
                              <m:r>
                                <w:rPr>
                                  <w:rFonts w:ascii="Cambria Math" w:hAnsi="Cambria Math"/>
                                </w:rPr>
                                <m:t>⋮</m:t>
                              </m:r>
                              <m:phant>
                                <m:phantPr>
                                  <m:zeroAsc m:val="1"/>
                                  <m:ctrlPr>
                                    <w:rPr>
                                      <w:rFonts w:ascii="Cambria Math" w:hAnsi="Cambria Math"/>
                                    </w:rPr>
                                  </m:ctrlPr>
                                </m:phantPr>
                                <m:e/>
                              </m:phant>
                            </m:e>
                          </m:mr>
                          <m:mr>
                            <m:e>
                              <m:sSub>
                                <m:sSubPr>
                                  <m:ctrlPr>
                                    <w:rPr>
                                      <w:rFonts w:ascii="Cambria Math" w:hAnsi="Cambria Math"/>
                                    </w:rPr>
                                  </m:ctrlPr>
                                </m:sSubPr>
                                <m:e>
                                  <m:r>
                                    <w:rPr>
                                      <w:rFonts w:ascii="Cambria Math" w:hAnsi="Cambria Math"/>
                                    </w:rPr>
                                    <m:t>σ</m:t>
                                  </m:r>
                                </m:e>
                                <m:sub>
                                  <m:r>
                                    <w:rPr>
                                      <w:rFonts w:ascii="Cambria Math" w:hAnsi="Cambria Math"/>
                                    </w:rPr>
                                    <m:t>N1</m:t>
                                  </m:r>
                                </m:sub>
                              </m:sSub>
                            </m:e>
                            <m:e>
                              <m:r>
                                <w:rPr>
                                  <w:rFonts w:ascii="Cambria Math" w:hAnsi="Cambria Math"/>
                                </w:rPr>
                                <m:t>⋯</m:t>
                              </m:r>
                            </m:e>
                            <m:e>
                              <m:sSub>
                                <m:sSubPr>
                                  <m:ctrlPr>
                                    <w:rPr>
                                      <w:rFonts w:ascii="Cambria Math" w:hAnsi="Cambria Math"/>
                                    </w:rPr>
                                  </m:ctrlPr>
                                </m:sSubPr>
                                <m:e>
                                  <m:r>
                                    <w:rPr>
                                      <w:rFonts w:ascii="Cambria Math" w:hAnsi="Cambria Math"/>
                                    </w:rPr>
                                    <m:t>σ</m:t>
                                  </m:r>
                                </m:e>
                                <m:sub>
                                  <m:r>
                                    <w:rPr>
                                      <w:rFonts w:ascii="Cambria Math" w:hAnsi="Cambria Math"/>
                                    </w:rPr>
                                    <m:t>NN</m:t>
                                  </m:r>
                                </m:sub>
                              </m:sSub>
                            </m:e>
                          </m:mr>
                        </m:m>
                      </m:e>
                    </m:d>
                  </m:e>
                  <m:e/>
                  <m:e/>
                </m:mr>
              </m:m>
              <m:r>
                <w:rPr>
                  <w:rFonts w:ascii="Cambria Math" w:hAnsi="Cambria Math"/>
                </w:rPr>
                <m:t>#</m:t>
              </m:r>
              <m:d>
                <m:dPr>
                  <m:ctrlPr>
                    <w:rPr>
                      <w:rFonts w:ascii="Cambria Math" w:hAnsi="Cambria Math"/>
                      <w:i/>
                    </w:rPr>
                  </m:ctrlPr>
                </m:dPr>
                <m:e>
                  <m:r>
                    <w:rPr>
                      <w:rFonts w:ascii="Cambria Math" w:hAnsi="Cambria Math"/>
                    </w:rPr>
                    <m:t>5</m:t>
                  </m:r>
                </m:e>
              </m:d>
            </m:e>
          </m:eqArr>
        </m:oMath>
      </m:oMathPara>
    </w:p>
    <w:p w14:paraId="10CB6474" w14:textId="1EB5066D" w:rsidR="005874AF" w:rsidRDefault="00D05979" w:rsidP="00EE5A42">
      <w:pPr>
        <w:pStyle w:val="NormalWeb"/>
        <w:spacing w:line="360" w:lineRule="auto"/>
        <w:jc w:val="both"/>
      </w:pPr>
      <w:r w:rsidRPr="00F6445C">
        <w:t xml:space="preserve">When </w:t>
      </w:r>
      <m:oMath>
        <m:r>
          <m:rPr>
            <m:sty m:val="p"/>
          </m:rPr>
          <w:rPr>
            <w:rFonts w:ascii="Cambria Math" w:hAnsi="Cambria Math"/>
          </w:rPr>
          <m:t>Σ</m:t>
        </m:r>
      </m:oMath>
      <w:r w:rsidRPr="00F6445C">
        <w:t xml:space="preserve"> is not diagonal, </w:t>
      </w:r>
      <w:r w:rsidR="002D21BB">
        <w:t>OLS estimators remain unbiased under exogeneity but are no longer efficient. In such cases, a system-based estimator that exploits cross-equation correlations can yield more efficient parameter estimates.</w:t>
      </w:r>
    </w:p>
    <w:p w14:paraId="21C44264" w14:textId="2A2FF9D4" w:rsidR="002D21BB" w:rsidRPr="002D21BB" w:rsidRDefault="002D21BB" w:rsidP="00EE5A42">
      <w:pPr>
        <w:pStyle w:val="NormalWeb"/>
        <w:spacing w:line="360" w:lineRule="auto"/>
        <w:jc w:val="both"/>
        <w:rPr>
          <w:b/>
        </w:rPr>
      </w:pPr>
      <w:r w:rsidRPr="002D21BB">
        <w:rPr>
          <w:b/>
        </w:rPr>
        <w:t>Seemingly Unrelated Regression (SUR) Framework</w:t>
      </w:r>
    </w:p>
    <w:p w14:paraId="0D8FF07E" w14:textId="6C72F8A8" w:rsidR="002D21BB" w:rsidRDefault="002D21BB" w:rsidP="00EE5A42">
      <w:pPr>
        <w:pStyle w:val="NormalWeb"/>
        <w:spacing w:line="360" w:lineRule="auto"/>
        <w:jc w:val="both"/>
      </w:pPr>
      <w:r w:rsidRPr="002D21BB">
        <w:t>To account for contemporaneous cross-sector dependence, the study employs the Seemingly Unrelated Regressions (SUR) framework. Let</w:t>
      </w:r>
      <w:r>
        <w:t xml:space="preserve"> </w:t>
      </w:r>
      <m:oMath>
        <m:sSub>
          <m:sSubPr>
            <m:ctrlPr>
              <w:rPr>
                <w:rFonts w:ascii="Cambria Math" w:hAnsi="Cambria Math"/>
              </w:rPr>
            </m:ctrlPr>
          </m:sSubPr>
          <m:e>
            <m:r>
              <w:rPr>
                <w:rFonts w:ascii="Cambria Math" w:hAnsi="Cambria Math"/>
              </w:rPr>
              <m:t>y</m:t>
            </m:r>
          </m:e>
          <m:sub>
            <m:r>
              <w:rPr>
                <w:rFonts w:ascii="Cambria Math" w:hAnsi="Cambria Math"/>
              </w:rPr>
              <m:t>t</m:t>
            </m:r>
          </m:sub>
        </m:sSub>
      </m:oMath>
      <w:r>
        <w:t xml:space="preserve"> </w:t>
      </w:r>
      <w:r w:rsidRPr="002D21BB">
        <w:t>denote the</w:t>
      </w:r>
      <w:r>
        <w:t xml:space="preserve"> </w:t>
      </w:r>
      <m:oMath>
        <m:r>
          <w:rPr>
            <w:rFonts w:ascii="Cambria Math" w:hAnsi="Cambria Math"/>
          </w:rPr>
          <m:t>N×1</m:t>
        </m:r>
      </m:oMath>
      <w:r>
        <w:t xml:space="preserve"> </w:t>
      </w:r>
      <w:r w:rsidRPr="002D21BB">
        <w:t xml:space="preserve">vector of sectoral returns at time </w:t>
      </w:r>
      <m:oMath>
        <m:r>
          <w:rPr>
            <w:rFonts w:ascii="Cambria Math" w:hAnsi="Cambria Math"/>
          </w:rPr>
          <m:t>t</m:t>
        </m:r>
        <m:r>
          <w:rPr>
            <w:rFonts w:ascii="Cambria Math"/>
          </w:rPr>
          <m:t>,</m:t>
        </m:r>
      </m:oMath>
      <w:r>
        <w:t xml:space="preserve"> and </w:t>
      </w:r>
      <m:oMath>
        <m:sSub>
          <m:sSubPr>
            <m:ctrlPr>
              <w:rPr>
                <w:rFonts w:ascii="Cambria Math" w:hAnsi="Cambria Math"/>
              </w:rPr>
            </m:ctrlPr>
          </m:sSubPr>
          <m:e>
            <m:r>
              <w:rPr>
                <w:rFonts w:ascii="Cambria Math" w:hAnsi="Cambria Math"/>
              </w:rPr>
              <m:t>X</m:t>
            </m:r>
          </m:e>
          <m:sub>
            <m:r>
              <w:rPr>
                <w:rFonts w:ascii="Cambria Math" w:hAnsi="Cambria Math"/>
              </w:rPr>
              <m:t>t</m:t>
            </m:r>
          </m:sub>
        </m:sSub>
      </m:oMath>
      <w:r>
        <w:t xml:space="preserve"> </w:t>
      </w:r>
      <w:r w:rsidRPr="002D21BB">
        <w:t>denote the corresponding block-diagonal matrix of regressors. Stacking observations across time yields the system:</w:t>
      </w:r>
    </w:p>
    <w:p w14:paraId="5E52E5B7" w14:textId="12C379C1"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r>
                <w:rPr>
                  <w:rFonts w:ascii="Cambria Math" w:hAnsi="Cambria Math"/>
                </w:rPr>
                <m:t>y=Xβ+ε #</m:t>
              </m:r>
              <m:d>
                <m:dPr>
                  <m:ctrlPr>
                    <w:rPr>
                      <w:rFonts w:ascii="Cambria Math" w:hAnsi="Cambria Math"/>
                      <w:i/>
                    </w:rPr>
                  </m:ctrlPr>
                </m:dPr>
                <m:e>
                  <m:r>
                    <w:rPr>
                      <w:rFonts w:ascii="Cambria Math" w:hAnsi="Cambria Math"/>
                    </w:rPr>
                    <m:t>6</m:t>
                  </m:r>
                </m:e>
              </m:d>
            </m:e>
          </m:eqArr>
        </m:oMath>
      </m:oMathPara>
    </w:p>
    <w:p w14:paraId="13344D29" w14:textId="77777777" w:rsidR="002D21BB" w:rsidRPr="002D21BB" w:rsidRDefault="002D21BB" w:rsidP="002D21BB">
      <w:pPr>
        <w:pStyle w:val="NormalWeb"/>
        <w:spacing w:line="360" w:lineRule="auto"/>
        <w:jc w:val="both"/>
      </w:pPr>
      <w:r w:rsidRPr="002D21BB">
        <w:t>where:</w:t>
      </w:r>
    </w:p>
    <w:p w14:paraId="5880DF28" w14:textId="0E10E77D" w:rsidR="002D21BB" w:rsidRPr="002D21BB" w:rsidRDefault="002D21BB" w:rsidP="002D21BB">
      <w:pPr>
        <w:pStyle w:val="NormalWeb"/>
        <w:numPr>
          <w:ilvl w:val="0"/>
          <w:numId w:val="9"/>
        </w:numPr>
        <w:spacing w:line="360" w:lineRule="auto"/>
        <w:jc w:val="both"/>
      </w:pPr>
      <w:r>
        <w:t>y</w:t>
      </w:r>
      <w:r w:rsidRPr="002D21BB">
        <w:t xml:space="preserve"> is the stacked vector of sectoral returns, </w:t>
      </w:r>
    </w:p>
    <w:p w14:paraId="62FDE363" w14:textId="0E9034AB" w:rsidR="002D21BB" w:rsidRPr="002D21BB" w:rsidRDefault="002D21BB" w:rsidP="002D21BB">
      <w:pPr>
        <w:pStyle w:val="NormalWeb"/>
        <w:numPr>
          <w:ilvl w:val="0"/>
          <w:numId w:val="9"/>
        </w:numPr>
        <w:spacing w:line="360" w:lineRule="auto"/>
        <w:jc w:val="both"/>
      </w:pPr>
      <w:r w:rsidRPr="002D21BB">
        <w:t xml:space="preserve">X is a block-diagonal matrix containing sector-specific regressors, </w:t>
      </w:r>
    </w:p>
    <w:p w14:paraId="41092F59" w14:textId="233D1B65" w:rsidR="002D21BB" w:rsidRPr="002D21BB" w:rsidRDefault="002D21BB" w:rsidP="002D21BB">
      <w:pPr>
        <w:pStyle w:val="NormalWeb"/>
        <w:numPr>
          <w:ilvl w:val="0"/>
          <w:numId w:val="9"/>
        </w:numPr>
        <w:spacing w:line="360" w:lineRule="auto"/>
        <w:jc w:val="both"/>
      </w:pPr>
      <w:r>
        <w:t>β</w:t>
      </w:r>
      <w:r w:rsidRPr="002D21BB">
        <w:t xml:space="preserve"> is the stacked parameter vector, </w:t>
      </w:r>
    </w:p>
    <w:p w14:paraId="186A2FC4" w14:textId="4E74E1DB" w:rsidR="002D21BB" w:rsidRPr="002D21BB" w:rsidRDefault="002D21BB" w:rsidP="002D21BB">
      <w:pPr>
        <w:pStyle w:val="NormalWeb"/>
        <w:numPr>
          <w:ilvl w:val="0"/>
          <w:numId w:val="9"/>
        </w:numPr>
        <w:spacing w:line="360" w:lineRule="auto"/>
        <w:jc w:val="both"/>
      </w:pPr>
      <w:r>
        <w:t>ε</w:t>
      </w:r>
      <w:r w:rsidRPr="002D21BB">
        <w:t xml:space="preserve"> is the stacked error vector. </w:t>
      </w:r>
    </w:p>
    <w:p w14:paraId="3CB74227" w14:textId="77777777" w:rsidR="002D21BB" w:rsidRPr="002D21BB" w:rsidRDefault="002D21BB" w:rsidP="002D21BB">
      <w:pPr>
        <w:pStyle w:val="NormalWeb"/>
        <w:spacing w:line="360" w:lineRule="auto"/>
        <w:jc w:val="both"/>
      </w:pPr>
      <w:r w:rsidRPr="002D21BB">
        <w:t>The error covariance structure is given by:</w:t>
      </w:r>
    </w:p>
    <w:p w14:paraId="67C8B97A" w14:textId="4CBE61F9"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r>
                <m:rPr>
                  <m:nor/>
                </m:rPr>
                <m:t>Var</m:t>
              </m:r>
              <m:d>
                <m:dPr>
                  <m:ctrlPr>
                    <w:rPr>
                      <w:rFonts w:ascii="Cambria Math" w:hAnsi="Cambria Math"/>
                      <w:i/>
                    </w:rPr>
                  </m:ctrlPr>
                </m:dPr>
                <m:e>
                  <m:r>
                    <w:rPr>
                      <w:rFonts w:ascii="Cambria Math" w:hAnsi="Cambria Math"/>
                    </w:rPr>
                    <m:t>ε</m:t>
                  </m:r>
                </m:e>
              </m:d>
              <m:r>
                <w:rPr>
                  <w:rFonts w:ascii="Cambria Math" w:hAnsi="Cambria Math"/>
                </w:rPr>
                <m:t>=Ω=Σ⊗</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 xml:space="preserve"> #</m:t>
              </m:r>
              <m:d>
                <m:dPr>
                  <m:ctrlPr>
                    <w:rPr>
                      <w:rFonts w:ascii="Cambria Math" w:hAnsi="Cambria Math"/>
                      <w:i/>
                    </w:rPr>
                  </m:ctrlPr>
                </m:dPr>
                <m:e>
                  <m:r>
                    <w:rPr>
                      <w:rFonts w:ascii="Cambria Math" w:hAnsi="Cambria Math"/>
                    </w:rPr>
                    <m:t>7</m:t>
                  </m:r>
                </m:e>
              </m:d>
            </m:e>
          </m:eqArr>
        </m:oMath>
      </m:oMathPara>
    </w:p>
    <w:p w14:paraId="53037993" w14:textId="77777777" w:rsidR="002D21BB" w:rsidRDefault="00D05979" w:rsidP="00EE5A42">
      <w:pPr>
        <w:pStyle w:val="NormalWeb"/>
        <w:spacing w:line="360" w:lineRule="auto"/>
        <w:jc w:val="both"/>
      </w:pPr>
      <w:r w:rsidRPr="00F6445C">
        <w:t xml:space="preserve">where </w:t>
      </w:r>
      <m:oMath>
        <m:sSub>
          <m:sSubPr>
            <m:ctrlPr>
              <w:rPr>
                <w:rFonts w:ascii="Cambria Math" w:hAnsi="Cambria Math"/>
              </w:rPr>
            </m:ctrlPr>
          </m:sSubPr>
          <m:e>
            <m:r>
              <w:rPr>
                <w:rFonts w:ascii="Cambria Math" w:hAnsi="Cambria Math"/>
              </w:rPr>
              <m:t>I</m:t>
            </m:r>
          </m:e>
          <m:sub>
            <m:r>
              <w:rPr>
                <w:rFonts w:ascii="Cambria Math" w:hAnsi="Cambria Math"/>
              </w:rPr>
              <m:t>T</m:t>
            </m:r>
          </m:sub>
        </m:sSub>
      </m:oMath>
      <w:r w:rsidRPr="00F6445C">
        <w:t xml:space="preserve"> is the </w:t>
      </w:r>
      <m:oMath>
        <m:r>
          <w:rPr>
            <w:rFonts w:ascii="Cambria Math" w:hAnsi="Cambria Math"/>
          </w:rPr>
          <m:t>T×T</m:t>
        </m:r>
      </m:oMath>
      <w:r w:rsidRPr="00F6445C">
        <w:t xml:space="preserve"> identity matrix and </w:t>
      </w:r>
      <m:oMath>
        <m:r>
          <w:rPr>
            <w:rFonts w:ascii="Cambria Math" w:hAnsi="Cambria Math"/>
          </w:rPr>
          <m:t>⊗</m:t>
        </m:r>
      </m:oMath>
      <w:r w:rsidRPr="00F6445C">
        <w:t xml:space="preserve"> denotes the Kronecker product. </w:t>
      </w:r>
    </w:p>
    <w:p w14:paraId="0B7404CD" w14:textId="77777777" w:rsidR="002D21BB" w:rsidRDefault="002D21BB" w:rsidP="00EE5A42">
      <w:pPr>
        <w:pStyle w:val="NormalWeb"/>
        <w:spacing w:line="360" w:lineRule="auto"/>
        <w:jc w:val="both"/>
        <w:rPr>
          <w:b/>
        </w:rPr>
      </w:pPr>
      <w:r w:rsidRPr="002D21BB">
        <w:rPr>
          <w:b/>
        </w:rPr>
        <w:t>Feasible Generalized Least Squares (FGLS) Estimation</w:t>
      </w:r>
    </w:p>
    <w:p w14:paraId="36DFCF36" w14:textId="171C04C8" w:rsidR="002D21BB" w:rsidRDefault="002D21BB" w:rsidP="00EE5A42">
      <w:pPr>
        <w:pStyle w:val="NormalWeb"/>
        <w:spacing w:line="360" w:lineRule="auto"/>
        <w:jc w:val="both"/>
      </w:pPr>
      <w:r w:rsidRPr="002D21BB">
        <w:t xml:space="preserve">Since the covariance matrix </w:t>
      </w:r>
      <w:r>
        <w:t xml:space="preserve">Σ </w:t>
      </w:r>
      <w:r w:rsidRPr="002D21BB">
        <w:t>is unknown, the SUR system is estimated using Feasible Generalized Least Squares (FGLS). The estimation proceeds in three steps:</w:t>
      </w:r>
    </w:p>
    <w:p w14:paraId="73C34A86" w14:textId="2B065671" w:rsidR="00D05979" w:rsidRPr="00F6445C" w:rsidRDefault="00D05979" w:rsidP="00EE5A42">
      <w:pPr>
        <w:pStyle w:val="NormalWeb"/>
        <w:spacing w:line="360" w:lineRule="auto"/>
        <w:jc w:val="both"/>
      </w:pPr>
      <w:r w:rsidRPr="00F6445C">
        <w:rPr>
          <w:rStyle w:val="Strong"/>
          <w:rFonts w:eastAsiaTheme="majorEastAsia"/>
        </w:rPr>
        <w:lastRenderedPageBreak/>
        <w:t>Step 1 (</w:t>
      </w:r>
      <w:r w:rsidR="002D21BB" w:rsidRPr="002D21BB">
        <w:rPr>
          <w:rFonts w:eastAsiaTheme="majorEastAsia"/>
          <w:b/>
          <w:bCs/>
        </w:rPr>
        <w:t>OLS Estimation</w:t>
      </w:r>
      <w:r w:rsidRPr="00F6445C">
        <w:rPr>
          <w:rStyle w:val="Strong"/>
          <w:rFonts w:eastAsiaTheme="majorEastAsia"/>
        </w:rPr>
        <w:t>).</w:t>
      </w:r>
      <w:r w:rsidRPr="00F6445C">
        <w:t xml:space="preserve"> </w:t>
      </w:r>
      <w:r w:rsidR="002D21BB" w:rsidRPr="002D21BB">
        <w:t xml:space="preserve">Each sectoral equation is estimated separately using OLS to obtain residuals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i,t</m:t>
            </m:r>
          </m:sub>
        </m:sSub>
      </m:oMath>
    </w:p>
    <w:p w14:paraId="36EE780E" w14:textId="313EABB2" w:rsidR="00D05979" w:rsidRPr="00F6445C" w:rsidRDefault="00D05979" w:rsidP="00EE5A42">
      <w:pPr>
        <w:pStyle w:val="NormalWeb"/>
        <w:spacing w:line="360" w:lineRule="auto"/>
        <w:jc w:val="both"/>
      </w:pPr>
      <w:r w:rsidRPr="00F6445C">
        <w:rPr>
          <w:rStyle w:val="Strong"/>
          <w:rFonts w:eastAsiaTheme="majorEastAsia"/>
        </w:rPr>
        <w:t xml:space="preserve">Step 2 </w:t>
      </w:r>
      <w:r w:rsidR="002D21BB">
        <w:rPr>
          <w:rStyle w:val="Strong"/>
          <w:rFonts w:eastAsiaTheme="majorEastAsia"/>
        </w:rPr>
        <w:t>(</w:t>
      </w:r>
      <w:r w:rsidR="002D21BB" w:rsidRPr="002D21BB">
        <w:rPr>
          <w:rFonts w:eastAsiaTheme="majorEastAsia"/>
          <w:b/>
          <w:bCs/>
        </w:rPr>
        <w:t>Covariance Estimation</w:t>
      </w:r>
      <w:r w:rsidRPr="00F6445C">
        <w:rPr>
          <w:rStyle w:val="Strong"/>
          <w:rFonts w:eastAsiaTheme="majorEastAsia"/>
        </w:rPr>
        <w:t>).</w:t>
      </w:r>
      <w:r w:rsidRPr="00F6445C">
        <w:t xml:space="preserve"> </w:t>
      </w:r>
      <w:r w:rsidR="002D21BB" w:rsidRPr="002D21BB">
        <w:t xml:space="preserve">The contemporaneous covariance matrix is estimated </w:t>
      </w:r>
      <w:proofErr w:type="gramStart"/>
      <w:r w:rsidR="002D21BB" w:rsidRPr="002D21BB">
        <w:t>as:</w:t>
      </w:r>
      <w:r w:rsidR="002D21BB">
        <w:t>:</w:t>
      </w:r>
      <w:proofErr w:type="gramEnd"/>
    </w:p>
    <w:p w14:paraId="373D336F" w14:textId="4FB569D6"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sup>
                            <m:r>
                              <w:rPr>
                                <w:rFonts w:ascii="Cambria Math" w:hAnsi="Cambria Math"/>
                              </w:rPr>
                              <m:t>^</m:t>
                            </m:r>
                          </m:sup>
                        </m:sSup>
                      </m:lim>
                    </m:limUp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nary>
                      <m:naryPr>
                        <m:chr m:val="∑"/>
                        <m:limLoc m:val="undOvr"/>
                        <m:grow m:val="1"/>
                        <m:ctrlPr>
                          <w:rPr>
                            <w:rFonts w:ascii="Cambria Math" w:hAnsi="Cambria Math"/>
                          </w:rPr>
                        </m:ctrlPr>
                      </m:naryPr>
                      <m:sub>
                        <m:r>
                          <w:rPr>
                            <w:rFonts w:ascii="Cambria Math" w:hAnsi="Cambria Math"/>
                          </w:rPr>
                          <m:t>t=1</m:t>
                        </m:r>
                      </m:sub>
                      <m:sup>
                        <m:r>
                          <w:rPr>
                            <w:rFonts w:ascii="Cambria Math" w:hAnsi="Cambria Math"/>
                          </w:rPr>
                          <m:t>T</m:t>
                        </m:r>
                      </m:sup>
                      <m:e>
                        <m:sSub>
                          <m:sSubPr>
                            <m:ctrlPr>
                              <w:rPr>
                                <w:rFonts w:ascii="Cambria Math" w:hAnsi="Cambria Math"/>
                              </w:rPr>
                            </m:ctrlPr>
                          </m:sSub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r>
                                      <w:rPr>
                                        <w:rFonts w:ascii="Cambria Math" w:hAnsi="Cambria Math"/>
                                      </w:rPr>
                                      <m:t>^</m:t>
                                    </m:r>
                                  </m:e>
                                  <m:sup/>
                                </m:sSup>
                              </m:lim>
                            </m:limUpp>
                          </m:e>
                          <m:sub>
                            <m:r>
                              <w:rPr>
                                <w:rFonts w:ascii="Cambria Math" w:hAnsi="Cambria Math"/>
                              </w:rPr>
                              <m:t>t</m:t>
                            </m:r>
                          </m:sub>
                        </m:sSub>
                        <m:sSubSup>
                          <m:sSubSupPr>
                            <m:ctrlPr>
                              <w:rPr>
                                <w:rFonts w:ascii="Cambria Math" w:hAnsi="Cambria Math"/>
                              </w:rPr>
                            </m:ctrlPr>
                          </m:sSubSupPr>
                          <m:e>
                            <m:limUpp>
                              <m:limUppPr>
                                <m:ctrlPr>
                                  <w:rPr>
                                    <w:rFonts w:ascii="Cambria Math" w:hAnsi="Cambria Math"/>
                                  </w:rPr>
                                </m:ctrlPr>
                              </m:limUppPr>
                              <m:e>
                                <m:r>
                                  <w:rPr>
                                    <w:rFonts w:ascii="Cambria Math" w:hAnsi="Cambria Math"/>
                                  </w:rPr>
                                  <m:t>ε</m:t>
                                </m:r>
                              </m:e>
                              <m:lim>
                                <m:sSup>
                                  <m:sSupPr>
                                    <m:ctrlPr>
                                      <w:rPr>
                                        <w:rFonts w:ascii="Cambria Math" w:hAnsi="Cambria Math"/>
                                        <w:i/>
                                      </w:rPr>
                                    </m:ctrlPr>
                                  </m:sSupPr>
                                  <m:e/>
                                  <m:sup/>
                                </m:sSup>
                              </m:lim>
                            </m:limUpp>
                          </m:e>
                          <m:sub>
                            <m:r>
                              <w:rPr>
                                <w:rFonts w:ascii="Cambria Math" w:hAnsi="Cambria Math"/>
                              </w:rPr>
                              <m:t>t</m:t>
                            </m:r>
                          </m:sub>
                          <m:sup>
                            <m:r>
                              <w:rPr>
                                <w:rFonts w:ascii="Cambria Math" w:hAnsi="Cambria Math"/>
                              </w:rPr>
                              <m:t>'</m:t>
                            </m:r>
                          </m:sup>
                        </m:sSubSup>
                      </m:e>
                    </m:nary>
                  </m:e>
                  <m:e/>
                  <m:e/>
                </m:mr>
              </m:m>
              <m:r>
                <w:rPr>
                  <w:rFonts w:ascii="Cambria Math" w:hAnsi="Cambria Math"/>
                </w:rPr>
                <m:t>#</m:t>
              </m:r>
              <m:d>
                <m:dPr>
                  <m:ctrlPr>
                    <w:rPr>
                      <w:rFonts w:ascii="Cambria Math" w:hAnsi="Cambria Math"/>
                      <w:i/>
                    </w:rPr>
                  </m:ctrlPr>
                </m:dPr>
                <m:e>
                  <m:r>
                    <w:rPr>
                      <w:rFonts w:ascii="Cambria Math" w:hAnsi="Cambria Math"/>
                    </w:rPr>
                    <m:t>8</m:t>
                  </m:r>
                </m:e>
              </m:d>
            </m:e>
          </m:eqArr>
        </m:oMath>
      </m:oMathPara>
    </w:p>
    <w:p w14:paraId="55BFA67B" w14:textId="1B4B30B6" w:rsidR="002D21BB" w:rsidRPr="002D21BB" w:rsidRDefault="002D21BB" w:rsidP="00EE5A42">
      <w:pPr>
        <w:pStyle w:val="NormalWeb"/>
        <w:spacing w:line="360" w:lineRule="auto"/>
        <w:jc w:val="both"/>
      </w:pPr>
      <w:r w:rsidRPr="002D21BB">
        <w:t xml:space="preserve">where </w:t>
      </w:r>
      <m:oMath>
        <m:sSub>
          <m:sSubPr>
            <m:ctrlPr>
              <w:rPr>
                <w:rFonts w:ascii="Cambria Math" w:hAnsi="Cambria Math"/>
              </w:rPr>
            </m:ctrlPr>
          </m:sSubPr>
          <m:e>
            <m:limUpp>
              <m:limUppPr>
                <m:ctrlPr>
                  <w:rPr>
                    <w:rFonts w:ascii="Cambria Math" w:hAnsi="Cambria Math"/>
                  </w:rPr>
                </m:ctrlPr>
              </m:limUppPr>
              <m:e>
                <m:r>
                  <w:rPr>
                    <w:rFonts w:ascii="Cambria Math" w:hAnsi="Cambria Math"/>
                  </w:rPr>
                  <m:t>ε</m:t>
                </m:r>
              </m:e>
              <m:lim>
                <m:r>
                  <w:rPr>
                    <w:rFonts w:ascii="Cambria Math" w:hAnsi="Cambria Math"/>
                  </w:rPr>
                  <m:t>^</m:t>
                </m:r>
              </m:lim>
            </m:limUpp>
          </m:e>
          <m:sub>
            <m:r>
              <w:rPr>
                <w:rFonts w:ascii="Cambria Math" w:hAnsi="Cambria Math"/>
              </w:rPr>
              <m:t>t</m:t>
            </m:r>
          </m:sub>
        </m:sSub>
      </m:oMath>
      <w:r>
        <w:t xml:space="preserve"> </w:t>
      </w:r>
      <w:r w:rsidRPr="002D21BB">
        <w:t>is the vector of residuals across sectors at time t.</w:t>
      </w:r>
    </w:p>
    <w:p w14:paraId="5053FAA4" w14:textId="39783D79" w:rsidR="00956261" w:rsidRDefault="002D21BB" w:rsidP="00EE5A42">
      <w:pPr>
        <w:pStyle w:val="NormalWeb"/>
        <w:spacing w:line="360" w:lineRule="auto"/>
        <w:jc w:val="both"/>
      </w:pPr>
      <w:r>
        <w:rPr>
          <w:rStyle w:val="Strong"/>
          <w:rFonts w:eastAsiaTheme="majorEastAsia"/>
        </w:rPr>
        <w:t>Step 3 (FGLS system E</w:t>
      </w:r>
      <w:r w:rsidR="00956261" w:rsidRPr="00F6445C">
        <w:rPr>
          <w:rStyle w:val="Strong"/>
          <w:rFonts w:eastAsiaTheme="majorEastAsia"/>
        </w:rPr>
        <w:t>stimation).</w:t>
      </w:r>
      <w:r w:rsidR="00956261" w:rsidRPr="00F6445C">
        <w:t xml:space="preserve"> </w:t>
      </w:r>
      <w:r w:rsidRPr="002D21BB">
        <w:t>The SUR estimator is then obtained as:</w:t>
      </w:r>
    </w:p>
    <w:p w14:paraId="54DB28C4" w14:textId="1B8A8922" w:rsidR="002D21BB" w:rsidRPr="00F6445C" w:rsidRDefault="007C2AD5" w:rsidP="00EE5A42">
      <w:pPr>
        <w:pStyle w:val="NormalWeb"/>
        <w:spacing w:line="360" w:lineRule="auto"/>
        <w:jc w:val="both"/>
      </w:pPr>
      <m:oMathPara>
        <m:oMath>
          <m:sSub>
            <m:sSubPr>
              <m:ctrlPr>
                <w:rPr>
                  <w:rFonts w:ascii="Cambria Math" w:hAnsi="Cambria Math"/>
                  <w:i/>
                </w:rPr>
              </m:ctrlPr>
            </m:sSubPr>
            <m:e>
              <m:limUpp>
                <m:limUppPr>
                  <m:ctrlPr>
                    <w:rPr>
                      <w:rFonts w:ascii="Cambria Math" w:hAnsi="Cambria Math"/>
                      <w:i/>
                    </w:rPr>
                  </m:ctrlPr>
                </m:limUppPr>
                <m:e>
                  <m:r>
                    <w:rPr>
                      <w:rFonts w:ascii="Cambria Math" w:hAnsi="Cambria Math"/>
                    </w:rPr>
                    <m:t>β</m:t>
                  </m:r>
                </m:e>
                <m:lim>
                  <m:sSup>
                    <m:sSupPr>
                      <m:ctrlPr>
                        <w:rPr>
                          <w:rFonts w:ascii="Cambria Math" w:hAnsi="Cambria Math"/>
                          <w:i/>
                        </w:rPr>
                      </m:ctrlPr>
                    </m:sSupPr>
                    <m:e>
                      <m:r>
                        <w:rPr>
                          <w:rFonts w:ascii="Cambria Math" w:hAnsi="Cambria Math"/>
                        </w:rPr>
                        <m:t>^</m:t>
                      </m:r>
                    </m:e>
                    <m:sup/>
                  </m:sSup>
                </m:lim>
              </m:limUpp>
            </m:e>
            <m:sub>
              <m:r>
                <w:rPr>
                  <w:rFonts w:ascii="Cambria Math" w:hAnsi="Cambria Math"/>
                </w:rPr>
                <m:t>SUR</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X</m:t>
          </m:r>
          <m:sSup>
            <m:sSupPr>
              <m:ctrlPr>
                <w:rPr>
                  <w:rFonts w:ascii="Cambria Math" w:hAnsi="Cambria Math"/>
                  <w:i/>
                </w:rPr>
              </m:ctrlPr>
            </m:sSupPr>
            <m:e>
              <m:r>
                <w:rPr>
                  <w:rFonts w:ascii="Cambria Math" w:hAnsi="Cambria Math"/>
                </w:rPr>
                <m:t>)</m:t>
              </m:r>
            </m:e>
            <m:sup>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m:t>
              </m:r>
            </m:sup>
          </m:sSup>
          <m:sSup>
            <m:sSupPr>
              <m:ctrlPr>
                <w:rPr>
                  <w:rFonts w:ascii="Cambria Math" w:hAnsi="Cambria Math"/>
                  <w:i/>
                </w:rPr>
              </m:ctrlPr>
            </m:sSupPr>
            <m:e>
              <m:limUpp>
                <m:limUppPr>
                  <m:ctrlPr>
                    <w:rPr>
                      <w:rFonts w:ascii="Cambria Math" w:hAnsi="Cambria Math"/>
                      <w:i/>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e>
            <m:sup>
              <m:r>
                <w:rPr>
                  <w:rFonts w:ascii="Cambria Math" w:hAnsi="Cambria Math"/>
                </w:rPr>
                <m:t>-1</m:t>
              </m:r>
            </m:sup>
          </m:sSup>
          <m:r>
            <w:rPr>
              <w:rFonts w:ascii="Cambria Math" w:hAnsi="Cambria Math"/>
            </w:rPr>
            <m:t xml:space="preserve">y  (9) </m:t>
          </m:r>
        </m:oMath>
      </m:oMathPara>
    </w:p>
    <w:p w14:paraId="3157245A" w14:textId="2473D2D2" w:rsidR="002D21BB" w:rsidRPr="002D21BB" w:rsidRDefault="007C2AD5" w:rsidP="00EE5A42">
      <w:pPr>
        <w:pStyle w:val="NormalWeb"/>
        <w:spacing w:line="360" w:lineRule="auto"/>
        <w:jc w:val="both"/>
      </w:pPr>
      <m:oMathPara>
        <m:oMath>
          <m:eqArr>
            <m:eqArrPr>
              <m:maxDist m:val="1"/>
              <m:ctrlPr>
                <w:rPr>
                  <w:rFonts w:ascii="Cambria Math" w:hAnsi="Cambria Math"/>
                  <w:i/>
                </w:rPr>
              </m:ctrlPr>
            </m:eqArrPr>
            <m:e>
              <m:m>
                <m:mPr>
                  <m:plcHide m:val="1"/>
                  <m:mcs>
                    <m:mc>
                      <m:mcPr>
                        <m:count m:val="4"/>
                        <m:mcJc m:val="center"/>
                      </m:mcPr>
                    </m:mc>
                  </m:mcs>
                  <m:ctrlPr>
                    <w:rPr>
                      <w:rFonts w:ascii="Cambria Math" w:hAnsi="Cambria Math"/>
                    </w:rPr>
                  </m:ctrlPr>
                </m:mPr>
                <m:mr>
                  <m:e/>
                  <m:e>
                    <m:limUpp>
                      <m:limUppPr>
                        <m:ctrlPr>
                          <w:rPr>
                            <w:rFonts w:ascii="Cambria Math" w:hAnsi="Cambria Math"/>
                          </w:rPr>
                        </m:ctrlPr>
                      </m:limUppPr>
                      <m:e>
                        <m:r>
                          <w:rPr>
                            <w:rFonts w:ascii="Cambria Math" w:hAnsi="Cambria Math"/>
                          </w:rPr>
                          <m:t>Ω</m:t>
                        </m:r>
                      </m:e>
                      <m:lim>
                        <m:sSup>
                          <m:sSupPr>
                            <m:ctrlPr>
                              <w:rPr>
                                <w:rFonts w:ascii="Cambria Math" w:hAnsi="Cambria Math"/>
                                <w:i/>
                              </w:rPr>
                            </m:ctrlPr>
                          </m:sSupPr>
                          <m:e>
                            <m:r>
                              <w:rPr>
                                <w:rFonts w:ascii="Cambria Math" w:hAnsi="Cambria Math"/>
                              </w:rPr>
                              <m:t>^</m:t>
                            </m:r>
                          </m:e>
                          <m:sup/>
                        </m:sSup>
                      </m:lim>
                    </m:limUpp>
                    <m:r>
                      <w:rPr>
                        <w:rFonts w:ascii="Cambria Math" w:hAnsi="Cambria Math"/>
                      </w:rPr>
                      <m:t>=</m:t>
                    </m:r>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T</m:t>
                        </m:r>
                      </m:sub>
                    </m:sSub>
                    <m:r>
                      <w:rPr>
                        <w:rFonts w:ascii="Cambria Math" w:hAnsi="Cambria Math"/>
                      </w:rPr>
                      <m:t>,</m:t>
                    </m:r>
                  </m:e>
                  <m:e/>
                  <m:e/>
                </m:mr>
              </m:m>
              <m:r>
                <w:rPr>
                  <w:rFonts w:ascii="Cambria Math" w:hAnsi="Cambria Math"/>
                </w:rPr>
                <m:t>#</m:t>
              </m:r>
              <m:d>
                <m:dPr>
                  <m:ctrlPr>
                    <w:rPr>
                      <w:rFonts w:ascii="Cambria Math" w:hAnsi="Cambria Math"/>
                      <w:i/>
                    </w:rPr>
                  </m:ctrlPr>
                </m:dPr>
                <m:e>
                  <m:r>
                    <w:rPr>
                      <w:rFonts w:ascii="Cambria Math" w:hAnsi="Cambria Math"/>
                    </w:rPr>
                    <m:t>10</m:t>
                  </m:r>
                </m:e>
              </m:d>
            </m:e>
          </m:eqArr>
        </m:oMath>
      </m:oMathPara>
    </w:p>
    <w:p w14:paraId="4C8D7D36" w14:textId="77777777" w:rsidR="002D21BB" w:rsidRDefault="002D21BB" w:rsidP="002D21BB">
      <w:pPr>
        <w:pStyle w:val="NormalWeb"/>
      </w:pPr>
      <w:r>
        <w:t>The covariance matrix of the estimator is given by:</w:t>
      </w:r>
    </w:p>
    <w:p w14:paraId="65103E59" w14:textId="5ABD3BF4" w:rsidR="00956261" w:rsidRPr="00F6445C" w:rsidRDefault="002D21BB" w:rsidP="00EE5A42">
      <w:pPr>
        <w:pStyle w:val="NormalWeb"/>
        <w:spacing w:line="360" w:lineRule="auto"/>
        <w:jc w:val="both"/>
      </w:pPr>
      <m:oMathPara>
        <m:oMath>
          <m:r>
            <m:rPr>
              <m:nor/>
            </m:rPr>
            <m:t>Var</m:t>
          </m:r>
          <m:r>
            <w:rPr>
              <w:rFonts w:ascii="Cambria Math" w:hAnsi="Cambria Math"/>
            </w:rPr>
            <m:t>(</m:t>
          </m:r>
          <m:sSub>
            <m:sSubPr>
              <m:ctrlPr>
                <w:rPr>
                  <w:rFonts w:ascii="Cambria Math" w:hAnsi="Cambria Math"/>
                </w:rPr>
              </m:ctrlPr>
            </m:sSubPr>
            <m:e>
              <m:limUpp>
                <m:limUppPr>
                  <m:ctrlPr>
                    <w:rPr>
                      <w:rFonts w:ascii="Cambria Math" w:hAnsi="Cambria Math"/>
                    </w:rPr>
                  </m:ctrlPr>
                </m:limUppPr>
                <m:e>
                  <m:r>
                    <w:rPr>
                      <w:rFonts w:ascii="Cambria Math" w:hAnsi="Cambria Math"/>
                    </w:rPr>
                    <m:t>β</m:t>
                  </m:r>
                </m:e>
                <m:lim>
                  <m:r>
                    <w:rPr>
                      <w:rFonts w:ascii="Cambria Math" w:hAnsi="Cambria Math"/>
                    </w:rPr>
                    <m:t>^</m:t>
                  </m:r>
                </m:lim>
              </m:limUpp>
            </m:e>
            <m:sub>
              <m:r>
                <w:rPr>
                  <w:rFonts w:ascii="Cambria Math" w:hAnsi="Cambria Math"/>
                </w:rPr>
                <m:t>SUR</m:t>
              </m:r>
            </m:sub>
          </m:sSub>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m:t>
              </m:r>
            </m:sup>
          </m:sSup>
          <m:sSup>
            <m:sSupPr>
              <m:ctrlPr>
                <w:rPr>
                  <w:rFonts w:ascii="Cambria Math" w:hAnsi="Cambria Math"/>
                </w:rPr>
              </m:ctrlPr>
            </m:sSupPr>
            <m:e>
              <m:limUpp>
                <m:limUppPr>
                  <m:ctrlPr>
                    <w:rPr>
                      <w:rFonts w:ascii="Cambria Math" w:hAnsi="Cambria Math"/>
                    </w:rPr>
                  </m:ctrlPr>
                </m:limUppPr>
                <m:e>
                  <m:r>
                    <w:rPr>
                      <w:rFonts w:ascii="Cambria Math" w:hAnsi="Cambria Math"/>
                    </w:rPr>
                    <m:t>Ω</m:t>
                  </m:r>
                </m:e>
                <m:lim>
                  <m:r>
                    <w:rPr>
                      <w:rFonts w:ascii="Cambria Math" w:hAnsi="Cambria Math"/>
                    </w:rPr>
                    <m:t>^</m:t>
                  </m:r>
                </m:lim>
              </m:limUpp>
            </m:e>
            <m:sup>
              <m:r>
                <w:rPr>
                  <w:rFonts w:ascii="Cambria Math" w:hAnsi="Cambria Math"/>
                </w:rPr>
                <m:t>-1</m:t>
              </m:r>
            </m:sup>
          </m:sSup>
          <m:r>
            <w:rPr>
              <w:rFonts w:ascii="Cambria Math" w:hAnsi="Cambria Math"/>
            </w:rPr>
            <m:t>X</m:t>
          </m:r>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 xml:space="preserve">  (11)</m:t>
          </m:r>
        </m:oMath>
      </m:oMathPara>
    </w:p>
    <w:p w14:paraId="2323F55F" w14:textId="77777777" w:rsidR="00AC2761" w:rsidRDefault="00AC2761" w:rsidP="00AC2761">
      <w:pPr>
        <w:pStyle w:val="NormalWeb"/>
      </w:pPr>
      <w:r>
        <w:t>This approach improves estimation efficiency by incorporating cross-equation error correlations.</w:t>
      </w:r>
    </w:p>
    <w:p w14:paraId="37B86D81" w14:textId="77777777" w:rsidR="00AC2761" w:rsidRPr="00AC2761" w:rsidRDefault="00AC2761" w:rsidP="00AC2761">
      <w:pPr>
        <w:pStyle w:val="NormalWeb"/>
        <w:spacing w:line="360" w:lineRule="auto"/>
        <w:jc w:val="both"/>
        <w:rPr>
          <w:b/>
          <w:bCs/>
        </w:rPr>
      </w:pPr>
      <w:r w:rsidRPr="00AC2761">
        <w:rPr>
          <w:b/>
          <w:bCs/>
        </w:rPr>
        <w:t>Residual Connectedness and Network Construction</w:t>
      </w:r>
    </w:p>
    <w:p w14:paraId="6BB6989C" w14:textId="77777777" w:rsidR="00AC2761" w:rsidRPr="00AC2761" w:rsidRDefault="00AC2761" w:rsidP="00AC2761">
      <w:pPr>
        <w:pStyle w:val="NormalWeb"/>
        <w:spacing w:line="360" w:lineRule="auto"/>
        <w:jc w:val="both"/>
      </w:pPr>
      <w:r w:rsidRPr="00AC2761">
        <w:t>The estimated covariance matrix</w:t>
      </w:r>
      <w:r>
        <w:t xml:space="preserve"> </w:t>
      </w:r>
      <m:oMath>
        <m:limUpp>
          <m:limUppPr>
            <m:ctrlPr>
              <w:rPr>
                <w:rFonts w:ascii="Cambria Math" w:hAnsi="Cambria Math"/>
              </w:rPr>
            </m:ctrlPr>
          </m:limUppPr>
          <m:e>
            <m:r>
              <w:rPr>
                <w:rFonts w:ascii="Cambria Math" w:hAnsi="Cambria Math"/>
              </w:rPr>
              <m:t>Σ</m:t>
            </m:r>
          </m:e>
          <m:lim>
            <m:r>
              <w:rPr>
                <w:rFonts w:ascii="Cambria Math" w:hAnsi="Cambria Math"/>
              </w:rPr>
              <m:t>^</m:t>
            </m:r>
          </m:lim>
        </m:limUpp>
      </m:oMath>
      <w:r>
        <w:t xml:space="preserve"> </w:t>
      </w:r>
      <w:r w:rsidRPr="00AC2761">
        <w:t xml:space="preserve">provides a basis for </w:t>
      </w:r>
      <w:proofErr w:type="spellStart"/>
      <w:r w:rsidRPr="00AC2761">
        <w:t>analyzing</w:t>
      </w:r>
      <w:proofErr w:type="spellEnd"/>
      <w:r w:rsidRPr="00AC2761">
        <w:t xml:space="preserve"> residual connectedness across sectors. The corresponding correlation matrix is computed as:</w:t>
      </w:r>
    </w:p>
    <w:p w14:paraId="631E99BC" w14:textId="3A3F76AB" w:rsidR="00AC2761" w:rsidRPr="00AC2761" w:rsidRDefault="007C2AD5" w:rsidP="00EE5A42">
      <w:pPr>
        <w:pStyle w:val="NormalWeb"/>
        <w:spacing w:line="360" w:lineRule="auto"/>
        <w:jc w:val="both"/>
      </w:pPr>
      <m:oMathPara>
        <m:oMath>
          <m:eqArr>
            <m:eqArrPr>
              <m:maxDist m:val="1"/>
              <m:ctrlPr>
                <w:rPr>
                  <w:rFonts w:ascii="Cambria Math" w:hAnsi="Cambria Math"/>
                  <w:i/>
                </w:rPr>
              </m:ctrlPr>
            </m:eqArrPr>
            <m:e>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m:t>
              </m:r>
              <m:f>
                <m:fPr>
                  <m:ctrlPr>
                    <w:rPr>
                      <w:rFonts w:ascii="Cambria Math" w:hAnsi="Cambria Math"/>
                    </w:rPr>
                  </m:ctrlPr>
                </m:fPr>
                <m:num>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ij</m:t>
                      </m:r>
                    </m:sub>
                  </m:sSub>
                </m:num>
                <m:den>
                  <m:rad>
                    <m:radPr>
                      <m:degHide m:val="1"/>
                      <m:ctrlPr>
                        <w:rPr>
                          <w:rFonts w:ascii="Cambria Math" w:hAnsi="Cambria Math"/>
                        </w:rPr>
                      </m:ctrlPr>
                    </m:radPr>
                    <m:deg/>
                    <m:e>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ii</m:t>
                          </m:r>
                        </m:sub>
                      </m:sSub>
                      <m:sSub>
                        <m:sSubPr>
                          <m:ctrlPr>
                            <w:rPr>
                              <w:rFonts w:ascii="Cambria Math" w:hAnsi="Cambria Math"/>
                            </w:rPr>
                          </m:ctrlPr>
                        </m:sSubPr>
                        <m:e>
                          <m:limUpp>
                            <m:limUppPr>
                              <m:ctrlPr>
                                <w:rPr>
                                  <w:rFonts w:ascii="Cambria Math" w:hAnsi="Cambria Math"/>
                                </w:rPr>
                              </m:ctrlPr>
                            </m:limUppPr>
                            <m:e>
                              <m:r>
                                <w:rPr>
                                  <w:rFonts w:ascii="Cambria Math" w:hAnsi="Cambria Math"/>
                                </w:rPr>
                                <m:t>σ</m:t>
                              </m:r>
                            </m:e>
                            <m:lim>
                              <m:sSup>
                                <m:sSupPr>
                                  <m:ctrlPr>
                                    <w:rPr>
                                      <w:rFonts w:ascii="Cambria Math" w:hAnsi="Cambria Math"/>
                                      <w:i/>
                                    </w:rPr>
                                  </m:ctrlPr>
                                </m:sSupPr>
                                <m:e>
                                  <m:r>
                                    <w:rPr>
                                      <w:rFonts w:ascii="Cambria Math" w:hAnsi="Cambria Math"/>
                                    </w:rPr>
                                    <m:t>^</m:t>
                                  </m:r>
                                </m:e>
                                <m:sup/>
                              </m:sSup>
                            </m:lim>
                          </m:limUpp>
                        </m:e>
                        <m:sub>
                          <m:r>
                            <w:rPr>
                              <w:rFonts w:ascii="Cambria Math" w:hAnsi="Cambria Math"/>
                            </w:rPr>
                            <m:t>jj</m:t>
                          </m:r>
                        </m:sub>
                      </m:sSub>
                    </m:e>
                  </m:rad>
                </m:den>
              </m:f>
              <m:r>
                <w:rPr>
                  <w:rFonts w:ascii="Cambria Math" w:hAnsi="Cambria Math"/>
                </w:rPr>
                <m:t xml:space="preserve"> #</m:t>
              </m:r>
              <m:d>
                <m:dPr>
                  <m:ctrlPr>
                    <w:rPr>
                      <w:rFonts w:ascii="Cambria Math" w:hAnsi="Cambria Math"/>
                      <w:i/>
                    </w:rPr>
                  </m:ctrlPr>
                </m:dPr>
                <m:e>
                  <m:r>
                    <w:rPr>
                      <w:rFonts w:ascii="Cambria Math" w:hAnsi="Cambria Math"/>
                    </w:rPr>
                    <m:t>12</m:t>
                  </m:r>
                </m:e>
              </m:d>
            </m:e>
          </m:eqArr>
        </m:oMath>
      </m:oMathPara>
    </w:p>
    <w:p w14:paraId="3F6FF726" w14:textId="77777777" w:rsidR="00FC0A22" w:rsidRPr="00FC0A22" w:rsidRDefault="00FC0A22" w:rsidP="00FC0A22">
      <w:pPr>
        <w:pStyle w:val="NormalWeb"/>
        <w:spacing w:line="360" w:lineRule="auto"/>
        <w:jc w:val="both"/>
      </w:pPr>
      <w:r w:rsidRPr="003908B2">
        <w:lastRenderedPageBreak/>
        <w:t xml:space="preserve">These residual correlations capture </w:t>
      </w:r>
      <w:r w:rsidRPr="003908B2">
        <w:rPr>
          <w:bCs/>
        </w:rPr>
        <w:t>conditional co-movement after controlling for observable macro-financial drivers</w:t>
      </w:r>
      <w:r w:rsidRPr="00FC0A22">
        <w:t>. Importantly, they are interpreted as indicators of latent shared influences rather than direct causal transmission.</w:t>
      </w:r>
    </w:p>
    <w:p w14:paraId="4569315D" w14:textId="0AE0C79E" w:rsidR="00FC0A22" w:rsidRDefault="00FC0A22" w:rsidP="00FC0A22">
      <w:pPr>
        <w:pStyle w:val="NormalWeb"/>
        <w:spacing w:line="360" w:lineRule="auto"/>
        <w:jc w:val="both"/>
      </w:pPr>
      <w:r w:rsidRPr="00FC0A22">
        <w:t>To visuali</w:t>
      </w:r>
      <w:r w:rsidR="007C2AD5">
        <w:t>s</w:t>
      </w:r>
      <w:r w:rsidRPr="00FC0A22">
        <w:t>e the structure of sectoral connectedness, a network graph is constructed where nodes represent sectors and edges represent significant residual correlations. An edge is included between sectors</w:t>
      </w:r>
      <w:r>
        <w:t xml:space="preserve"> </w:t>
      </w:r>
      <m:oMath>
        <m:r>
          <w:rPr>
            <w:rFonts w:ascii="Cambria Math" w:hAnsi="Cambria Math"/>
          </w:rPr>
          <m:t>i</m:t>
        </m:r>
      </m:oMath>
      <w:r>
        <w:t xml:space="preserve"> and </w:t>
      </w:r>
      <m:oMath>
        <m:r>
          <w:rPr>
            <w:rFonts w:ascii="Cambria Math" w:hAnsi="Cambria Math"/>
          </w:rPr>
          <m:t>j</m:t>
        </m:r>
      </m:oMath>
      <w:r>
        <w:t xml:space="preserve"> if:</w:t>
      </w:r>
    </w:p>
    <w:p w14:paraId="51407A77" w14:textId="79AE9D16" w:rsidR="00FC0A22" w:rsidRPr="00FC0A22" w:rsidRDefault="00FC0A22" w:rsidP="00FC0A22">
      <w:pPr>
        <w:pStyle w:val="NormalWeb"/>
        <w:spacing w:line="360" w:lineRule="auto"/>
        <w:jc w:val="both"/>
      </w:pPr>
      <m:oMathPara>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ij</m:t>
              </m:r>
            </m:sub>
          </m:sSub>
          <m:r>
            <w:rPr>
              <w:rFonts w:ascii="Cambria Math" w:hAnsi="Cambria Math"/>
            </w:rPr>
            <m:t>∣≥τ</m:t>
          </m:r>
        </m:oMath>
      </m:oMathPara>
    </w:p>
    <w:p w14:paraId="3ACD453C" w14:textId="0F660FC0" w:rsidR="00FC0A22" w:rsidRDefault="00FC0A22" w:rsidP="00FC0A22">
      <w:pPr>
        <w:pStyle w:val="NormalWeb"/>
        <w:spacing w:line="360" w:lineRule="auto"/>
        <w:jc w:val="both"/>
      </w:pPr>
      <w:r>
        <w:t xml:space="preserve">where </w:t>
      </w:r>
      <m:oMath>
        <m:r>
          <w:rPr>
            <w:rFonts w:ascii="Cambria Math" w:hAnsi="Cambria Math"/>
          </w:rPr>
          <m:t>τ</m:t>
        </m:r>
      </m:oMath>
      <w:r>
        <w:t xml:space="preserve"> </w:t>
      </w:r>
      <w:r w:rsidRPr="00FC0A22">
        <w:t>is a predefined threshold.</w:t>
      </w:r>
    </w:p>
    <w:p w14:paraId="096B28B9" w14:textId="4E4A33B1" w:rsidR="00FC0A22" w:rsidRPr="00FC0A22" w:rsidRDefault="00FC0A22" w:rsidP="00FC0A22">
      <w:pPr>
        <w:pStyle w:val="NormalWeb"/>
        <w:spacing w:line="360" w:lineRule="auto"/>
        <w:jc w:val="both"/>
        <w:rPr>
          <w:b/>
          <w:bCs/>
        </w:rPr>
      </w:pPr>
      <w:r w:rsidRPr="00FC0A22">
        <w:rPr>
          <w:b/>
          <w:bCs/>
        </w:rPr>
        <w:t>Threshold Sensitivity Analysis</w:t>
      </w:r>
    </w:p>
    <w:p w14:paraId="50B14474" w14:textId="19700AD2" w:rsidR="00FC0A22" w:rsidRPr="00FC0A22" w:rsidRDefault="00FC0A22" w:rsidP="00FC0A22">
      <w:pPr>
        <w:pStyle w:val="NormalWeb"/>
        <w:spacing w:line="360" w:lineRule="auto"/>
        <w:jc w:val="both"/>
      </w:pPr>
      <w:r w:rsidRPr="00FC0A22">
        <w:t xml:space="preserve">To ensure that the network structure is not driven by an arbitrary threshold choice, a sensitivity analysis is conducted across multiple values of </w:t>
      </w:r>
      <w:r w:rsidR="002D7CB6">
        <w:t>τ</w:t>
      </w:r>
      <w:r w:rsidRPr="00FC0A22">
        <w:t>. Network density and edge counts are evaluated for thresholds ranging from 0.10 to 0.50. This analysis allows assessment of the robustness of the inferred connectedness structure.</w:t>
      </w:r>
    </w:p>
    <w:p w14:paraId="3B9C075C" w14:textId="573A2C4A" w:rsidR="00FC0A22" w:rsidRPr="00FC0A22" w:rsidRDefault="00FC0A22" w:rsidP="00FC0A22">
      <w:pPr>
        <w:pStyle w:val="NormalWeb"/>
        <w:spacing w:line="360" w:lineRule="auto"/>
        <w:jc w:val="both"/>
        <w:rPr>
          <w:b/>
          <w:bCs/>
        </w:rPr>
      </w:pPr>
      <w:r w:rsidRPr="00FC0A22">
        <w:rPr>
          <w:b/>
          <w:bCs/>
        </w:rPr>
        <w:t>Residual Diagnostics</w:t>
      </w:r>
    </w:p>
    <w:p w14:paraId="1C8655D6" w14:textId="7C336012" w:rsidR="00FC0A22" w:rsidRPr="00FC0A22" w:rsidRDefault="00FC0A22" w:rsidP="00FC0A22">
      <w:pPr>
        <w:pStyle w:val="NormalWeb"/>
        <w:spacing w:line="360" w:lineRule="auto"/>
        <w:jc w:val="both"/>
      </w:pPr>
      <w:r w:rsidRPr="00FC0A22">
        <w:t>Post-estimation diagnostics are conducted to assess the adequacy of the model. First-order autocorrelation is evaluated using the autocorrelation function (</w:t>
      </w:r>
      <w:proofErr w:type="gramStart"/>
      <w:r w:rsidRPr="00FC0A22">
        <w:t>ACF(</w:t>
      </w:r>
      <w:proofErr w:type="gramEnd"/>
      <w:r w:rsidRPr="00FC0A22">
        <w:t xml:space="preserve">1)) and the Durbin–Watson statistic. Higher-order serial dependence is examined using the </w:t>
      </w:r>
      <w:proofErr w:type="spellStart"/>
      <w:r w:rsidRPr="00FC0A22">
        <w:t>Ljung</w:t>
      </w:r>
      <w:proofErr w:type="spellEnd"/>
      <w:r w:rsidRPr="00FC0A22">
        <w:t>–Box test. These diagnostics help determine whether the inclusion of lagged variables sufficiently captures temporal dependence in the data.</w:t>
      </w:r>
    </w:p>
    <w:p w14:paraId="6897C2D7" w14:textId="59F9979C" w:rsidR="00FC0A22" w:rsidRPr="00FC0A22" w:rsidRDefault="00FC0A22" w:rsidP="00FC0A22">
      <w:pPr>
        <w:pStyle w:val="NormalWeb"/>
        <w:spacing w:line="360" w:lineRule="auto"/>
        <w:jc w:val="both"/>
        <w:rPr>
          <w:b/>
          <w:bCs/>
        </w:rPr>
      </w:pPr>
      <w:r w:rsidRPr="00FC0A22">
        <w:rPr>
          <w:b/>
          <w:bCs/>
        </w:rPr>
        <w:t>Interpretation Framework</w:t>
      </w:r>
    </w:p>
    <w:p w14:paraId="211A929E" w14:textId="77777777" w:rsidR="00FC0A22" w:rsidRPr="00FC0A22" w:rsidRDefault="00FC0A22" w:rsidP="00FC0A22">
      <w:pPr>
        <w:pStyle w:val="NormalWeb"/>
        <w:spacing w:line="360" w:lineRule="auto"/>
        <w:jc w:val="both"/>
      </w:pPr>
      <w:r w:rsidRPr="00FC0A22">
        <w:t xml:space="preserve">The empirical results are interpreted within a conditional framework. Raw correlations are treated as reflecting both common factor exposure and potential interdependence, while residual correlations are interpreted as conditional co-movement after controlling for observable drivers. Given the possibility of omitted variables and remaining dynamic structure, residual correlations </w:t>
      </w:r>
      <w:r w:rsidRPr="00FC0A22">
        <w:lastRenderedPageBreak/>
        <w:t>are not interpreted as direct evidence of structural shock transmission but rather as indicators of latent shared influences across sectors.</w:t>
      </w:r>
    </w:p>
    <w:p w14:paraId="5976E3D5" w14:textId="77777777" w:rsidR="00FC0A22" w:rsidRPr="00FC0A22" w:rsidRDefault="00FC0A22" w:rsidP="00FC0A22">
      <w:pPr>
        <w:pStyle w:val="NormalWeb"/>
        <w:spacing w:line="360" w:lineRule="auto"/>
        <w:jc w:val="both"/>
      </w:pPr>
    </w:p>
    <w:p w14:paraId="3CC15C5D" w14:textId="77777777" w:rsidR="00AC2761" w:rsidRPr="00AC2761" w:rsidRDefault="00AC2761" w:rsidP="00EE5A42">
      <w:pPr>
        <w:pStyle w:val="NormalWeb"/>
        <w:spacing w:line="360" w:lineRule="auto"/>
        <w:jc w:val="both"/>
      </w:pPr>
    </w:p>
    <w:p w14:paraId="4EA71180" w14:textId="3588FB54" w:rsidR="0013614C" w:rsidRPr="00AC2761" w:rsidRDefault="00EE5A42" w:rsidP="00EE5A42">
      <w:pPr>
        <w:pStyle w:val="NormalWeb"/>
        <w:spacing w:line="360" w:lineRule="auto"/>
        <w:jc w:val="both"/>
        <w:rPr>
          <w:b/>
          <w:bCs/>
        </w:rPr>
      </w:pPr>
      <w:r w:rsidRPr="00F6445C">
        <w:rPr>
          <w:b/>
          <w:bCs/>
        </w:rPr>
        <w:t xml:space="preserve">RESULTS </w:t>
      </w:r>
    </w:p>
    <w:p w14:paraId="751BA940" w14:textId="7A573A81" w:rsidR="00762CF9" w:rsidRPr="00F6445C" w:rsidRDefault="00762CF9" w:rsidP="00EE5A42">
      <w:pPr>
        <w:pStyle w:val="NormalWeb"/>
        <w:spacing w:line="360" w:lineRule="auto"/>
        <w:jc w:val="both"/>
        <w:rPr>
          <w:b/>
          <w:bCs/>
        </w:rPr>
      </w:pPr>
      <w:r w:rsidRPr="00F6445C">
        <w:rPr>
          <w:b/>
          <w:bCs/>
        </w:rPr>
        <w:t xml:space="preserve">Data overview and return dynamics </w:t>
      </w:r>
    </w:p>
    <w:p w14:paraId="15332C77" w14:textId="5351F3E3" w:rsidR="00762CF9" w:rsidRPr="00F6445C" w:rsidRDefault="00D85714" w:rsidP="00EE5A42">
      <w:pPr>
        <w:pStyle w:val="NormalWeb"/>
        <w:spacing w:line="360" w:lineRule="auto"/>
        <w:jc w:val="center"/>
      </w:pPr>
      <w:r w:rsidRPr="00F6445C">
        <w:rPr>
          <w:noProof/>
          <w:lang w:val="en-US" w:eastAsia="en-US"/>
        </w:rPr>
        <w:drawing>
          <wp:inline distT="0" distB="0" distL="0" distR="0" wp14:anchorId="0A0639B0" wp14:editId="73FFF9BE">
            <wp:extent cx="5944870" cy="37001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944870" cy="3700145"/>
                    </a:xfrm>
                    <a:prstGeom prst="rect">
                      <a:avLst/>
                    </a:prstGeom>
                  </pic:spPr>
                </pic:pic>
              </a:graphicData>
            </a:graphic>
          </wp:inline>
        </w:drawing>
      </w:r>
    </w:p>
    <w:p w14:paraId="1EB088DA" w14:textId="07FED224" w:rsidR="00762CF9" w:rsidRPr="00F6445C" w:rsidRDefault="007A0E5E" w:rsidP="00EE5A42">
      <w:pPr>
        <w:pStyle w:val="NormalWeb"/>
        <w:spacing w:line="360" w:lineRule="auto"/>
        <w:jc w:val="center"/>
        <w:rPr>
          <w:sz w:val="20"/>
          <w:szCs w:val="20"/>
        </w:rPr>
      </w:pPr>
      <w:r w:rsidRPr="00F6445C">
        <w:rPr>
          <w:b/>
          <w:bCs/>
          <w:sz w:val="20"/>
          <w:szCs w:val="20"/>
        </w:rPr>
        <w:t>Figure</w:t>
      </w:r>
      <w:r w:rsidR="00BF6B13" w:rsidRPr="00F6445C">
        <w:rPr>
          <w:b/>
          <w:bCs/>
          <w:sz w:val="20"/>
          <w:szCs w:val="20"/>
        </w:rPr>
        <w:t xml:space="preserve"> 1:</w:t>
      </w:r>
      <w:r w:rsidR="00762CF9" w:rsidRPr="00F6445C">
        <w:rPr>
          <w:sz w:val="20"/>
          <w:szCs w:val="20"/>
        </w:rPr>
        <w:t xml:space="preserve"> Log Return Plots of 8 stocks</w:t>
      </w:r>
    </w:p>
    <w:p w14:paraId="55D054C4" w14:textId="3102525B" w:rsidR="00937219" w:rsidRPr="00F6445C" w:rsidRDefault="00937219" w:rsidP="00937219">
      <w:pPr>
        <w:pStyle w:val="NormalWeb"/>
        <w:spacing w:line="360" w:lineRule="auto"/>
        <w:jc w:val="both"/>
        <w:rPr>
          <w:szCs w:val="20"/>
        </w:rPr>
      </w:pPr>
      <w:r w:rsidRPr="00F6445C">
        <w:t>The time-series plots of daily sectoral returns</w:t>
      </w:r>
      <w:r w:rsidR="003B2ADC" w:rsidRPr="00F6445C">
        <w:t xml:space="preserve"> (as shown in Figure 1)</w:t>
      </w:r>
      <w:r w:rsidRPr="00F6445C">
        <w:t xml:space="preserve"> reveal pronounced volatility clustering across all indices, with periods of elevated fluctuations concentrated during major market stress episodes. The magnitude and frequency of extreme return movements vary across sectors, with Metals and Realty exhibiting visibly higher volatility relative to more stable sectors such as FMCG and Pharma. These dynamics indicate the presence of time-varying risk and justify </w:t>
      </w:r>
      <w:r w:rsidRPr="00F6445C">
        <w:lastRenderedPageBreak/>
        <w:t xml:space="preserve">the inclusion of macro-financial controls such as volatility (VIX) and global market indicators in the empirical specification. Additionally, the absence of clear deterministic trends reinforces the suitability of </w:t>
      </w:r>
      <w:proofErr w:type="spellStart"/>
      <w:r w:rsidRPr="00F6445C">
        <w:t>modeling</w:t>
      </w:r>
      <w:proofErr w:type="spellEnd"/>
      <w:r w:rsidRPr="00F6445C">
        <w:t xml:space="preserve"> returns rather than price levels.</w:t>
      </w:r>
    </w:p>
    <w:p w14:paraId="66ED0A74" w14:textId="15EBF13F" w:rsidR="00762CF9" w:rsidRPr="00F6445C" w:rsidRDefault="00762CF9" w:rsidP="00EE5A42">
      <w:pPr>
        <w:pStyle w:val="NormalWeb"/>
        <w:spacing w:line="360" w:lineRule="auto"/>
        <w:jc w:val="both"/>
        <w:rPr>
          <w:b/>
          <w:bCs/>
        </w:rPr>
      </w:pPr>
      <w:r w:rsidRPr="00F6445C">
        <w:rPr>
          <w:b/>
          <w:bCs/>
        </w:rPr>
        <w:t>Distributional features and dependence diagnostics</w:t>
      </w:r>
    </w:p>
    <w:p w14:paraId="649C65BE" w14:textId="71DF3187" w:rsidR="00D6335F" w:rsidRPr="00F6445C" w:rsidRDefault="00BF6B13" w:rsidP="00EE5A42">
      <w:pPr>
        <w:pStyle w:val="NormalWeb"/>
        <w:spacing w:line="360" w:lineRule="auto"/>
        <w:jc w:val="both"/>
        <w:rPr>
          <w:b/>
          <w:bCs/>
        </w:rPr>
      </w:pPr>
      <w:r w:rsidRPr="00F6445C">
        <w:rPr>
          <w:b/>
          <w:bCs/>
        </w:rPr>
        <w:t>Table 1:</w:t>
      </w:r>
      <w:r w:rsidR="00D6335F" w:rsidRPr="00F6445C">
        <w:rPr>
          <w:b/>
          <w:bCs/>
        </w:rPr>
        <w:t xml:space="preserve"> Descriptive Statistics of Daily Sectoral Returns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576"/>
        <w:gridCol w:w="891"/>
        <w:gridCol w:w="962"/>
        <w:gridCol w:w="1109"/>
        <w:gridCol w:w="1023"/>
        <w:gridCol w:w="936"/>
        <w:gridCol w:w="1398"/>
      </w:tblGrid>
      <w:tr w:rsidR="00D6335F" w:rsidRPr="00F6445C" w14:paraId="1B823C41" w14:textId="77777777" w:rsidTr="000B206F">
        <w:tc>
          <w:tcPr>
            <w:tcW w:w="0" w:type="auto"/>
            <w:tcBorders>
              <w:top w:val="single" w:sz="4" w:space="0" w:color="auto"/>
              <w:bottom w:val="single" w:sz="4" w:space="0" w:color="auto"/>
            </w:tcBorders>
            <w:hideMark/>
          </w:tcPr>
          <w:p w14:paraId="5EF80D27" w14:textId="77777777" w:rsidR="00D6335F" w:rsidRPr="00F6445C" w:rsidRDefault="00D6335F" w:rsidP="00EE5A42">
            <w:pPr>
              <w:pStyle w:val="NormalWeb"/>
              <w:spacing w:line="360" w:lineRule="auto"/>
              <w:jc w:val="both"/>
              <w:rPr>
                <w:b/>
                <w:bCs/>
                <w:sz w:val="22"/>
              </w:rPr>
            </w:pPr>
            <w:r w:rsidRPr="00F6445C">
              <w:rPr>
                <w:b/>
                <w:bCs/>
                <w:sz w:val="22"/>
              </w:rPr>
              <w:t>Sector (Index)</w:t>
            </w:r>
          </w:p>
        </w:tc>
        <w:tc>
          <w:tcPr>
            <w:tcW w:w="0" w:type="auto"/>
            <w:tcBorders>
              <w:top w:val="single" w:sz="4" w:space="0" w:color="auto"/>
              <w:bottom w:val="single" w:sz="4" w:space="0" w:color="auto"/>
            </w:tcBorders>
            <w:hideMark/>
          </w:tcPr>
          <w:p w14:paraId="6D1D76EB" w14:textId="77777777" w:rsidR="00D6335F" w:rsidRPr="00F6445C" w:rsidRDefault="00D6335F" w:rsidP="00EE5A42">
            <w:pPr>
              <w:pStyle w:val="NormalWeb"/>
              <w:spacing w:line="360" w:lineRule="auto"/>
              <w:jc w:val="both"/>
              <w:rPr>
                <w:b/>
                <w:bCs/>
                <w:sz w:val="22"/>
              </w:rPr>
            </w:pPr>
            <w:r w:rsidRPr="00F6445C">
              <w:rPr>
                <w:b/>
                <w:bCs/>
                <w:sz w:val="22"/>
              </w:rPr>
              <w:t>N</w:t>
            </w:r>
          </w:p>
        </w:tc>
        <w:tc>
          <w:tcPr>
            <w:tcW w:w="0" w:type="auto"/>
            <w:tcBorders>
              <w:top w:val="single" w:sz="4" w:space="0" w:color="auto"/>
              <w:bottom w:val="single" w:sz="4" w:space="0" w:color="auto"/>
            </w:tcBorders>
            <w:hideMark/>
          </w:tcPr>
          <w:p w14:paraId="1E6808D7" w14:textId="77777777" w:rsidR="00D6335F" w:rsidRPr="00F6445C" w:rsidRDefault="00D6335F" w:rsidP="00EE5A42">
            <w:pPr>
              <w:pStyle w:val="NormalWeb"/>
              <w:spacing w:line="360" w:lineRule="auto"/>
              <w:jc w:val="both"/>
              <w:rPr>
                <w:b/>
                <w:bCs/>
                <w:sz w:val="22"/>
              </w:rPr>
            </w:pPr>
            <w:r w:rsidRPr="00F6445C">
              <w:rPr>
                <w:b/>
                <w:bCs/>
                <w:sz w:val="22"/>
              </w:rPr>
              <w:t>Mean</w:t>
            </w:r>
          </w:p>
        </w:tc>
        <w:tc>
          <w:tcPr>
            <w:tcW w:w="0" w:type="auto"/>
            <w:tcBorders>
              <w:top w:val="single" w:sz="4" w:space="0" w:color="auto"/>
              <w:bottom w:val="single" w:sz="4" w:space="0" w:color="auto"/>
            </w:tcBorders>
            <w:hideMark/>
          </w:tcPr>
          <w:p w14:paraId="1827D023" w14:textId="77777777" w:rsidR="00D6335F" w:rsidRPr="00F6445C" w:rsidRDefault="00D6335F" w:rsidP="00EE5A42">
            <w:pPr>
              <w:pStyle w:val="NormalWeb"/>
              <w:spacing w:line="360" w:lineRule="auto"/>
              <w:jc w:val="both"/>
              <w:rPr>
                <w:b/>
                <w:bCs/>
                <w:sz w:val="22"/>
              </w:rPr>
            </w:pPr>
            <w:r w:rsidRPr="00F6445C">
              <w:rPr>
                <w:b/>
                <w:bCs/>
                <w:sz w:val="22"/>
              </w:rPr>
              <w:t>Std. Dev.</w:t>
            </w:r>
          </w:p>
        </w:tc>
        <w:tc>
          <w:tcPr>
            <w:tcW w:w="0" w:type="auto"/>
            <w:tcBorders>
              <w:top w:val="single" w:sz="4" w:space="0" w:color="auto"/>
              <w:bottom w:val="single" w:sz="4" w:space="0" w:color="auto"/>
            </w:tcBorders>
            <w:hideMark/>
          </w:tcPr>
          <w:p w14:paraId="4A6892C0" w14:textId="77777777" w:rsidR="00D6335F" w:rsidRPr="00F6445C" w:rsidRDefault="00D6335F" w:rsidP="00EE5A42">
            <w:pPr>
              <w:pStyle w:val="NormalWeb"/>
              <w:spacing w:line="360" w:lineRule="auto"/>
              <w:jc w:val="both"/>
              <w:rPr>
                <w:b/>
                <w:bCs/>
                <w:sz w:val="22"/>
              </w:rPr>
            </w:pPr>
            <w:r w:rsidRPr="00F6445C">
              <w:rPr>
                <w:b/>
                <w:bCs/>
                <w:sz w:val="22"/>
              </w:rPr>
              <w:t>Skewness</w:t>
            </w:r>
          </w:p>
        </w:tc>
        <w:tc>
          <w:tcPr>
            <w:tcW w:w="0" w:type="auto"/>
            <w:tcBorders>
              <w:top w:val="single" w:sz="4" w:space="0" w:color="auto"/>
              <w:bottom w:val="single" w:sz="4" w:space="0" w:color="auto"/>
            </w:tcBorders>
            <w:hideMark/>
          </w:tcPr>
          <w:p w14:paraId="28D2A6E5" w14:textId="77777777" w:rsidR="00D6335F" w:rsidRPr="00F6445C" w:rsidRDefault="00D6335F" w:rsidP="00EE5A42">
            <w:pPr>
              <w:pStyle w:val="NormalWeb"/>
              <w:spacing w:line="360" w:lineRule="auto"/>
              <w:jc w:val="both"/>
              <w:rPr>
                <w:b/>
                <w:bCs/>
                <w:sz w:val="22"/>
              </w:rPr>
            </w:pPr>
            <w:r w:rsidRPr="00F6445C">
              <w:rPr>
                <w:b/>
                <w:bCs/>
                <w:sz w:val="22"/>
              </w:rPr>
              <w:t>Kurtosis</w:t>
            </w:r>
          </w:p>
        </w:tc>
        <w:tc>
          <w:tcPr>
            <w:tcW w:w="0" w:type="auto"/>
            <w:tcBorders>
              <w:top w:val="single" w:sz="4" w:space="0" w:color="auto"/>
              <w:bottom w:val="single" w:sz="4" w:space="0" w:color="auto"/>
            </w:tcBorders>
            <w:hideMark/>
          </w:tcPr>
          <w:p w14:paraId="34595C2F" w14:textId="77777777" w:rsidR="00D6335F" w:rsidRPr="00F6445C" w:rsidRDefault="00D6335F" w:rsidP="00EE5A42">
            <w:pPr>
              <w:pStyle w:val="NormalWeb"/>
              <w:spacing w:line="360" w:lineRule="auto"/>
              <w:jc w:val="both"/>
              <w:rPr>
                <w:b/>
                <w:bCs/>
                <w:sz w:val="22"/>
              </w:rPr>
            </w:pPr>
            <w:r w:rsidRPr="00F6445C">
              <w:rPr>
                <w:b/>
                <w:bCs/>
                <w:sz w:val="22"/>
              </w:rPr>
              <w:t>ACF(1)</w:t>
            </w:r>
          </w:p>
        </w:tc>
        <w:tc>
          <w:tcPr>
            <w:tcW w:w="0" w:type="auto"/>
            <w:tcBorders>
              <w:top w:val="single" w:sz="4" w:space="0" w:color="auto"/>
              <w:bottom w:val="single" w:sz="4" w:space="0" w:color="auto"/>
            </w:tcBorders>
            <w:hideMark/>
          </w:tcPr>
          <w:p w14:paraId="63324B5E" w14:textId="77777777" w:rsidR="00D6335F" w:rsidRPr="00F6445C" w:rsidRDefault="00D6335F" w:rsidP="00EE5A42">
            <w:pPr>
              <w:pStyle w:val="NormalWeb"/>
              <w:spacing w:line="360" w:lineRule="auto"/>
              <w:jc w:val="both"/>
              <w:rPr>
                <w:b/>
                <w:bCs/>
                <w:sz w:val="22"/>
              </w:rPr>
            </w:pPr>
            <w:proofErr w:type="spellStart"/>
            <w:r w:rsidRPr="00F6445C">
              <w:rPr>
                <w:b/>
                <w:bCs/>
                <w:sz w:val="22"/>
              </w:rPr>
              <w:t>Ljung</w:t>
            </w:r>
            <w:proofErr w:type="spellEnd"/>
            <w:r w:rsidRPr="00F6445C">
              <w:rPr>
                <w:b/>
                <w:bCs/>
                <w:sz w:val="22"/>
              </w:rPr>
              <w:t>–Box Q(10)</w:t>
            </w:r>
          </w:p>
        </w:tc>
      </w:tr>
      <w:tr w:rsidR="00D85714" w:rsidRPr="00F6445C" w14:paraId="4E980D68" w14:textId="77777777" w:rsidTr="000B206F">
        <w:tc>
          <w:tcPr>
            <w:tcW w:w="0" w:type="auto"/>
            <w:tcBorders>
              <w:top w:val="single" w:sz="4" w:space="0" w:color="auto"/>
            </w:tcBorders>
            <w:hideMark/>
          </w:tcPr>
          <w:p w14:paraId="6E4E3AB0" w14:textId="77777777" w:rsidR="00D85714" w:rsidRPr="00F6445C" w:rsidRDefault="00D85714" w:rsidP="00D85714">
            <w:pPr>
              <w:pStyle w:val="NormalWeb"/>
              <w:spacing w:line="360" w:lineRule="auto"/>
              <w:jc w:val="both"/>
              <w:rPr>
                <w:b/>
                <w:bCs/>
                <w:sz w:val="18"/>
                <w:szCs w:val="18"/>
              </w:rPr>
            </w:pPr>
            <w:r w:rsidRPr="00F6445C">
              <w:rPr>
                <w:b/>
                <w:bCs/>
                <w:sz w:val="18"/>
                <w:szCs w:val="18"/>
              </w:rPr>
              <w:t>Information Technology (NIFTY IT)</w:t>
            </w:r>
          </w:p>
        </w:tc>
        <w:tc>
          <w:tcPr>
            <w:tcW w:w="0" w:type="auto"/>
            <w:tcBorders>
              <w:top w:val="single" w:sz="4" w:space="0" w:color="auto"/>
            </w:tcBorders>
            <w:hideMark/>
          </w:tcPr>
          <w:p w14:paraId="4A2E712A" w14:textId="65A2CFEE"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top w:val="single" w:sz="4" w:space="0" w:color="auto"/>
            </w:tcBorders>
            <w:hideMark/>
          </w:tcPr>
          <w:p w14:paraId="72B84294" w14:textId="24C61F4C" w:rsidR="00D85714" w:rsidRPr="00F6445C" w:rsidRDefault="00D85714" w:rsidP="00D85714">
            <w:pPr>
              <w:pStyle w:val="NormalWeb"/>
              <w:spacing w:line="360" w:lineRule="auto"/>
              <w:jc w:val="both"/>
              <w:rPr>
                <w:sz w:val="18"/>
                <w:szCs w:val="20"/>
              </w:rPr>
            </w:pPr>
            <w:r w:rsidRPr="00F6445C">
              <w:rPr>
                <w:sz w:val="18"/>
              </w:rPr>
              <w:t>0.061556</w:t>
            </w:r>
          </w:p>
        </w:tc>
        <w:tc>
          <w:tcPr>
            <w:tcW w:w="0" w:type="auto"/>
            <w:tcBorders>
              <w:top w:val="single" w:sz="4" w:space="0" w:color="auto"/>
            </w:tcBorders>
            <w:hideMark/>
          </w:tcPr>
          <w:p w14:paraId="21DF1E4E" w14:textId="4BBD0EE3" w:rsidR="00D85714" w:rsidRPr="00F6445C" w:rsidRDefault="00D85714" w:rsidP="00D85714">
            <w:pPr>
              <w:pStyle w:val="NormalWeb"/>
              <w:spacing w:line="360" w:lineRule="auto"/>
              <w:jc w:val="both"/>
              <w:rPr>
                <w:sz w:val="18"/>
                <w:szCs w:val="20"/>
              </w:rPr>
            </w:pPr>
            <w:r w:rsidRPr="00F6445C">
              <w:rPr>
                <w:sz w:val="18"/>
              </w:rPr>
              <w:t>1.496658</w:t>
            </w:r>
          </w:p>
        </w:tc>
        <w:tc>
          <w:tcPr>
            <w:tcW w:w="0" w:type="auto"/>
            <w:tcBorders>
              <w:top w:val="single" w:sz="4" w:space="0" w:color="auto"/>
            </w:tcBorders>
            <w:hideMark/>
          </w:tcPr>
          <w:p w14:paraId="079A579A" w14:textId="6ED30F3E" w:rsidR="00D85714" w:rsidRPr="00F6445C" w:rsidRDefault="00D85714" w:rsidP="00D85714">
            <w:pPr>
              <w:pStyle w:val="NormalWeb"/>
              <w:spacing w:line="360" w:lineRule="auto"/>
              <w:jc w:val="both"/>
              <w:rPr>
                <w:sz w:val="18"/>
                <w:szCs w:val="20"/>
              </w:rPr>
            </w:pPr>
            <w:r w:rsidRPr="00F6445C">
              <w:rPr>
                <w:sz w:val="18"/>
              </w:rPr>
              <w:t>-0.344517</w:t>
            </w:r>
          </w:p>
        </w:tc>
        <w:tc>
          <w:tcPr>
            <w:tcW w:w="0" w:type="auto"/>
            <w:tcBorders>
              <w:top w:val="single" w:sz="4" w:space="0" w:color="auto"/>
            </w:tcBorders>
            <w:hideMark/>
          </w:tcPr>
          <w:p w14:paraId="471F6A70" w14:textId="488014E3" w:rsidR="00D85714" w:rsidRPr="00F6445C" w:rsidRDefault="00D85714" w:rsidP="00D85714">
            <w:pPr>
              <w:pStyle w:val="NormalWeb"/>
              <w:spacing w:line="360" w:lineRule="auto"/>
              <w:jc w:val="both"/>
              <w:rPr>
                <w:sz w:val="18"/>
                <w:szCs w:val="20"/>
              </w:rPr>
            </w:pPr>
            <w:r w:rsidRPr="00F6445C">
              <w:rPr>
                <w:sz w:val="18"/>
              </w:rPr>
              <w:t>5.312702</w:t>
            </w:r>
          </w:p>
        </w:tc>
        <w:tc>
          <w:tcPr>
            <w:tcW w:w="0" w:type="auto"/>
            <w:tcBorders>
              <w:top w:val="single" w:sz="4" w:space="0" w:color="auto"/>
            </w:tcBorders>
            <w:hideMark/>
          </w:tcPr>
          <w:p w14:paraId="1B432D12" w14:textId="556FD2A4" w:rsidR="00D85714" w:rsidRPr="00F6445C" w:rsidRDefault="00D85714" w:rsidP="00D85714">
            <w:pPr>
              <w:pStyle w:val="NormalWeb"/>
              <w:spacing w:line="360" w:lineRule="auto"/>
              <w:jc w:val="both"/>
              <w:rPr>
                <w:sz w:val="18"/>
                <w:szCs w:val="20"/>
              </w:rPr>
            </w:pPr>
            <w:r w:rsidRPr="00F6445C">
              <w:rPr>
                <w:sz w:val="18"/>
              </w:rPr>
              <w:t>-0.015993</w:t>
            </w:r>
          </w:p>
        </w:tc>
        <w:tc>
          <w:tcPr>
            <w:tcW w:w="0" w:type="auto"/>
            <w:tcBorders>
              <w:top w:val="single" w:sz="4" w:space="0" w:color="auto"/>
            </w:tcBorders>
            <w:hideMark/>
          </w:tcPr>
          <w:p w14:paraId="7B24D1F8" w14:textId="0B0DB98D" w:rsidR="00D85714" w:rsidRPr="00F6445C" w:rsidRDefault="00D85714" w:rsidP="00D85714">
            <w:pPr>
              <w:pStyle w:val="NormalWeb"/>
              <w:spacing w:line="360" w:lineRule="auto"/>
              <w:jc w:val="both"/>
              <w:rPr>
                <w:sz w:val="18"/>
                <w:szCs w:val="20"/>
              </w:rPr>
            </w:pPr>
            <w:r w:rsidRPr="00F6445C">
              <w:rPr>
                <w:sz w:val="18"/>
                <w:szCs w:val="20"/>
              </w:rPr>
              <w:t>0.0041***</w:t>
            </w:r>
          </w:p>
        </w:tc>
      </w:tr>
      <w:tr w:rsidR="00D85714" w:rsidRPr="00F6445C" w14:paraId="5C824BD4" w14:textId="77777777" w:rsidTr="000B206F">
        <w:tc>
          <w:tcPr>
            <w:tcW w:w="0" w:type="auto"/>
            <w:hideMark/>
          </w:tcPr>
          <w:p w14:paraId="3A47216E" w14:textId="77777777" w:rsidR="00D85714" w:rsidRPr="00F6445C" w:rsidRDefault="00D85714" w:rsidP="00D85714">
            <w:pPr>
              <w:pStyle w:val="NormalWeb"/>
              <w:spacing w:line="360" w:lineRule="auto"/>
              <w:jc w:val="both"/>
              <w:rPr>
                <w:b/>
                <w:bCs/>
                <w:sz w:val="18"/>
                <w:szCs w:val="18"/>
              </w:rPr>
            </w:pPr>
            <w:r w:rsidRPr="00F6445C">
              <w:rPr>
                <w:b/>
                <w:bCs/>
                <w:sz w:val="18"/>
                <w:szCs w:val="18"/>
              </w:rPr>
              <w:t>Fast-Moving Consumer Goods (NIFTY FMCG)</w:t>
            </w:r>
          </w:p>
        </w:tc>
        <w:tc>
          <w:tcPr>
            <w:tcW w:w="0" w:type="auto"/>
            <w:hideMark/>
          </w:tcPr>
          <w:p w14:paraId="55DA39D9" w14:textId="5582E382"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2FEA1F36" w14:textId="682B92CA" w:rsidR="00D85714" w:rsidRPr="00F6445C" w:rsidRDefault="00D85714" w:rsidP="00D85714">
            <w:pPr>
              <w:pStyle w:val="NormalWeb"/>
              <w:spacing w:line="360" w:lineRule="auto"/>
              <w:jc w:val="both"/>
              <w:rPr>
                <w:sz w:val="18"/>
                <w:szCs w:val="20"/>
              </w:rPr>
            </w:pPr>
            <w:r w:rsidRPr="00F6445C">
              <w:rPr>
                <w:sz w:val="18"/>
              </w:rPr>
              <w:t>0.042372</w:t>
            </w:r>
          </w:p>
        </w:tc>
        <w:tc>
          <w:tcPr>
            <w:tcW w:w="0" w:type="auto"/>
            <w:hideMark/>
          </w:tcPr>
          <w:p w14:paraId="43BC2B3D" w14:textId="467E1D2B" w:rsidR="00D85714" w:rsidRPr="00F6445C" w:rsidRDefault="00D85714" w:rsidP="00D85714">
            <w:pPr>
              <w:pStyle w:val="NormalWeb"/>
              <w:spacing w:line="360" w:lineRule="auto"/>
              <w:jc w:val="both"/>
              <w:rPr>
                <w:sz w:val="18"/>
                <w:szCs w:val="20"/>
              </w:rPr>
            </w:pPr>
            <w:r w:rsidRPr="00F6445C">
              <w:rPr>
                <w:sz w:val="18"/>
              </w:rPr>
              <w:t>1.049924</w:t>
            </w:r>
          </w:p>
        </w:tc>
        <w:tc>
          <w:tcPr>
            <w:tcW w:w="0" w:type="auto"/>
            <w:hideMark/>
          </w:tcPr>
          <w:p w14:paraId="24D3AE16" w14:textId="652C4A7C" w:rsidR="00D85714" w:rsidRPr="00F6445C" w:rsidRDefault="00D85714" w:rsidP="00D85714">
            <w:pPr>
              <w:pStyle w:val="NormalWeb"/>
              <w:spacing w:line="360" w:lineRule="auto"/>
              <w:jc w:val="both"/>
              <w:rPr>
                <w:sz w:val="18"/>
                <w:szCs w:val="20"/>
              </w:rPr>
            </w:pPr>
            <w:r w:rsidRPr="00F6445C">
              <w:rPr>
                <w:sz w:val="18"/>
              </w:rPr>
              <w:t>-0.524292</w:t>
            </w:r>
          </w:p>
        </w:tc>
        <w:tc>
          <w:tcPr>
            <w:tcW w:w="0" w:type="auto"/>
            <w:hideMark/>
          </w:tcPr>
          <w:p w14:paraId="67CA3D2F" w14:textId="7DAE2893" w:rsidR="00D85714" w:rsidRPr="00F6445C" w:rsidRDefault="00D85714" w:rsidP="00D85714">
            <w:pPr>
              <w:pStyle w:val="NormalWeb"/>
              <w:spacing w:line="360" w:lineRule="auto"/>
              <w:jc w:val="both"/>
              <w:rPr>
                <w:sz w:val="18"/>
                <w:szCs w:val="20"/>
              </w:rPr>
            </w:pPr>
            <w:r w:rsidRPr="00F6445C">
              <w:rPr>
                <w:sz w:val="18"/>
              </w:rPr>
              <w:t>16.665735</w:t>
            </w:r>
          </w:p>
        </w:tc>
        <w:tc>
          <w:tcPr>
            <w:tcW w:w="0" w:type="auto"/>
            <w:hideMark/>
          </w:tcPr>
          <w:p w14:paraId="549A20F2" w14:textId="425E085E" w:rsidR="00D85714" w:rsidRPr="00F6445C" w:rsidRDefault="00D85714" w:rsidP="00D85714">
            <w:pPr>
              <w:pStyle w:val="NormalWeb"/>
              <w:spacing w:line="360" w:lineRule="auto"/>
              <w:jc w:val="both"/>
              <w:rPr>
                <w:sz w:val="18"/>
                <w:szCs w:val="20"/>
              </w:rPr>
            </w:pPr>
            <w:r w:rsidRPr="00F6445C">
              <w:rPr>
                <w:sz w:val="18"/>
              </w:rPr>
              <w:t>-0.061155</w:t>
            </w:r>
          </w:p>
        </w:tc>
        <w:tc>
          <w:tcPr>
            <w:tcW w:w="0" w:type="auto"/>
            <w:hideMark/>
          </w:tcPr>
          <w:p w14:paraId="37EEBAD5"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1B1122E8" w14:textId="77777777" w:rsidTr="000B206F">
        <w:tc>
          <w:tcPr>
            <w:tcW w:w="0" w:type="auto"/>
            <w:hideMark/>
          </w:tcPr>
          <w:p w14:paraId="0DA3E4AD" w14:textId="77777777" w:rsidR="00D85714" w:rsidRPr="00F6445C" w:rsidRDefault="00D85714" w:rsidP="00D85714">
            <w:pPr>
              <w:pStyle w:val="NormalWeb"/>
              <w:spacing w:line="360" w:lineRule="auto"/>
              <w:jc w:val="both"/>
              <w:rPr>
                <w:b/>
                <w:bCs/>
                <w:sz w:val="18"/>
                <w:szCs w:val="18"/>
              </w:rPr>
            </w:pPr>
            <w:r w:rsidRPr="00F6445C">
              <w:rPr>
                <w:b/>
                <w:bCs/>
                <w:sz w:val="18"/>
                <w:szCs w:val="18"/>
              </w:rPr>
              <w:t>Pharmaceuticals (NIFTY Pharma)</w:t>
            </w:r>
          </w:p>
        </w:tc>
        <w:tc>
          <w:tcPr>
            <w:tcW w:w="0" w:type="auto"/>
            <w:hideMark/>
          </w:tcPr>
          <w:p w14:paraId="63888076" w14:textId="72A4FCEB"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6B510E1" w14:textId="7519C19A" w:rsidR="00D85714" w:rsidRPr="00F6445C" w:rsidRDefault="00D85714" w:rsidP="00D85714">
            <w:pPr>
              <w:pStyle w:val="NormalWeb"/>
              <w:spacing w:line="360" w:lineRule="auto"/>
              <w:jc w:val="both"/>
              <w:rPr>
                <w:sz w:val="18"/>
                <w:szCs w:val="20"/>
              </w:rPr>
            </w:pPr>
            <w:r w:rsidRPr="00F6445C">
              <w:rPr>
                <w:sz w:val="18"/>
              </w:rPr>
              <w:t>0.072535</w:t>
            </w:r>
          </w:p>
        </w:tc>
        <w:tc>
          <w:tcPr>
            <w:tcW w:w="0" w:type="auto"/>
            <w:hideMark/>
          </w:tcPr>
          <w:p w14:paraId="6B552B54" w14:textId="469BE7F6" w:rsidR="00D85714" w:rsidRPr="00F6445C" w:rsidRDefault="00D85714" w:rsidP="00D85714">
            <w:pPr>
              <w:pStyle w:val="NormalWeb"/>
              <w:spacing w:line="360" w:lineRule="auto"/>
              <w:jc w:val="both"/>
              <w:rPr>
                <w:sz w:val="18"/>
                <w:szCs w:val="20"/>
              </w:rPr>
            </w:pPr>
            <w:r w:rsidRPr="00F6445C">
              <w:rPr>
                <w:sz w:val="18"/>
              </w:rPr>
              <w:t>1.223097</w:t>
            </w:r>
          </w:p>
        </w:tc>
        <w:tc>
          <w:tcPr>
            <w:tcW w:w="0" w:type="auto"/>
            <w:hideMark/>
          </w:tcPr>
          <w:p w14:paraId="3D6C1A12" w14:textId="41279294" w:rsidR="00D85714" w:rsidRPr="00F6445C" w:rsidRDefault="00D85714" w:rsidP="00D85714">
            <w:pPr>
              <w:pStyle w:val="NormalWeb"/>
              <w:spacing w:line="360" w:lineRule="auto"/>
              <w:jc w:val="both"/>
              <w:rPr>
                <w:sz w:val="18"/>
                <w:szCs w:val="20"/>
              </w:rPr>
            </w:pPr>
            <w:r w:rsidRPr="00F6445C">
              <w:rPr>
                <w:sz w:val="18"/>
              </w:rPr>
              <w:t>-0.050079</w:t>
            </w:r>
          </w:p>
        </w:tc>
        <w:tc>
          <w:tcPr>
            <w:tcW w:w="0" w:type="auto"/>
            <w:hideMark/>
          </w:tcPr>
          <w:p w14:paraId="7730F562" w14:textId="7907DEDA" w:rsidR="00D85714" w:rsidRPr="00F6445C" w:rsidRDefault="00D85714" w:rsidP="00D85714">
            <w:pPr>
              <w:pStyle w:val="NormalWeb"/>
              <w:spacing w:line="360" w:lineRule="auto"/>
              <w:jc w:val="both"/>
              <w:rPr>
                <w:sz w:val="18"/>
                <w:szCs w:val="20"/>
              </w:rPr>
            </w:pPr>
            <w:r w:rsidRPr="00F6445C">
              <w:rPr>
                <w:sz w:val="18"/>
              </w:rPr>
              <w:t>7.747338</w:t>
            </w:r>
          </w:p>
        </w:tc>
        <w:tc>
          <w:tcPr>
            <w:tcW w:w="0" w:type="auto"/>
            <w:hideMark/>
          </w:tcPr>
          <w:p w14:paraId="2C42B06E" w14:textId="3BD1F4A9" w:rsidR="00D85714" w:rsidRPr="00F6445C" w:rsidRDefault="00D85714" w:rsidP="00D85714">
            <w:pPr>
              <w:pStyle w:val="NormalWeb"/>
              <w:spacing w:line="360" w:lineRule="auto"/>
              <w:jc w:val="both"/>
              <w:rPr>
                <w:sz w:val="18"/>
                <w:szCs w:val="20"/>
              </w:rPr>
            </w:pPr>
            <w:r w:rsidRPr="00F6445C">
              <w:rPr>
                <w:sz w:val="18"/>
              </w:rPr>
              <w:t>-0.006897</w:t>
            </w:r>
          </w:p>
        </w:tc>
        <w:tc>
          <w:tcPr>
            <w:tcW w:w="0" w:type="auto"/>
            <w:hideMark/>
          </w:tcPr>
          <w:p w14:paraId="1577414F" w14:textId="233DA8C7" w:rsidR="00D85714" w:rsidRPr="00F6445C" w:rsidRDefault="00D85714" w:rsidP="00D85714">
            <w:pPr>
              <w:pStyle w:val="NormalWeb"/>
              <w:spacing w:line="360" w:lineRule="auto"/>
              <w:jc w:val="both"/>
              <w:rPr>
                <w:sz w:val="18"/>
                <w:szCs w:val="20"/>
              </w:rPr>
            </w:pPr>
            <w:r w:rsidRPr="00F6445C">
              <w:rPr>
                <w:sz w:val="18"/>
                <w:szCs w:val="20"/>
              </w:rPr>
              <w:t>0.0018***</w:t>
            </w:r>
          </w:p>
        </w:tc>
      </w:tr>
      <w:tr w:rsidR="00D85714" w:rsidRPr="00F6445C" w14:paraId="184E2912" w14:textId="77777777" w:rsidTr="000B206F">
        <w:tc>
          <w:tcPr>
            <w:tcW w:w="0" w:type="auto"/>
            <w:hideMark/>
          </w:tcPr>
          <w:p w14:paraId="7B74E263" w14:textId="77777777" w:rsidR="00D85714" w:rsidRPr="00F6445C" w:rsidRDefault="00D85714" w:rsidP="00D85714">
            <w:pPr>
              <w:pStyle w:val="NormalWeb"/>
              <w:spacing w:line="360" w:lineRule="auto"/>
              <w:jc w:val="both"/>
              <w:rPr>
                <w:b/>
                <w:bCs/>
                <w:sz w:val="18"/>
                <w:szCs w:val="18"/>
              </w:rPr>
            </w:pPr>
            <w:r w:rsidRPr="00F6445C">
              <w:rPr>
                <w:b/>
                <w:bCs/>
                <w:sz w:val="18"/>
                <w:szCs w:val="18"/>
              </w:rPr>
              <w:t>Automobiles (NIFTY Auto)</w:t>
            </w:r>
          </w:p>
        </w:tc>
        <w:tc>
          <w:tcPr>
            <w:tcW w:w="0" w:type="auto"/>
            <w:hideMark/>
          </w:tcPr>
          <w:p w14:paraId="4E1DF470" w14:textId="292E4A7E"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6E374BEB" w14:textId="63BAC975" w:rsidR="00D85714" w:rsidRPr="00F6445C" w:rsidRDefault="00D85714" w:rsidP="00D85714">
            <w:pPr>
              <w:pStyle w:val="NormalWeb"/>
              <w:spacing w:line="360" w:lineRule="auto"/>
              <w:jc w:val="both"/>
              <w:rPr>
                <w:sz w:val="18"/>
                <w:szCs w:val="20"/>
              </w:rPr>
            </w:pPr>
            <w:r w:rsidRPr="00F6445C">
              <w:rPr>
                <w:sz w:val="18"/>
              </w:rPr>
              <w:t>0.085778</w:t>
            </w:r>
          </w:p>
        </w:tc>
        <w:tc>
          <w:tcPr>
            <w:tcW w:w="0" w:type="auto"/>
            <w:hideMark/>
          </w:tcPr>
          <w:p w14:paraId="5A687167" w14:textId="2437DB92" w:rsidR="00D85714" w:rsidRPr="00F6445C" w:rsidRDefault="00D85714" w:rsidP="00D85714">
            <w:pPr>
              <w:pStyle w:val="NormalWeb"/>
              <w:spacing w:line="360" w:lineRule="auto"/>
              <w:jc w:val="both"/>
              <w:rPr>
                <w:sz w:val="18"/>
                <w:szCs w:val="20"/>
              </w:rPr>
            </w:pPr>
            <w:r w:rsidRPr="00F6445C">
              <w:rPr>
                <w:sz w:val="18"/>
              </w:rPr>
              <w:t>1.481032</w:t>
            </w:r>
          </w:p>
        </w:tc>
        <w:tc>
          <w:tcPr>
            <w:tcW w:w="0" w:type="auto"/>
            <w:hideMark/>
          </w:tcPr>
          <w:p w14:paraId="73D36025" w14:textId="2ED85B16" w:rsidR="00D85714" w:rsidRPr="00F6445C" w:rsidRDefault="00D85714" w:rsidP="00D85714">
            <w:pPr>
              <w:pStyle w:val="NormalWeb"/>
              <w:spacing w:line="360" w:lineRule="auto"/>
              <w:jc w:val="both"/>
              <w:rPr>
                <w:sz w:val="18"/>
                <w:szCs w:val="20"/>
              </w:rPr>
            </w:pPr>
            <w:r w:rsidRPr="00F6445C">
              <w:rPr>
                <w:sz w:val="18"/>
              </w:rPr>
              <w:t>-0.843849</w:t>
            </w:r>
          </w:p>
        </w:tc>
        <w:tc>
          <w:tcPr>
            <w:tcW w:w="0" w:type="auto"/>
            <w:hideMark/>
          </w:tcPr>
          <w:p w14:paraId="0F1C6295" w14:textId="3ACDC120" w:rsidR="00D85714" w:rsidRPr="00F6445C" w:rsidRDefault="00D85714" w:rsidP="00D85714">
            <w:pPr>
              <w:pStyle w:val="NormalWeb"/>
              <w:spacing w:line="360" w:lineRule="auto"/>
              <w:jc w:val="both"/>
              <w:rPr>
                <w:sz w:val="18"/>
                <w:szCs w:val="20"/>
              </w:rPr>
            </w:pPr>
            <w:r w:rsidRPr="00F6445C">
              <w:rPr>
                <w:sz w:val="18"/>
              </w:rPr>
              <w:t>12.038665</w:t>
            </w:r>
          </w:p>
        </w:tc>
        <w:tc>
          <w:tcPr>
            <w:tcW w:w="0" w:type="auto"/>
            <w:hideMark/>
          </w:tcPr>
          <w:p w14:paraId="4EFE9A69" w14:textId="1EECF97A" w:rsidR="00D85714" w:rsidRPr="00F6445C" w:rsidRDefault="00D85714" w:rsidP="00D85714">
            <w:pPr>
              <w:pStyle w:val="NormalWeb"/>
              <w:spacing w:line="360" w:lineRule="auto"/>
              <w:jc w:val="both"/>
              <w:rPr>
                <w:sz w:val="18"/>
                <w:szCs w:val="20"/>
              </w:rPr>
            </w:pPr>
            <w:r w:rsidRPr="00F6445C">
              <w:rPr>
                <w:sz w:val="18"/>
              </w:rPr>
              <w:t>0.005781</w:t>
            </w:r>
          </w:p>
        </w:tc>
        <w:tc>
          <w:tcPr>
            <w:tcW w:w="0" w:type="auto"/>
            <w:hideMark/>
          </w:tcPr>
          <w:p w14:paraId="18769566" w14:textId="47B83FD8" w:rsidR="00D85714" w:rsidRPr="00F6445C" w:rsidRDefault="00D85714" w:rsidP="00D85714">
            <w:pPr>
              <w:pStyle w:val="NormalWeb"/>
              <w:spacing w:line="360" w:lineRule="auto"/>
              <w:jc w:val="both"/>
              <w:rPr>
                <w:sz w:val="18"/>
                <w:szCs w:val="20"/>
              </w:rPr>
            </w:pPr>
            <w:r w:rsidRPr="00F6445C">
              <w:rPr>
                <w:sz w:val="18"/>
                <w:szCs w:val="20"/>
              </w:rPr>
              <w:t>0.1956</w:t>
            </w:r>
          </w:p>
        </w:tc>
      </w:tr>
      <w:tr w:rsidR="00D85714" w:rsidRPr="00F6445C" w14:paraId="32DC814C" w14:textId="77777777" w:rsidTr="000B206F">
        <w:tc>
          <w:tcPr>
            <w:tcW w:w="0" w:type="auto"/>
            <w:hideMark/>
          </w:tcPr>
          <w:p w14:paraId="098A682A" w14:textId="77777777" w:rsidR="00D85714" w:rsidRPr="00F6445C" w:rsidRDefault="00D85714" w:rsidP="00D85714">
            <w:pPr>
              <w:pStyle w:val="NormalWeb"/>
              <w:spacing w:line="360" w:lineRule="auto"/>
              <w:jc w:val="both"/>
              <w:rPr>
                <w:b/>
                <w:bCs/>
                <w:sz w:val="18"/>
                <w:szCs w:val="18"/>
              </w:rPr>
            </w:pPr>
            <w:r w:rsidRPr="00F6445C">
              <w:rPr>
                <w:b/>
                <w:bCs/>
                <w:sz w:val="18"/>
                <w:szCs w:val="18"/>
              </w:rPr>
              <w:t>Banking (NIFTY Bank)</w:t>
            </w:r>
          </w:p>
        </w:tc>
        <w:tc>
          <w:tcPr>
            <w:tcW w:w="0" w:type="auto"/>
            <w:hideMark/>
          </w:tcPr>
          <w:p w14:paraId="1DCAD7D2" w14:textId="13DD9068"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09C64E7C" w14:textId="428AB562" w:rsidR="00D85714" w:rsidRPr="00F6445C" w:rsidRDefault="00D85714" w:rsidP="00D85714">
            <w:pPr>
              <w:pStyle w:val="NormalWeb"/>
              <w:spacing w:line="360" w:lineRule="auto"/>
              <w:jc w:val="both"/>
              <w:rPr>
                <w:sz w:val="18"/>
                <w:szCs w:val="20"/>
              </w:rPr>
            </w:pPr>
            <w:r w:rsidRPr="00F6445C">
              <w:rPr>
                <w:sz w:val="18"/>
              </w:rPr>
              <w:t>0.042506</w:t>
            </w:r>
          </w:p>
        </w:tc>
        <w:tc>
          <w:tcPr>
            <w:tcW w:w="0" w:type="auto"/>
            <w:hideMark/>
          </w:tcPr>
          <w:p w14:paraId="17BDB18F" w14:textId="3B70C90F" w:rsidR="00D85714" w:rsidRPr="00F6445C" w:rsidRDefault="00D85714" w:rsidP="00D85714">
            <w:pPr>
              <w:pStyle w:val="NormalWeb"/>
              <w:spacing w:line="360" w:lineRule="auto"/>
              <w:jc w:val="both"/>
              <w:rPr>
                <w:sz w:val="18"/>
                <w:szCs w:val="20"/>
              </w:rPr>
            </w:pPr>
            <w:r w:rsidRPr="00F6445C">
              <w:rPr>
                <w:sz w:val="18"/>
              </w:rPr>
              <w:t>1.557478</w:t>
            </w:r>
          </w:p>
        </w:tc>
        <w:tc>
          <w:tcPr>
            <w:tcW w:w="0" w:type="auto"/>
            <w:hideMark/>
          </w:tcPr>
          <w:p w14:paraId="63516B80" w14:textId="15AF9DE0" w:rsidR="00D85714" w:rsidRPr="00F6445C" w:rsidRDefault="00D85714" w:rsidP="00D85714">
            <w:pPr>
              <w:pStyle w:val="NormalWeb"/>
              <w:spacing w:line="360" w:lineRule="auto"/>
              <w:jc w:val="both"/>
              <w:rPr>
                <w:sz w:val="18"/>
                <w:szCs w:val="20"/>
              </w:rPr>
            </w:pPr>
            <w:r w:rsidRPr="00F6445C">
              <w:rPr>
                <w:sz w:val="18"/>
              </w:rPr>
              <w:t>-1.513126</w:t>
            </w:r>
          </w:p>
        </w:tc>
        <w:tc>
          <w:tcPr>
            <w:tcW w:w="0" w:type="auto"/>
            <w:hideMark/>
          </w:tcPr>
          <w:p w14:paraId="45960250" w14:textId="2AA2ED13" w:rsidR="00D85714" w:rsidRPr="00F6445C" w:rsidRDefault="00D85714" w:rsidP="00D85714">
            <w:pPr>
              <w:pStyle w:val="NormalWeb"/>
              <w:spacing w:line="360" w:lineRule="auto"/>
              <w:jc w:val="both"/>
              <w:rPr>
                <w:sz w:val="18"/>
                <w:szCs w:val="20"/>
              </w:rPr>
            </w:pPr>
            <w:r w:rsidRPr="00F6445C">
              <w:rPr>
                <w:sz w:val="18"/>
              </w:rPr>
              <w:t>19.645636</w:t>
            </w:r>
          </w:p>
        </w:tc>
        <w:tc>
          <w:tcPr>
            <w:tcW w:w="0" w:type="auto"/>
            <w:hideMark/>
          </w:tcPr>
          <w:p w14:paraId="26E397B9" w14:textId="585C5EA5" w:rsidR="00D85714" w:rsidRPr="00F6445C" w:rsidRDefault="00D85714" w:rsidP="00D85714">
            <w:pPr>
              <w:pStyle w:val="NormalWeb"/>
              <w:spacing w:line="360" w:lineRule="auto"/>
              <w:jc w:val="both"/>
              <w:rPr>
                <w:sz w:val="18"/>
                <w:szCs w:val="20"/>
              </w:rPr>
            </w:pPr>
            <w:r w:rsidRPr="00F6445C">
              <w:rPr>
                <w:sz w:val="18"/>
              </w:rPr>
              <w:t>0.014076</w:t>
            </w:r>
          </w:p>
        </w:tc>
        <w:tc>
          <w:tcPr>
            <w:tcW w:w="0" w:type="auto"/>
            <w:hideMark/>
          </w:tcPr>
          <w:p w14:paraId="044053D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0FF2C80A" w14:textId="77777777" w:rsidTr="000B206F">
        <w:tc>
          <w:tcPr>
            <w:tcW w:w="0" w:type="auto"/>
            <w:hideMark/>
          </w:tcPr>
          <w:p w14:paraId="50590A90" w14:textId="77777777" w:rsidR="00D85714" w:rsidRPr="00F6445C" w:rsidRDefault="00D85714" w:rsidP="00D85714">
            <w:pPr>
              <w:pStyle w:val="NormalWeb"/>
              <w:spacing w:line="360" w:lineRule="auto"/>
              <w:jc w:val="both"/>
              <w:rPr>
                <w:b/>
                <w:bCs/>
                <w:sz w:val="18"/>
                <w:szCs w:val="18"/>
              </w:rPr>
            </w:pPr>
            <w:r w:rsidRPr="00F6445C">
              <w:rPr>
                <w:b/>
                <w:bCs/>
                <w:sz w:val="18"/>
                <w:szCs w:val="18"/>
              </w:rPr>
              <w:t>Energy (NIFTY Energy)</w:t>
            </w:r>
          </w:p>
        </w:tc>
        <w:tc>
          <w:tcPr>
            <w:tcW w:w="0" w:type="auto"/>
            <w:hideMark/>
          </w:tcPr>
          <w:p w14:paraId="02F71ADF" w14:textId="41CDE577"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5CCE8758" w14:textId="080EC510" w:rsidR="00D85714" w:rsidRPr="00F6445C" w:rsidRDefault="00D85714" w:rsidP="00D85714">
            <w:pPr>
              <w:pStyle w:val="NormalWeb"/>
              <w:spacing w:line="360" w:lineRule="auto"/>
              <w:jc w:val="both"/>
              <w:rPr>
                <w:sz w:val="18"/>
                <w:szCs w:val="20"/>
              </w:rPr>
            </w:pPr>
            <w:r w:rsidRPr="00F6445C">
              <w:rPr>
                <w:sz w:val="18"/>
              </w:rPr>
              <w:t>0.054827</w:t>
            </w:r>
          </w:p>
        </w:tc>
        <w:tc>
          <w:tcPr>
            <w:tcW w:w="0" w:type="auto"/>
            <w:hideMark/>
          </w:tcPr>
          <w:p w14:paraId="7A2B2CDC" w14:textId="64E61872" w:rsidR="00D85714" w:rsidRPr="00F6445C" w:rsidRDefault="00D85714" w:rsidP="00D85714">
            <w:pPr>
              <w:pStyle w:val="NormalWeb"/>
              <w:spacing w:line="360" w:lineRule="auto"/>
              <w:jc w:val="both"/>
              <w:rPr>
                <w:sz w:val="18"/>
                <w:szCs w:val="20"/>
              </w:rPr>
            </w:pPr>
            <w:r w:rsidRPr="00F6445C">
              <w:rPr>
                <w:sz w:val="18"/>
              </w:rPr>
              <w:t>1.453249</w:t>
            </w:r>
          </w:p>
        </w:tc>
        <w:tc>
          <w:tcPr>
            <w:tcW w:w="0" w:type="auto"/>
            <w:hideMark/>
          </w:tcPr>
          <w:p w14:paraId="6564E85C" w14:textId="6C463B6E" w:rsidR="00D85714" w:rsidRPr="00F6445C" w:rsidRDefault="00D85714" w:rsidP="00D85714">
            <w:pPr>
              <w:pStyle w:val="NormalWeb"/>
              <w:spacing w:line="360" w:lineRule="auto"/>
              <w:jc w:val="both"/>
              <w:rPr>
                <w:sz w:val="18"/>
                <w:szCs w:val="20"/>
              </w:rPr>
            </w:pPr>
            <w:r w:rsidRPr="00F6445C">
              <w:rPr>
                <w:sz w:val="18"/>
              </w:rPr>
              <w:t>-1.060421</w:t>
            </w:r>
          </w:p>
        </w:tc>
        <w:tc>
          <w:tcPr>
            <w:tcW w:w="0" w:type="auto"/>
            <w:hideMark/>
          </w:tcPr>
          <w:p w14:paraId="6B32F5C0" w14:textId="35A28A7D" w:rsidR="00D85714" w:rsidRPr="00F6445C" w:rsidRDefault="00D85714" w:rsidP="00D85714">
            <w:pPr>
              <w:pStyle w:val="NormalWeb"/>
              <w:spacing w:line="360" w:lineRule="auto"/>
              <w:jc w:val="both"/>
              <w:rPr>
                <w:sz w:val="18"/>
                <w:szCs w:val="20"/>
              </w:rPr>
            </w:pPr>
            <w:r w:rsidRPr="00F6445C">
              <w:rPr>
                <w:sz w:val="18"/>
              </w:rPr>
              <w:t>10.588668</w:t>
            </w:r>
          </w:p>
        </w:tc>
        <w:tc>
          <w:tcPr>
            <w:tcW w:w="0" w:type="auto"/>
            <w:hideMark/>
          </w:tcPr>
          <w:p w14:paraId="1D0AA8E9" w14:textId="3955F69A" w:rsidR="00D85714" w:rsidRPr="00F6445C" w:rsidRDefault="00D85714" w:rsidP="00D85714">
            <w:pPr>
              <w:pStyle w:val="NormalWeb"/>
              <w:spacing w:line="360" w:lineRule="auto"/>
              <w:jc w:val="both"/>
              <w:rPr>
                <w:sz w:val="18"/>
                <w:szCs w:val="20"/>
              </w:rPr>
            </w:pPr>
            <w:r w:rsidRPr="00F6445C">
              <w:rPr>
                <w:sz w:val="18"/>
              </w:rPr>
              <w:t>-0.054149</w:t>
            </w:r>
          </w:p>
        </w:tc>
        <w:tc>
          <w:tcPr>
            <w:tcW w:w="0" w:type="auto"/>
            <w:hideMark/>
          </w:tcPr>
          <w:p w14:paraId="3CFEA453" w14:textId="77777777" w:rsidR="00D85714" w:rsidRPr="00F6445C" w:rsidRDefault="00D85714" w:rsidP="00D85714">
            <w:pPr>
              <w:pStyle w:val="NormalWeb"/>
              <w:spacing w:line="360" w:lineRule="auto"/>
              <w:jc w:val="both"/>
              <w:rPr>
                <w:sz w:val="18"/>
                <w:szCs w:val="20"/>
              </w:rPr>
            </w:pPr>
            <w:r w:rsidRPr="00F6445C">
              <w:rPr>
                <w:sz w:val="18"/>
                <w:szCs w:val="20"/>
              </w:rPr>
              <w:t>&lt;0.0001***</w:t>
            </w:r>
          </w:p>
        </w:tc>
      </w:tr>
      <w:tr w:rsidR="00D85714" w:rsidRPr="00F6445C" w14:paraId="212DE4CC" w14:textId="77777777" w:rsidTr="000B206F">
        <w:tc>
          <w:tcPr>
            <w:tcW w:w="0" w:type="auto"/>
            <w:hideMark/>
          </w:tcPr>
          <w:p w14:paraId="6FF0F0D6" w14:textId="77777777" w:rsidR="00D85714" w:rsidRPr="00F6445C" w:rsidRDefault="00D85714" w:rsidP="00D85714">
            <w:pPr>
              <w:pStyle w:val="NormalWeb"/>
              <w:spacing w:line="360" w:lineRule="auto"/>
              <w:jc w:val="both"/>
              <w:rPr>
                <w:b/>
                <w:bCs/>
                <w:sz w:val="18"/>
                <w:szCs w:val="18"/>
              </w:rPr>
            </w:pPr>
            <w:r w:rsidRPr="00F6445C">
              <w:rPr>
                <w:b/>
                <w:bCs/>
                <w:sz w:val="18"/>
                <w:szCs w:val="18"/>
              </w:rPr>
              <w:t>Metals (NIFTY Metal)</w:t>
            </w:r>
          </w:p>
        </w:tc>
        <w:tc>
          <w:tcPr>
            <w:tcW w:w="0" w:type="auto"/>
            <w:hideMark/>
          </w:tcPr>
          <w:p w14:paraId="09542D58" w14:textId="511214BC" w:rsidR="00D85714" w:rsidRPr="00F6445C" w:rsidRDefault="00D85714" w:rsidP="00D85714">
            <w:pPr>
              <w:pStyle w:val="NormalWeb"/>
              <w:spacing w:line="360" w:lineRule="auto"/>
              <w:jc w:val="both"/>
              <w:rPr>
                <w:sz w:val="18"/>
                <w:szCs w:val="20"/>
              </w:rPr>
            </w:pPr>
            <w:r w:rsidRPr="00F6445C">
              <w:rPr>
                <w:sz w:val="18"/>
              </w:rPr>
              <w:t>1430</w:t>
            </w:r>
          </w:p>
        </w:tc>
        <w:tc>
          <w:tcPr>
            <w:tcW w:w="0" w:type="auto"/>
            <w:hideMark/>
          </w:tcPr>
          <w:p w14:paraId="7D5C3626" w14:textId="7CD8869D" w:rsidR="00D85714" w:rsidRPr="00F6445C" w:rsidRDefault="00D85714" w:rsidP="00D85714">
            <w:pPr>
              <w:pStyle w:val="NormalWeb"/>
              <w:spacing w:line="360" w:lineRule="auto"/>
              <w:jc w:val="both"/>
              <w:rPr>
                <w:sz w:val="18"/>
                <w:szCs w:val="20"/>
              </w:rPr>
            </w:pPr>
            <w:r w:rsidRPr="00F6445C">
              <w:rPr>
                <w:sz w:val="18"/>
              </w:rPr>
              <w:t>0.095017</w:t>
            </w:r>
          </w:p>
        </w:tc>
        <w:tc>
          <w:tcPr>
            <w:tcW w:w="0" w:type="auto"/>
            <w:hideMark/>
          </w:tcPr>
          <w:p w14:paraId="55963DF3" w14:textId="3F8D88BC" w:rsidR="00D85714" w:rsidRPr="00F6445C" w:rsidRDefault="00D85714" w:rsidP="00D85714">
            <w:pPr>
              <w:pStyle w:val="NormalWeb"/>
              <w:spacing w:line="360" w:lineRule="auto"/>
              <w:jc w:val="both"/>
              <w:rPr>
                <w:sz w:val="18"/>
                <w:szCs w:val="20"/>
              </w:rPr>
            </w:pPr>
            <w:r w:rsidRPr="00F6445C">
              <w:rPr>
                <w:sz w:val="18"/>
              </w:rPr>
              <w:t>1.912657</w:t>
            </w:r>
          </w:p>
        </w:tc>
        <w:tc>
          <w:tcPr>
            <w:tcW w:w="0" w:type="auto"/>
            <w:hideMark/>
          </w:tcPr>
          <w:p w14:paraId="7FD36DB6" w14:textId="6D0013E4" w:rsidR="00D85714" w:rsidRPr="00F6445C" w:rsidRDefault="00D85714" w:rsidP="00D85714">
            <w:pPr>
              <w:pStyle w:val="NormalWeb"/>
              <w:spacing w:line="360" w:lineRule="auto"/>
              <w:jc w:val="both"/>
              <w:rPr>
                <w:sz w:val="18"/>
                <w:szCs w:val="20"/>
              </w:rPr>
            </w:pPr>
            <w:r w:rsidRPr="00F6445C">
              <w:rPr>
                <w:sz w:val="18"/>
              </w:rPr>
              <w:t>-0.799949</w:t>
            </w:r>
          </w:p>
        </w:tc>
        <w:tc>
          <w:tcPr>
            <w:tcW w:w="0" w:type="auto"/>
            <w:hideMark/>
          </w:tcPr>
          <w:p w14:paraId="6D24E889" w14:textId="49838747" w:rsidR="00D85714" w:rsidRPr="00F6445C" w:rsidRDefault="00D85714" w:rsidP="00D85714">
            <w:pPr>
              <w:pStyle w:val="NormalWeb"/>
              <w:spacing w:line="360" w:lineRule="auto"/>
              <w:jc w:val="both"/>
              <w:rPr>
                <w:sz w:val="18"/>
                <w:szCs w:val="20"/>
              </w:rPr>
            </w:pPr>
            <w:r w:rsidRPr="00F6445C">
              <w:rPr>
                <w:sz w:val="18"/>
              </w:rPr>
              <w:t>4.614698</w:t>
            </w:r>
          </w:p>
        </w:tc>
        <w:tc>
          <w:tcPr>
            <w:tcW w:w="0" w:type="auto"/>
            <w:hideMark/>
          </w:tcPr>
          <w:p w14:paraId="3BF9AEB4" w14:textId="7E13FF06" w:rsidR="00D85714" w:rsidRPr="00F6445C" w:rsidRDefault="00D85714" w:rsidP="00D85714">
            <w:pPr>
              <w:pStyle w:val="NormalWeb"/>
              <w:spacing w:line="360" w:lineRule="auto"/>
              <w:jc w:val="both"/>
              <w:rPr>
                <w:sz w:val="18"/>
                <w:szCs w:val="20"/>
              </w:rPr>
            </w:pPr>
            <w:r w:rsidRPr="00F6445C">
              <w:rPr>
                <w:sz w:val="18"/>
              </w:rPr>
              <w:t>-0.016792</w:t>
            </w:r>
          </w:p>
        </w:tc>
        <w:tc>
          <w:tcPr>
            <w:tcW w:w="0" w:type="auto"/>
            <w:hideMark/>
          </w:tcPr>
          <w:p w14:paraId="74B00E9F" w14:textId="04C025CE" w:rsidR="00D85714" w:rsidRPr="00F6445C" w:rsidRDefault="00D85714" w:rsidP="00D85714">
            <w:pPr>
              <w:pStyle w:val="NormalWeb"/>
              <w:spacing w:line="360" w:lineRule="auto"/>
              <w:jc w:val="both"/>
              <w:rPr>
                <w:sz w:val="18"/>
                <w:szCs w:val="20"/>
              </w:rPr>
            </w:pPr>
            <w:r w:rsidRPr="00F6445C">
              <w:rPr>
                <w:sz w:val="18"/>
                <w:szCs w:val="20"/>
              </w:rPr>
              <w:t>0.0003***</w:t>
            </w:r>
          </w:p>
        </w:tc>
      </w:tr>
      <w:tr w:rsidR="00D85714" w:rsidRPr="00F6445C" w14:paraId="5DA5F60C" w14:textId="77777777" w:rsidTr="000B206F">
        <w:tc>
          <w:tcPr>
            <w:tcW w:w="0" w:type="auto"/>
            <w:tcBorders>
              <w:bottom w:val="single" w:sz="4" w:space="0" w:color="auto"/>
            </w:tcBorders>
            <w:hideMark/>
          </w:tcPr>
          <w:p w14:paraId="78AF2379" w14:textId="77777777" w:rsidR="00D85714" w:rsidRPr="00F6445C" w:rsidRDefault="00D85714" w:rsidP="00D85714">
            <w:pPr>
              <w:pStyle w:val="NormalWeb"/>
              <w:spacing w:line="360" w:lineRule="auto"/>
              <w:jc w:val="both"/>
              <w:rPr>
                <w:b/>
                <w:bCs/>
                <w:sz w:val="18"/>
                <w:szCs w:val="18"/>
              </w:rPr>
            </w:pPr>
            <w:r w:rsidRPr="00F6445C">
              <w:rPr>
                <w:b/>
                <w:bCs/>
                <w:sz w:val="18"/>
                <w:szCs w:val="18"/>
              </w:rPr>
              <w:t>Realty (NIFTY Realty)</w:t>
            </w:r>
          </w:p>
        </w:tc>
        <w:tc>
          <w:tcPr>
            <w:tcW w:w="0" w:type="auto"/>
            <w:tcBorders>
              <w:bottom w:val="single" w:sz="4" w:space="0" w:color="auto"/>
            </w:tcBorders>
            <w:hideMark/>
          </w:tcPr>
          <w:p w14:paraId="71F0D017" w14:textId="02369B49" w:rsidR="00D85714" w:rsidRPr="00F6445C" w:rsidRDefault="00D85714" w:rsidP="00D85714">
            <w:pPr>
              <w:pStyle w:val="NormalWeb"/>
              <w:spacing w:line="360" w:lineRule="auto"/>
              <w:jc w:val="both"/>
              <w:rPr>
                <w:sz w:val="18"/>
                <w:szCs w:val="20"/>
              </w:rPr>
            </w:pPr>
            <w:r w:rsidRPr="00F6445C">
              <w:rPr>
                <w:sz w:val="18"/>
              </w:rPr>
              <w:t>1430</w:t>
            </w:r>
          </w:p>
        </w:tc>
        <w:tc>
          <w:tcPr>
            <w:tcW w:w="0" w:type="auto"/>
            <w:tcBorders>
              <w:bottom w:val="single" w:sz="4" w:space="0" w:color="auto"/>
            </w:tcBorders>
            <w:hideMark/>
          </w:tcPr>
          <w:p w14:paraId="3E6BFB5D" w14:textId="26781BC1" w:rsidR="00D85714" w:rsidRPr="00F6445C" w:rsidRDefault="00D85714" w:rsidP="00D85714">
            <w:pPr>
              <w:pStyle w:val="NormalWeb"/>
              <w:spacing w:line="360" w:lineRule="auto"/>
              <w:jc w:val="both"/>
              <w:rPr>
                <w:sz w:val="18"/>
                <w:szCs w:val="20"/>
              </w:rPr>
            </w:pPr>
            <w:r w:rsidRPr="00F6445C">
              <w:rPr>
                <w:sz w:val="18"/>
              </w:rPr>
              <w:t>0.074859</w:t>
            </w:r>
          </w:p>
        </w:tc>
        <w:tc>
          <w:tcPr>
            <w:tcW w:w="0" w:type="auto"/>
            <w:tcBorders>
              <w:bottom w:val="single" w:sz="4" w:space="0" w:color="auto"/>
            </w:tcBorders>
            <w:hideMark/>
          </w:tcPr>
          <w:p w14:paraId="4F97061C" w14:textId="2E90701A" w:rsidR="00D85714" w:rsidRPr="00F6445C" w:rsidRDefault="00D85714" w:rsidP="00D85714">
            <w:pPr>
              <w:pStyle w:val="NormalWeb"/>
              <w:spacing w:line="360" w:lineRule="auto"/>
              <w:jc w:val="both"/>
              <w:rPr>
                <w:sz w:val="18"/>
                <w:szCs w:val="20"/>
              </w:rPr>
            </w:pPr>
            <w:r w:rsidRPr="00F6445C">
              <w:rPr>
                <w:sz w:val="18"/>
              </w:rPr>
              <w:t>1.938009</w:t>
            </w:r>
          </w:p>
        </w:tc>
        <w:tc>
          <w:tcPr>
            <w:tcW w:w="0" w:type="auto"/>
            <w:tcBorders>
              <w:bottom w:val="single" w:sz="4" w:space="0" w:color="auto"/>
            </w:tcBorders>
            <w:hideMark/>
          </w:tcPr>
          <w:p w14:paraId="6FD24C84" w14:textId="2E00FC4E" w:rsidR="00D85714" w:rsidRPr="00F6445C" w:rsidRDefault="00D85714" w:rsidP="00D85714">
            <w:pPr>
              <w:pStyle w:val="NormalWeb"/>
              <w:spacing w:line="360" w:lineRule="auto"/>
              <w:jc w:val="both"/>
              <w:rPr>
                <w:sz w:val="18"/>
                <w:szCs w:val="20"/>
              </w:rPr>
            </w:pPr>
            <w:r w:rsidRPr="00F6445C">
              <w:rPr>
                <w:sz w:val="18"/>
              </w:rPr>
              <w:t>-0.562501</w:t>
            </w:r>
          </w:p>
        </w:tc>
        <w:tc>
          <w:tcPr>
            <w:tcW w:w="0" w:type="auto"/>
            <w:tcBorders>
              <w:bottom w:val="single" w:sz="4" w:space="0" w:color="auto"/>
            </w:tcBorders>
            <w:hideMark/>
          </w:tcPr>
          <w:p w14:paraId="71CE56D1" w14:textId="73B614BE" w:rsidR="00D85714" w:rsidRPr="00F6445C" w:rsidRDefault="00D85714" w:rsidP="00D85714">
            <w:pPr>
              <w:pStyle w:val="NormalWeb"/>
              <w:spacing w:line="360" w:lineRule="auto"/>
              <w:jc w:val="both"/>
              <w:rPr>
                <w:sz w:val="18"/>
                <w:szCs w:val="20"/>
              </w:rPr>
            </w:pPr>
            <w:r w:rsidRPr="00F6445C">
              <w:rPr>
                <w:sz w:val="18"/>
              </w:rPr>
              <w:t>3.766252</w:t>
            </w:r>
          </w:p>
        </w:tc>
        <w:tc>
          <w:tcPr>
            <w:tcW w:w="0" w:type="auto"/>
            <w:tcBorders>
              <w:bottom w:val="single" w:sz="4" w:space="0" w:color="auto"/>
            </w:tcBorders>
            <w:hideMark/>
          </w:tcPr>
          <w:p w14:paraId="13E57B4D" w14:textId="516947C0" w:rsidR="00D85714" w:rsidRPr="00F6445C" w:rsidRDefault="00D85714" w:rsidP="00D85714">
            <w:pPr>
              <w:pStyle w:val="NormalWeb"/>
              <w:spacing w:line="360" w:lineRule="auto"/>
              <w:jc w:val="both"/>
              <w:rPr>
                <w:sz w:val="18"/>
                <w:szCs w:val="20"/>
              </w:rPr>
            </w:pPr>
            <w:r w:rsidRPr="00F6445C">
              <w:rPr>
                <w:sz w:val="18"/>
              </w:rPr>
              <w:t>0.094654</w:t>
            </w:r>
          </w:p>
        </w:tc>
        <w:tc>
          <w:tcPr>
            <w:tcW w:w="0" w:type="auto"/>
            <w:tcBorders>
              <w:bottom w:val="single" w:sz="4" w:space="0" w:color="auto"/>
            </w:tcBorders>
            <w:hideMark/>
          </w:tcPr>
          <w:p w14:paraId="65B7F7B0" w14:textId="4533E14B" w:rsidR="00D85714" w:rsidRPr="00F6445C" w:rsidRDefault="00D85714" w:rsidP="00D85714">
            <w:pPr>
              <w:pStyle w:val="NormalWeb"/>
              <w:spacing w:line="360" w:lineRule="auto"/>
              <w:jc w:val="both"/>
              <w:rPr>
                <w:sz w:val="18"/>
                <w:szCs w:val="20"/>
              </w:rPr>
            </w:pPr>
            <w:r w:rsidRPr="00F6445C">
              <w:rPr>
                <w:sz w:val="18"/>
                <w:szCs w:val="20"/>
              </w:rPr>
              <w:t>0.0010***</w:t>
            </w:r>
          </w:p>
        </w:tc>
      </w:tr>
    </w:tbl>
    <w:p w14:paraId="4C467D4B" w14:textId="053622A5" w:rsidR="00D85714" w:rsidRPr="00F6445C" w:rsidRDefault="00D6335F" w:rsidP="00EE5A42">
      <w:pPr>
        <w:pStyle w:val="NormalWeb"/>
        <w:spacing w:line="360" w:lineRule="auto"/>
        <w:jc w:val="both"/>
        <w:rPr>
          <w:i/>
          <w:sz w:val="18"/>
          <w:szCs w:val="18"/>
        </w:rPr>
      </w:pPr>
      <w:r w:rsidRPr="00F6445C">
        <w:rPr>
          <w:b/>
          <w:bCs/>
          <w:i/>
          <w:sz w:val="18"/>
          <w:szCs w:val="18"/>
        </w:rPr>
        <w:t>Notes:</w:t>
      </w:r>
      <w:r w:rsidRPr="00F6445C">
        <w:rPr>
          <w:b/>
          <w:bCs/>
          <w:i/>
          <w:sz w:val="18"/>
          <w:szCs w:val="18"/>
        </w:rPr>
        <w:br/>
      </w:r>
      <w:r w:rsidRPr="00F6445C">
        <w:rPr>
          <w:i/>
          <w:sz w:val="18"/>
          <w:szCs w:val="18"/>
        </w:rPr>
        <w:t xml:space="preserve">Daily returns are computed as </w:t>
      </w: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t</m:t>
            </m:r>
          </m:sub>
        </m:sSub>
        <m:r>
          <w:rPr>
            <w:rFonts w:ascii="Cambria Math" w:hAnsi="Cambria Math"/>
            <w:sz w:val="18"/>
            <w:szCs w:val="18"/>
          </w:rPr>
          <m:t>=100×ln⁡(</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t-1</m:t>
            </m:r>
          </m:sub>
        </m:sSub>
        <m:r>
          <w:rPr>
            <w:rFonts w:ascii="Cambria Math" w:hAnsi="Cambria Math"/>
            <w:sz w:val="18"/>
            <w:szCs w:val="18"/>
          </w:rPr>
          <m:t>)</m:t>
        </m:r>
      </m:oMath>
      <w:r w:rsidRPr="00F6445C">
        <w:rPr>
          <w:i/>
          <w:sz w:val="18"/>
          <w:szCs w:val="18"/>
        </w:rPr>
        <w:t xml:space="preserve">. Skewness and kurtosis describe distributional asymmetry and tail thickness, respectively. The Ljung–Box </w:t>
      </w:r>
      <w:proofErr w:type="gramStart"/>
      <w:r w:rsidRPr="00F6445C">
        <w:rPr>
          <w:i/>
          <w:sz w:val="18"/>
          <w:szCs w:val="18"/>
        </w:rPr>
        <w:t>Q(</w:t>
      </w:r>
      <w:proofErr w:type="gramEnd"/>
      <w:r w:rsidRPr="00F6445C">
        <w:rPr>
          <w:i/>
          <w:sz w:val="18"/>
          <w:szCs w:val="18"/>
        </w:rPr>
        <w:t>10) test examines the null hypothesis of no serial correlation up to 10 lags.</w:t>
      </w:r>
      <w:r w:rsidRPr="00F6445C">
        <w:rPr>
          <w:i/>
          <w:sz w:val="18"/>
          <w:szCs w:val="18"/>
        </w:rPr>
        <w:br/>
        <w:t>*** denotes statistical significance at the 1% level; ** at the 5% level.</w:t>
      </w:r>
    </w:p>
    <w:p w14:paraId="42648DC9" w14:textId="55FAEBCD" w:rsidR="003B2ADC" w:rsidRPr="00F6445C" w:rsidRDefault="003B2ADC" w:rsidP="00EE5A42">
      <w:pPr>
        <w:pStyle w:val="NormalWeb"/>
        <w:spacing w:line="360" w:lineRule="auto"/>
        <w:jc w:val="both"/>
      </w:pPr>
      <w:r w:rsidRPr="00F6445C">
        <w:t>Table 1 summari</w:t>
      </w:r>
      <w:r w:rsidR="007C2AD5">
        <w:t>s</w:t>
      </w:r>
      <w:r w:rsidRPr="00F6445C">
        <w:t xml:space="preserve">es the distributional characteristics of daily sectoral returns. Several stylized facts emerge. First, there is clear heterogeneity in volatility across sectors, with Metals and Realty exhibiting the highest standard deviations, while FMCG and Pharma display comparatively lower dispersion, indicating their relatively defensive nature. Second, most sectors exhibit negative skewness, implying that extreme downside movements are more pronounced than positive shocks, particularly in Banking and Energy. Third, kurtosis values are substantially above normal benchmarks, indicating heavy-tailed return distributions and frequent extreme observations. </w:t>
      </w:r>
      <w:r w:rsidR="00C06B19" w:rsidRPr="00C06B19">
        <w:t xml:space="preserve">This indicates elevated tail risk and a higher likelihood of extreme market events, reinforcing the </w:t>
      </w:r>
      <w:r w:rsidR="00C06B19" w:rsidRPr="00C06B19">
        <w:lastRenderedPageBreak/>
        <w:t xml:space="preserve">importance of </w:t>
      </w:r>
      <w:proofErr w:type="spellStart"/>
      <w:r w:rsidR="00C06B19" w:rsidRPr="00C06B19">
        <w:t>modeling</w:t>
      </w:r>
      <w:proofErr w:type="spellEnd"/>
      <w:r w:rsidR="00C06B19" w:rsidRPr="00C06B19">
        <w:t xml:space="preserve"> cross-sectoral dependence under stress conditions.</w:t>
      </w:r>
      <w:r w:rsidR="00C06B19">
        <w:t xml:space="preserve"> </w:t>
      </w:r>
      <w:r w:rsidRPr="00F6445C">
        <w:t xml:space="preserve">Finally, </w:t>
      </w:r>
      <w:proofErr w:type="spellStart"/>
      <w:r w:rsidRPr="00F6445C">
        <w:t>Ljung</w:t>
      </w:r>
      <w:proofErr w:type="spellEnd"/>
      <w:r w:rsidRPr="00F6445C">
        <w:t>–Box statistics indicate the presence of short-horizon dependence in several sectors, particularly FMCG, Banking, and Energy, motivating the inclusion of lagged own returns in the model specification.</w:t>
      </w:r>
      <w:r w:rsidR="00C06B19">
        <w:t xml:space="preserve"> </w:t>
      </w:r>
    </w:p>
    <w:p w14:paraId="2E1525DC" w14:textId="2E42F1A3" w:rsidR="00762CF9" w:rsidRPr="00F6445C" w:rsidRDefault="00762CF9" w:rsidP="00EE5A42">
      <w:pPr>
        <w:pStyle w:val="NormalWeb"/>
        <w:spacing w:line="360" w:lineRule="auto"/>
        <w:jc w:val="both"/>
        <w:rPr>
          <w:b/>
          <w:bCs/>
        </w:rPr>
      </w:pPr>
      <w:r w:rsidRPr="00F6445C">
        <w:rPr>
          <w:b/>
          <w:bCs/>
        </w:rPr>
        <w:t xml:space="preserve">Naïve co-movement versus residual co-movement </w:t>
      </w:r>
    </w:p>
    <w:p w14:paraId="0CE5172B" w14:textId="77777777" w:rsidR="003B2ADC" w:rsidRPr="00F6445C" w:rsidRDefault="003B2ADC" w:rsidP="003B2ADC">
      <w:pPr>
        <w:pStyle w:val="NormalWeb"/>
        <w:spacing w:line="360" w:lineRule="auto"/>
        <w:jc w:val="both"/>
      </w:pPr>
      <w:r w:rsidRPr="00F6445C">
        <w:t>Table 2A presents the unconditional correlation matrix of sectoral returns. All correlations are positive and moderately high, indicating strong co-movement across sectors. The highest correlations are observed among cyclical sectors such as Auto, Banking, Energy, and Metals, suggesting that these sectors respond similarly to aggregate economic conditions. In contrast, sectors such as IT and Pharma exhibit relatively lower correlations with the rest of the market. However, these unconditional correlations primarily reflect shared exposure to common macroeconomic and market-wide factors rather than true inter-sectoral dependence.</w:t>
      </w:r>
    </w:p>
    <w:p w14:paraId="593CCF2F" w14:textId="1E386125" w:rsidR="003B2ADC" w:rsidRPr="00F6445C" w:rsidRDefault="003B2ADC" w:rsidP="00EE5A42">
      <w:pPr>
        <w:pStyle w:val="NormalWeb"/>
        <w:spacing w:line="360" w:lineRule="auto"/>
        <w:jc w:val="both"/>
        <w:rPr>
          <w:bCs/>
        </w:rPr>
      </w:pPr>
      <w:r w:rsidRPr="00F6445C">
        <w:t xml:space="preserve">Table 2B reports the correlation matrix of OLS residuals after controlling for lagged own returns and macro-financial factors. Compared to raw correlations, residual correlations remain positive and substantial across most sector pairs, indicating that a significant degree of contemporaneous co-movement persists even after accounting for observed common drivers. This suggests the presence of latent shared influences or unobserved common shocks affecting multiple sectors simultaneously. Importantly, these residual correlations are interpreted as </w:t>
      </w:r>
      <w:r w:rsidRPr="00F6445C">
        <w:rPr>
          <w:rStyle w:val="Strong"/>
          <w:rFonts w:eastAsiaTheme="majorEastAsia"/>
        </w:rPr>
        <w:t>conditional co-movement rather than structural shock transmission</w:t>
      </w:r>
      <w:r w:rsidRPr="00F6445C">
        <w:t>, as they may reflect both genuine interdependence and the effect of omitted factors not explicitly captured in the model.</w:t>
      </w:r>
    </w:p>
    <w:p w14:paraId="4B5C9B14" w14:textId="5BAB528D" w:rsidR="00D6335F" w:rsidRPr="00F6445C" w:rsidRDefault="00BF6B13" w:rsidP="00EE5A42">
      <w:pPr>
        <w:pStyle w:val="NormalWeb"/>
        <w:spacing w:line="360" w:lineRule="auto"/>
        <w:jc w:val="both"/>
        <w:rPr>
          <w:b/>
          <w:bCs/>
        </w:rPr>
      </w:pPr>
      <w:r w:rsidRPr="00F6445C">
        <w:rPr>
          <w:b/>
          <w:bCs/>
        </w:rPr>
        <w:t>Table 2A:</w:t>
      </w:r>
      <w:r w:rsidR="00D6335F" w:rsidRPr="00F6445C">
        <w:rPr>
          <w:b/>
          <w:bCs/>
        </w:rPr>
        <w:t xml:space="preserve"> Pairwise Correlation Matrix of Daily Sectoral Returns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891"/>
        <w:gridCol w:w="891"/>
        <w:gridCol w:w="974"/>
        <w:gridCol w:w="891"/>
        <w:gridCol w:w="1011"/>
        <w:gridCol w:w="901"/>
        <w:gridCol w:w="891"/>
        <w:gridCol w:w="891"/>
      </w:tblGrid>
      <w:tr w:rsidR="00D6335F" w:rsidRPr="00F6445C" w14:paraId="5CBAD3AF" w14:textId="77777777" w:rsidTr="00DB74B0">
        <w:tc>
          <w:tcPr>
            <w:tcW w:w="2410" w:type="dxa"/>
            <w:tcBorders>
              <w:bottom w:val="single" w:sz="4" w:space="0" w:color="auto"/>
            </w:tcBorders>
            <w:hideMark/>
          </w:tcPr>
          <w:p w14:paraId="3AB62C27" w14:textId="77777777" w:rsidR="00D6335F" w:rsidRPr="00F6445C" w:rsidRDefault="00D6335F" w:rsidP="00EE5A42">
            <w:pPr>
              <w:pStyle w:val="NormalWeb"/>
              <w:spacing w:line="360" w:lineRule="auto"/>
              <w:jc w:val="both"/>
              <w:rPr>
                <w:b/>
                <w:bCs/>
              </w:rPr>
            </w:pPr>
            <w:r w:rsidRPr="00F6445C">
              <w:rPr>
                <w:b/>
                <w:bCs/>
              </w:rPr>
              <w:t>Sector</w:t>
            </w:r>
          </w:p>
        </w:tc>
        <w:tc>
          <w:tcPr>
            <w:tcW w:w="502" w:type="dxa"/>
            <w:tcBorders>
              <w:bottom w:val="single" w:sz="4" w:space="0" w:color="auto"/>
            </w:tcBorders>
            <w:hideMark/>
          </w:tcPr>
          <w:p w14:paraId="79C89E7E" w14:textId="77777777" w:rsidR="00D6335F" w:rsidRPr="00F6445C" w:rsidRDefault="00D6335F"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20754F2C" w14:textId="77777777" w:rsidR="00D6335F" w:rsidRPr="00F6445C" w:rsidRDefault="00D6335F"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4F6B0727" w14:textId="77777777" w:rsidR="00D6335F" w:rsidRPr="00F6445C" w:rsidRDefault="00D6335F"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57FE3789" w14:textId="77777777" w:rsidR="00D6335F" w:rsidRPr="00F6445C" w:rsidRDefault="00D6335F"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4EA570D7" w14:textId="77777777" w:rsidR="00D6335F" w:rsidRPr="00F6445C" w:rsidRDefault="00D6335F"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3BE6BB6D" w14:textId="77777777" w:rsidR="00D6335F" w:rsidRPr="00F6445C" w:rsidRDefault="00D6335F"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1DB11DD7" w14:textId="77777777" w:rsidR="00D6335F" w:rsidRPr="00F6445C" w:rsidRDefault="00D6335F" w:rsidP="00EE5A42">
            <w:pPr>
              <w:pStyle w:val="NormalWeb"/>
              <w:spacing w:line="360" w:lineRule="auto"/>
              <w:jc w:val="both"/>
              <w:rPr>
                <w:b/>
                <w:bCs/>
                <w:sz w:val="22"/>
                <w:szCs w:val="22"/>
              </w:rPr>
            </w:pPr>
            <w:r w:rsidRPr="00F6445C">
              <w:rPr>
                <w:b/>
                <w:bCs/>
                <w:sz w:val="22"/>
                <w:szCs w:val="22"/>
              </w:rPr>
              <w:t>Metal</w:t>
            </w:r>
          </w:p>
        </w:tc>
        <w:tc>
          <w:tcPr>
            <w:tcW w:w="0" w:type="auto"/>
            <w:tcBorders>
              <w:bottom w:val="single" w:sz="4" w:space="0" w:color="auto"/>
            </w:tcBorders>
            <w:hideMark/>
          </w:tcPr>
          <w:p w14:paraId="2ED28165" w14:textId="77777777" w:rsidR="00D6335F" w:rsidRPr="00F6445C" w:rsidRDefault="00D6335F" w:rsidP="00EE5A42">
            <w:pPr>
              <w:pStyle w:val="NormalWeb"/>
              <w:spacing w:line="360" w:lineRule="auto"/>
              <w:jc w:val="both"/>
              <w:rPr>
                <w:b/>
                <w:bCs/>
                <w:sz w:val="22"/>
                <w:szCs w:val="22"/>
              </w:rPr>
            </w:pPr>
            <w:r w:rsidRPr="00F6445C">
              <w:rPr>
                <w:b/>
                <w:bCs/>
                <w:sz w:val="22"/>
                <w:szCs w:val="22"/>
              </w:rPr>
              <w:t>Realty</w:t>
            </w:r>
          </w:p>
        </w:tc>
      </w:tr>
      <w:tr w:rsidR="00DB74B0" w:rsidRPr="00F6445C" w14:paraId="2706FD73" w14:textId="77777777" w:rsidTr="00DB74B0">
        <w:tc>
          <w:tcPr>
            <w:tcW w:w="2410" w:type="dxa"/>
            <w:tcBorders>
              <w:top w:val="single" w:sz="4" w:space="0" w:color="auto"/>
            </w:tcBorders>
            <w:hideMark/>
          </w:tcPr>
          <w:p w14:paraId="0657D22B" w14:textId="77777777" w:rsidR="00DB74B0" w:rsidRPr="00F6445C" w:rsidRDefault="00DB74B0" w:rsidP="00DB74B0">
            <w:pPr>
              <w:pStyle w:val="NormalWeb"/>
              <w:spacing w:line="360" w:lineRule="auto"/>
              <w:jc w:val="both"/>
              <w:rPr>
                <w:b/>
                <w:bCs/>
                <w:sz w:val="18"/>
                <w:szCs w:val="18"/>
              </w:rPr>
            </w:pPr>
            <w:r w:rsidRPr="00F6445C">
              <w:rPr>
                <w:b/>
                <w:bCs/>
                <w:sz w:val="18"/>
                <w:szCs w:val="18"/>
              </w:rPr>
              <w:t>Information Technology (IT)</w:t>
            </w:r>
          </w:p>
        </w:tc>
        <w:tc>
          <w:tcPr>
            <w:tcW w:w="502" w:type="dxa"/>
            <w:tcBorders>
              <w:top w:val="single" w:sz="4" w:space="0" w:color="auto"/>
            </w:tcBorders>
            <w:hideMark/>
          </w:tcPr>
          <w:p w14:paraId="72267D2E" w14:textId="09FC6A6E"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499D4B71" w14:textId="0FFDB48E"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tcBorders>
              <w:top w:val="single" w:sz="4" w:space="0" w:color="auto"/>
            </w:tcBorders>
            <w:hideMark/>
          </w:tcPr>
          <w:p w14:paraId="32640019" w14:textId="296F3E1B"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tcBorders>
              <w:top w:val="single" w:sz="4" w:space="0" w:color="auto"/>
            </w:tcBorders>
            <w:hideMark/>
          </w:tcPr>
          <w:p w14:paraId="416494F3" w14:textId="5D5ED13C"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tcBorders>
              <w:top w:val="single" w:sz="4" w:space="0" w:color="auto"/>
            </w:tcBorders>
            <w:hideMark/>
          </w:tcPr>
          <w:p w14:paraId="4AB30E43" w14:textId="6FE8656F"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tcBorders>
              <w:top w:val="single" w:sz="4" w:space="0" w:color="auto"/>
            </w:tcBorders>
            <w:hideMark/>
          </w:tcPr>
          <w:p w14:paraId="5236EDF7" w14:textId="24EAFFF3"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tcBorders>
              <w:top w:val="single" w:sz="4" w:space="0" w:color="auto"/>
            </w:tcBorders>
            <w:hideMark/>
          </w:tcPr>
          <w:p w14:paraId="2053FD77" w14:textId="039E4C12"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tcBorders>
              <w:top w:val="single" w:sz="4" w:space="0" w:color="auto"/>
            </w:tcBorders>
            <w:hideMark/>
          </w:tcPr>
          <w:p w14:paraId="512F84D0" w14:textId="23BEB327" w:rsidR="00DB74B0" w:rsidRPr="00F6445C" w:rsidRDefault="00DB74B0" w:rsidP="00DB74B0">
            <w:pPr>
              <w:pStyle w:val="NormalWeb"/>
              <w:spacing w:line="360" w:lineRule="auto"/>
              <w:jc w:val="both"/>
              <w:rPr>
                <w:sz w:val="18"/>
                <w:szCs w:val="18"/>
              </w:rPr>
            </w:pPr>
            <w:r w:rsidRPr="00F6445C">
              <w:rPr>
                <w:sz w:val="18"/>
                <w:szCs w:val="18"/>
              </w:rPr>
              <w:t>0.423330</w:t>
            </w:r>
          </w:p>
        </w:tc>
      </w:tr>
      <w:tr w:rsidR="00DB74B0" w:rsidRPr="00F6445C" w14:paraId="6E62A1B8" w14:textId="77777777" w:rsidTr="00DB74B0">
        <w:tc>
          <w:tcPr>
            <w:tcW w:w="2410" w:type="dxa"/>
            <w:hideMark/>
          </w:tcPr>
          <w:p w14:paraId="5235EF1B" w14:textId="77777777" w:rsidR="00DB74B0" w:rsidRPr="00F6445C" w:rsidRDefault="00DB74B0" w:rsidP="00DB74B0">
            <w:pPr>
              <w:pStyle w:val="NormalWeb"/>
              <w:spacing w:line="360" w:lineRule="auto"/>
              <w:jc w:val="both"/>
              <w:rPr>
                <w:b/>
                <w:bCs/>
                <w:sz w:val="18"/>
                <w:szCs w:val="18"/>
              </w:rPr>
            </w:pPr>
            <w:r w:rsidRPr="00F6445C">
              <w:rPr>
                <w:b/>
                <w:bCs/>
                <w:sz w:val="18"/>
                <w:szCs w:val="18"/>
              </w:rPr>
              <w:t>Fast-Moving Consumer Goods (FMCG)</w:t>
            </w:r>
          </w:p>
        </w:tc>
        <w:tc>
          <w:tcPr>
            <w:tcW w:w="502" w:type="dxa"/>
            <w:hideMark/>
          </w:tcPr>
          <w:p w14:paraId="7A22BFD6" w14:textId="19BBD1BC" w:rsidR="00DB74B0" w:rsidRPr="00F6445C" w:rsidRDefault="00DB74B0" w:rsidP="00DB74B0">
            <w:pPr>
              <w:pStyle w:val="NormalWeb"/>
              <w:spacing w:line="360" w:lineRule="auto"/>
              <w:jc w:val="both"/>
              <w:rPr>
                <w:sz w:val="18"/>
                <w:szCs w:val="18"/>
              </w:rPr>
            </w:pPr>
            <w:r w:rsidRPr="00F6445C">
              <w:rPr>
                <w:sz w:val="18"/>
                <w:szCs w:val="18"/>
              </w:rPr>
              <w:t>0.482001</w:t>
            </w:r>
          </w:p>
        </w:tc>
        <w:tc>
          <w:tcPr>
            <w:tcW w:w="0" w:type="auto"/>
            <w:hideMark/>
          </w:tcPr>
          <w:p w14:paraId="22267D90" w14:textId="5B4866E8"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9ABCADD" w14:textId="4545BAF4"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0E925A0D" w14:textId="73DA63A2"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F956F6E" w14:textId="0ACFDD95"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42E0861C" w14:textId="0236659C"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A85AE06" w14:textId="14BF19B6"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3571EB74" w14:textId="7024179C" w:rsidR="00DB74B0" w:rsidRPr="00F6445C" w:rsidRDefault="00DB74B0" w:rsidP="00DB74B0">
            <w:pPr>
              <w:pStyle w:val="NormalWeb"/>
              <w:spacing w:line="360" w:lineRule="auto"/>
              <w:jc w:val="both"/>
              <w:rPr>
                <w:sz w:val="18"/>
                <w:szCs w:val="18"/>
              </w:rPr>
            </w:pPr>
            <w:r w:rsidRPr="00F6445C">
              <w:rPr>
                <w:sz w:val="18"/>
                <w:szCs w:val="18"/>
              </w:rPr>
              <w:t>0.481974</w:t>
            </w:r>
          </w:p>
        </w:tc>
      </w:tr>
      <w:tr w:rsidR="00DB74B0" w:rsidRPr="00F6445C" w14:paraId="7992B78A" w14:textId="77777777" w:rsidTr="00DB74B0">
        <w:tc>
          <w:tcPr>
            <w:tcW w:w="2410" w:type="dxa"/>
            <w:hideMark/>
          </w:tcPr>
          <w:p w14:paraId="58E31537" w14:textId="77777777" w:rsidR="00DB74B0" w:rsidRPr="00F6445C" w:rsidRDefault="00DB74B0" w:rsidP="00DB74B0">
            <w:pPr>
              <w:pStyle w:val="NormalWeb"/>
              <w:spacing w:line="360" w:lineRule="auto"/>
              <w:jc w:val="both"/>
              <w:rPr>
                <w:b/>
                <w:bCs/>
                <w:sz w:val="18"/>
                <w:szCs w:val="18"/>
              </w:rPr>
            </w:pPr>
            <w:r w:rsidRPr="00F6445C">
              <w:rPr>
                <w:b/>
                <w:bCs/>
                <w:sz w:val="18"/>
                <w:szCs w:val="18"/>
              </w:rPr>
              <w:t>Pharmaceuticals (Pharma)</w:t>
            </w:r>
          </w:p>
        </w:tc>
        <w:tc>
          <w:tcPr>
            <w:tcW w:w="502" w:type="dxa"/>
            <w:hideMark/>
          </w:tcPr>
          <w:p w14:paraId="1AB1C51C" w14:textId="35F6C012" w:rsidR="00DB74B0" w:rsidRPr="00F6445C" w:rsidRDefault="00DB74B0" w:rsidP="00DB74B0">
            <w:pPr>
              <w:pStyle w:val="NormalWeb"/>
              <w:spacing w:line="360" w:lineRule="auto"/>
              <w:jc w:val="both"/>
              <w:rPr>
                <w:sz w:val="18"/>
                <w:szCs w:val="18"/>
              </w:rPr>
            </w:pPr>
            <w:r w:rsidRPr="00F6445C">
              <w:rPr>
                <w:sz w:val="18"/>
                <w:szCs w:val="18"/>
              </w:rPr>
              <w:t>0.446486</w:t>
            </w:r>
          </w:p>
        </w:tc>
        <w:tc>
          <w:tcPr>
            <w:tcW w:w="0" w:type="auto"/>
            <w:hideMark/>
          </w:tcPr>
          <w:p w14:paraId="30E38CC1" w14:textId="084B1F52" w:rsidR="00DB74B0" w:rsidRPr="00F6445C" w:rsidRDefault="00DB74B0" w:rsidP="00DB74B0">
            <w:pPr>
              <w:pStyle w:val="NormalWeb"/>
              <w:spacing w:line="360" w:lineRule="auto"/>
              <w:jc w:val="both"/>
              <w:rPr>
                <w:sz w:val="18"/>
                <w:szCs w:val="18"/>
              </w:rPr>
            </w:pPr>
            <w:r w:rsidRPr="00F6445C">
              <w:rPr>
                <w:sz w:val="18"/>
                <w:szCs w:val="18"/>
              </w:rPr>
              <w:t>0.507331</w:t>
            </w:r>
          </w:p>
        </w:tc>
        <w:tc>
          <w:tcPr>
            <w:tcW w:w="0" w:type="auto"/>
            <w:hideMark/>
          </w:tcPr>
          <w:p w14:paraId="249B89D4" w14:textId="426C2451"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7E0348F4" w14:textId="7FE7E9E2"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5F12A8A8" w14:textId="6B3C785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69DD2426" w14:textId="49A32D15"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63C0ADF4" w14:textId="2D8CD4D8"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71DE55E9" w14:textId="15297FB3" w:rsidR="00DB74B0" w:rsidRPr="00F6445C" w:rsidRDefault="00DB74B0" w:rsidP="00DB74B0">
            <w:pPr>
              <w:pStyle w:val="NormalWeb"/>
              <w:spacing w:line="360" w:lineRule="auto"/>
              <w:jc w:val="both"/>
              <w:rPr>
                <w:sz w:val="18"/>
                <w:szCs w:val="18"/>
              </w:rPr>
            </w:pPr>
            <w:r w:rsidRPr="00F6445C">
              <w:rPr>
                <w:sz w:val="18"/>
                <w:szCs w:val="18"/>
              </w:rPr>
              <w:t>0.451326</w:t>
            </w:r>
          </w:p>
        </w:tc>
      </w:tr>
      <w:tr w:rsidR="00DB74B0" w:rsidRPr="00F6445C" w14:paraId="52318EF9" w14:textId="77777777" w:rsidTr="00DB74B0">
        <w:tc>
          <w:tcPr>
            <w:tcW w:w="2410" w:type="dxa"/>
            <w:hideMark/>
          </w:tcPr>
          <w:p w14:paraId="0C98188E" w14:textId="77777777" w:rsidR="00DB74B0" w:rsidRPr="00F6445C" w:rsidRDefault="00DB74B0" w:rsidP="00DB74B0">
            <w:pPr>
              <w:pStyle w:val="NormalWeb"/>
              <w:spacing w:line="360" w:lineRule="auto"/>
              <w:jc w:val="both"/>
              <w:rPr>
                <w:b/>
                <w:bCs/>
                <w:sz w:val="18"/>
                <w:szCs w:val="18"/>
              </w:rPr>
            </w:pPr>
            <w:r w:rsidRPr="00F6445C">
              <w:rPr>
                <w:b/>
                <w:bCs/>
                <w:sz w:val="18"/>
                <w:szCs w:val="18"/>
              </w:rPr>
              <w:t>Automobiles (Auto)</w:t>
            </w:r>
          </w:p>
        </w:tc>
        <w:tc>
          <w:tcPr>
            <w:tcW w:w="502" w:type="dxa"/>
            <w:hideMark/>
          </w:tcPr>
          <w:p w14:paraId="41F2B6F5" w14:textId="57922D37" w:rsidR="00DB74B0" w:rsidRPr="00F6445C" w:rsidRDefault="00DB74B0" w:rsidP="00DB74B0">
            <w:pPr>
              <w:pStyle w:val="NormalWeb"/>
              <w:spacing w:line="360" w:lineRule="auto"/>
              <w:jc w:val="both"/>
              <w:rPr>
                <w:sz w:val="18"/>
                <w:szCs w:val="18"/>
              </w:rPr>
            </w:pPr>
            <w:r w:rsidRPr="00F6445C">
              <w:rPr>
                <w:sz w:val="18"/>
                <w:szCs w:val="18"/>
              </w:rPr>
              <w:t>0.495534</w:t>
            </w:r>
          </w:p>
        </w:tc>
        <w:tc>
          <w:tcPr>
            <w:tcW w:w="0" w:type="auto"/>
            <w:hideMark/>
          </w:tcPr>
          <w:p w14:paraId="1761B7C3" w14:textId="5577205A" w:rsidR="00DB74B0" w:rsidRPr="00F6445C" w:rsidRDefault="00DB74B0" w:rsidP="00DB74B0">
            <w:pPr>
              <w:pStyle w:val="NormalWeb"/>
              <w:spacing w:line="360" w:lineRule="auto"/>
              <w:jc w:val="both"/>
              <w:rPr>
                <w:sz w:val="18"/>
                <w:szCs w:val="18"/>
              </w:rPr>
            </w:pPr>
            <w:r w:rsidRPr="00F6445C">
              <w:rPr>
                <w:sz w:val="18"/>
                <w:szCs w:val="18"/>
              </w:rPr>
              <w:t>0.567409</w:t>
            </w:r>
          </w:p>
        </w:tc>
        <w:tc>
          <w:tcPr>
            <w:tcW w:w="0" w:type="auto"/>
            <w:hideMark/>
          </w:tcPr>
          <w:p w14:paraId="1AD376C1" w14:textId="4DC087D9" w:rsidR="00DB74B0" w:rsidRPr="00F6445C" w:rsidRDefault="00DB74B0" w:rsidP="00DB74B0">
            <w:pPr>
              <w:pStyle w:val="NormalWeb"/>
              <w:spacing w:line="360" w:lineRule="auto"/>
              <w:jc w:val="both"/>
              <w:rPr>
                <w:sz w:val="18"/>
                <w:szCs w:val="18"/>
              </w:rPr>
            </w:pPr>
            <w:r w:rsidRPr="00F6445C">
              <w:rPr>
                <w:sz w:val="18"/>
                <w:szCs w:val="18"/>
              </w:rPr>
              <w:t>0.488457</w:t>
            </w:r>
          </w:p>
        </w:tc>
        <w:tc>
          <w:tcPr>
            <w:tcW w:w="0" w:type="auto"/>
            <w:hideMark/>
          </w:tcPr>
          <w:p w14:paraId="3D7F8575" w14:textId="220B5EE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02FADF2" w14:textId="3C0AFB68"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203111F4" w14:textId="32C14159"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158A8CD8" w14:textId="5A30FC8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7F49EDB7" w14:textId="54E4F4E8" w:rsidR="00DB74B0" w:rsidRPr="00F6445C" w:rsidRDefault="00DB74B0" w:rsidP="00DB74B0">
            <w:pPr>
              <w:pStyle w:val="NormalWeb"/>
              <w:spacing w:line="360" w:lineRule="auto"/>
              <w:jc w:val="both"/>
              <w:rPr>
                <w:sz w:val="18"/>
                <w:szCs w:val="18"/>
              </w:rPr>
            </w:pPr>
            <w:r w:rsidRPr="00F6445C">
              <w:rPr>
                <w:sz w:val="18"/>
                <w:szCs w:val="18"/>
              </w:rPr>
              <w:t>0.660287</w:t>
            </w:r>
          </w:p>
        </w:tc>
      </w:tr>
      <w:tr w:rsidR="00DB74B0" w:rsidRPr="00F6445C" w14:paraId="1B1CAFAD" w14:textId="77777777" w:rsidTr="00DB74B0">
        <w:tc>
          <w:tcPr>
            <w:tcW w:w="2410" w:type="dxa"/>
            <w:hideMark/>
          </w:tcPr>
          <w:p w14:paraId="5246CC49" w14:textId="77777777" w:rsidR="00DB74B0" w:rsidRPr="00F6445C" w:rsidRDefault="00DB74B0" w:rsidP="00DB74B0">
            <w:pPr>
              <w:pStyle w:val="NormalWeb"/>
              <w:spacing w:line="360" w:lineRule="auto"/>
              <w:jc w:val="both"/>
              <w:rPr>
                <w:b/>
                <w:bCs/>
                <w:sz w:val="18"/>
                <w:szCs w:val="18"/>
              </w:rPr>
            </w:pPr>
            <w:r w:rsidRPr="00F6445C">
              <w:rPr>
                <w:b/>
                <w:bCs/>
                <w:sz w:val="18"/>
                <w:szCs w:val="18"/>
              </w:rPr>
              <w:t>Banking (Bank)</w:t>
            </w:r>
          </w:p>
        </w:tc>
        <w:tc>
          <w:tcPr>
            <w:tcW w:w="502" w:type="dxa"/>
            <w:hideMark/>
          </w:tcPr>
          <w:p w14:paraId="0117E098" w14:textId="48ADF173" w:rsidR="00DB74B0" w:rsidRPr="00F6445C" w:rsidRDefault="00DB74B0" w:rsidP="00DB74B0">
            <w:pPr>
              <w:pStyle w:val="NormalWeb"/>
              <w:spacing w:line="360" w:lineRule="auto"/>
              <w:jc w:val="both"/>
              <w:rPr>
                <w:sz w:val="18"/>
                <w:szCs w:val="18"/>
              </w:rPr>
            </w:pPr>
            <w:r w:rsidRPr="00F6445C">
              <w:rPr>
                <w:sz w:val="18"/>
                <w:szCs w:val="18"/>
              </w:rPr>
              <w:t>0.451574</w:t>
            </w:r>
          </w:p>
        </w:tc>
        <w:tc>
          <w:tcPr>
            <w:tcW w:w="0" w:type="auto"/>
            <w:hideMark/>
          </w:tcPr>
          <w:p w14:paraId="0C0FD30E" w14:textId="391C3D23" w:rsidR="00DB74B0" w:rsidRPr="00F6445C" w:rsidRDefault="00DB74B0" w:rsidP="00DB74B0">
            <w:pPr>
              <w:pStyle w:val="NormalWeb"/>
              <w:spacing w:line="360" w:lineRule="auto"/>
              <w:jc w:val="both"/>
              <w:rPr>
                <w:sz w:val="18"/>
                <w:szCs w:val="18"/>
              </w:rPr>
            </w:pPr>
            <w:r w:rsidRPr="00F6445C">
              <w:rPr>
                <w:sz w:val="18"/>
                <w:szCs w:val="18"/>
              </w:rPr>
              <w:t>0.516190</w:t>
            </w:r>
          </w:p>
        </w:tc>
        <w:tc>
          <w:tcPr>
            <w:tcW w:w="0" w:type="auto"/>
            <w:hideMark/>
          </w:tcPr>
          <w:p w14:paraId="56207D87" w14:textId="523D847C" w:rsidR="00DB74B0" w:rsidRPr="00F6445C" w:rsidRDefault="00DB74B0" w:rsidP="00DB74B0">
            <w:pPr>
              <w:pStyle w:val="NormalWeb"/>
              <w:spacing w:line="360" w:lineRule="auto"/>
              <w:jc w:val="both"/>
              <w:rPr>
                <w:sz w:val="18"/>
                <w:szCs w:val="18"/>
              </w:rPr>
            </w:pPr>
            <w:r w:rsidRPr="00F6445C">
              <w:rPr>
                <w:sz w:val="18"/>
                <w:szCs w:val="18"/>
              </w:rPr>
              <w:t>0.379344</w:t>
            </w:r>
          </w:p>
        </w:tc>
        <w:tc>
          <w:tcPr>
            <w:tcW w:w="0" w:type="auto"/>
            <w:hideMark/>
          </w:tcPr>
          <w:p w14:paraId="377C8749" w14:textId="178EFD12" w:rsidR="00DB74B0" w:rsidRPr="00F6445C" w:rsidRDefault="00DB74B0" w:rsidP="00DB74B0">
            <w:pPr>
              <w:pStyle w:val="NormalWeb"/>
              <w:spacing w:line="360" w:lineRule="auto"/>
              <w:jc w:val="both"/>
              <w:rPr>
                <w:sz w:val="18"/>
                <w:szCs w:val="18"/>
              </w:rPr>
            </w:pPr>
            <w:r w:rsidRPr="00F6445C">
              <w:rPr>
                <w:sz w:val="18"/>
                <w:szCs w:val="18"/>
              </w:rPr>
              <w:t>0.693289</w:t>
            </w:r>
          </w:p>
        </w:tc>
        <w:tc>
          <w:tcPr>
            <w:tcW w:w="0" w:type="auto"/>
            <w:hideMark/>
          </w:tcPr>
          <w:p w14:paraId="3F5ED895" w14:textId="100A2DC3"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34A79689" w14:textId="5F7E128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1C46C769" w14:textId="45328A75"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625CBF1D" w14:textId="13933D63" w:rsidR="00DB74B0" w:rsidRPr="00F6445C" w:rsidRDefault="00DB74B0" w:rsidP="00DB74B0">
            <w:pPr>
              <w:pStyle w:val="NormalWeb"/>
              <w:spacing w:line="360" w:lineRule="auto"/>
              <w:jc w:val="both"/>
              <w:rPr>
                <w:sz w:val="18"/>
                <w:szCs w:val="18"/>
              </w:rPr>
            </w:pPr>
            <w:r w:rsidRPr="00F6445C">
              <w:rPr>
                <w:sz w:val="18"/>
                <w:szCs w:val="18"/>
              </w:rPr>
              <w:t>0.640507</w:t>
            </w:r>
          </w:p>
        </w:tc>
      </w:tr>
      <w:tr w:rsidR="00DB74B0" w:rsidRPr="00F6445C" w14:paraId="2D8DB85E" w14:textId="77777777" w:rsidTr="00DB74B0">
        <w:tc>
          <w:tcPr>
            <w:tcW w:w="2410" w:type="dxa"/>
            <w:hideMark/>
          </w:tcPr>
          <w:p w14:paraId="368C4828" w14:textId="77777777" w:rsidR="00DB74B0" w:rsidRPr="00F6445C" w:rsidRDefault="00DB74B0" w:rsidP="00DB74B0">
            <w:pPr>
              <w:pStyle w:val="NormalWeb"/>
              <w:spacing w:line="360" w:lineRule="auto"/>
              <w:jc w:val="both"/>
              <w:rPr>
                <w:b/>
                <w:bCs/>
                <w:sz w:val="18"/>
                <w:szCs w:val="18"/>
              </w:rPr>
            </w:pPr>
            <w:r w:rsidRPr="00F6445C">
              <w:rPr>
                <w:b/>
                <w:bCs/>
                <w:sz w:val="18"/>
                <w:szCs w:val="18"/>
              </w:rPr>
              <w:lastRenderedPageBreak/>
              <w:t>Energy</w:t>
            </w:r>
          </w:p>
        </w:tc>
        <w:tc>
          <w:tcPr>
            <w:tcW w:w="502" w:type="dxa"/>
            <w:hideMark/>
          </w:tcPr>
          <w:p w14:paraId="3EB8E4DF" w14:textId="208885AE" w:rsidR="00DB74B0" w:rsidRPr="00F6445C" w:rsidRDefault="00DB74B0" w:rsidP="00DB74B0">
            <w:pPr>
              <w:pStyle w:val="NormalWeb"/>
              <w:spacing w:line="360" w:lineRule="auto"/>
              <w:jc w:val="both"/>
              <w:rPr>
                <w:sz w:val="18"/>
                <w:szCs w:val="18"/>
              </w:rPr>
            </w:pPr>
            <w:r w:rsidRPr="00F6445C">
              <w:rPr>
                <w:sz w:val="18"/>
                <w:szCs w:val="18"/>
              </w:rPr>
              <w:t>0.440372</w:t>
            </w:r>
          </w:p>
        </w:tc>
        <w:tc>
          <w:tcPr>
            <w:tcW w:w="0" w:type="auto"/>
            <w:hideMark/>
          </w:tcPr>
          <w:p w14:paraId="56311DA5" w14:textId="4E9A37B7" w:rsidR="00DB74B0" w:rsidRPr="00F6445C" w:rsidRDefault="00DB74B0" w:rsidP="00DB74B0">
            <w:pPr>
              <w:pStyle w:val="NormalWeb"/>
              <w:spacing w:line="360" w:lineRule="auto"/>
              <w:jc w:val="both"/>
              <w:rPr>
                <w:sz w:val="18"/>
                <w:szCs w:val="18"/>
              </w:rPr>
            </w:pPr>
            <w:r w:rsidRPr="00F6445C">
              <w:rPr>
                <w:sz w:val="18"/>
                <w:szCs w:val="18"/>
              </w:rPr>
              <w:t>0.507025</w:t>
            </w:r>
          </w:p>
        </w:tc>
        <w:tc>
          <w:tcPr>
            <w:tcW w:w="0" w:type="auto"/>
            <w:hideMark/>
          </w:tcPr>
          <w:p w14:paraId="354B2C97" w14:textId="0E1C54F9" w:rsidR="00DB74B0" w:rsidRPr="00F6445C" w:rsidRDefault="00DB74B0" w:rsidP="00DB74B0">
            <w:pPr>
              <w:pStyle w:val="NormalWeb"/>
              <w:spacing w:line="360" w:lineRule="auto"/>
              <w:jc w:val="both"/>
              <w:rPr>
                <w:sz w:val="18"/>
                <w:szCs w:val="18"/>
              </w:rPr>
            </w:pPr>
            <w:r w:rsidRPr="00F6445C">
              <w:rPr>
                <w:sz w:val="18"/>
                <w:szCs w:val="18"/>
              </w:rPr>
              <w:t>0.483439</w:t>
            </w:r>
          </w:p>
        </w:tc>
        <w:tc>
          <w:tcPr>
            <w:tcW w:w="0" w:type="auto"/>
            <w:hideMark/>
          </w:tcPr>
          <w:p w14:paraId="1FFA7B0B" w14:textId="139107AE" w:rsidR="00DB74B0" w:rsidRPr="00F6445C" w:rsidRDefault="00DB74B0" w:rsidP="00DB74B0">
            <w:pPr>
              <w:pStyle w:val="NormalWeb"/>
              <w:spacing w:line="360" w:lineRule="auto"/>
              <w:jc w:val="both"/>
              <w:rPr>
                <w:sz w:val="18"/>
                <w:szCs w:val="18"/>
              </w:rPr>
            </w:pPr>
            <w:r w:rsidRPr="00F6445C">
              <w:rPr>
                <w:sz w:val="18"/>
                <w:szCs w:val="18"/>
              </w:rPr>
              <w:t>0.649973</w:t>
            </w:r>
          </w:p>
        </w:tc>
        <w:tc>
          <w:tcPr>
            <w:tcW w:w="0" w:type="auto"/>
            <w:hideMark/>
          </w:tcPr>
          <w:p w14:paraId="674F14D5" w14:textId="62909443" w:rsidR="00DB74B0" w:rsidRPr="00F6445C" w:rsidRDefault="00DB74B0" w:rsidP="00DB74B0">
            <w:pPr>
              <w:pStyle w:val="NormalWeb"/>
              <w:spacing w:line="360" w:lineRule="auto"/>
              <w:jc w:val="both"/>
              <w:rPr>
                <w:sz w:val="18"/>
                <w:szCs w:val="18"/>
              </w:rPr>
            </w:pPr>
            <w:r w:rsidRPr="00F6445C">
              <w:rPr>
                <w:sz w:val="18"/>
                <w:szCs w:val="18"/>
              </w:rPr>
              <w:t>0.630519</w:t>
            </w:r>
          </w:p>
        </w:tc>
        <w:tc>
          <w:tcPr>
            <w:tcW w:w="0" w:type="auto"/>
            <w:hideMark/>
          </w:tcPr>
          <w:p w14:paraId="5FDF264A" w14:textId="6749644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ECCC8D7" w14:textId="3799BD7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61419F6B" w14:textId="23723AB2" w:rsidR="00DB74B0" w:rsidRPr="00F6445C" w:rsidRDefault="00DB74B0" w:rsidP="00DB74B0">
            <w:pPr>
              <w:pStyle w:val="NormalWeb"/>
              <w:spacing w:line="360" w:lineRule="auto"/>
              <w:jc w:val="both"/>
              <w:rPr>
                <w:sz w:val="18"/>
                <w:szCs w:val="18"/>
              </w:rPr>
            </w:pPr>
            <w:r w:rsidRPr="00F6445C">
              <w:rPr>
                <w:sz w:val="18"/>
                <w:szCs w:val="18"/>
              </w:rPr>
              <w:t>0.624870</w:t>
            </w:r>
          </w:p>
        </w:tc>
      </w:tr>
      <w:tr w:rsidR="00DB74B0" w:rsidRPr="00F6445C" w14:paraId="1F099717" w14:textId="77777777" w:rsidTr="00DB74B0">
        <w:tc>
          <w:tcPr>
            <w:tcW w:w="2410" w:type="dxa"/>
            <w:hideMark/>
          </w:tcPr>
          <w:p w14:paraId="30E6C897" w14:textId="77777777" w:rsidR="00DB74B0" w:rsidRPr="00F6445C" w:rsidRDefault="00DB74B0" w:rsidP="00DB74B0">
            <w:pPr>
              <w:pStyle w:val="NormalWeb"/>
              <w:spacing w:line="360" w:lineRule="auto"/>
              <w:jc w:val="both"/>
              <w:rPr>
                <w:b/>
                <w:bCs/>
                <w:sz w:val="18"/>
                <w:szCs w:val="18"/>
              </w:rPr>
            </w:pPr>
            <w:r w:rsidRPr="00F6445C">
              <w:rPr>
                <w:b/>
                <w:bCs/>
                <w:sz w:val="18"/>
                <w:szCs w:val="18"/>
              </w:rPr>
              <w:t>Metals</w:t>
            </w:r>
          </w:p>
        </w:tc>
        <w:tc>
          <w:tcPr>
            <w:tcW w:w="502" w:type="dxa"/>
            <w:hideMark/>
          </w:tcPr>
          <w:p w14:paraId="20AA058D" w14:textId="40669DA5" w:rsidR="00DB74B0" w:rsidRPr="00F6445C" w:rsidRDefault="00DB74B0" w:rsidP="00DB74B0">
            <w:pPr>
              <w:pStyle w:val="NormalWeb"/>
              <w:spacing w:line="360" w:lineRule="auto"/>
              <w:jc w:val="both"/>
              <w:rPr>
                <w:sz w:val="18"/>
                <w:szCs w:val="18"/>
              </w:rPr>
            </w:pPr>
            <w:r w:rsidRPr="00F6445C">
              <w:rPr>
                <w:sz w:val="18"/>
                <w:szCs w:val="18"/>
              </w:rPr>
              <w:t>0.469804</w:t>
            </w:r>
          </w:p>
        </w:tc>
        <w:tc>
          <w:tcPr>
            <w:tcW w:w="0" w:type="auto"/>
            <w:hideMark/>
          </w:tcPr>
          <w:p w14:paraId="35A3AAA5" w14:textId="037EDAEA" w:rsidR="00DB74B0" w:rsidRPr="00F6445C" w:rsidRDefault="00DB74B0" w:rsidP="00DB74B0">
            <w:pPr>
              <w:pStyle w:val="NormalWeb"/>
              <w:spacing w:line="360" w:lineRule="auto"/>
              <w:jc w:val="both"/>
              <w:rPr>
                <w:sz w:val="18"/>
                <w:szCs w:val="18"/>
              </w:rPr>
            </w:pPr>
            <w:r w:rsidRPr="00F6445C">
              <w:rPr>
                <w:sz w:val="18"/>
                <w:szCs w:val="18"/>
              </w:rPr>
              <w:t>0.446774</w:t>
            </w:r>
          </w:p>
        </w:tc>
        <w:tc>
          <w:tcPr>
            <w:tcW w:w="0" w:type="auto"/>
            <w:hideMark/>
          </w:tcPr>
          <w:p w14:paraId="62D64D29" w14:textId="1F58F67F" w:rsidR="00DB74B0" w:rsidRPr="00F6445C" w:rsidRDefault="00DB74B0" w:rsidP="00DB74B0">
            <w:pPr>
              <w:pStyle w:val="NormalWeb"/>
              <w:spacing w:line="360" w:lineRule="auto"/>
              <w:jc w:val="both"/>
              <w:rPr>
                <w:sz w:val="18"/>
                <w:szCs w:val="18"/>
              </w:rPr>
            </w:pPr>
            <w:r w:rsidRPr="00F6445C">
              <w:rPr>
                <w:sz w:val="18"/>
                <w:szCs w:val="18"/>
              </w:rPr>
              <w:t>0.489170</w:t>
            </w:r>
          </w:p>
        </w:tc>
        <w:tc>
          <w:tcPr>
            <w:tcW w:w="0" w:type="auto"/>
            <w:hideMark/>
          </w:tcPr>
          <w:p w14:paraId="525B1A33" w14:textId="00E16255" w:rsidR="00DB74B0" w:rsidRPr="00F6445C" w:rsidRDefault="00DB74B0" w:rsidP="00DB74B0">
            <w:pPr>
              <w:pStyle w:val="NormalWeb"/>
              <w:spacing w:line="360" w:lineRule="auto"/>
              <w:jc w:val="both"/>
              <w:rPr>
                <w:sz w:val="18"/>
                <w:szCs w:val="18"/>
              </w:rPr>
            </w:pPr>
            <w:r w:rsidRPr="00F6445C">
              <w:rPr>
                <w:sz w:val="18"/>
                <w:szCs w:val="18"/>
              </w:rPr>
              <w:t>0.638204</w:t>
            </w:r>
          </w:p>
        </w:tc>
        <w:tc>
          <w:tcPr>
            <w:tcW w:w="0" w:type="auto"/>
            <w:hideMark/>
          </w:tcPr>
          <w:p w14:paraId="0C08FD7B" w14:textId="6B9BF582" w:rsidR="00DB74B0" w:rsidRPr="00F6445C" w:rsidRDefault="00DB74B0" w:rsidP="00DB74B0">
            <w:pPr>
              <w:pStyle w:val="NormalWeb"/>
              <w:spacing w:line="360" w:lineRule="auto"/>
              <w:jc w:val="both"/>
              <w:rPr>
                <w:sz w:val="18"/>
                <w:szCs w:val="18"/>
              </w:rPr>
            </w:pPr>
            <w:r w:rsidRPr="00F6445C">
              <w:rPr>
                <w:sz w:val="18"/>
                <w:szCs w:val="18"/>
              </w:rPr>
              <w:t>0.611288</w:t>
            </w:r>
          </w:p>
        </w:tc>
        <w:tc>
          <w:tcPr>
            <w:tcW w:w="0" w:type="auto"/>
            <w:hideMark/>
          </w:tcPr>
          <w:p w14:paraId="4FF12130" w14:textId="33A8C355" w:rsidR="00DB74B0" w:rsidRPr="00F6445C" w:rsidRDefault="00DB74B0" w:rsidP="00DB74B0">
            <w:pPr>
              <w:pStyle w:val="NormalWeb"/>
              <w:spacing w:line="360" w:lineRule="auto"/>
              <w:jc w:val="both"/>
              <w:rPr>
                <w:sz w:val="18"/>
                <w:szCs w:val="18"/>
              </w:rPr>
            </w:pPr>
            <w:r w:rsidRPr="00F6445C">
              <w:rPr>
                <w:sz w:val="18"/>
                <w:szCs w:val="18"/>
              </w:rPr>
              <w:t>0.730861</w:t>
            </w:r>
          </w:p>
        </w:tc>
        <w:tc>
          <w:tcPr>
            <w:tcW w:w="0" w:type="auto"/>
            <w:hideMark/>
          </w:tcPr>
          <w:p w14:paraId="70930F8B" w14:textId="64721A8A"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4C830EB" w14:textId="742F34BA" w:rsidR="00DB74B0" w:rsidRPr="00F6445C" w:rsidRDefault="00DB74B0" w:rsidP="00DB74B0">
            <w:pPr>
              <w:pStyle w:val="NormalWeb"/>
              <w:spacing w:line="360" w:lineRule="auto"/>
              <w:jc w:val="both"/>
              <w:rPr>
                <w:sz w:val="18"/>
                <w:szCs w:val="18"/>
              </w:rPr>
            </w:pPr>
            <w:r w:rsidRPr="00F6445C">
              <w:rPr>
                <w:sz w:val="18"/>
                <w:szCs w:val="18"/>
              </w:rPr>
              <w:t>0.627411</w:t>
            </w:r>
          </w:p>
        </w:tc>
      </w:tr>
      <w:tr w:rsidR="00DB74B0" w:rsidRPr="00F6445C" w14:paraId="25D111C8" w14:textId="77777777" w:rsidTr="00DB74B0">
        <w:tc>
          <w:tcPr>
            <w:tcW w:w="2410" w:type="dxa"/>
            <w:hideMark/>
          </w:tcPr>
          <w:p w14:paraId="4DF62086" w14:textId="77777777" w:rsidR="00DB74B0" w:rsidRPr="00F6445C" w:rsidRDefault="00DB74B0" w:rsidP="00DB74B0">
            <w:pPr>
              <w:pStyle w:val="NormalWeb"/>
              <w:spacing w:line="360" w:lineRule="auto"/>
              <w:jc w:val="both"/>
              <w:rPr>
                <w:b/>
                <w:bCs/>
                <w:sz w:val="18"/>
                <w:szCs w:val="18"/>
              </w:rPr>
            </w:pPr>
            <w:r w:rsidRPr="00F6445C">
              <w:rPr>
                <w:b/>
                <w:bCs/>
                <w:sz w:val="18"/>
                <w:szCs w:val="18"/>
              </w:rPr>
              <w:t>Realty</w:t>
            </w:r>
          </w:p>
        </w:tc>
        <w:tc>
          <w:tcPr>
            <w:tcW w:w="502" w:type="dxa"/>
            <w:hideMark/>
          </w:tcPr>
          <w:p w14:paraId="764AA658" w14:textId="6532FB79" w:rsidR="00DB74B0" w:rsidRPr="00F6445C" w:rsidRDefault="00DB74B0" w:rsidP="00DB74B0">
            <w:pPr>
              <w:pStyle w:val="NormalWeb"/>
              <w:spacing w:line="360" w:lineRule="auto"/>
              <w:jc w:val="both"/>
              <w:rPr>
                <w:sz w:val="18"/>
                <w:szCs w:val="18"/>
              </w:rPr>
            </w:pPr>
            <w:r w:rsidRPr="00F6445C">
              <w:rPr>
                <w:sz w:val="18"/>
                <w:szCs w:val="18"/>
              </w:rPr>
              <w:t>0.423330</w:t>
            </w:r>
          </w:p>
        </w:tc>
        <w:tc>
          <w:tcPr>
            <w:tcW w:w="0" w:type="auto"/>
            <w:hideMark/>
          </w:tcPr>
          <w:p w14:paraId="28DC6CDD" w14:textId="6E4C2B87" w:rsidR="00DB74B0" w:rsidRPr="00F6445C" w:rsidRDefault="00DB74B0" w:rsidP="00DB74B0">
            <w:pPr>
              <w:pStyle w:val="NormalWeb"/>
              <w:spacing w:line="360" w:lineRule="auto"/>
              <w:jc w:val="both"/>
              <w:rPr>
                <w:sz w:val="18"/>
                <w:szCs w:val="18"/>
              </w:rPr>
            </w:pPr>
            <w:r w:rsidRPr="00F6445C">
              <w:rPr>
                <w:sz w:val="18"/>
                <w:szCs w:val="18"/>
              </w:rPr>
              <w:t>0.481974</w:t>
            </w:r>
          </w:p>
        </w:tc>
        <w:tc>
          <w:tcPr>
            <w:tcW w:w="0" w:type="auto"/>
            <w:hideMark/>
          </w:tcPr>
          <w:p w14:paraId="2B492D88" w14:textId="4AC5EAB1" w:rsidR="00DB74B0" w:rsidRPr="00F6445C" w:rsidRDefault="00DB74B0" w:rsidP="00DB74B0">
            <w:pPr>
              <w:pStyle w:val="NormalWeb"/>
              <w:spacing w:line="360" w:lineRule="auto"/>
              <w:jc w:val="both"/>
              <w:rPr>
                <w:sz w:val="18"/>
                <w:szCs w:val="18"/>
              </w:rPr>
            </w:pPr>
            <w:r w:rsidRPr="00F6445C">
              <w:rPr>
                <w:sz w:val="18"/>
                <w:szCs w:val="18"/>
              </w:rPr>
              <w:t>0.451326</w:t>
            </w:r>
          </w:p>
        </w:tc>
        <w:tc>
          <w:tcPr>
            <w:tcW w:w="0" w:type="auto"/>
            <w:hideMark/>
          </w:tcPr>
          <w:p w14:paraId="31648CAE" w14:textId="3A340BD6" w:rsidR="00DB74B0" w:rsidRPr="00F6445C" w:rsidRDefault="00DB74B0" w:rsidP="00DB74B0">
            <w:pPr>
              <w:pStyle w:val="NormalWeb"/>
              <w:spacing w:line="360" w:lineRule="auto"/>
              <w:jc w:val="both"/>
              <w:rPr>
                <w:sz w:val="18"/>
                <w:szCs w:val="18"/>
              </w:rPr>
            </w:pPr>
            <w:r w:rsidRPr="00F6445C">
              <w:rPr>
                <w:sz w:val="18"/>
                <w:szCs w:val="18"/>
              </w:rPr>
              <w:t>0.660287</w:t>
            </w:r>
          </w:p>
        </w:tc>
        <w:tc>
          <w:tcPr>
            <w:tcW w:w="0" w:type="auto"/>
            <w:hideMark/>
          </w:tcPr>
          <w:p w14:paraId="7975B39E" w14:textId="78C82E01" w:rsidR="00DB74B0" w:rsidRPr="00F6445C" w:rsidRDefault="00DB74B0" w:rsidP="00DB74B0">
            <w:pPr>
              <w:pStyle w:val="NormalWeb"/>
              <w:spacing w:line="360" w:lineRule="auto"/>
              <w:jc w:val="both"/>
              <w:rPr>
                <w:sz w:val="18"/>
                <w:szCs w:val="18"/>
              </w:rPr>
            </w:pPr>
            <w:r w:rsidRPr="00F6445C">
              <w:rPr>
                <w:sz w:val="18"/>
                <w:szCs w:val="18"/>
              </w:rPr>
              <w:t>0.640507</w:t>
            </w:r>
          </w:p>
        </w:tc>
        <w:tc>
          <w:tcPr>
            <w:tcW w:w="0" w:type="auto"/>
            <w:hideMark/>
          </w:tcPr>
          <w:p w14:paraId="3378AE62" w14:textId="5489EE98" w:rsidR="00DB74B0" w:rsidRPr="00F6445C" w:rsidRDefault="00DB74B0" w:rsidP="00DB74B0">
            <w:pPr>
              <w:pStyle w:val="NormalWeb"/>
              <w:spacing w:line="360" w:lineRule="auto"/>
              <w:jc w:val="both"/>
              <w:rPr>
                <w:sz w:val="18"/>
                <w:szCs w:val="18"/>
              </w:rPr>
            </w:pPr>
            <w:r w:rsidRPr="00F6445C">
              <w:rPr>
                <w:sz w:val="18"/>
                <w:szCs w:val="18"/>
              </w:rPr>
              <w:t>0.624870</w:t>
            </w:r>
          </w:p>
        </w:tc>
        <w:tc>
          <w:tcPr>
            <w:tcW w:w="0" w:type="auto"/>
            <w:hideMark/>
          </w:tcPr>
          <w:p w14:paraId="37C6B45A" w14:textId="07F10BBD" w:rsidR="00DB74B0" w:rsidRPr="00F6445C" w:rsidRDefault="00DB74B0" w:rsidP="00DB74B0">
            <w:pPr>
              <w:pStyle w:val="NormalWeb"/>
              <w:spacing w:line="360" w:lineRule="auto"/>
              <w:jc w:val="both"/>
              <w:rPr>
                <w:sz w:val="18"/>
                <w:szCs w:val="18"/>
              </w:rPr>
            </w:pPr>
            <w:r w:rsidRPr="00F6445C">
              <w:rPr>
                <w:sz w:val="18"/>
                <w:szCs w:val="18"/>
              </w:rPr>
              <w:t>0.627411</w:t>
            </w:r>
          </w:p>
        </w:tc>
        <w:tc>
          <w:tcPr>
            <w:tcW w:w="0" w:type="auto"/>
            <w:hideMark/>
          </w:tcPr>
          <w:p w14:paraId="5D01B6DD" w14:textId="74525780" w:rsidR="00DB74B0" w:rsidRPr="00F6445C" w:rsidRDefault="00DB74B0" w:rsidP="00DB74B0">
            <w:pPr>
              <w:pStyle w:val="NormalWeb"/>
              <w:spacing w:line="360" w:lineRule="auto"/>
              <w:jc w:val="both"/>
              <w:rPr>
                <w:sz w:val="18"/>
                <w:szCs w:val="18"/>
              </w:rPr>
            </w:pPr>
            <w:r w:rsidRPr="00F6445C">
              <w:rPr>
                <w:sz w:val="18"/>
                <w:szCs w:val="18"/>
              </w:rPr>
              <w:t>1.000000</w:t>
            </w:r>
          </w:p>
        </w:tc>
      </w:tr>
    </w:tbl>
    <w:p w14:paraId="3ABCFCD4" w14:textId="334FEC13" w:rsidR="00654150" w:rsidRPr="00F6445C" w:rsidRDefault="00D6335F" w:rsidP="00B354F6">
      <w:pPr>
        <w:pStyle w:val="NormalWeb"/>
        <w:spacing w:line="360" w:lineRule="auto"/>
        <w:jc w:val="both"/>
        <w:rPr>
          <w:b/>
          <w:bCs/>
        </w:rPr>
      </w:pPr>
      <w:r w:rsidRPr="00F6445C">
        <w:rPr>
          <w:b/>
          <w:bCs/>
          <w:i/>
          <w:sz w:val="20"/>
          <w:szCs w:val="20"/>
        </w:rPr>
        <w:t>Notes:</w:t>
      </w:r>
      <w:r w:rsidRPr="00F6445C">
        <w:rPr>
          <w:b/>
          <w:bCs/>
          <w:i/>
        </w:rPr>
        <w:br/>
      </w:r>
      <w:r w:rsidRPr="00F6445C">
        <w:rPr>
          <w:i/>
          <w:sz w:val="20"/>
          <w:szCs w:val="20"/>
        </w:rPr>
        <w:t xml:space="preserve">The table reports Pearson correlation coefficients computed from daily log returns over the sample period starting January 2020. All correlations are positive and economically meaningful, indicating substantial co-movement across </w:t>
      </w:r>
      <w:r w:rsidR="00BF6B13" w:rsidRPr="00F6445C">
        <w:rPr>
          <w:b/>
          <w:bCs/>
        </w:rPr>
        <w:t>Table 2B:</w:t>
      </w:r>
      <w:r w:rsidR="00654150" w:rsidRPr="00F6445C">
        <w:rPr>
          <w:b/>
          <w:bCs/>
        </w:rPr>
        <w:t xml:space="preserve"> Correlation Matrix of OLS Residuals (Motivation for SUR Estimation)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891"/>
        <w:gridCol w:w="891"/>
        <w:gridCol w:w="891"/>
        <w:gridCol w:w="891"/>
        <w:gridCol w:w="891"/>
        <w:gridCol w:w="891"/>
        <w:gridCol w:w="891"/>
        <w:gridCol w:w="891"/>
      </w:tblGrid>
      <w:tr w:rsidR="00654150" w:rsidRPr="00F6445C" w14:paraId="6A166AF9" w14:textId="77777777" w:rsidTr="004E7683">
        <w:tc>
          <w:tcPr>
            <w:tcW w:w="0" w:type="auto"/>
            <w:tcBorders>
              <w:bottom w:val="single" w:sz="4" w:space="0" w:color="auto"/>
            </w:tcBorders>
            <w:hideMark/>
          </w:tcPr>
          <w:p w14:paraId="7F3C1BCA" w14:textId="77777777" w:rsidR="00654150" w:rsidRPr="00F6445C" w:rsidRDefault="00654150" w:rsidP="00EE5A42">
            <w:pPr>
              <w:pStyle w:val="NormalWeb"/>
              <w:spacing w:line="360" w:lineRule="auto"/>
              <w:jc w:val="both"/>
              <w:rPr>
                <w:b/>
                <w:bCs/>
                <w:sz w:val="18"/>
                <w:szCs w:val="18"/>
              </w:rPr>
            </w:pPr>
            <w:r w:rsidRPr="00F6445C">
              <w:rPr>
                <w:b/>
                <w:bCs/>
                <w:sz w:val="18"/>
                <w:szCs w:val="18"/>
              </w:rPr>
              <w:t>Sector</w:t>
            </w:r>
          </w:p>
        </w:tc>
        <w:tc>
          <w:tcPr>
            <w:tcW w:w="0" w:type="auto"/>
            <w:tcBorders>
              <w:bottom w:val="single" w:sz="4" w:space="0" w:color="auto"/>
            </w:tcBorders>
            <w:hideMark/>
          </w:tcPr>
          <w:p w14:paraId="40031F3A" w14:textId="77777777" w:rsidR="00654150" w:rsidRPr="00F6445C" w:rsidRDefault="00654150" w:rsidP="00EE5A42">
            <w:pPr>
              <w:pStyle w:val="NormalWeb"/>
              <w:spacing w:line="360" w:lineRule="auto"/>
              <w:jc w:val="both"/>
              <w:rPr>
                <w:b/>
                <w:bCs/>
                <w:sz w:val="18"/>
                <w:szCs w:val="18"/>
              </w:rPr>
            </w:pPr>
            <w:r w:rsidRPr="00F6445C">
              <w:rPr>
                <w:b/>
                <w:bCs/>
                <w:sz w:val="18"/>
                <w:szCs w:val="18"/>
              </w:rPr>
              <w:t>IT</w:t>
            </w:r>
          </w:p>
        </w:tc>
        <w:tc>
          <w:tcPr>
            <w:tcW w:w="0" w:type="auto"/>
            <w:tcBorders>
              <w:bottom w:val="single" w:sz="4" w:space="0" w:color="auto"/>
            </w:tcBorders>
            <w:hideMark/>
          </w:tcPr>
          <w:p w14:paraId="52D1BDE0" w14:textId="77777777" w:rsidR="00654150" w:rsidRPr="00F6445C" w:rsidRDefault="00654150" w:rsidP="00EE5A42">
            <w:pPr>
              <w:pStyle w:val="NormalWeb"/>
              <w:spacing w:line="360" w:lineRule="auto"/>
              <w:jc w:val="both"/>
              <w:rPr>
                <w:b/>
                <w:bCs/>
                <w:sz w:val="18"/>
                <w:szCs w:val="18"/>
              </w:rPr>
            </w:pPr>
            <w:r w:rsidRPr="00F6445C">
              <w:rPr>
                <w:b/>
                <w:bCs/>
                <w:sz w:val="18"/>
                <w:szCs w:val="18"/>
              </w:rPr>
              <w:t>FMCG</w:t>
            </w:r>
          </w:p>
        </w:tc>
        <w:tc>
          <w:tcPr>
            <w:tcW w:w="0" w:type="auto"/>
            <w:tcBorders>
              <w:bottom w:val="single" w:sz="4" w:space="0" w:color="auto"/>
            </w:tcBorders>
            <w:hideMark/>
          </w:tcPr>
          <w:p w14:paraId="536E10FE" w14:textId="77777777" w:rsidR="00654150" w:rsidRPr="00F6445C" w:rsidRDefault="00654150" w:rsidP="00EE5A42">
            <w:pPr>
              <w:pStyle w:val="NormalWeb"/>
              <w:spacing w:line="360" w:lineRule="auto"/>
              <w:jc w:val="both"/>
              <w:rPr>
                <w:b/>
                <w:bCs/>
                <w:sz w:val="18"/>
                <w:szCs w:val="18"/>
              </w:rPr>
            </w:pPr>
            <w:r w:rsidRPr="00F6445C">
              <w:rPr>
                <w:b/>
                <w:bCs/>
                <w:sz w:val="18"/>
                <w:szCs w:val="18"/>
              </w:rPr>
              <w:t>Pharma</w:t>
            </w:r>
          </w:p>
        </w:tc>
        <w:tc>
          <w:tcPr>
            <w:tcW w:w="0" w:type="auto"/>
            <w:tcBorders>
              <w:bottom w:val="single" w:sz="4" w:space="0" w:color="auto"/>
            </w:tcBorders>
            <w:hideMark/>
          </w:tcPr>
          <w:p w14:paraId="408EB937" w14:textId="77777777" w:rsidR="00654150" w:rsidRPr="00F6445C" w:rsidRDefault="00654150" w:rsidP="00EE5A42">
            <w:pPr>
              <w:pStyle w:val="NormalWeb"/>
              <w:spacing w:line="360" w:lineRule="auto"/>
              <w:jc w:val="both"/>
              <w:rPr>
                <w:b/>
                <w:bCs/>
                <w:sz w:val="18"/>
                <w:szCs w:val="18"/>
              </w:rPr>
            </w:pPr>
            <w:r w:rsidRPr="00F6445C">
              <w:rPr>
                <w:b/>
                <w:bCs/>
                <w:sz w:val="18"/>
                <w:szCs w:val="18"/>
              </w:rPr>
              <w:t>Auto</w:t>
            </w:r>
          </w:p>
        </w:tc>
        <w:tc>
          <w:tcPr>
            <w:tcW w:w="0" w:type="auto"/>
            <w:tcBorders>
              <w:bottom w:val="single" w:sz="4" w:space="0" w:color="auto"/>
            </w:tcBorders>
            <w:hideMark/>
          </w:tcPr>
          <w:p w14:paraId="3E643DC2" w14:textId="77777777" w:rsidR="00654150" w:rsidRPr="00F6445C" w:rsidRDefault="00654150" w:rsidP="00EE5A42">
            <w:pPr>
              <w:pStyle w:val="NormalWeb"/>
              <w:spacing w:line="360" w:lineRule="auto"/>
              <w:jc w:val="both"/>
              <w:rPr>
                <w:b/>
                <w:bCs/>
                <w:sz w:val="18"/>
                <w:szCs w:val="18"/>
              </w:rPr>
            </w:pPr>
            <w:r w:rsidRPr="00F6445C">
              <w:rPr>
                <w:b/>
                <w:bCs/>
                <w:sz w:val="18"/>
                <w:szCs w:val="18"/>
              </w:rPr>
              <w:t>Banking</w:t>
            </w:r>
          </w:p>
        </w:tc>
        <w:tc>
          <w:tcPr>
            <w:tcW w:w="0" w:type="auto"/>
            <w:tcBorders>
              <w:bottom w:val="single" w:sz="4" w:space="0" w:color="auto"/>
            </w:tcBorders>
            <w:hideMark/>
          </w:tcPr>
          <w:p w14:paraId="26A21FF5" w14:textId="77777777" w:rsidR="00654150" w:rsidRPr="00F6445C" w:rsidRDefault="00654150" w:rsidP="00EE5A42">
            <w:pPr>
              <w:pStyle w:val="NormalWeb"/>
              <w:spacing w:line="360" w:lineRule="auto"/>
              <w:jc w:val="both"/>
              <w:rPr>
                <w:b/>
                <w:bCs/>
                <w:sz w:val="18"/>
                <w:szCs w:val="18"/>
              </w:rPr>
            </w:pPr>
            <w:r w:rsidRPr="00F6445C">
              <w:rPr>
                <w:b/>
                <w:bCs/>
                <w:sz w:val="18"/>
                <w:szCs w:val="18"/>
              </w:rPr>
              <w:t>Energy</w:t>
            </w:r>
          </w:p>
        </w:tc>
        <w:tc>
          <w:tcPr>
            <w:tcW w:w="0" w:type="auto"/>
            <w:tcBorders>
              <w:bottom w:val="single" w:sz="4" w:space="0" w:color="auto"/>
            </w:tcBorders>
            <w:hideMark/>
          </w:tcPr>
          <w:p w14:paraId="34B0C3BC" w14:textId="77777777" w:rsidR="00654150" w:rsidRPr="00F6445C" w:rsidRDefault="00654150" w:rsidP="00EE5A42">
            <w:pPr>
              <w:pStyle w:val="NormalWeb"/>
              <w:spacing w:line="360" w:lineRule="auto"/>
              <w:jc w:val="both"/>
              <w:rPr>
                <w:b/>
                <w:bCs/>
                <w:sz w:val="18"/>
                <w:szCs w:val="18"/>
              </w:rPr>
            </w:pPr>
            <w:r w:rsidRPr="00F6445C">
              <w:rPr>
                <w:b/>
                <w:bCs/>
                <w:sz w:val="18"/>
                <w:szCs w:val="18"/>
              </w:rPr>
              <w:t>Metal</w:t>
            </w:r>
          </w:p>
        </w:tc>
        <w:tc>
          <w:tcPr>
            <w:tcW w:w="0" w:type="auto"/>
            <w:tcBorders>
              <w:bottom w:val="single" w:sz="4" w:space="0" w:color="auto"/>
            </w:tcBorders>
            <w:hideMark/>
          </w:tcPr>
          <w:p w14:paraId="7C51D2F1" w14:textId="77777777" w:rsidR="00654150" w:rsidRPr="00F6445C" w:rsidRDefault="00654150" w:rsidP="00EE5A42">
            <w:pPr>
              <w:pStyle w:val="NormalWeb"/>
              <w:spacing w:line="360" w:lineRule="auto"/>
              <w:jc w:val="both"/>
              <w:rPr>
                <w:b/>
                <w:bCs/>
                <w:sz w:val="18"/>
                <w:szCs w:val="18"/>
              </w:rPr>
            </w:pPr>
            <w:r w:rsidRPr="00F6445C">
              <w:rPr>
                <w:b/>
                <w:bCs/>
                <w:sz w:val="18"/>
                <w:szCs w:val="18"/>
              </w:rPr>
              <w:t>Realty</w:t>
            </w:r>
          </w:p>
        </w:tc>
      </w:tr>
      <w:tr w:rsidR="00DB74B0" w:rsidRPr="00F6445C" w14:paraId="295EF20F" w14:textId="77777777" w:rsidTr="004E7683">
        <w:tc>
          <w:tcPr>
            <w:tcW w:w="0" w:type="auto"/>
            <w:tcBorders>
              <w:top w:val="single" w:sz="4" w:space="0" w:color="auto"/>
            </w:tcBorders>
            <w:hideMark/>
          </w:tcPr>
          <w:p w14:paraId="7912C35F" w14:textId="77777777" w:rsidR="00DB74B0" w:rsidRPr="00F6445C" w:rsidRDefault="00DB74B0" w:rsidP="00DB74B0">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tcBorders>
            <w:hideMark/>
          </w:tcPr>
          <w:p w14:paraId="5FDE0972" w14:textId="373FE065"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tcBorders>
              <w:top w:val="single" w:sz="4" w:space="0" w:color="auto"/>
            </w:tcBorders>
            <w:hideMark/>
          </w:tcPr>
          <w:p w14:paraId="641D5705" w14:textId="4210038C"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tcBorders>
              <w:top w:val="single" w:sz="4" w:space="0" w:color="auto"/>
            </w:tcBorders>
            <w:hideMark/>
          </w:tcPr>
          <w:p w14:paraId="54A03747" w14:textId="6B50F113"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tcBorders>
              <w:top w:val="single" w:sz="4" w:space="0" w:color="auto"/>
            </w:tcBorders>
            <w:hideMark/>
          </w:tcPr>
          <w:p w14:paraId="21757E2E" w14:textId="1AC58B1D"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tcBorders>
              <w:top w:val="single" w:sz="4" w:space="0" w:color="auto"/>
            </w:tcBorders>
            <w:hideMark/>
          </w:tcPr>
          <w:p w14:paraId="337666F4" w14:textId="0BF04A8C"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tcBorders>
              <w:top w:val="single" w:sz="4" w:space="0" w:color="auto"/>
            </w:tcBorders>
            <w:hideMark/>
          </w:tcPr>
          <w:p w14:paraId="605879FA" w14:textId="72B26232"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tcBorders>
              <w:top w:val="single" w:sz="4" w:space="0" w:color="auto"/>
            </w:tcBorders>
            <w:hideMark/>
          </w:tcPr>
          <w:p w14:paraId="3D4C55C5" w14:textId="591FD1B0"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tcBorders>
              <w:top w:val="single" w:sz="4" w:space="0" w:color="auto"/>
            </w:tcBorders>
            <w:hideMark/>
          </w:tcPr>
          <w:p w14:paraId="34833A43" w14:textId="318D0D71" w:rsidR="00DB74B0" w:rsidRPr="00F6445C" w:rsidRDefault="00DB74B0" w:rsidP="00DB74B0">
            <w:pPr>
              <w:pStyle w:val="NormalWeb"/>
              <w:spacing w:line="360" w:lineRule="auto"/>
              <w:jc w:val="both"/>
              <w:rPr>
                <w:sz w:val="18"/>
                <w:szCs w:val="18"/>
              </w:rPr>
            </w:pPr>
            <w:r w:rsidRPr="00F6445C">
              <w:rPr>
                <w:sz w:val="18"/>
                <w:szCs w:val="18"/>
              </w:rPr>
              <w:t>0.387559</w:t>
            </w:r>
          </w:p>
        </w:tc>
      </w:tr>
      <w:tr w:rsidR="00DB74B0" w:rsidRPr="00F6445C" w14:paraId="07D23843" w14:textId="77777777" w:rsidTr="004E7683">
        <w:tc>
          <w:tcPr>
            <w:tcW w:w="0" w:type="auto"/>
            <w:hideMark/>
          </w:tcPr>
          <w:p w14:paraId="3A78FB7F" w14:textId="77777777" w:rsidR="00DB74B0" w:rsidRPr="00F6445C" w:rsidRDefault="00DB74B0" w:rsidP="00DB74B0">
            <w:pPr>
              <w:pStyle w:val="NormalWeb"/>
              <w:spacing w:line="360" w:lineRule="auto"/>
              <w:jc w:val="both"/>
              <w:rPr>
                <w:sz w:val="18"/>
                <w:szCs w:val="18"/>
              </w:rPr>
            </w:pPr>
            <w:r w:rsidRPr="00F6445C">
              <w:rPr>
                <w:b/>
                <w:bCs/>
                <w:sz w:val="18"/>
                <w:szCs w:val="18"/>
              </w:rPr>
              <w:t>Fast-Moving Consumer Goods (FMCG)</w:t>
            </w:r>
          </w:p>
        </w:tc>
        <w:tc>
          <w:tcPr>
            <w:tcW w:w="0" w:type="auto"/>
            <w:hideMark/>
          </w:tcPr>
          <w:p w14:paraId="4E550D01" w14:textId="19996C96" w:rsidR="00DB74B0" w:rsidRPr="00F6445C" w:rsidRDefault="00DB74B0" w:rsidP="00DB74B0">
            <w:pPr>
              <w:pStyle w:val="NormalWeb"/>
              <w:spacing w:line="360" w:lineRule="auto"/>
              <w:jc w:val="both"/>
              <w:rPr>
                <w:sz w:val="18"/>
                <w:szCs w:val="18"/>
              </w:rPr>
            </w:pPr>
            <w:r w:rsidRPr="00F6445C">
              <w:rPr>
                <w:sz w:val="18"/>
                <w:szCs w:val="18"/>
              </w:rPr>
              <w:t>0.463071</w:t>
            </w:r>
          </w:p>
        </w:tc>
        <w:tc>
          <w:tcPr>
            <w:tcW w:w="0" w:type="auto"/>
            <w:hideMark/>
          </w:tcPr>
          <w:p w14:paraId="2FE0BF59" w14:textId="244324F6"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C1986F5" w14:textId="42FB690A"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5A5B45BC" w14:textId="1ADD607C"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7A8F2A3D" w14:textId="45C9A137"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61546A68" w14:textId="5C490CFB"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7E83088B" w14:textId="54B01768"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03EBCADD" w14:textId="567D786E" w:rsidR="00DB74B0" w:rsidRPr="00F6445C" w:rsidRDefault="00DB74B0" w:rsidP="00DB74B0">
            <w:pPr>
              <w:pStyle w:val="NormalWeb"/>
              <w:spacing w:line="360" w:lineRule="auto"/>
              <w:jc w:val="both"/>
              <w:rPr>
                <w:sz w:val="18"/>
                <w:szCs w:val="18"/>
              </w:rPr>
            </w:pPr>
            <w:r w:rsidRPr="00F6445C">
              <w:rPr>
                <w:sz w:val="18"/>
                <w:szCs w:val="18"/>
              </w:rPr>
              <w:t>0.474455</w:t>
            </w:r>
          </w:p>
        </w:tc>
      </w:tr>
      <w:tr w:rsidR="00DB74B0" w:rsidRPr="00F6445C" w14:paraId="69CD7B2F" w14:textId="77777777" w:rsidTr="004E7683">
        <w:tc>
          <w:tcPr>
            <w:tcW w:w="0" w:type="auto"/>
            <w:hideMark/>
          </w:tcPr>
          <w:p w14:paraId="26C509C1" w14:textId="77777777" w:rsidR="00DB74B0" w:rsidRPr="00F6445C" w:rsidRDefault="00DB74B0" w:rsidP="00DB74B0">
            <w:pPr>
              <w:pStyle w:val="NormalWeb"/>
              <w:spacing w:line="360" w:lineRule="auto"/>
              <w:jc w:val="both"/>
              <w:rPr>
                <w:sz w:val="18"/>
                <w:szCs w:val="18"/>
              </w:rPr>
            </w:pPr>
            <w:r w:rsidRPr="00F6445C">
              <w:rPr>
                <w:b/>
                <w:bCs/>
                <w:sz w:val="18"/>
                <w:szCs w:val="18"/>
              </w:rPr>
              <w:t>Pharmaceuticals (Pharma)</w:t>
            </w:r>
          </w:p>
        </w:tc>
        <w:tc>
          <w:tcPr>
            <w:tcW w:w="0" w:type="auto"/>
            <w:hideMark/>
          </w:tcPr>
          <w:p w14:paraId="7013F96B" w14:textId="6494D73A" w:rsidR="00DB74B0" w:rsidRPr="00F6445C" w:rsidRDefault="00DB74B0" w:rsidP="00DB74B0">
            <w:pPr>
              <w:pStyle w:val="NormalWeb"/>
              <w:spacing w:line="360" w:lineRule="auto"/>
              <w:jc w:val="both"/>
              <w:rPr>
                <w:sz w:val="18"/>
                <w:szCs w:val="18"/>
              </w:rPr>
            </w:pPr>
            <w:r w:rsidRPr="00F6445C">
              <w:rPr>
                <w:sz w:val="18"/>
                <w:szCs w:val="18"/>
              </w:rPr>
              <w:t>0.411864</w:t>
            </w:r>
          </w:p>
        </w:tc>
        <w:tc>
          <w:tcPr>
            <w:tcW w:w="0" w:type="auto"/>
            <w:hideMark/>
          </w:tcPr>
          <w:p w14:paraId="49546293" w14:textId="6D639BC8" w:rsidR="00DB74B0" w:rsidRPr="00F6445C" w:rsidRDefault="00DB74B0" w:rsidP="00DB74B0">
            <w:pPr>
              <w:pStyle w:val="NormalWeb"/>
              <w:spacing w:line="360" w:lineRule="auto"/>
              <w:jc w:val="both"/>
              <w:rPr>
                <w:sz w:val="18"/>
                <w:szCs w:val="18"/>
              </w:rPr>
            </w:pPr>
            <w:r w:rsidRPr="00F6445C">
              <w:rPr>
                <w:sz w:val="18"/>
                <w:szCs w:val="18"/>
              </w:rPr>
              <w:t>0.493521</w:t>
            </w:r>
          </w:p>
        </w:tc>
        <w:tc>
          <w:tcPr>
            <w:tcW w:w="0" w:type="auto"/>
            <w:hideMark/>
          </w:tcPr>
          <w:p w14:paraId="45568009" w14:textId="6B5A7ECF"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227AC2EC" w14:textId="1AE5C308"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5A948F8E" w14:textId="3D1639D9"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105420CB" w14:textId="1E1D2823"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067AB5EF" w14:textId="22EDC20E"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2CA24F6B" w14:textId="56610096" w:rsidR="00DB74B0" w:rsidRPr="00F6445C" w:rsidRDefault="00DB74B0" w:rsidP="00DB74B0">
            <w:pPr>
              <w:pStyle w:val="NormalWeb"/>
              <w:spacing w:line="360" w:lineRule="auto"/>
              <w:jc w:val="both"/>
              <w:rPr>
                <w:sz w:val="18"/>
                <w:szCs w:val="18"/>
              </w:rPr>
            </w:pPr>
            <w:r w:rsidRPr="00F6445C">
              <w:rPr>
                <w:sz w:val="18"/>
                <w:szCs w:val="18"/>
              </w:rPr>
              <w:t>0.435732</w:t>
            </w:r>
          </w:p>
        </w:tc>
      </w:tr>
      <w:tr w:rsidR="00DB74B0" w:rsidRPr="00F6445C" w14:paraId="2649E09F" w14:textId="77777777" w:rsidTr="004E7683">
        <w:tc>
          <w:tcPr>
            <w:tcW w:w="0" w:type="auto"/>
            <w:hideMark/>
          </w:tcPr>
          <w:p w14:paraId="0AFBA693" w14:textId="77777777" w:rsidR="00DB74B0" w:rsidRPr="00F6445C" w:rsidRDefault="00DB74B0" w:rsidP="00DB74B0">
            <w:pPr>
              <w:pStyle w:val="NormalWeb"/>
              <w:spacing w:line="360" w:lineRule="auto"/>
              <w:jc w:val="both"/>
              <w:rPr>
                <w:sz w:val="18"/>
                <w:szCs w:val="18"/>
              </w:rPr>
            </w:pPr>
            <w:r w:rsidRPr="00F6445C">
              <w:rPr>
                <w:b/>
                <w:bCs/>
                <w:sz w:val="18"/>
                <w:szCs w:val="18"/>
              </w:rPr>
              <w:t>Automobiles (Auto)</w:t>
            </w:r>
          </w:p>
        </w:tc>
        <w:tc>
          <w:tcPr>
            <w:tcW w:w="0" w:type="auto"/>
            <w:hideMark/>
          </w:tcPr>
          <w:p w14:paraId="7332097A" w14:textId="23D81AD4" w:rsidR="00DB74B0" w:rsidRPr="00F6445C" w:rsidRDefault="00DB74B0" w:rsidP="00DB74B0">
            <w:pPr>
              <w:pStyle w:val="NormalWeb"/>
              <w:spacing w:line="360" w:lineRule="auto"/>
              <w:jc w:val="both"/>
              <w:rPr>
                <w:sz w:val="18"/>
                <w:szCs w:val="18"/>
              </w:rPr>
            </w:pPr>
            <w:r w:rsidRPr="00F6445C">
              <w:rPr>
                <w:sz w:val="18"/>
                <w:szCs w:val="18"/>
              </w:rPr>
              <w:t>0.450751</w:t>
            </w:r>
          </w:p>
        </w:tc>
        <w:tc>
          <w:tcPr>
            <w:tcW w:w="0" w:type="auto"/>
            <w:hideMark/>
          </w:tcPr>
          <w:p w14:paraId="61A27060" w14:textId="2EEC3C49" w:rsidR="00DB74B0" w:rsidRPr="00F6445C" w:rsidRDefault="00DB74B0" w:rsidP="00DB74B0">
            <w:pPr>
              <w:pStyle w:val="NormalWeb"/>
              <w:spacing w:line="360" w:lineRule="auto"/>
              <w:jc w:val="both"/>
              <w:rPr>
                <w:sz w:val="18"/>
                <w:szCs w:val="18"/>
              </w:rPr>
            </w:pPr>
            <w:r w:rsidRPr="00F6445C">
              <w:rPr>
                <w:sz w:val="18"/>
                <w:szCs w:val="18"/>
              </w:rPr>
              <w:t>0.561963</w:t>
            </w:r>
          </w:p>
        </w:tc>
        <w:tc>
          <w:tcPr>
            <w:tcW w:w="0" w:type="auto"/>
            <w:hideMark/>
          </w:tcPr>
          <w:p w14:paraId="2FBDF1CF" w14:textId="7BADB9AE" w:rsidR="00DB74B0" w:rsidRPr="00F6445C" w:rsidRDefault="00DB74B0" w:rsidP="00DB74B0">
            <w:pPr>
              <w:pStyle w:val="NormalWeb"/>
              <w:spacing w:line="360" w:lineRule="auto"/>
              <w:jc w:val="both"/>
              <w:rPr>
                <w:sz w:val="18"/>
                <w:szCs w:val="18"/>
              </w:rPr>
            </w:pPr>
            <w:r w:rsidRPr="00F6445C">
              <w:rPr>
                <w:sz w:val="18"/>
                <w:szCs w:val="18"/>
              </w:rPr>
              <w:t>0.467674</w:t>
            </w:r>
          </w:p>
        </w:tc>
        <w:tc>
          <w:tcPr>
            <w:tcW w:w="0" w:type="auto"/>
            <w:hideMark/>
          </w:tcPr>
          <w:p w14:paraId="24F2715C" w14:textId="29721860"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03F3A420" w14:textId="2CF445A5"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34EC20F7" w14:textId="28BA85B4"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61B96631" w14:textId="4666D7F3"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0924410" w14:textId="67C27C7E" w:rsidR="00DB74B0" w:rsidRPr="00F6445C" w:rsidRDefault="00DB74B0" w:rsidP="00DB74B0">
            <w:pPr>
              <w:pStyle w:val="NormalWeb"/>
              <w:spacing w:line="360" w:lineRule="auto"/>
              <w:jc w:val="both"/>
              <w:rPr>
                <w:sz w:val="18"/>
                <w:szCs w:val="18"/>
              </w:rPr>
            </w:pPr>
            <w:r w:rsidRPr="00F6445C">
              <w:rPr>
                <w:sz w:val="18"/>
                <w:szCs w:val="18"/>
              </w:rPr>
              <w:t>0.643694</w:t>
            </w:r>
          </w:p>
        </w:tc>
      </w:tr>
      <w:tr w:rsidR="00DB74B0" w:rsidRPr="00F6445C" w14:paraId="2E23EBAB" w14:textId="77777777" w:rsidTr="004E7683">
        <w:tc>
          <w:tcPr>
            <w:tcW w:w="0" w:type="auto"/>
            <w:hideMark/>
          </w:tcPr>
          <w:p w14:paraId="7B3B002F" w14:textId="77777777" w:rsidR="00DB74B0" w:rsidRPr="00F6445C" w:rsidRDefault="00DB74B0" w:rsidP="00DB74B0">
            <w:pPr>
              <w:pStyle w:val="NormalWeb"/>
              <w:spacing w:line="360" w:lineRule="auto"/>
              <w:jc w:val="both"/>
              <w:rPr>
                <w:sz w:val="18"/>
                <w:szCs w:val="18"/>
              </w:rPr>
            </w:pPr>
            <w:r w:rsidRPr="00F6445C">
              <w:rPr>
                <w:b/>
                <w:bCs/>
                <w:sz w:val="18"/>
                <w:szCs w:val="18"/>
              </w:rPr>
              <w:t>Banking (Bank)</w:t>
            </w:r>
          </w:p>
        </w:tc>
        <w:tc>
          <w:tcPr>
            <w:tcW w:w="0" w:type="auto"/>
            <w:hideMark/>
          </w:tcPr>
          <w:p w14:paraId="218315C5" w14:textId="3EFCC911" w:rsidR="00DB74B0" w:rsidRPr="00F6445C" w:rsidRDefault="00DB74B0" w:rsidP="00DB74B0">
            <w:pPr>
              <w:pStyle w:val="NormalWeb"/>
              <w:spacing w:line="360" w:lineRule="auto"/>
              <w:jc w:val="both"/>
              <w:rPr>
                <w:sz w:val="18"/>
                <w:szCs w:val="18"/>
              </w:rPr>
            </w:pPr>
            <w:r w:rsidRPr="00F6445C">
              <w:rPr>
                <w:sz w:val="18"/>
                <w:szCs w:val="18"/>
              </w:rPr>
              <w:t>0.400948</w:t>
            </w:r>
          </w:p>
        </w:tc>
        <w:tc>
          <w:tcPr>
            <w:tcW w:w="0" w:type="auto"/>
            <w:hideMark/>
          </w:tcPr>
          <w:p w14:paraId="3CE6E26F" w14:textId="43D95370" w:rsidR="00DB74B0" w:rsidRPr="00F6445C" w:rsidRDefault="00DB74B0" w:rsidP="00DB74B0">
            <w:pPr>
              <w:pStyle w:val="NormalWeb"/>
              <w:spacing w:line="360" w:lineRule="auto"/>
              <w:jc w:val="both"/>
              <w:rPr>
                <w:sz w:val="18"/>
                <w:szCs w:val="18"/>
              </w:rPr>
            </w:pPr>
            <w:r w:rsidRPr="00F6445C">
              <w:rPr>
                <w:sz w:val="18"/>
                <w:szCs w:val="18"/>
              </w:rPr>
              <w:t>0.500073</w:t>
            </w:r>
          </w:p>
        </w:tc>
        <w:tc>
          <w:tcPr>
            <w:tcW w:w="0" w:type="auto"/>
            <w:hideMark/>
          </w:tcPr>
          <w:p w14:paraId="00899B30" w14:textId="7E41FB14" w:rsidR="00DB74B0" w:rsidRPr="00F6445C" w:rsidRDefault="00DB74B0" w:rsidP="00DB74B0">
            <w:pPr>
              <w:pStyle w:val="NormalWeb"/>
              <w:spacing w:line="360" w:lineRule="auto"/>
              <w:jc w:val="both"/>
              <w:rPr>
                <w:sz w:val="18"/>
                <w:szCs w:val="18"/>
              </w:rPr>
            </w:pPr>
            <w:r w:rsidRPr="00F6445C">
              <w:rPr>
                <w:sz w:val="18"/>
                <w:szCs w:val="18"/>
              </w:rPr>
              <w:t>0.355254</w:t>
            </w:r>
          </w:p>
        </w:tc>
        <w:tc>
          <w:tcPr>
            <w:tcW w:w="0" w:type="auto"/>
            <w:hideMark/>
          </w:tcPr>
          <w:p w14:paraId="3A133244" w14:textId="6CEE2306" w:rsidR="00DB74B0" w:rsidRPr="00F6445C" w:rsidRDefault="00DB74B0" w:rsidP="00DB74B0">
            <w:pPr>
              <w:pStyle w:val="NormalWeb"/>
              <w:spacing w:line="360" w:lineRule="auto"/>
              <w:jc w:val="both"/>
              <w:rPr>
                <w:sz w:val="18"/>
                <w:szCs w:val="18"/>
              </w:rPr>
            </w:pPr>
            <w:r w:rsidRPr="00F6445C">
              <w:rPr>
                <w:sz w:val="18"/>
                <w:szCs w:val="18"/>
              </w:rPr>
              <w:t>0.670502</w:t>
            </w:r>
          </w:p>
        </w:tc>
        <w:tc>
          <w:tcPr>
            <w:tcW w:w="0" w:type="auto"/>
            <w:hideMark/>
          </w:tcPr>
          <w:p w14:paraId="0D7C2C88" w14:textId="7347A87B"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6FC50378" w14:textId="60BA657C"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7422F6EB" w14:textId="0D840EDA"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7C679DF6" w14:textId="42CEA557" w:rsidR="00DB74B0" w:rsidRPr="00F6445C" w:rsidRDefault="00DB74B0" w:rsidP="00DB74B0">
            <w:pPr>
              <w:pStyle w:val="NormalWeb"/>
              <w:spacing w:line="360" w:lineRule="auto"/>
              <w:jc w:val="both"/>
              <w:rPr>
                <w:sz w:val="18"/>
                <w:szCs w:val="18"/>
              </w:rPr>
            </w:pPr>
            <w:r w:rsidRPr="00F6445C">
              <w:rPr>
                <w:sz w:val="18"/>
                <w:szCs w:val="18"/>
              </w:rPr>
              <w:t>0.618950</w:t>
            </w:r>
          </w:p>
        </w:tc>
      </w:tr>
      <w:tr w:rsidR="00DB74B0" w:rsidRPr="00F6445C" w14:paraId="2447EDE9" w14:textId="77777777" w:rsidTr="004E7683">
        <w:tc>
          <w:tcPr>
            <w:tcW w:w="0" w:type="auto"/>
            <w:hideMark/>
          </w:tcPr>
          <w:p w14:paraId="3314B7FE" w14:textId="77777777" w:rsidR="00DB74B0" w:rsidRPr="00F6445C" w:rsidRDefault="00DB74B0" w:rsidP="00DB74B0">
            <w:pPr>
              <w:pStyle w:val="NormalWeb"/>
              <w:spacing w:line="360" w:lineRule="auto"/>
              <w:jc w:val="both"/>
              <w:rPr>
                <w:sz w:val="18"/>
                <w:szCs w:val="18"/>
              </w:rPr>
            </w:pPr>
            <w:r w:rsidRPr="00F6445C">
              <w:rPr>
                <w:b/>
                <w:bCs/>
                <w:sz w:val="18"/>
                <w:szCs w:val="18"/>
              </w:rPr>
              <w:t>Energy</w:t>
            </w:r>
          </w:p>
        </w:tc>
        <w:tc>
          <w:tcPr>
            <w:tcW w:w="0" w:type="auto"/>
            <w:hideMark/>
          </w:tcPr>
          <w:p w14:paraId="3CE35FF1" w14:textId="6811A490" w:rsidR="00DB74B0" w:rsidRPr="00F6445C" w:rsidRDefault="00DB74B0" w:rsidP="00DB74B0">
            <w:pPr>
              <w:pStyle w:val="NormalWeb"/>
              <w:spacing w:line="360" w:lineRule="auto"/>
              <w:jc w:val="both"/>
              <w:rPr>
                <w:sz w:val="18"/>
                <w:szCs w:val="18"/>
              </w:rPr>
            </w:pPr>
            <w:r w:rsidRPr="00F6445C">
              <w:rPr>
                <w:sz w:val="18"/>
                <w:szCs w:val="18"/>
              </w:rPr>
              <w:t>0.392159</w:t>
            </w:r>
          </w:p>
        </w:tc>
        <w:tc>
          <w:tcPr>
            <w:tcW w:w="0" w:type="auto"/>
            <w:hideMark/>
          </w:tcPr>
          <w:p w14:paraId="79E48421" w14:textId="2BB3B9E2" w:rsidR="00DB74B0" w:rsidRPr="00F6445C" w:rsidRDefault="00DB74B0" w:rsidP="00DB74B0">
            <w:pPr>
              <w:pStyle w:val="NormalWeb"/>
              <w:spacing w:line="360" w:lineRule="auto"/>
              <w:jc w:val="both"/>
              <w:rPr>
                <w:sz w:val="18"/>
                <w:szCs w:val="18"/>
              </w:rPr>
            </w:pPr>
            <w:r w:rsidRPr="00F6445C">
              <w:rPr>
                <w:sz w:val="18"/>
                <w:szCs w:val="18"/>
              </w:rPr>
              <w:t>0.493712</w:t>
            </w:r>
          </w:p>
        </w:tc>
        <w:tc>
          <w:tcPr>
            <w:tcW w:w="0" w:type="auto"/>
            <w:hideMark/>
          </w:tcPr>
          <w:p w14:paraId="4EADCF30" w14:textId="6F63DDF9" w:rsidR="00DB74B0" w:rsidRPr="00F6445C" w:rsidRDefault="00DB74B0" w:rsidP="00DB74B0">
            <w:pPr>
              <w:pStyle w:val="NormalWeb"/>
              <w:spacing w:line="360" w:lineRule="auto"/>
              <w:jc w:val="both"/>
              <w:rPr>
                <w:sz w:val="18"/>
                <w:szCs w:val="18"/>
              </w:rPr>
            </w:pPr>
            <w:r w:rsidRPr="00F6445C">
              <w:rPr>
                <w:sz w:val="18"/>
                <w:szCs w:val="18"/>
              </w:rPr>
              <w:t>0.458113</w:t>
            </w:r>
          </w:p>
        </w:tc>
        <w:tc>
          <w:tcPr>
            <w:tcW w:w="0" w:type="auto"/>
            <w:hideMark/>
          </w:tcPr>
          <w:p w14:paraId="7CF23F2C" w14:textId="045DB6E9" w:rsidR="00DB74B0" w:rsidRPr="00F6445C" w:rsidRDefault="00DB74B0" w:rsidP="00DB74B0">
            <w:pPr>
              <w:pStyle w:val="NormalWeb"/>
              <w:spacing w:line="360" w:lineRule="auto"/>
              <w:jc w:val="both"/>
              <w:rPr>
                <w:sz w:val="18"/>
                <w:szCs w:val="18"/>
              </w:rPr>
            </w:pPr>
            <w:r w:rsidRPr="00F6445C">
              <w:rPr>
                <w:sz w:val="18"/>
                <w:szCs w:val="18"/>
              </w:rPr>
              <w:t>0.627341</w:t>
            </w:r>
          </w:p>
        </w:tc>
        <w:tc>
          <w:tcPr>
            <w:tcW w:w="0" w:type="auto"/>
            <w:hideMark/>
          </w:tcPr>
          <w:p w14:paraId="746E79E9" w14:textId="737066AE" w:rsidR="00DB74B0" w:rsidRPr="00F6445C" w:rsidRDefault="00DB74B0" w:rsidP="00DB74B0">
            <w:pPr>
              <w:pStyle w:val="NormalWeb"/>
              <w:spacing w:line="360" w:lineRule="auto"/>
              <w:jc w:val="both"/>
              <w:rPr>
                <w:sz w:val="18"/>
                <w:szCs w:val="18"/>
              </w:rPr>
            </w:pPr>
            <w:r w:rsidRPr="00F6445C">
              <w:rPr>
                <w:sz w:val="18"/>
                <w:szCs w:val="18"/>
              </w:rPr>
              <w:t>0.603084</w:t>
            </w:r>
          </w:p>
        </w:tc>
        <w:tc>
          <w:tcPr>
            <w:tcW w:w="0" w:type="auto"/>
            <w:hideMark/>
          </w:tcPr>
          <w:p w14:paraId="4D47D475" w14:textId="7E470A52"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57AE6D3C" w14:textId="44134D91"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59A183BE" w14:textId="3F6969F6" w:rsidR="00DB74B0" w:rsidRPr="00F6445C" w:rsidRDefault="00DB74B0" w:rsidP="00DB74B0">
            <w:pPr>
              <w:pStyle w:val="NormalWeb"/>
              <w:spacing w:line="360" w:lineRule="auto"/>
              <w:jc w:val="both"/>
              <w:rPr>
                <w:sz w:val="18"/>
                <w:szCs w:val="18"/>
              </w:rPr>
            </w:pPr>
            <w:r w:rsidRPr="00F6445C">
              <w:rPr>
                <w:sz w:val="18"/>
                <w:szCs w:val="18"/>
              </w:rPr>
              <w:t>0.605181</w:t>
            </w:r>
          </w:p>
        </w:tc>
      </w:tr>
      <w:tr w:rsidR="00DB74B0" w:rsidRPr="00F6445C" w14:paraId="6F91DFA0" w14:textId="77777777" w:rsidTr="004E7683">
        <w:tc>
          <w:tcPr>
            <w:tcW w:w="0" w:type="auto"/>
            <w:hideMark/>
          </w:tcPr>
          <w:p w14:paraId="767ECDF8" w14:textId="77777777" w:rsidR="00DB74B0" w:rsidRPr="00F6445C" w:rsidRDefault="00DB74B0" w:rsidP="00DB74B0">
            <w:pPr>
              <w:pStyle w:val="NormalWeb"/>
              <w:spacing w:line="360" w:lineRule="auto"/>
              <w:jc w:val="both"/>
              <w:rPr>
                <w:sz w:val="18"/>
                <w:szCs w:val="18"/>
              </w:rPr>
            </w:pPr>
            <w:r w:rsidRPr="00F6445C">
              <w:rPr>
                <w:b/>
                <w:bCs/>
                <w:sz w:val="18"/>
                <w:szCs w:val="18"/>
              </w:rPr>
              <w:t>Metals</w:t>
            </w:r>
          </w:p>
        </w:tc>
        <w:tc>
          <w:tcPr>
            <w:tcW w:w="0" w:type="auto"/>
            <w:hideMark/>
          </w:tcPr>
          <w:p w14:paraId="79B0AA7C" w14:textId="4F631CC3" w:rsidR="00DB74B0" w:rsidRPr="00F6445C" w:rsidRDefault="00DB74B0" w:rsidP="00DB74B0">
            <w:pPr>
              <w:pStyle w:val="NormalWeb"/>
              <w:spacing w:line="360" w:lineRule="auto"/>
              <w:jc w:val="both"/>
              <w:rPr>
                <w:sz w:val="18"/>
                <w:szCs w:val="18"/>
              </w:rPr>
            </w:pPr>
            <w:r w:rsidRPr="00F6445C">
              <w:rPr>
                <w:sz w:val="18"/>
                <w:szCs w:val="18"/>
              </w:rPr>
              <w:t>0.409477</w:t>
            </w:r>
          </w:p>
        </w:tc>
        <w:tc>
          <w:tcPr>
            <w:tcW w:w="0" w:type="auto"/>
            <w:hideMark/>
          </w:tcPr>
          <w:p w14:paraId="09895FF2" w14:textId="1F5E6AF1" w:rsidR="00DB74B0" w:rsidRPr="00F6445C" w:rsidRDefault="00DB74B0" w:rsidP="00DB74B0">
            <w:pPr>
              <w:pStyle w:val="NormalWeb"/>
              <w:spacing w:line="360" w:lineRule="auto"/>
              <w:jc w:val="both"/>
              <w:rPr>
                <w:sz w:val="18"/>
                <w:szCs w:val="18"/>
              </w:rPr>
            </w:pPr>
            <w:r w:rsidRPr="00F6445C">
              <w:rPr>
                <w:sz w:val="18"/>
                <w:szCs w:val="18"/>
              </w:rPr>
              <w:t>0.429545</w:t>
            </w:r>
          </w:p>
        </w:tc>
        <w:tc>
          <w:tcPr>
            <w:tcW w:w="0" w:type="auto"/>
            <w:hideMark/>
          </w:tcPr>
          <w:p w14:paraId="763274FE" w14:textId="28D0C715" w:rsidR="00DB74B0" w:rsidRPr="00F6445C" w:rsidRDefault="00DB74B0" w:rsidP="00DB74B0">
            <w:pPr>
              <w:pStyle w:val="NormalWeb"/>
              <w:spacing w:line="360" w:lineRule="auto"/>
              <w:jc w:val="both"/>
              <w:rPr>
                <w:sz w:val="18"/>
                <w:szCs w:val="18"/>
              </w:rPr>
            </w:pPr>
            <w:r w:rsidRPr="00F6445C">
              <w:rPr>
                <w:sz w:val="18"/>
                <w:szCs w:val="18"/>
              </w:rPr>
              <w:t>0.459544</w:t>
            </w:r>
          </w:p>
        </w:tc>
        <w:tc>
          <w:tcPr>
            <w:tcW w:w="0" w:type="auto"/>
            <w:hideMark/>
          </w:tcPr>
          <w:p w14:paraId="08BF2951" w14:textId="776351FA" w:rsidR="00DB74B0" w:rsidRPr="00F6445C" w:rsidRDefault="00DB74B0" w:rsidP="00DB74B0">
            <w:pPr>
              <w:pStyle w:val="NormalWeb"/>
              <w:spacing w:line="360" w:lineRule="auto"/>
              <w:jc w:val="both"/>
              <w:rPr>
                <w:sz w:val="18"/>
                <w:szCs w:val="18"/>
              </w:rPr>
            </w:pPr>
            <w:r w:rsidRPr="00F6445C">
              <w:rPr>
                <w:sz w:val="18"/>
                <w:szCs w:val="18"/>
              </w:rPr>
              <w:t>0.613048</w:t>
            </w:r>
          </w:p>
        </w:tc>
        <w:tc>
          <w:tcPr>
            <w:tcW w:w="0" w:type="auto"/>
            <w:hideMark/>
          </w:tcPr>
          <w:p w14:paraId="28A0B16A" w14:textId="7A3EBBA1" w:rsidR="00DB74B0" w:rsidRPr="00F6445C" w:rsidRDefault="00DB74B0" w:rsidP="00DB74B0">
            <w:pPr>
              <w:pStyle w:val="NormalWeb"/>
              <w:spacing w:line="360" w:lineRule="auto"/>
              <w:jc w:val="both"/>
              <w:rPr>
                <w:sz w:val="18"/>
                <w:szCs w:val="18"/>
              </w:rPr>
            </w:pPr>
            <w:r w:rsidRPr="00F6445C">
              <w:rPr>
                <w:sz w:val="18"/>
                <w:szCs w:val="18"/>
              </w:rPr>
              <w:t>0.579527</w:t>
            </w:r>
          </w:p>
        </w:tc>
        <w:tc>
          <w:tcPr>
            <w:tcW w:w="0" w:type="auto"/>
            <w:hideMark/>
          </w:tcPr>
          <w:p w14:paraId="37C2F0B2" w14:textId="489A4328" w:rsidR="00DB74B0" w:rsidRPr="00F6445C" w:rsidRDefault="00DB74B0" w:rsidP="00DB74B0">
            <w:pPr>
              <w:pStyle w:val="NormalWeb"/>
              <w:spacing w:line="360" w:lineRule="auto"/>
              <w:jc w:val="both"/>
              <w:rPr>
                <w:sz w:val="18"/>
                <w:szCs w:val="18"/>
              </w:rPr>
            </w:pPr>
            <w:r w:rsidRPr="00F6445C">
              <w:rPr>
                <w:sz w:val="18"/>
                <w:szCs w:val="18"/>
              </w:rPr>
              <w:t>0.708477</w:t>
            </w:r>
          </w:p>
        </w:tc>
        <w:tc>
          <w:tcPr>
            <w:tcW w:w="0" w:type="auto"/>
            <w:hideMark/>
          </w:tcPr>
          <w:p w14:paraId="4C98B78D" w14:textId="1F093C24" w:rsidR="00DB74B0" w:rsidRPr="00F6445C" w:rsidRDefault="00DB74B0" w:rsidP="00DB74B0">
            <w:pPr>
              <w:pStyle w:val="NormalWeb"/>
              <w:spacing w:line="360" w:lineRule="auto"/>
              <w:jc w:val="both"/>
              <w:rPr>
                <w:sz w:val="18"/>
                <w:szCs w:val="18"/>
              </w:rPr>
            </w:pPr>
            <w:r w:rsidRPr="00F6445C">
              <w:rPr>
                <w:sz w:val="18"/>
                <w:szCs w:val="18"/>
              </w:rPr>
              <w:t>1.000000</w:t>
            </w:r>
          </w:p>
        </w:tc>
        <w:tc>
          <w:tcPr>
            <w:tcW w:w="0" w:type="auto"/>
            <w:hideMark/>
          </w:tcPr>
          <w:p w14:paraId="19C682BA" w14:textId="1868985E" w:rsidR="00DB74B0" w:rsidRPr="00F6445C" w:rsidRDefault="00DB74B0" w:rsidP="00DB74B0">
            <w:pPr>
              <w:pStyle w:val="NormalWeb"/>
              <w:spacing w:line="360" w:lineRule="auto"/>
              <w:jc w:val="both"/>
              <w:rPr>
                <w:sz w:val="18"/>
                <w:szCs w:val="18"/>
              </w:rPr>
            </w:pPr>
            <w:r w:rsidRPr="00F6445C">
              <w:rPr>
                <w:sz w:val="18"/>
                <w:szCs w:val="18"/>
              </w:rPr>
              <w:t>0.610504</w:t>
            </w:r>
          </w:p>
        </w:tc>
      </w:tr>
      <w:tr w:rsidR="00DB74B0" w:rsidRPr="00F6445C" w14:paraId="02AACDE2" w14:textId="77777777" w:rsidTr="004E7683">
        <w:tc>
          <w:tcPr>
            <w:tcW w:w="0" w:type="auto"/>
            <w:hideMark/>
          </w:tcPr>
          <w:p w14:paraId="4A3CF6F5" w14:textId="77777777" w:rsidR="00DB74B0" w:rsidRPr="00F6445C" w:rsidRDefault="00DB74B0" w:rsidP="00DB74B0">
            <w:pPr>
              <w:pStyle w:val="NormalWeb"/>
              <w:spacing w:line="360" w:lineRule="auto"/>
              <w:jc w:val="both"/>
              <w:rPr>
                <w:sz w:val="18"/>
                <w:szCs w:val="18"/>
              </w:rPr>
            </w:pPr>
            <w:r w:rsidRPr="00F6445C">
              <w:rPr>
                <w:b/>
                <w:bCs/>
                <w:sz w:val="18"/>
                <w:szCs w:val="18"/>
              </w:rPr>
              <w:t>Realty</w:t>
            </w:r>
          </w:p>
        </w:tc>
        <w:tc>
          <w:tcPr>
            <w:tcW w:w="0" w:type="auto"/>
            <w:hideMark/>
          </w:tcPr>
          <w:p w14:paraId="1FDAFC55" w14:textId="385AC54E" w:rsidR="00DB74B0" w:rsidRPr="00F6445C" w:rsidRDefault="00DB74B0" w:rsidP="00DB74B0">
            <w:pPr>
              <w:pStyle w:val="NormalWeb"/>
              <w:spacing w:line="360" w:lineRule="auto"/>
              <w:jc w:val="both"/>
              <w:rPr>
                <w:sz w:val="18"/>
                <w:szCs w:val="18"/>
              </w:rPr>
            </w:pPr>
            <w:r w:rsidRPr="00F6445C">
              <w:rPr>
                <w:sz w:val="18"/>
                <w:szCs w:val="18"/>
              </w:rPr>
              <w:t>0.387559</w:t>
            </w:r>
          </w:p>
        </w:tc>
        <w:tc>
          <w:tcPr>
            <w:tcW w:w="0" w:type="auto"/>
            <w:hideMark/>
          </w:tcPr>
          <w:p w14:paraId="2F0F0EDD" w14:textId="55B39912" w:rsidR="00DB74B0" w:rsidRPr="00F6445C" w:rsidRDefault="00DB74B0" w:rsidP="00DB74B0">
            <w:pPr>
              <w:pStyle w:val="NormalWeb"/>
              <w:spacing w:line="360" w:lineRule="auto"/>
              <w:jc w:val="both"/>
              <w:rPr>
                <w:sz w:val="18"/>
                <w:szCs w:val="18"/>
              </w:rPr>
            </w:pPr>
            <w:r w:rsidRPr="00F6445C">
              <w:rPr>
                <w:sz w:val="18"/>
                <w:szCs w:val="18"/>
              </w:rPr>
              <w:t>0.474455</w:t>
            </w:r>
          </w:p>
        </w:tc>
        <w:tc>
          <w:tcPr>
            <w:tcW w:w="0" w:type="auto"/>
            <w:hideMark/>
          </w:tcPr>
          <w:p w14:paraId="6FBA00C9" w14:textId="47C654CE" w:rsidR="00DB74B0" w:rsidRPr="00F6445C" w:rsidRDefault="00DB74B0" w:rsidP="00DB74B0">
            <w:pPr>
              <w:pStyle w:val="NormalWeb"/>
              <w:spacing w:line="360" w:lineRule="auto"/>
              <w:jc w:val="both"/>
              <w:rPr>
                <w:sz w:val="18"/>
                <w:szCs w:val="18"/>
              </w:rPr>
            </w:pPr>
            <w:r w:rsidRPr="00F6445C">
              <w:rPr>
                <w:sz w:val="18"/>
                <w:szCs w:val="18"/>
              </w:rPr>
              <w:t>0.435732</w:t>
            </w:r>
          </w:p>
        </w:tc>
        <w:tc>
          <w:tcPr>
            <w:tcW w:w="0" w:type="auto"/>
            <w:hideMark/>
          </w:tcPr>
          <w:p w14:paraId="4DBD0A51" w14:textId="6C702F5C" w:rsidR="00DB74B0" w:rsidRPr="00F6445C" w:rsidRDefault="00DB74B0" w:rsidP="00DB74B0">
            <w:pPr>
              <w:pStyle w:val="NormalWeb"/>
              <w:spacing w:line="360" w:lineRule="auto"/>
              <w:jc w:val="both"/>
              <w:rPr>
                <w:sz w:val="18"/>
                <w:szCs w:val="18"/>
              </w:rPr>
            </w:pPr>
            <w:r w:rsidRPr="00F6445C">
              <w:rPr>
                <w:sz w:val="18"/>
                <w:szCs w:val="18"/>
              </w:rPr>
              <w:t>0.643694</w:t>
            </w:r>
          </w:p>
        </w:tc>
        <w:tc>
          <w:tcPr>
            <w:tcW w:w="0" w:type="auto"/>
            <w:hideMark/>
          </w:tcPr>
          <w:p w14:paraId="6841A375" w14:textId="72365DA2" w:rsidR="00DB74B0" w:rsidRPr="00F6445C" w:rsidRDefault="00DB74B0" w:rsidP="00DB74B0">
            <w:pPr>
              <w:pStyle w:val="NormalWeb"/>
              <w:spacing w:line="360" w:lineRule="auto"/>
              <w:jc w:val="both"/>
              <w:rPr>
                <w:sz w:val="18"/>
                <w:szCs w:val="18"/>
              </w:rPr>
            </w:pPr>
            <w:r w:rsidRPr="00F6445C">
              <w:rPr>
                <w:sz w:val="18"/>
                <w:szCs w:val="18"/>
              </w:rPr>
              <w:t>0.618950</w:t>
            </w:r>
          </w:p>
        </w:tc>
        <w:tc>
          <w:tcPr>
            <w:tcW w:w="0" w:type="auto"/>
            <w:hideMark/>
          </w:tcPr>
          <w:p w14:paraId="3928BE22" w14:textId="2FD2798F" w:rsidR="00DB74B0" w:rsidRPr="00F6445C" w:rsidRDefault="00DB74B0" w:rsidP="00DB74B0">
            <w:pPr>
              <w:pStyle w:val="NormalWeb"/>
              <w:spacing w:line="360" w:lineRule="auto"/>
              <w:jc w:val="both"/>
              <w:rPr>
                <w:sz w:val="18"/>
                <w:szCs w:val="18"/>
              </w:rPr>
            </w:pPr>
            <w:r w:rsidRPr="00F6445C">
              <w:rPr>
                <w:sz w:val="18"/>
                <w:szCs w:val="18"/>
              </w:rPr>
              <w:t>0.605181</w:t>
            </w:r>
          </w:p>
        </w:tc>
        <w:tc>
          <w:tcPr>
            <w:tcW w:w="0" w:type="auto"/>
            <w:hideMark/>
          </w:tcPr>
          <w:p w14:paraId="6B12F724" w14:textId="42A80F99" w:rsidR="00DB74B0" w:rsidRPr="00F6445C" w:rsidRDefault="00DB74B0" w:rsidP="00DB74B0">
            <w:pPr>
              <w:pStyle w:val="NormalWeb"/>
              <w:spacing w:line="360" w:lineRule="auto"/>
              <w:jc w:val="both"/>
              <w:rPr>
                <w:sz w:val="18"/>
                <w:szCs w:val="18"/>
              </w:rPr>
            </w:pPr>
            <w:r w:rsidRPr="00F6445C">
              <w:rPr>
                <w:sz w:val="18"/>
                <w:szCs w:val="18"/>
              </w:rPr>
              <w:t>0.610504</w:t>
            </w:r>
          </w:p>
        </w:tc>
        <w:tc>
          <w:tcPr>
            <w:tcW w:w="0" w:type="auto"/>
            <w:hideMark/>
          </w:tcPr>
          <w:p w14:paraId="51A00348" w14:textId="6305D7E0" w:rsidR="00DB74B0" w:rsidRPr="00F6445C" w:rsidRDefault="00DB74B0" w:rsidP="00DB74B0">
            <w:pPr>
              <w:pStyle w:val="NormalWeb"/>
              <w:spacing w:line="360" w:lineRule="auto"/>
              <w:jc w:val="both"/>
              <w:rPr>
                <w:sz w:val="18"/>
                <w:szCs w:val="18"/>
              </w:rPr>
            </w:pPr>
            <w:r w:rsidRPr="00F6445C">
              <w:rPr>
                <w:sz w:val="18"/>
                <w:szCs w:val="18"/>
              </w:rPr>
              <w:t>1.000000</w:t>
            </w:r>
          </w:p>
        </w:tc>
      </w:tr>
    </w:tbl>
    <w:p w14:paraId="26C44014" w14:textId="3F88FBC2" w:rsidR="00762CF9" w:rsidRPr="00F6445C" w:rsidRDefault="00762CF9" w:rsidP="00EE5A42">
      <w:pPr>
        <w:pStyle w:val="NormalWeb"/>
        <w:spacing w:line="360" w:lineRule="auto"/>
        <w:jc w:val="both"/>
        <w:rPr>
          <w:b/>
          <w:bCs/>
        </w:rPr>
      </w:pPr>
      <w:r w:rsidRPr="00F6445C">
        <w:rPr>
          <w:b/>
          <w:bCs/>
        </w:rPr>
        <w:t xml:space="preserve">Baseline fit and model diagnostics </w:t>
      </w:r>
    </w:p>
    <w:p w14:paraId="052F05F7" w14:textId="16350518" w:rsidR="003B2ADC" w:rsidRPr="00F6445C" w:rsidRDefault="003B2ADC" w:rsidP="00EE5A42">
      <w:pPr>
        <w:pStyle w:val="NormalWeb"/>
        <w:spacing w:line="360" w:lineRule="auto"/>
        <w:jc w:val="both"/>
        <w:rPr>
          <w:b/>
          <w:bCs/>
        </w:rPr>
      </w:pPr>
      <w:r w:rsidRPr="00F6445C">
        <w:t xml:space="preserve">Table 3 presents the baseline OLS diagnostics for each sectoral equation. The explanatory power of the model, as measured by R², is relatively modest across sectors, indicating that a substantial portion of return variation remains unexplained by observable macro-financial variables. Durbin–Watson statistics are close to 2 across all sectors, suggesting that first-order autocorrelation has been largely mitigated through the inclusion of lagged own returns. However, </w:t>
      </w:r>
      <w:proofErr w:type="spellStart"/>
      <w:r w:rsidRPr="00F6445C">
        <w:t>Ljung</w:t>
      </w:r>
      <w:proofErr w:type="spellEnd"/>
      <w:r w:rsidRPr="00F6445C">
        <w:t>–Box statistics indicate the presence of higher-order serial dependence in certain sectors, particularly FMCG, Pharma, Banking, and Energy. These findings justify the use of a system-based estimation approach that focuses on contemporaneous cross-sectional dependence rather than fully dynamic time-series mode</w:t>
      </w:r>
      <w:r w:rsidR="007C2AD5">
        <w:t>l</w:t>
      </w:r>
      <w:r w:rsidRPr="00F6445C">
        <w:t>ling.</w:t>
      </w:r>
    </w:p>
    <w:p w14:paraId="6A9D94CE" w14:textId="1FAFD670" w:rsidR="00654150" w:rsidRPr="00F6445C" w:rsidRDefault="00BF6B13" w:rsidP="00EE5A42">
      <w:pPr>
        <w:pStyle w:val="NormalWeb"/>
        <w:spacing w:line="360" w:lineRule="auto"/>
        <w:jc w:val="both"/>
        <w:rPr>
          <w:b/>
          <w:bCs/>
        </w:rPr>
      </w:pPr>
      <w:r w:rsidRPr="00F6445C">
        <w:rPr>
          <w:b/>
          <w:bCs/>
        </w:rPr>
        <w:t>Table 3:</w:t>
      </w:r>
      <w:r w:rsidR="00654150" w:rsidRPr="00F6445C">
        <w:rPr>
          <w:b/>
          <w:bCs/>
        </w:rPr>
        <w:t xml:space="preserve"> Model Specification and Diagnostic Statistics (OLS Baseline, Per Sector)</w:t>
      </w:r>
    </w:p>
    <w:tbl>
      <w:tblPr>
        <w:tblStyle w:val="TableGrid"/>
        <w:tblW w:w="0" w:type="auto"/>
        <w:tblLook w:val="04A0" w:firstRow="1" w:lastRow="0" w:firstColumn="1" w:lastColumn="0" w:noHBand="0" w:noVBand="1"/>
      </w:tblPr>
      <w:tblGrid>
        <w:gridCol w:w="2547"/>
        <w:gridCol w:w="576"/>
        <w:gridCol w:w="912"/>
        <w:gridCol w:w="891"/>
        <w:gridCol w:w="981"/>
        <w:gridCol w:w="981"/>
        <w:gridCol w:w="1213"/>
        <w:gridCol w:w="1261"/>
      </w:tblGrid>
      <w:tr w:rsidR="000B6579" w:rsidRPr="00F6445C" w14:paraId="2920991B" w14:textId="4D80535C" w:rsidTr="008A1228">
        <w:tc>
          <w:tcPr>
            <w:tcW w:w="0" w:type="auto"/>
            <w:tcBorders>
              <w:top w:val="single" w:sz="4" w:space="0" w:color="auto"/>
              <w:left w:val="nil"/>
              <w:bottom w:val="single" w:sz="4" w:space="0" w:color="auto"/>
              <w:right w:val="nil"/>
            </w:tcBorders>
            <w:hideMark/>
          </w:tcPr>
          <w:p w14:paraId="3A6293C1" w14:textId="77777777" w:rsidR="000B6579" w:rsidRPr="00F6445C" w:rsidRDefault="000B6579" w:rsidP="000B6579">
            <w:pPr>
              <w:pStyle w:val="NormalWeb"/>
              <w:spacing w:line="360" w:lineRule="auto"/>
              <w:jc w:val="both"/>
              <w:rPr>
                <w:b/>
                <w:bCs/>
                <w:sz w:val="18"/>
                <w:szCs w:val="18"/>
              </w:rPr>
            </w:pPr>
            <w:r w:rsidRPr="00F6445C">
              <w:rPr>
                <w:b/>
                <w:bCs/>
                <w:sz w:val="18"/>
                <w:szCs w:val="18"/>
              </w:rPr>
              <w:lastRenderedPageBreak/>
              <w:t>Sector</w:t>
            </w:r>
          </w:p>
        </w:tc>
        <w:tc>
          <w:tcPr>
            <w:tcW w:w="0" w:type="auto"/>
            <w:tcBorders>
              <w:top w:val="single" w:sz="4" w:space="0" w:color="auto"/>
              <w:left w:val="nil"/>
              <w:bottom w:val="single" w:sz="4" w:space="0" w:color="auto"/>
              <w:right w:val="nil"/>
            </w:tcBorders>
            <w:vAlign w:val="center"/>
            <w:hideMark/>
          </w:tcPr>
          <w:p w14:paraId="72CB22AF" w14:textId="37A88416" w:rsidR="000B6579" w:rsidRPr="00F6445C" w:rsidRDefault="000B6579" w:rsidP="000B6579">
            <w:pPr>
              <w:pStyle w:val="NormalWeb"/>
              <w:spacing w:line="360" w:lineRule="auto"/>
              <w:jc w:val="both"/>
              <w:rPr>
                <w:b/>
                <w:bCs/>
                <w:sz w:val="18"/>
                <w:szCs w:val="18"/>
              </w:rPr>
            </w:pPr>
            <w:r w:rsidRPr="00F6445C">
              <w:rPr>
                <w:b/>
                <w:bCs/>
                <w:sz w:val="18"/>
                <w:szCs w:val="18"/>
              </w:rPr>
              <w:t>T</w:t>
            </w:r>
          </w:p>
        </w:tc>
        <w:tc>
          <w:tcPr>
            <w:tcW w:w="0" w:type="auto"/>
            <w:tcBorders>
              <w:top w:val="single" w:sz="4" w:space="0" w:color="auto"/>
              <w:left w:val="nil"/>
              <w:bottom w:val="single" w:sz="4" w:space="0" w:color="auto"/>
              <w:right w:val="nil"/>
            </w:tcBorders>
            <w:vAlign w:val="center"/>
            <w:hideMark/>
          </w:tcPr>
          <w:p w14:paraId="41E85182" w14:textId="6A9CFC78" w:rsidR="000B6579" w:rsidRPr="00F6445C" w:rsidRDefault="000B6579" w:rsidP="000B6579">
            <w:pPr>
              <w:pStyle w:val="NormalWeb"/>
              <w:spacing w:line="360" w:lineRule="auto"/>
              <w:jc w:val="both"/>
              <w:rPr>
                <w:b/>
                <w:bCs/>
                <w:sz w:val="18"/>
                <w:szCs w:val="18"/>
              </w:rPr>
            </w:pPr>
            <w:r w:rsidRPr="00F6445C">
              <w:rPr>
                <w:b/>
                <w:bCs/>
                <w:sz w:val="18"/>
                <w:szCs w:val="18"/>
              </w:rPr>
              <w:t>R² (OLS)</w:t>
            </w:r>
          </w:p>
        </w:tc>
        <w:tc>
          <w:tcPr>
            <w:tcW w:w="0" w:type="auto"/>
            <w:tcBorders>
              <w:top w:val="single" w:sz="4" w:space="0" w:color="auto"/>
              <w:left w:val="nil"/>
              <w:bottom w:val="single" w:sz="4" w:space="0" w:color="auto"/>
              <w:right w:val="nil"/>
            </w:tcBorders>
            <w:vAlign w:val="center"/>
            <w:hideMark/>
          </w:tcPr>
          <w:p w14:paraId="088BB089" w14:textId="29846241" w:rsidR="000B6579" w:rsidRPr="00F6445C" w:rsidRDefault="000B6579" w:rsidP="000B6579">
            <w:pPr>
              <w:pStyle w:val="NormalWeb"/>
              <w:spacing w:line="360" w:lineRule="auto"/>
              <w:jc w:val="both"/>
              <w:rPr>
                <w:b/>
                <w:bCs/>
                <w:sz w:val="18"/>
                <w:szCs w:val="18"/>
              </w:rPr>
            </w:pPr>
            <w:r w:rsidRPr="00F6445C">
              <w:rPr>
                <w:b/>
                <w:bCs/>
                <w:sz w:val="18"/>
                <w:szCs w:val="18"/>
              </w:rPr>
              <w:t>Adj. R²</w:t>
            </w:r>
          </w:p>
        </w:tc>
        <w:tc>
          <w:tcPr>
            <w:tcW w:w="0" w:type="auto"/>
            <w:tcBorders>
              <w:top w:val="single" w:sz="4" w:space="0" w:color="auto"/>
              <w:left w:val="nil"/>
              <w:bottom w:val="single" w:sz="4" w:space="0" w:color="auto"/>
              <w:right w:val="nil"/>
            </w:tcBorders>
            <w:vAlign w:val="center"/>
            <w:hideMark/>
          </w:tcPr>
          <w:p w14:paraId="7200361B" w14:textId="3E8C91E2" w:rsidR="000B6579" w:rsidRPr="00F6445C" w:rsidRDefault="000B6579" w:rsidP="000B6579">
            <w:pPr>
              <w:pStyle w:val="NormalWeb"/>
              <w:spacing w:line="360" w:lineRule="auto"/>
              <w:jc w:val="both"/>
              <w:rPr>
                <w:b/>
                <w:bCs/>
                <w:sz w:val="18"/>
                <w:szCs w:val="18"/>
              </w:rPr>
            </w:pPr>
            <w:r w:rsidRPr="00F6445C">
              <w:rPr>
                <w:b/>
                <w:bCs/>
                <w:sz w:val="18"/>
                <w:szCs w:val="18"/>
              </w:rPr>
              <w:t>AIC</w:t>
            </w:r>
          </w:p>
        </w:tc>
        <w:tc>
          <w:tcPr>
            <w:tcW w:w="0" w:type="auto"/>
            <w:tcBorders>
              <w:top w:val="single" w:sz="4" w:space="0" w:color="auto"/>
              <w:left w:val="nil"/>
              <w:bottom w:val="single" w:sz="4" w:space="0" w:color="auto"/>
              <w:right w:val="nil"/>
            </w:tcBorders>
            <w:vAlign w:val="center"/>
            <w:hideMark/>
          </w:tcPr>
          <w:p w14:paraId="0D28AECF" w14:textId="7DB57819" w:rsidR="000B6579" w:rsidRPr="00F6445C" w:rsidRDefault="000B6579" w:rsidP="000B6579">
            <w:pPr>
              <w:pStyle w:val="NormalWeb"/>
              <w:spacing w:line="360" w:lineRule="auto"/>
              <w:jc w:val="both"/>
              <w:rPr>
                <w:b/>
                <w:bCs/>
                <w:sz w:val="18"/>
                <w:szCs w:val="18"/>
              </w:rPr>
            </w:pPr>
            <w:r w:rsidRPr="00F6445C">
              <w:rPr>
                <w:b/>
                <w:bCs/>
                <w:sz w:val="18"/>
                <w:szCs w:val="18"/>
              </w:rPr>
              <w:t>BIC</w:t>
            </w:r>
          </w:p>
        </w:tc>
        <w:tc>
          <w:tcPr>
            <w:tcW w:w="0" w:type="auto"/>
            <w:tcBorders>
              <w:top w:val="single" w:sz="4" w:space="0" w:color="auto"/>
              <w:left w:val="nil"/>
              <w:bottom w:val="single" w:sz="4" w:space="0" w:color="auto"/>
              <w:right w:val="nil"/>
            </w:tcBorders>
            <w:vAlign w:val="center"/>
            <w:hideMark/>
          </w:tcPr>
          <w:p w14:paraId="6CC6FE8F" w14:textId="202A6DD3" w:rsidR="000B6579" w:rsidRPr="00F6445C" w:rsidRDefault="000B6579" w:rsidP="000B6579">
            <w:pPr>
              <w:pStyle w:val="NormalWeb"/>
              <w:spacing w:line="360" w:lineRule="auto"/>
              <w:jc w:val="both"/>
              <w:rPr>
                <w:b/>
                <w:bCs/>
                <w:sz w:val="18"/>
                <w:szCs w:val="18"/>
              </w:rPr>
            </w:pPr>
            <w:r w:rsidRPr="00F6445C">
              <w:rPr>
                <w:b/>
                <w:bCs/>
                <w:sz w:val="18"/>
                <w:szCs w:val="18"/>
              </w:rPr>
              <w:t>Durbin–Watson</w:t>
            </w:r>
          </w:p>
        </w:tc>
        <w:tc>
          <w:tcPr>
            <w:tcW w:w="0" w:type="auto"/>
            <w:tcBorders>
              <w:top w:val="single" w:sz="4" w:space="0" w:color="auto"/>
              <w:left w:val="nil"/>
              <w:bottom w:val="single" w:sz="4" w:space="0" w:color="auto"/>
              <w:right w:val="nil"/>
            </w:tcBorders>
            <w:vAlign w:val="center"/>
          </w:tcPr>
          <w:p w14:paraId="4F0ABC79" w14:textId="16C3E80F" w:rsidR="000B6579" w:rsidRPr="00F6445C" w:rsidRDefault="000B6579" w:rsidP="000B6579">
            <w:pPr>
              <w:pStyle w:val="NormalWeb"/>
              <w:spacing w:line="360" w:lineRule="auto"/>
              <w:jc w:val="both"/>
              <w:rPr>
                <w:b/>
                <w:bCs/>
                <w:sz w:val="18"/>
                <w:szCs w:val="18"/>
              </w:rPr>
            </w:pPr>
            <w:proofErr w:type="spellStart"/>
            <w:r w:rsidRPr="00F6445C">
              <w:rPr>
                <w:b/>
                <w:bCs/>
                <w:sz w:val="18"/>
                <w:szCs w:val="18"/>
              </w:rPr>
              <w:t>Ljung</w:t>
            </w:r>
            <w:proofErr w:type="spellEnd"/>
            <w:r w:rsidRPr="00F6445C">
              <w:rPr>
                <w:b/>
                <w:bCs/>
                <w:sz w:val="18"/>
                <w:szCs w:val="18"/>
              </w:rPr>
              <w:t>–Box p(10)</w:t>
            </w:r>
          </w:p>
        </w:tc>
      </w:tr>
      <w:tr w:rsidR="000B6579" w:rsidRPr="00F6445C" w14:paraId="20272A9A" w14:textId="69ED55CE" w:rsidTr="008A1228">
        <w:tc>
          <w:tcPr>
            <w:tcW w:w="0" w:type="auto"/>
            <w:tcBorders>
              <w:top w:val="single" w:sz="4" w:space="0" w:color="auto"/>
              <w:left w:val="nil"/>
              <w:bottom w:val="nil"/>
              <w:right w:val="nil"/>
            </w:tcBorders>
            <w:hideMark/>
          </w:tcPr>
          <w:p w14:paraId="629E5CAD" w14:textId="77777777" w:rsidR="000B6579" w:rsidRPr="00F6445C" w:rsidRDefault="000B6579" w:rsidP="000B6579">
            <w:pPr>
              <w:pStyle w:val="NormalWeb"/>
              <w:spacing w:line="360" w:lineRule="auto"/>
              <w:jc w:val="both"/>
              <w:rPr>
                <w:sz w:val="18"/>
                <w:szCs w:val="18"/>
              </w:rPr>
            </w:pPr>
            <w:r w:rsidRPr="00F6445C">
              <w:rPr>
                <w:b/>
                <w:bCs/>
                <w:sz w:val="18"/>
                <w:szCs w:val="18"/>
              </w:rPr>
              <w:t>Information Technology (IT)</w:t>
            </w:r>
          </w:p>
        </w:tc>
        <w:tc>
          <w:tcPr>
            <w:tcW w:w="0" w:type="auto"/>
            <w:tcBorders>
              <w:top w:val="single" w:sz="4" w:space="0" w:color="auto"/>
              <w:left w:val="nil"/>
              <w:bottom w:val="nil"/>
              <w:right w:val="nil"/>
            </w:tcBorders>
            <w:vAlign w:val="center"/>
            <w:hideMark/>
          </w:tcPr>
          <w:p w14:paraId="705637B4" w14:textId="6D209D5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single" w:sz="4" w:space="0" w:color="auto"/>
              <w:left w:val="nil"/>
              <w:bottom w:val="nil"/>
              <w:right w:val="nil"/>
            </w:tcBorders>
            <w:vAlign w:val="center"/>
            <w:hideMark/>
          </w:tcPr>
          <w:p w14:paraId="4AABFFCF" w14:textId="4E0731AD" w:rsidR="000B6579" w:rsidRPr="00F6445C" w:rsidRDefault="000B6579" w:rsidP="000B6579">
            <w:pPr>
              <w:pStyle w:val="NormalWeb"/>
              <w:spacing w:line="360" w:lineRule="auto"/>
              <w:jc w:val="both"/>
              <w:rPr>
                <w:sz w:val="18"/>
                <w:szCs w:val="18"/>
              </w:rPr>
            </w:pPr>
            <w:r w:rsidRPr="00F6445C">
              <w:rPr>
                <w:sz w:val="18"/>
                <w:szCs w:val="18"/>
              </w:rPr>
              <w:t>0.123166</w:t>
            </w:r>
          </w:p>
        </w:tc>
        <w:tc>
          <w:tcPr>
            <w:tcW w:w="0" w:type="auto"/>
            <w:tcBorders>
              <w:top w:val="single" w:sz="4" w:space="0" w:color="auto"/>
              <w:left w:val="nil"/>
              <w:bottom w:val="nil"/>
              <w:right w:val="nil"/>
            </w:tcBorders>
            <w:vAlign w:val="center"/>
            <w:hideMark/>
          </w:tcPr>
          <w:p w14:paraId="4381967E" w14:textId="59DE4AD8" w:rsidR="000B6579" w:rsidRPr="00F6445C" w:rsidRDefault="000B6579" w:rsidP="000B6579">
            <w:pPr>
              <w:pStyle w:val="NormalWeb"/>
              <w:spacing w:line="360" w:lineRule="auto"/>
              <w:jc w:val="both"/>
              <w:rPr>
                <w:sz w:val="18"/>
                <w:szCs w:val="18"/>
              </w:rPr>
            </w:pPr>
            <w:r w:rsidRPr="00F6445C">
              <w:rPr>
                <w:sz w:val="18"/>
                <w:szCs w:val="18"/>
              </w:rPr>
              <w:t>0.118226</w:t>
            </w:r>
          </w:p>
        </w:tc>
        <w:tc>
          <w:tcPr>
            <w:tcW w:w="0" w:type="auto"/>
            <w:tcBorders>
              <w:top w:val="single" w:sz="4" w:space="0" w:color="auto"/>
              <w:left w:val="nil"/>
              <w:bottom w:val="nil"/>
              <w:right w:val="nil"/>
            </w:tcBorders>
            <w:vAlign w:val="center"/>
            <w:hideMark/>
          </w:tcPr>
          <w:p w14:paraId="5D7747FF" w14:textId="13C67173" w:rsidR="000B6579" w:rsidRPr="00F6445C" w:rsidRDefault="000B6579" w:rsidP="000B6579">
            <w:pPr>
              <w:pStyle w:val="NormalWeb"/>
              <w:spacing w:line="360" w:lineRule="auto"/>
              <w:jc w:val="both"/>
              <w:rPr>
                <w:sz w:val="18"/>
                <w:szCs w:val="18"/>
              </w:rPr>
            </w:pPr>
            <w:r w:rsidRPr="00F6445C">
              <w:rPr>
                <w:sz w:val="18"/>
                <w:szCs w:val="18"/>
              </w:rPr>
              <w:t>5035.1049</w:t>
            </w:r>
          </w:p>
        </w:tc>
        <w:tc>
          <w:tcPr>
            <w:tcW w:w="0" w:type="auto"/>
            <w:tcBorders>
              <w:top w:val="single" w:sz="4" w:space="0" w:color="auto"/>
              <w:left w:val="nil"/>
              <w:bottom w:val="nil"/>
              <w:right w:val="nil"/>
            </w:tcBorders>
            <w:vAlign w:val="center"/>
            <w:hideMark/>
          </w:tcPr>
          <w:p w14:paraId="4411F4E0" w14:textId="40FC1522" w:rsidR="000B6579" w:rsidRPr="00F6445C" w:rsidRDefault="000B6579" w:rsidP="000B6579">
            <w:pPr>
              <w:pStyle w:val="NormalWeb"/>
              <w:spacing w:line="360" w:lineRule="auto"/>
              <w:jc w:val="both"/>
              <w:rPr>
                <w:sz w:val="18"/>
                <w:szCs w:val="18"/>
              </w:rPr>
            </w:pPr>
            <w:r w:rsidRPr="00F6445C">
              <w:rPr>
                <w:sz w:val="18"/>
                <w:szCs w:val="18"/>
              </w:rPr>
              <w:t>5077.2228</w:t>
            </w:r>
          </w:p>
        </w:tc>
        <w:tc>
          <w:tcPr>
            <w:tcW w:w="0" w:type="auto"/>
            <w:tcBorders>
              <w:top w:val="single" w:sz="4" w:space="0" w:color="auto"/>
              <w:left w:val="nil"/>
              <w:bottom w:val="nil"/>
              <w:right w:val="nil"/>
            </w:tcBorders>
            <w:vAlign w:val="center"/>
            <w:hideMark/>
          </w:tcPr>
          <w:p w14:paraId="7FEC1D26" w14:textId="68AA5CAF" w:rsidR="000B6579" w:rsidRPr="00F6445C" w:rsidRDefault="000B6579" w:rsidP="000B6579">
            <w:pPr>
              <w:pStyle w:val="NormalWeb"/>
              <w:spacing w:line="360" w:lineRule="auto"/>
              <w:jc w:val="both"/>
              <w:rPr>
                <w:sz w:val="18"/>
                <w:szCs w:val="18"/>
              </w:rPr>
            </w:pPr>
            <w:r w:rsidRPr="00F6445C">
              <w:rPr>
                <w:sz w:val="18"/>
                <w:szCs w:val="18"/>
              </w:rPr>
              <w:t>2.0512</w:t>
            </w:r>
          </w:p>
        </w:tc>
        <w:tc>
          <w:tcPr>
            <w:tcW w:w="0" w:type="auto"/>
            <w:tcBorders>
              <w:top w:val="single" w:sz="4" w:space="0" w:color="auto"/>
              <w:left w:val="nil"/>
              <w:bottom w:val="nil"/>
              <w:right w:val="nil"/>
            </w:tcBorders>
            <w:vAlign w:val="center"/>
          </w:tcPr>
          <w:p w14:paraId="5101B699" w14:textId="6AB2949E" w:rsidR="000B6579" w:rsidRPr="00F6445C" w:rsidRDefault="000B6579" w:rsidP="000B6579">
            <w:pPr>
              <w:pStyle w:val="NormalWeb"/>
              <w:spacing w:line="360" w:lineRule="auto"/>
              <w:jc w:val="both"/>
              <w:rPr>
                <w:sz w:val="18"/>
                <w:szCs w:val="18"/>
              </w:rPr>
            </w:pPr>
            <w:r w:rsidRPr="00F6445C">
              <w:rPr>
                <w:sz w:val="18"/>
                <w:szCs w:val="18"/>
              </w:rPr>
              <w:t>0.498009</w:t>
            </w:r>
          </w:p>
        </w:tc>
      </w:tr>
      <w:tr w:rsidR="000B6579" w:rsidRPr="00F6445C" w14:paraId="3BDD688A" w14:textId="49C6E199" w:rsidTr="008A1228">
        <w:tc>
          <w:tcPr>
            <w:tcW w:w="0" w:type="auto"/>
            <w:tcBorders>
              <w:top w:val="nil"/>
              <w:left w:val="nil"/>
              <w:bottom w:val="nil"/>
              <w:right w:val="nil"/>
            </w:tcBorders>
            <w:hideMark/>
          </w:tcPr>
          <w:p w14:paraId="199A09B9" w14:textId="77777777" w:rsidR="000B6579" w:rsidRPr="00F6445C" w:rsidRDefault="000B6579" w:rsidP="000B6579">
            <w:pPr>
              <w:pStyle w:val="NormalWeb"/>
              <w:spacing w:line="360" w:lineRule="auto"/>
              <w:jc w:val="both"/>
              <w:rPr>
                <w:sz w:val="18"/>
                <w:szCs w:val="18"/>
              </w:rPr>
            </w:pPr>
            <w:r w:rsidRPr="00F6445C">
              <w:rPr>
                <w:b/>
                <w:bCs/>
                <w:sz w:val="18"/>
                <w:szCs w:val="18"/>
              </w:rPr>
              <w:t>Fast-Moving Consumer Goods (FMCG)</w:t>
            </w:r>
          </w:p>
        </w:tc>
        <w:tc>
          <w:tcPr>
            <w:tcW w:w="0" w:type="auto"/>
            <w:tcBorders>
              <w:top w:val="nil"/>
              <w:left w:val="nil"/>
              <w:bottom w:val="nil"/>
              <w:right w:val="nil"/>
            </w:tcBorders>
            <w:vAlign w:val="center"/>
            <w:hideMark/>
          </w:tcPr>
          <w:p w14:paraId="4573C564" w14:textId="6DF8E82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0EC10B86" w14:textId="73600FBC" w:rsidR="000B6579" w:rsidRPr="00F6445C" w:rsidRDefault="000B6579" w:rsidP="000B6579">
            <w:pPr>
              <w:pStyle w:val="NormalWeb"/>
              <w:spacing w:line="360" w:lineRule="auto"/>
              <w:jc w:val="both"/>
              <w:rPr>
                <w:sz w:val="18"/>
                <w:szCs w:val="18"/>
              </w:rPr>
            </w:pPr>
            <w:r w:rsidRPr="00F6445C">
              <w:rPr>
                <w:sz w:val="18"/>
                <w:szCs w:val="18"/>
              </w:rPr>
              <w:t>0.041909</w:t>
            </w:r>
          </w:p>
        </w:tc>
        <w:tc>
          <w:tcPr>
            <w:tcW w:w="0" w:type="auto"/>
            <w:tcBorders>
              <w:top w:val="nil"/>
              <w:left w:val="nil"/>
              <w:bottom w:val="nil"/>
              <w:right w:val="nil"/>
            </w:tcBorders>
            <w:vAlign w:val="center"/>
            <w:hideMark/>
          </w:tcPr>
          <w:p w14:paraId="1EE3D159" w14:textId="47107ABD" w:rsidR="000B6579" w:rsidRPr="00F6445C" w:rsidRDefault="000B6579" w:rsidP="000B6579">
            <w:pPr>
              <w:pStyle w:val="NormalWeb"/>
              <w:spacing w:line="360" w:lineRule="auto"/>
              <w:jc w:val="both"/>
              <w:rPr>
                <w:sz w:val="18"/>
                <w:szCs w:val="18"/>
              </w:rPr>
            </w:pPr>
            <w:r w:rsidRPr="00F6445C">
              <w:rPr>
                <w:sz w:val="18"/>
                <w:szCs w:val="18"/>
              </w:rPr>
              <w:t>0.036511</w:t>
            </w:r>
          </w:p>
        </w:tc>
        <w:tc>
          <w:tcPr>
            <w:tcW w:w="0" w:type="auto"/>
            <w:tcBorders>
              <w:top w:val="nil"/>
              <w:left w:val="nil"/>
              <w:bottom w:val="nil"/>
              <w:right w:val="nil"/>
            </w:tcBorders>
            <w:vAlign w:val="center"/>
            <w:hideMark/>
          </w:tcPr>
          <w:p w14:paraId="24E3099E" w14:textId="1156E968" w:rsidR="000B6579" w:rsidRPr="00F6445C" w:rsidRDefault="000B6579" w:rsidP="000B6579">
            <w:pPr>
              <w:pStyle w:val="NormalWeb"/>
              <w:spacing w:line="360" w:lineRule="auto"/>
              <w:jc w:val="both"/>
              <w:rPr>
                <w:sz w:val="18"/>
                <w:szCs w:val="18"/>
              </w:rPr>
            </w:pPr>
            <w:r w:rsidRPr="00F6445C">
              <w:rPr>
                <w:sz w:val="18"/>
                <w:szCs w:val="18"/>
              </w:rPr>
              <w:t>4149.0950</w:t>
            </w:r>
          </w:p>
        </w:tc>
        <w:tc>
          <w:tcPr>
            <w:tcW w:w="0" w:type="auto"/>
            <w:tcBorders>
              <w:top w:val="nil"/>
              <w:left w:val="nil"/>
              <w:bottom w:val="nil"/>
              <w:right w:val="nil"/>
            </w:tcBorders>
            <w:vAlign w:val="center"/>
            <w:hideMark/>
          </w:tcPr>
          <w:p w14:paraId="34F4B469" w14:textId="4954DF08" w:rsidR="000B6579" w:rsidRPr="00F6445C" w:rsidRDefault="000B6579" w:rsidP="000B6579">
            <w:pPr>
              <w:pStyle w:val="NormalWeb"/>
              <w:spacing w:line="360" w:lineRule="auto"/>
              <w:jc w:val="both"/>
              <w:rPr>
                <w:sz w:val="18"/>
                <w:szCs w:val="18"/>
              </w:rPr>
            </w:pPr>
            <w:r w:rsidRPr="00F6445C">
              <w:rPr>
                <w:sz w:val="18"/>
                <w:szCs w:val="18"/>
              </w:rPr>
              <w:t>4191.2129</w:t>
            </w:r>
          </w:p>
        </w:tc>
        <w:tc>
          <w:tcPr>
            <w:tcW w:w="0" w:type="auto"/>
            <w:tcBorders>
              <w:top w:val="nil"/>
              <w:left w:val="nil"/>
              <w:bottom w:val="nil"/>
              <w:right w:val="nil"/>
            </w:tcBorders>
            <w:vAlign w:val="center"/>
            <w:hideMark/>
          </w:tcPr>
          <w:p w14:paraId="2AB9FAF6" w14:textId="21E788D9" w:rsidR="000B6579" w:rsidRPr="00F6445C" w:rsidRDefault="000B6579" w:rsidP="000B6579">
            <w:pPr>
              <w:pStyle w:val="NormalWeb"/>
              <w:spacing w:line="360" w:lineRule="auto"/>
              <w:jc w:val="both"/>
              <w:rPr>
                <w:sz w:val="18"/>
                <w:szCs w:val="18"/>
              </w:rPr>
            </w:pPr>
            <w:r w:rsidRPr="00F6445C">
              <w:rPr>
                <w:sz w:val="18"/>
                <w:szCs w:val="18"/>
              </w:rPr>
              <w:t>2.0007</w:t>
            </w:r>
          </w:p>
        </w:tc>
        <w:tc>
          <w:tcPr>
            <w:tcW w:w="0" w:type="auto"/>
            <w:tcBorders>
              <w:top w:val="nil"/>
              <w:left w:val="nil"/>
              <w:bottom w:val="nil"/>
              <w:right w:val="nil"/>
            </w:tcBorders>
            <w:vAlign w:val="center"/>
          </w:tcPr>
          <w:p w14:paraId="6DC99880" w14:textId="4A799EE2" w:rsidR="000B6579" w:rsidRPr="00F6445C" w:rsidRDefault="000B6579" w:rsidP="000B6579">
            <w:pPr>
              <w:pStyle w:val="NormalWeb"/>
              <w:spacing w:line="360" w:lineRule="auto"/>
              <w:jc w:val="both"/>
              <w:rPr>
                <w:sz w:val="18"/>
                <w:szCs w:val="18"/>
              </w:rPr>
            </w:pPr>
            <w:r w:rsidRPr="00F6445C">
              <w:rPr>
                <w:sz w:val="18"/>
                <w:szCs w:val="18"/>
              </w:rPr>
              <w:t>0.000000</w:t>
            </w:r>
          </w:p>
        </w:tc>
      </w:tr>
      <w:tr w:rsidR="000B6579" w:rsidRPr="00F6445C" w14:paraId="7A708C46" w14:textId="69EC523F" w:rsidTr="008A1228">
        <w:tc>
          <w:tcPr>
            <w:tcW w:w="0" w:type="auto"/>
            <w:tcBorders>
              <w:top w:val="nil"/>
              <w:left w:val="nil"/>
              <w:bottom w:val="nil"/>
              <w:right w:val="nil"/>
            </w:tcBorders>
            <w:hideMark/>
          </w:tcPr>
          <w:p w14:paraId="38004050" w14:textId="77777777" w:rsidR="000B6579" w:rsidRPr="00F6445C" w:rsidRDefault="000B6579" w:rsidP="000B6579">
            <w:pPr>
              <w:pStyle w:val="NormalWeb"/>
              <w:spacing w:line="360" w:lineRule="auto"/>
              <w:jc w:val="both"/>
              <w:rPr>
                <w:sz w:val="18"/>
                <w:szCs w:val="18"/>
              </w:rPr>
            </w:pPr>
            <w:r w:rsidRPr="00F6445C">
              <w:rPr>
                <w:b/>
                <w:bCs/>
                <w:sz w:val="18"/>
                <w:szCs w:val="18"/>
              </w:rPr>
              <w:t>Pharmaceuticals (Pharma)</w:t>
            </w:r>
          </w:p>
        </w:tc>
        <w:tc>
          <w:tcPr>
            <w:tcW w:w="0" w:type="auto"/>
            <w:tcBorders>
              <w:top w:val="nil"/>
              <w:left w:val="nil"/>
              <w:bottom w:val="nil"/>
              <w:right w:val="nil"/>
            </w:tcBorders>
            <w:vAlign w:val="center"/>
            <w:hideMark/>
          </w:tcPr>
          <w:p w14:paraId="7CB01028" w14:textId="1164E1FB"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196D917" w14:textId="788FFC2E" w:rsidR="000B6579" w:rsidRPr="00F6445C" w:rsidRDefault="000B6579" w:rsidP="000B6579">
            <w:pPr>
              <w:pStyle w:val="NormalWeb"/>
              <w:spacing w:line="360" w:lineRule="auto"/>
              <w:jc w:val="both"/>
              <w:rPr>
                <w:sz w:val="18"/>
                <w:szCs w:val="18"/>
              </w:rPr>
            </w:pPr>
            <w:r w:rsidRPr="00F6445C">
              <w:rPr>
                <w:sz w:val="18"/>
                <w:szCs w:val="18"/>
              </w:rPr>
              <w:t>0.044404</w:t>
            </w:r>
          </w:p>
        </w:tc>
        <w:tc>
          <w:tcPr>
            <w:tcW w:w="0" w:type="auto"/>
            <w:tcBorders>
              <w:top w:val="nil"/>
              <w:left w:val="nil"/>
              <w:bottom w:val="nil"/>
              <w:right w:val="nil"/>
            </w:tcBorders>
            <w:vAlign w:val="center"/>
            <w:hideMark/>
          </w:tcPr>
          <w:p w14:paraId="6312F3DC" w14:textId="5E749D19" w:rsidR="000B6579" w:rsidRPr="00F6445C" w:rsidRDefault="000B6579" w:rsidP="000B6579">
            <w:pPr>
              <w:pStyle w:val="NormalWeb"/>
              <w:spacing w:line="360" w:lineRule="auto"/>
              <w:jc w:val="both"/>
              <w:rPr>
                <w:sz w:val="18"/>
                <w:szCs w:val="18"/>
              </w:rPr>
            </w:pPr>
            <w:r w:rsidRPr="00F6445C">
              <w:rPr>
                <w:sz w:val="18"/>
                <w:szCs w:val="18"/>
              </w:rPr>
              <w:t>0.039020</w:t>
            </w:r>
          </w:p>
        </w:tc>
        <w:tc>
          <w:tcPr>
            <w:tcW w:w="0" w:type="auto"/>
            <w:tcBorders>
              <w:top w:val="nil"/>
              <w:left w:val="nil"/>
              <w:bottom w:val="nil"/>
              <w:right w:val="nil"/>
            </w:tcBorders>
            <w:vAlign w:val="center"/>
            <w:hideMark/>
          </w:tcPr>
          <w:p w14:paraId="69223B13" w14:textId="4FA399D7" w:rsidR="000B6579" w:rsidRPr="00F6445C" w:rsidRDefault="000B6579" w:rsidP="000B6579">
            <w:pPr>
              <w:pStyle w:val="NormalWeb"/>
              <w:spacing w:line="360" w:lineRule="auto"/>
              <w:jc w:val="both"/>
              <w:rPr>
                <w:sz w:val="18"/>
                <w:szCs w:val="18"/>
              </w:rPr>
            </w:pPr>
            <w:r w:rsidRPr="00F6445C">
              <w:rPr>
                <w:sz w:val="18"/>
                <w:szCs w:val="18"/>
              </w:rPr>
              <w:t>4581.7050</w:t>
            </w:r>
          </w:p>
        </w:tc>
        <w:tc>
          <w:tcPr>
            <w:tcW w:w="0" w:type="auto"/>
            <w:tcBorders>
              <w:top w:val="nil"/>
              <w:left w:val="nil"/>
              <w:bottom w:val="nil"/>
              <w:right w:val="nil"/>
            </w:tcBorders>
            <w:vAlign w:val="center"/>
            <w:hideMark/>
          </w:tcPr>
          <w:p w14:paraId="61414747" w14:textId="216A447E" w:rsidR="000B6579" w:rsidRPr="00F6445C" w:rsidRDefault="000B6579" w:rsidP="000B6579">
            <w:pPr>
              <w:pStyle w:val="NormalWeb"/>
              <w:spacing w:line="360" w:lineRule="auto"/>
              <w:jc w:val="both"/>
              <w:rPr>
                <w:sz w:val="18"/>
                <w:szCs w:val="18"/>
              </w:rPr>
            </w:pPr>
            <w:r w:rsidRPr="00F6445C">
              <w:rPr>
                <w:sz w:val="18"/>
                <w:szCs w:val="18"/>
              </w:rPr>
              <w:t>4623.8228</w:t>
            </w:r>
          </w:p>
        </w:tc>
        <w:tc>
          <w:tcPr>
            <w:tcW w:w="0" w:type="auto"/>
            <w:tcBorders>
              <w:top w:val="nil"/>
              <w:left w:val="nil"/>
              <w:bottom w:val="nil"/>
              <w:right w:val="nil"/>
            </w:tcBorders>
            <w:vAlign w:val="center"/>
            <w:hideMark/>
          </w:tcPr>
          <w:p w14:paraId="205866E8" w14:textId="16925CE9" w:rsidR="000B6579" w:rsidRPr="00F6445C" w:rsidRDefault="000B6579" w:rsidP="000B6579">
            <w:pPr>
              <w:pStyle w:val="NormalWeb"/>
              <w:spacing w:line="360" w:lineRule="auto"/>
              <w:jc w:val="both"/>
              <w:rPr>
                <w:sz w:val="18"/>
                <w:szCs w:val="18"/>
              </w:rPr>
            </w:pPr>
            <w:r w:rsidRPr="00F6445C">
              <w:rPr>
                <w:sz w:val="18"/>
                <w:szCs w:val="18"/>
              </w:rPr>
              <w:t>2.0391</w:t>
            </w:r>
          </w:p>
        </w:tc>
        <w:tc>
          <w:tcPr>
            <w:tcW w:w="0" w:type="auto"/>
            <w:tcBorders>
              <w:top w:val="nil"/>
              <w:left w:val="nil"/>
              <w:bottom w:val="nil"/>
              <w:right w:val="nil"/>
            </w:tcBorders>
            <w:vAlign w:val="center"/>
          </w:tcPr>
          <w:p w14:paraId="2A1C1C85" w14:textId="080314B0" w:rsidR="000B6579" w:rsidRPr="00F6445C" w:rsidRDefault="000B6579" w:rsidP="000B6579">
            <w:pPr>
              <w:pStyle w:val="NormalWeb"/>
              <w:spacing w:line="360" w:lineRule="auto"/>
              <w:jc w:val="both"/>
              <w:rPr>
                <w:sz w:val="18"/>
                <w:szCs w:val="18"/>
              </w:rPr>
            </w:pPr>
            <w:r w:rsidRPr="00F6445C">
              <w:rPr>
                <w:sz w:val="18"/>
                <w:szCs w:val="18"/>
              </w:rPr>
              <w:t>0.004343</w:t>
            </w:r>
          </w:p>
        </w:tc>
      </w:tr>
      <w:tr w:rsidR="000B6579" w:rsidRPr="00F6445C" w14:paraId="0412FEB1" w14:textId="137EE7CC" w:rsidTr="008A1228">
        <w:tc>
          <w:tcPr>
            <w:tcW w:w="0" w:type="auto"/>
            <w:tcBorders>
              <w:top w:val="nil"/>
              <w:left w:val="nil"/>
              <w:bottom w:val="nil"/>
              <w:right w:val="nil"/>
            </w:tcBorders>
            <w:hideMark/>
          </w:tcPr>
          <w:p w14:paraId="4AC249E6" w14:textId="77777777" w:rsidR="000B6579" w:rsidRPr="00F6445C" w:rsidRDefault="000B6579" w:rsidP="000B6579">
            <w:pPr>
              <w:pStyle w:val="NormalWeb"/>
              <w:spacing w:line="360" w:lineRule="auto"/>
              <w:jc w:val="both"/>
              <w:rPr>
                <w:sz w:val="18"/>
                <w:szCs w:val="18"/>
              </w:rPr>
            </w:pPr>
            <w:r w:rsidRPr="00F6445C">
              <w:rPr>
                <w:b/>
                <w:bCs/>
                <w:sz w:val="18"/>
                <w:szCs w:val="18"/>
              </w:rPr>
              <w:t>Automobiles (Auto)</w:t>
            </w:r>
          </w:p>
        </w:tc>
        <w:tc>
          <w:tcPr>
            <w:tcW w:w="0" w:type="auto"/>
            <w:tcBorders>
              <w:top w:val="nil"/>
              <w:left w:val="nil"/>
              <w:bottom w:val="nil"/>
              <w:right w:val="nil"/>
            </w:tcBorders>
            <w:vAlign w:val="center"/>
            <w:hideMark/>
          </w:tcPr>
          <w:p w14:paraId="1A99C8C2" w14:textId="4399B4CC"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4322B13" w14:textId="45DE69C7" w:rsidR="000B6579" w:rsidRPr="00F6445C" w:rsidRDefault="000B6579" w:rsidP="000B6579">
            <w:pPr>
              <w:pStyle w:val="NormalWeb"/>
              <w:spacing w:line="360" w:lineRule="auto"/>
              <w:jc w:val="both"/>
              <w:rPr>
                <w:sz w:val="18"/>
                <w:szCs w:val="18"/>
              </w:rPr>
            </w:pPr>
            <w:r w:rsidRPr="00F6445C">
              <w:rPr>
                <w:sz w:val="18"/>
                <w:szCs w:val="18"/>
              </w:rPr>
              <w:t>0.066814</w:t>
            </w:r>
          </w:p>
        </w:tc>
        <w:tc>
          <w:tcPr>
            <w:tcW w:w="0" w:type="auto"/>
            <w:tcBorders>
              <w:top w:val="nil"/>
              <w:left w:val="nil"/>
              <w:bottom w:val="nil"/>
              <w:right w:val="nil"/>
            </w:tcBorders>
            <w:vAlign w:val="center"/>
            <w:hideMark/>
          </w:tcPr>
          <w:p w14:paraId="23AB4EAC" w14:textId="337F6B33" w:rsidR="000B6579" w:rsidRPr="00F6445C" w:rsidRDefault="000B6579" w:rsidP="000B6579">
            <w:pPr>
              <w:pStyle w:val="NormalWeb"/>
              <w:spacing w:line="360" w:lineRule="auto"/>
              <w:jc w:val="both"/>
              <w:rPr>
                <w:sz w:val="18"/>
                <w:szCs w:val="18"/>
              </w:rPr>
            </w:pPr>
            <w:r w:rsidRPr="00F6445C">
              <w:rPr>
                <w:sz w:val="18"/>
                <w:szCs w:val="18"/>
              </w:rPr>
              <w:t>0.061556</w:t>
            </w:r>
          </w:p>
        </w:tc>
        <w:tc>
          <w:tcPr>
            <w:tcW w:w="0" w:type="auto"/>
            <w:tcBorders>
              <w:top w:val="nil"/>
              <w:left w:val="nil"/>
              <w:bottom w:val="nil"/>
              <w:right w:val="nil"/>
            </w:tcBorders>
            <w:vAlign w:val="center"/>
            <w:hideMark/>
          </w:tcPr>
          <w:p w14:paraId="7DF5DCFF" w14:textId="50D50D22" w:rsidR="000B6579" w:rsidRPr="00F6445C" w:rsidRDefault="000B6579" w:rsidP="000B6579">
            <w:pPr>
              <w:pStyle w:val="NormalWeb"/>
              <w:spacing w:line="360" w:lineRule="auto"/>
              <w:jc w:val="both"/>
              <w:rPr>
                <w:sz w:val="18"/>
                <w:szCs w:val="18"/>
              </w:rPr>
            </w:pPr>
            <w:r w:rsidRPr="00F6445C">
              <w:rPr>
                <w:sz w:val="18"/>
                <w:szCs w:val="18"/>
              </w:rPr>
              <w:t>5094.1944</w:t>
            </w:r>
          </w:p>
        </w:tc>
        <w:tc>
          <w:tcPr>
            <w:tcW w:w="0" w:type="auto"/>
            <w:tcBorders>
              <w:top w:val="nil"/>
              <w:left w:val="nil"/>
              <w:bottom w:val="nil"/>
              <w:right w:val="nil"/>
            </w:tcBorders>
            <w:vAlign w:val="center"/>
            <w:hideMark/>
          </w:tcPr>
          <w:p w14:paraId="5C2C0B89" w14:textId="1150D25C" w:rsidR="000B6579" w:rsidRPr="00F6445C" w:rsidRDefault="000B6579" w:rsidP="000B6579">
            <w:pPr>
              <w:pStyle w:val="NormalWeb"/>
              <w:spacing w:line="360" w:lineRule="auto"/>
              <w:jc w:val="both"/>
              <w:rPr>
                <w:sz w:val="18"/>
                <w:szCs w:val="18"/>
              </w:rPr>
            </w:pPr>
            <w:r w:rsidRPr="00F6445C">
              <w:rPr>
                <w:sz w:val="18"/>
                <w:szCs w:val="18"/>
              </w:rPr>
              <w:t>5136.3122</w:t>
            </w:r>
          </w:p>
        </w:tc>
        <w:tc>
          <w:tcPr>
            <w:tcW w:w="0" w:type="auto"/>
            <w:tcBorders>
              <w:top w:val="nil"/>
              <w:left w:val="nil"/>
              <w:bottom w:val="nil"/>
              <w:right w:val="nil"/>
            </w:tcBorders>
            <w:vAlign w:val="center"/>
            <w:hideMark/>
          </w:tcPr>
          <w:p w14:paraId="20C36C00" w14:textId="57446E3B" w:rsidR="000B6579" w:rsidRPr="00F6445C" w:rsidRDefault="000B6579" w:rsidP="000B6579">
            <w:pPr>
              <w:pStyle w:val="NormalWeb"/>
              <w:spacing w:line="360" w:lineRule="auto"/>
              <w:jc w:val="both"/>
              <w:rPr>
                <w:sz w:val="18"/>
                <w:szCs w:val="18"/>
              </w:rPr>
            </w:pPr>
            <w:r w:rsidRPr="00F6445C">
              <w:rPr>
                <w:sz w:val="18"/>
                <w:szCs w:val="18"/>
              </w:rPr>
              <w:t>2.0506</w:t>
            </w:r>
          </w:p>
        </w:tc>
        <w:tc>
          <w:tcPr>
            <w:tcW w:w="0" w:type="auto"/>
            <w:tcBorders>
              <w:top w:val="nil"/>
              <w:left w:val="nil"/>
              <w:bottom w:val="nil"/>
              <w:right w:val="nil"/>
            </w:tcBorders>
            <w:vAlign w:val="center"/>
          </w:tcPr>
          <w:p w14:paraId="068F298C" w14:textId="7745A4CC" w:rsidR="000B6579" w:rsidRPr="00F6445C" w:rsidRDefault="000B6579" w:rsidP="000B6579">
            <w:pPr>
              <w:pStyle w:val="NormalWeb"/>
              <w:spacing w:line="360" w:lineRule="auto"/>
              <w:jc w:val="both"/>
              <w:rPr>
                <w:sz w:val="18"/>
                <w:szCs w:val="18"/>
              </w:rPr>
            </w:pPr>
            <w:r w:rsidRPr="00F6445C">
              <w:rPr>
                <w:sz w:val="18"/>
                <w:szCs w:val="18"/>
              </w:rPr>
              <w:t>0.226448</w:t>
            </w:r>
          </w:p>
        </w:tc>
      </w:tr>
      <w:tr w:rsidR="000B6579" w:rsidRPr="00F6445C" w14:paraId="7924D6B1" w14:textId="3D398852" w:rsidTr="008A1228">
        <w:tc>
          <w:tcPr>
            <w:tcW w:w="0" w:type="auto"/>
            <w:tcBorders>
              <w:top w:val="nil"/>
              <w:left w:val="nil"/>
              <w:bottom w:val="nil"/>
              <w:right w:val="nil"/>
            </w:tcBorders>
            <w:hideMark/>
          </w:tcPr>
          <w:p w14:paraId="67C172BD" w14:textId="77777777" w:rsidR="000B6579" w:rsidRPr="00F6445C" w:rsidRDefault="000B6579" w:rsidP="000B6579">
            <w:pPr>
              <w:pStyle w:val="NormalWeb"/>
              <w:spacing w:line="360" w:lineRule="auto"/>
              <w:jc w:val="both"/>
              <w:rPr>
                <w:sz w:val="18"/>
                <w:szCs w:val="18"/>
              </w:rPr>
            </w:pPr>
            <w:r w:rsidRPr="00F6445C">
              <w:rPr>
                <w:b/>
                <w:bCs/>
                <w:sz w:val="18"/>
                <w:szCs w:val="18"/>
              </w:rPr>
              <w:t>Banking</w:t>
            </w:r>
          </w:p>
        </w:tc>
        <w:tc>
          <w:tcPr>
            <w:tcW w:w="0" w:type="auto"/>
            <w:tcBorders>
              <w:top w:val="nil"/>
              <w:left w:val="nil"/>
              <w:bottom w:val="nil"/>
              <w:right w:val="nil"/>
            </w:tcBorders>
            <w:vAlign w:val="center"/>
            <w:hideMark/>
          </w:tcPr>
          <w:p w14:paraId="035B9D79" w14:textId="5C29EA84"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6FEEAF34" w14:textId="35C9AF90" w:rsidR="000B6579" w:rsidRPr="00F6445C" w:rsidRDefault="000B6579" w:rsidP="000B6579">
            <w:pPr>
              <w:pStyle w:val="NormalWeb"/>
              <w:spacing w:line="360" w:lineRule="auto"/>
              <w:jc w:val="both"/>
              <w:rPr>
                <w:sz w:val="18"/>
                <w:szCs w:val="18"/>
              </w:rPr>
            </w:pPr>
            <w:r w:rsidRPr="00F6445C">
              <w:rPr>
                <w:sz w:val="18"/>
                <w:szCs w:val="18"/>
              </w:rPr>
              <w:t>0.075780</w:t>
            </w:r>
          </w:p>
        </w:tc>
        <w:tc>
          <w:tcPr>
            <w:tcW w:w="0" w:type="auto"/>
            <w:tcBorders>
              <w:top w:val="nil"/>
              <w:left w:val="nil"/>
              <w:bottom w:val="nil"/>
              <w:right w:val="nil"/>
            </w:tcBorders>
            <w:vAlign w:val="center"/>
            <w:hideMark/>
          </w:tcPr>
          <w:p w14:paraId="32C44F1C" w14:textId="41DB505B" w:rsidR="000B6579" w:rsidRPr="00F6445C" w:rsidRDefault="000B6579" w:rsidP="000B6579">
            <w:pPr>
              <w:pStyle w:val="NormalWeb"/>
              <w:spacing w:line="360" w:lineRule="auto"/>
              <w:jc w:val="both"/>
              <w:rPr>
                <w:sz w:val="18"/>
                <w:szCs w:val="18"/>
              </w:rPr>
            </w:pPr>
            <w:r w:rsidRPr="00F6445C">
              <w:rPr>
                <w:sz w:val="18"/>
                <w:szCs w:val="18"/>
              </w:rPr>
              <w:t>0.070573</w:t>
            </w:r>
          </w:p>
        </w:tc>
        <w:tc>
          <w:tcPr>
            <w:tcW w:w="0" w:type="auto"/>
            <w:tcBorders>
              <w:top w:val="nil"/>
              <w:left w:val="nil"/>
              <w:bottom w:val="nil"/>
              <w:right w:val="nil"/>
            </w:tcBorders>
            <w:vAlign w:val="center"/>
            <w:hideMark/>
          </w:tcPr>
          <w:p w14:paraId="301BAA55" w14:textId="2E6D2846" w:rsidR="000B6579" w:rsidRPr="00F6445C" w:rsidRDefault="000B6579" w:rsidP="000B6579">
            <w:pPr>
              <w:pStyle w:val="NormalWeb"/>
              <w:spacing w:line="360" w:lineRule="auto"/>
              <w:jc w:val="both"/>
              <w:rPr>
                <w:sz w:val="18"/>
                <w:szCs w:val="18"/>
              </w:rPr>
            </w:pPr>
            <w:r w:rsidRPr="00F6445C">
              <w:rPr>
                <w:sz w:val="18"/>
                <w:szCs w:val="18"/>
              </w:rPr>
              <w:t>5224.4040</w:t>
            </w:r>
          </w:p>
        </w:tc>
        <w:tc>
          <w:tcPr>
            <w:tcW w:w="0" w:type="auto"/>
            <w:tcBorders>
              <w:top w:val="nil"/>
              <w:left w:val="nil"/>
              <w:bottom w:val="nil"/>
              <w:right w:val="nil"/>
            </w:tcBorders>
            <w:vAlign w:val="center"/>
            <w:hideMark/>
          </w:tcPr>
          <w:p w14:paraId="30624B75" w14:textId="4C4AC524" w:rsidR="000B6579" w:rsidRPr="00F6445C" w:rsidRDefault="000B6579" w:rsidP="000B6579">
            <w:pPr>
              <w:pStyle w:val="NormalWeb"/>
              <w:spacing w:line="360" w:lineRule="auto"/>
              <w:jc w:val="both"/>
              <w:rPr>
                <w:sz w:val="18"/>
                <w:szCs w:val="18"/>
              </w:rPr>
            </w:pPr>
            <w:r w:rsidRPr="00F6445C">
              <w:rPr>
                <w:sz w:val="18"/>
                <w:szCs w:val="18"/>
              </w:rPr>
              <w:t>5266.5218</w:t>
            </w:r>
          </w:p>
        </w:tc>
        <w:tc>
          <w:tcPr>
            <w:tcW w:w="0" w:type="auto"/>
            <w:tcBorders>
              <w:top w:val="nil"/>
              <w:left w:val="nil"/>
              <w:bottom w:val="nil"/>
              <w:right w:val="nil"/>
            </w:tcBorders>
            <w:vAlign w:val="center"/>
            <w:hideMark/>
          </w:tcPr>
          <w:p w14:paraId="45F59368" w14:textId="3E187A4A" w:rsidR="000B6579" w:rsidRPr="00F6445C" w:rsidRDefault="000B6579" w:rsidP="000B6579">
            <w:pPr>
              <w:pStyle w:val="NormalWeb"/>
              <w:spacing w:line="360" w:lineRule="auto"/>
              <w:jc w:val="both"/>
              <w:rPr>
                <w:sz w:val="18"/>
                <w:szCs w:val="18"/>
              </w:rPr>
            </w:pPr>
            <w:r w:rsidRPr="00F6445C">
              <w:rPr>
                <w:sz w:val="18"/>
                <w:szCs w:val="18"/>
              </w:rPr>
              <w:t>2.0554</w:t>
            </w:r>
          </w:p>
        </w:tc>
        <w:tc>
          <w:tcPr>
            <w:tcW w:w="0" w:type="auto"/>
            <w:tcBorders>
              <w:top w:val="nil"/>
              <w:left w:val="nil"/>
              <w:bottom w:val="nil"/>
              <w:right w:val="nil"/>
            </w:tcBorders>
            <w:vAlign w:val="center"/>
          </w:tcPr>
          <w:p w14:paraId="632F8EEC" w14:textId="4C1840EC" w:rsidR="000B6579" w:rsidRPr="00F6445C" w:rsidRDefault="000B6579" w:rsidP="000B6579">
            <w:pPr>
              <w:pStyle w:val="NormalWeb"/>
              <w:spacing w:line="360" w:lineRule="auto"/>
              <w:jc w:val="both"/>
              <w:rPr>
                <w:sz w:val="18"/>
                <w:szCs w:val="18"/>
              </w:rPr>
            </w:pPr>
            <w:r w:rsidRPr="00F6445C">
              <w:rPr>
                <w:sz w:val="18"/>
                <w:szCs w:val="18"/>
              </w:rPr>
              <w:t>0.000969</w:t>
            </w:r>
          </w:p>
        </w:tc>
      </w:tr>
      <w:tr w:rsidR="000B6579" w:rsidRPr="00F6445C" w14:paraId="3A8A01B7" w14:textId="328AEB79" w:rsidTr="008A1228">
        <w:tc>
          <w:tcPr>
            <w:tcW w:w="0" w:type="auto"/>
            <w:tcBorders>
              <w:top w:val="nil"/>
              <w:left w:val="nil"/>
              <w:bottom w:val="nil"/>
              <w:right w:val="nil"/>
            </w:tcBorders>
            <w:hideMark/>
          </w:tcPr>
          <w:p w14:paraId="154D434F" w14:textId="77777777" w:rsidR="000B6579" w:rsidRPr="00F6445C" w:rsidRDefault="000B6579" w:rsidP="000B6579">
            <w:pPr>
              <w:pStyle w:val="NormalWeb"/>
              <w:spacing w:line="360" w:lineRule="auto"/>
              <w:jc w:val="both"/>
              <w:rPr>
                <w:sz w:val="18"/>
                <w:szCs w:val="18"/>
              </w:rPr>
            </w:pPr>
            <w:r w:rsidRPr="00F6445C">
              <w:rPr>
                <w:b/>
                <w:bCs/>
                <w:sz w:val="18"/>
                <w:szCs w:val="18"/>
              </w:rPr>
              <w:t>Energy</w:t>
            </w:r>
          </w:p>
        </w:tc>
        <w:tc>
          <w:tcPr>
            <w:tcW w:w="0" w:type="auto"/>
            <w:tcBorders>
              <w:top w:val="nil"/>
              <w:left w:val="nil"/>
              <w:bottom w:val="nil"/>
              <w:right w:val="nil"/>
            </w:tcBorders>
            <w:vAlign w:val="center"/>
            <w:hideMark/>
          </w:tcPr>
          <w:p w14:paraId="501BDCAE" w14:textId="0C9097C1"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5A08C0C4" w14:textId="6F8705E0" w:rsidR="000B6579" w:rsidRPr="00F6445C" w:rsidRDefault="000B6579" w:rsidP="000B6579">
            <w:pPr>
              <w:pStyle w:val="NormalWeb"/>
              <w:spacing w:line="360" w:lineRule="auto"/>
              <w:jc w:val="both"/>
              <w:rPr>
                <w:sz w:val="18"/>
                <w:szCs w:val="18"/>
              </w:rPr>
            </w:pPr>
            <w:r w:rsidRPr="00F6445C">
              <w:rPr>
                <w:sz w:val="18"/>
                <w:szCs w:val="18"/>
              </w:rPr>
              <w:t>0.061193</w:t>
            </w:r>
          </w:p>
        </w:tc>
        <w:tc>
          <w:tcPr>
            <w:tcW w:w="0" w:type="auto"/>
            <w:tcBorders>
              <w:top w:val="nil"/>
              <w:left w:val="nil"/>
              <w:bottom w:val="nil"/>
              <w:right w:val="nil"/>
            </w:tcBorders>
            <w:vAlign w:val="center"/>
            <w:hideMark/>
          </w:tcPr>
          <w:p w14:paraId="1CD7FD51" w14:textId="5C92D8C1" w:rsidR="000B6579" w:rsidRPr="00F6445C" w:rsidRDefault="000B6579" w:rsidP="000B6579">
            <w:pPr>
              <w:pStyle w:val="NormalWeb"/>
              <w:spacing w:line="360" w:lineRule="auto"/>
              <w:jc w:val="both"/>
              <w:rPr>
                <w:sz w:val="18"/>
                <w:szCs w:val="18"/>
              </w:rPr>
            </w:pPr>
            <w:r w:rsidRPr="00F6445C">
              <w:rPr>
                <w:sz w:val="18"/>
                <w:szCs w:val="18"/>
              </w:rPr>
              <w:t>0.055904</w:t>
            </w:r>
          </w:p>
        </w:tc>
        <w:tc>
          <w:tcPr>
            <w:tcW w:w="0" w:type="auto"/>
            <w:tcBorders>
              <w:top w:val="nil"/>
              <w:left w:val="nil"/>
              <w:bottom w:val="nil"/>
              <w:right w:val="nil"/>
            </w:tcBorders>
            <w:vAlign w:val="center"/>
            <w:hideMark/>
          </w:tcPr>
          <w:p w14:paraId="251DC54C" w14:textId="6EC11B67" w:rsidR="000B6579" w:rsidRPr="00F6445C" w:rsidRDefault="000B6579" w:rsidP="000B6579">
            <w:pPr>
              <w:pStyle w:val="NormalWeb"/>
              <w:spacing w:line="360" w:lineRule="auto"/>
              <w:jc w:val="both"/>
              <w:rPr>
                <w:sz w:val="18"/>
                <w:szCs w:val="18"/>
              </w:rPr>
            </w:pPr>
            <w:r w:rsidRPr="00F6445C">
              <w:rPr>
                <w:sz w:val="18"/>
                <w:szCs w:val="18"/>
              </w:rPr>
              <w:t>5049.2924</w:t>
            </w:r>
          </w:p>
        </w:tc>
        <w:tc>
          <w:tcPr>
            <w:tcW w:w="0" w:type="auto"/>
            <w:tcBorders>
              <w:top w:val="nil"/>
              <w:left w:val="nil"/>
              <w:bottom w:val="nil"/>
              <w:right w:val="nil"/>
            </w:tcBorders>
            <w:vAlign w:val="center"/>
            <w:hideMark/>
          </w:tcPr>
          <w:p w14:paraId="0226C948" w14:textId="57359A4E" w:rsidR="000B6579" w:rsidRPr="00F6445C" w:rsidRDefault="000B6579" w:rsidP="000B6579">
            <w:pPr>
              <w:pStyle w:val="NormalWeb"/>
              <w:spacing w:line="360" w:lineRule="auto"/>
              <w:jc w:val="both"/>
              <w:rPr>
                <w:sz w:val="18"/>
                <w:szCs w:val="18"/>
              </w:rPr>
            </w:pPr>
            <w:r w:rsidRPr="00F6445C">
              <w:rPr>
                <w:sz w:val="18"/>
                <w:szCs w:val="18"/>
              </w:rPr>
              <w:t>5091.4103</w:t>
            </w:r>
          </w:p>
        </w:tc>
        <w:tc>
          <w:tcPr>
            <w:tcW w:w="0" w:type="auto"/>
            <w:tcBorders>
              <w:top w:val="nil"/>
              <w:left w:val="nil"/>
              <w:bottom w:val="nil"/>
              <w:right w:val="nil"/>
            </w:tcBorders>
            <w:vAlign w:val="center"/>
            <w:hideMark/>
          </w:tcPr>
          <w:p w14:paraId="25048C60" w14:textId="0B38B0DB" w:rsidR="000B6579" w:rsidRPr="00F6445C" w:rsidRDefault="000B6579" w:rsidP="000B6579">
            <w:pPr>
              <w:pStyle w:val="NormalWeb"/>
              <w:spacing w:line="360" w:lineRule="auto"/>
              <w:jc w:val="both"/>
              <w:rPr>
                <w:sz w:val="18"/>
                <w:szCs w:val="18"/>
              </w:rPr>
            </w:pPr>
            <w:r w:rsidRPr="00F6445C">
              <w:rPr>
                <w:sz w:val="18"/>
                <w:szCs w:val="18"/>
              </w:rPr>
              <w:t>2.0148</w:t>
            </w:r>
          </w:p>
        </w:tc>
        <w:tc>
          <w:tcPr>
            <w:tcW w:w="0" w:type="auto"/>
            <w:tcBorders>
              <w:top w:val="nil"/>
              <w:left w:val="nil"/>
              <w:bottom w:val="nil"/>
              <w:right w:val="nil"/>
            </w:tcBorders>
            <w:vAlign w:val="center"/>
          </w:tcPr>
          <w:p w14:paraId="16783E7A" w14:textId="18E5744A" w:rsidR="000B6579" w:rsidRPr="00F6445C" w:rsidRDefault="000B6579" w:rsidP="000B6579">
            <w:pPr>
              <w:pStyle w:val="NormalWeb"/>
              <w:spacing w:line="360" w:lineRule="auto"/>
              <w:jc w:val="both"/>
              <w:rPr>
                <w:sz w:val="18"/>
                <w:szCs w:val="18"/>
              </w:rPr>
            </w:pPr>
            <w:r w:rsidRPr="00F6445C">
              <w:rPr>
                <w:sz w:val="18"/>
                <w:szCs w:val="18"/>
              </w:rPr>
              <w:t>0.004179</w:t>
            </w:r>
          </w:p>
        </w:tc>
      </w:tr>
      <w:tr w:rsidR="000B6579" w:rsidRPr="00F6445C" w14:paraId="51276C03" w14:textId="1E0186AB" w:rsidTr="008A1228">
        <w:tc>
          <w:tcPr>
            <w:tcW w:w="0" w:type="auto"/>
            <w:tcBorders>
              <w:top w:val="nil"/>
              <w:left w:val="nil"/>
              <w:bottom w:val="nil"/>
              <w:right w:val="nil"/>
            </w:tcBorders>
            <w:hideMark/>
          </w:tcPr>
          <w:p w14:paraId="5B7094DB" w14:textId="77777777" w:rsidR="000B6579" w:rsidRPr="00F6445C" w:rsidRDefault="000B6579" w:rsidP="000B6579">
            <w:pPr>
              <w:pStyle w:val="NormalWeb"/>
              <w:spacing w:line="360" w:lineRule="auto"/>
              <w:jc w:val="both"/>
              <w:rPr>
                <w:sz w:val="18"/>
                <w:szCs w:val="18"/>
              </w:rPr>
            </w:pPr>
            <w:r w:rsidRPr="00F6445C">
              <w:rPr>
                <w:b/>
                <w:bCs/>
                <w:sz w:val="18"/>
                <w:szCs w:val="18"/>
              </w:rPr>
              <w:t>Metals</w:t>
            </w:r>
          </w:p>
        </w:tc>
        <w:tc>
          <w:tcPr>
            <w:tcW w:w="0" w:type="auto"/>
            <w:tcBorders>
              <w:top w:val="nil"/>
              <w:left w:val="nil"/>
              <w:bottom w:val="nil"/>
              <w:right w:val="nil"/>
            </w:tcBorders>
            <w:vAlign w:val="center"/>
            <w:hideMark/>
          </w:tcPr>
          <w:p w14:paraId="090B8B6D" w14:textId="795BF308"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nil"/>
              <w:right w:val="nil"/>
            </w:tcBorders>
            <w:vAlign w:val="center"/>
            <w:hideMark/>
          </w:tcPr>
          <w:p w14:paraId="17060512" w14:textId="01171082" w:rsidR="000B6579" w:rsidRPr="00F6445C" w:rsidRDefault="000B6579" w:rsidP="000B6579">
            <w:pPr>
              <w:pStyle w:val="NormalWeb"/>
              <w:spacing w:line="360" w:lineRule="auto"/>
              <w:jc w:val="both"/>
              <w:rPr>
                <w:sz w:val="18"/>
                <w:szCs w:val="18"/>
              </w:rPr>
            </w:pPr>
            <w:r w:rsidRPr="00F6445C">
              <w:rPr>
                <w:sz w:val="18"/>
                <w:szCs w:val="18"/>
              </w:rPr>
              <w:t>0.092994</w:t>
            </w:r>
          </w:p>
        </w:tc>
        <w:tc>
          <w:tcPr>
            <w:tcW w:w="0" w:type="auto"/>
            <w:tcBorders>
              <w:top w:val="nil"/>
              <w:left w:val="nil"/>
              <w:bottom w:val="nil"/>
              <w:right w:val="nil"/>
            </w:tcBorders>
            <w:vAlign w:val="center"/>
            <w:hideMark/>
          </w:tcPr>
          <w:p w14:paraId="5CFD446D" w14:textId="10BD185E" w:rsidR="000B6579" w:rsidRPr="00F6445C" w:rsidRDefault="000B6579" w:rsidP="000B6579">
            <w:pPr>
              <w:pStyle w:val="NormalWeb"/>
              <w:spacing w:line="360" w:lineRule="auto"/>
              <w:jc w:val="both"/>
              <w:rPr>
                <w:sz w:val="18"/>
                <w:szCs w:val="18"/>
              </w:rPr>
            </w:pPr>
            <w:r w:rsidRPr="00F6445C">
              <w:rPr>
                <w:sz w:val="18"/>
                <w:szCs w:val="18"/>
              </w:rPr>
              <w:t>0.087884</w:t>
            </w:r>
          </w:p>
        </w:tc>
        <w:tc>
          <w:tcPr>
            <w:tcW w:w="0" w:type="auto"/>
            <w:tcBorders>
              <w:top w:val="nil"/>
              <w:left w:val="nil"/>
              <w:bottom w:val="nil"/>
              <w:right w:val="nil"/>
            </w:tcBorders>
            <w:vAlign w:val="center"/>
            <w:hideMark/>
          </w:tcPr>
          <w:p w14:paraId="7B36EEF9" w14:textId="139837CD" w:rsidR="000B6579" w:rsidRPr="00F6445C" w:rsidRDefault="000B6579" w:rsidP="000B6579">
            <w:pPr>
              <w:pStyle w:val="NormalWeb"/>
              <w:spacing w:line="360" w:lineRule="auto"/>
              <w:jc w:val="both"/>
              <w:rPr>
                <w:sz w:val="18"/>
                <w:szCs w:val="18"/>
              </w:rPr>
            </w:pPr>
            <w:r w:rsidRPr="00F6445C">
              <w:rPr>
                <w:sz w:val="18"/>
                <w:szCs w:val="18"/>
              </w:rPr>
              <w:t>5785.0437</w:t>
            </w:r>
          </w:p>
        </w:tc>
        <w:tc>
          <w:tcPr>
            <w:tcW w:w="0" w:type="auto"/>
            <w:tcBorders>
              <w:top w:val="nil"/>
              <w:left w:val="nil"/>
              <w:bottom w:val="nil"/>
              <w:right w:val="nil"/>
            </w:tcBorders>
            <w:vAlign w:val="center"/>
            <w:hideMark/>
          </w:tcPr>
          <w:p w14:paraId="057ABD72" w14:textId="3A8C6C34" w:rsidR="000B6579" w:rsidRPr="00F6445C" w:rsidRDefault="000B6579" w:rsidP="000B6579">
            <w:pPr>
              <w:pStyle w:val="NormalWeb"/>
              <w:spacing w:line="360" w:lineRule="auto"/>
              <w:jc w:val="both"/>
              <w:rPr>
                <w:sz w:val="18"/>
                <w:szCs w:val="18"/>
              </w:rPr>
            </w:pPr>
            <w:r w:rsidRPr="00F6445C">
              <w:rPr>
                <w:sz w:val="18"/>
                <w:szCs w:val="18"/>
              </w:rPr>
              <w:t>5827.1616</w:t>
            </w:r>
          </w:p>
        </w:tc>
        <w:tc>
          <w:tcPr>
            <w:tcW w:w="0" w:type="auto"/>
            <w:tcBorders>
              <w:top w:val="nil"/>
              <w:left w:val="nil"/>
              <w:bottom w:val="nil"/>
              <w:right w:val="nil"/>
            </w:tcBorders>
            <w:vAlign w:val="center"/>
            <w:hideMark/>
          </w:tcPr>
          <w:p w14:paraId="50C282F9" w14:textId="3B9B24FC" w:rsidR="000B6579" w:rsidRPr="00F6445C" w:rsidRDefault="000B6579" w:rsidP="000B6579">
            <w:pPr>
              <w:pStyle w:val="NormalWeb"/>
              <w:spacing w:line="360" w:lineRule="auto"/>
              <w:jc w:val="both"/>
              <w:rPr>
                <w:sz w:val="18"/>
                <w:szCs w:val="18"/>
              </w:rPr>
            </w:pPr>
            <w:r w:rsidRPr="00F6445C">
              <w:rPr>
                <w:sz w:val="18"/>
                <w:szCs w:val="18"/>
              </w:rPr>
              <w:t>2.0414</w:t>
            </w:r>
          </w:p>
        </w:tc>
        <w:tc>
          <w:tcPr>
            <w:tcW w:w="0" w:type="auto"/>
            <w:tcBorders>
              <w:top w:val="nil"/>
              <w:left w:val="nil"/>
              <w:bottom w:val="nil"/>
              <w:right w:val="nil"/>
            </w:tcBorders>
            <w:vAlign w:val="center"/>
          </w:tcPr>
          <w:p w14:paraId="3B981860" w14:textId="49E69EF4" w:rsidR="000B6579" w:rsidRPr="00F6445C" w:rsidRDefault="000B6579" w:rsidP="000B6579">
            <w:pPr>
              <w:pStyle w:val="NormalWeb"/>
              <w:spacing w:line="360" w:lineRule="auto"/>
              <w:jc w:val="both"/>
              <w:rPr>
                <w:sz w:val="18"/>
                <w:szCs w:val="18"/>
              </w:rPr>
            </w:pPr>
            <w:r w:rsidRPr="00F6445C">
              <w:rPr>
                <w:sz w:val="18"/>
                <w:szCs w:val="18"/>
              </w:rPr>
              <w:t>0.204642</w:t>
            </w:r>
          </w:p>
        </w:tc>
      </w:tr>
      <w:tr w:rsidR="000B6579" w:rsidRPr="00F6445C" w14:paraId="139AB2C1" w14:textId="54EBF4F0" w:rsidTr="008A1228">
        <w:tc>
          <w:tcPr>
            <w:tcW w:w="0" w:type="auto"/>
            <w:tcBorders>
              <w:top w:val="nil"/>
              <w:left w:val="nil"/>
              <w:bottom w:val="single" w:sz="4" w:space="0" w:color="auto"/>
              <w:right w:val="nil"/>
            </w:tcBorders>
            <w:hideMark/>
          </w:tcPr>
          <w:p w14:paraId="70679BF5" w14:textId="77777777" w:rsidR="000B6579" w:rsidRPr="00F6445C" w:rsidRDefault="000B6579" w:rsidP="000B6579">
            <w:pPr>
              <w:pStyle w:val="NormalWeb"/>
              <w:spacing w:line="360" w:lineRule="auto"/>
              <w:jc w:val="both"/>
              <w:rPr>
                <w:sz w:val="18"/>
                <w:szCs w:val="18"/>
              </w:rPr>
            </w:pPr>
            <w:r w:rsidRPr="00F6445C">
              <w:rPr>
                <w:b/>
                <w:bCs/>
                <w:sz w:val="18"/>
                <w:szCs w:val="18"/>
              </w:rPr>
              <w:t>Realty</w:t>
            </w:r>
          </w:p>
        </w:tc>
        <w:tc>
          <w:tcPr>
            <w:tcW w:w="0" w:type="auto"/>
            <w:tcBorders>
              <w:top w:val="nil"/>
              <w:left w:val="nil"/>
              <w:bottom w:val="single" w:sz="4" w:space="0" w:color="auto"/>
              <w:right w:val="nil"/>
            </w:tcBorders>
            <w:vAlign w:val="center"/>
            <w:hideMark/>
          </w:tcPr>
          <w:p w14:paraId="51D70349" w14:textId="7D1F297F" w:rsidR="000B6579" w:rsidRPr="00F6445C" w:rsidRDefault="000B6579" w:rsidP="000B6579">
            <w:pPr>
              <w:pStyle w:val="NormalWeb"/>
              <w:spacing w:line="360" w:lineRule="auto"/>
              <w:jc w:val="both"/>
              <w:rPr>
                <w:sz w:val="18"/>
                <w:szCs w:val="18"/>
              </w:rPr>
            </w:pPr>
            <w:r w:rsidRPr="00F6445C">
              <w:rPr>
                <w:sz w:val="18"/>
                <w:szCs w:val="18"/>
              </w:rPr>
              <w:t>1429</w:t>
            </w:r>
          </w:p>
        </w:tc>
        <w:tc>
          <w:tcPr>
            <w:tcW w:w="0" w:type="auto"/>
            <w:tcBorders>
              <w:top w:val="nil"/>
              <w:left w:val="nil"/>
              <w:bottom w:val="single" w:sz="4" w:space="0" w:color="auto"/>
              <w:right w:val="nil"/>
            </w:tcBorders>
            <w:vAlign w:val="center"/>
            <w:hideMark/>
          </w:tcPr>
          <w:p w14:paraId="350E6BC1" w14:textId="0E5B00E7" w:rsidR="000B6579" w:rsidRPr="00F6445C" w:rsidRDefault="000B6579" w:rsidP="000B6579">
            <w:pPr>
              <w:pStyle w:val="NormalWeb"/>
              <w:spacing w:line="360" w:lineRule="auto"/>
              <w:jc w:val="both"/>
              <w:rPr>
                <w:sz w:val="18"/>
                <w:szCs w:val="18"/>
              </w:rPr>
            </w:pPr>
            <w:r w:rsidRPr="00F6445C">
              <w:rPr>
                <w:sz w:val="18"/>
                <w:szCs w:val="18"/>
              </w:rPr>
              <w:t>0.048328</w:t>
            </w:r>
          </w:p>
        </w:tc>
        <w:tc>
          <w:tcPr>
            <w:tcW w:w="0" w:type="auto"/>
            <w:tcBorders>
              <w:top w:val="nil"/>
              <w:left w:val="nil"/>
              <w:bottom w:val="single" w:sz="4" w:space="0" w:color="auto"/>
              <w:right w:val="nil"/>
            </w:tcBorders>
            <w:vAlign w:val="center"/>
            <w:hideMark/>
          </w:tcPr>
          <w:p w14:paraId="05488ABB" w14:textId="7685F8B2" w:rsidR="000B6579" w:rsidRPr="00F6445C" w:rsidRDefault="000B6579" w:rsidP="000B6579">
            <w:pPr>
              <w:pStyle w:val="NormalWeb"/>
              <w:spacing w:line="360" w:lineRule="auto"/>
              <w:jc w:val="both"/>
              <w:rPr>
                <w:sz w:val="18"/>
                <w:szCs w:val="18"/>
              </w:rPr>
            </w:pPr>
            <w:r w:rsidRPr="00F6445C">
              <w:rPr>
                <w:sz w:val="18"/>
                <w:szCs w:val="18"/>
              </w:rPr>
              <w:t>0.042967</w:t>
            </w:r>
          </w:p>
        </w:tc>
        <w:tc>
          <w:tcPr>
            <w:tcW w:w="0" w:type="auto"/>
            <w:tcBorders>
              <w:top w:val="nil"/>
              <w:left w:val="nil"/>
              <w:bottom w:val="single" w:sz="4" w:space="0" w:color="auto"/>
              <w:right w:val="nil"/>
            </w:tcBorders>
            <w:vAlign w:val="center"/>
            <w:hideMark/>
          </w:tcPr>
          <w:p w14:paraId="4AFEE394" w14:textId="5A33B828" w:rsidR="000B6579" w:rsidRPr="00F6445C" w:rsidRDefault="000B6579" w:rsidP="000B6579">
            <w:pPr>
              <w:pStyle w:val="NormalWeb"/>
              <w:spacing w:line="360" w:lineRule="auto"/>
              <w:jc w:val="both"/>
              <w:rPr>
                <w:sz w:val="18"/>
                <w:szCs w:val="18"/>
              </w:rPr>
            </w:pPr>
            <w:r w:rsidRPr="00F6445C">
              <w:rPr>
                <w:sz w:val="18"/>
                <w:szCs w:val="18"/>
              </w:rPr>
              <w:t>5891.4946</w:t>
            </w:r>
          </w:p>
        </w:tc>
        <w:tc>
          <w:tcPr>
            <w:tcW w:w="0" w:type="auto"/>
            <w:tcBorders>
              <w:top w:val="nil"/>
              <w:left w:val="nil"/>
              <w:bottom w:val="single" w:sz="4" w:space="0" w:color="auto"/>
              <w:right w:val="nil"/>
            </w:tcBorders>
            <w:vAlign w:val="center"/>
            <w:hideMark/>
          </w:tcPr>
          <w:p w14:paraId="2F6D6EB9" w14:textId="093CFE3E" w:rsidR="000B6579" w:rsidRPr="00F6445C" w:rsidRDefault="000B6579" w:rsidP="000B6579">
            <w:pPr>
              <w:pStyle w:val="NormalWeb"/>
              <w:spacing w:line="360" w:lineRule="auto"/>
              <w:jc w:val="both"/>
              <w:rPr>
                <w:sz w:val="18"/>
                <w:szCs w:val="18"/>
              </w:rPr>
            </w:pPr>
            <w:r w:rsidRPr="00F6445C">
              <w:rPr>
                <w:sz w:val="18"/>
                <w:szCs w:val="18"/>
              </w:rPr>
              <w:t>5933.6125</w:t>
            </w:r>
          </w:p>
        </w:tc>
        <w:tc>
          <w:tcPr>
            <w:tcW w:w="0" w:type="auto"/>
            <w:tcBorders>
              <w:top w:val="nil"/>
              <w:left w:val="nil"/>
              <w:bottom w:val="single" w:sz="4" w:space="0" w:color="auto"/>
              <w:right w:val="nil"/>
            </w:tcBorders>
            <w:vAlign w:val="center"/>
            <w:hideMark/>
          </w:tcPr>
          <w:p w14:paraId="143D6D67" w14:textId="02C5478B" w:rsidR="000B6579" w:rsidRPr="00F6445C" w:rsidRDefault="000B6579" w:rsidP="000B6579">
            <w:pPr>
              <w:pStyle w:val="NormalWeb"/>
              <w:spacing w:line="360" w:lineRule="auto"/>
              <w:jc w:val="both"/>
              <w:rPr>
                <w:sz w:val="18"/>
                <w:szCs w:val="18"/>
              </w:rPr>
            </w:pPr>
            <w:r w:rsidRPr="00F6445C">
              <w:rPr>
                <w:sz w:val="18"/>
                <w:szCs w:val="18"/>
              </w:rPr>
              <w:t>2.0329</w:t>
            </w:r>
          </w:p>
        </w:tc>
        <w:tc>
          <w:tcPr>
            <w:tcW w:w="0" w:type="auto"/>
            <w:tcBorders>
              <w:top w:val="nil"/>
              <w:left w:val="nil"/>
              <w:bottom w:val="single" w:sz="4" w:space="0" w:color="auto"/>
              <w:right w:val="nil"/>
            </w:tcBorders>
            <w:vAlign w:val="center"/>
          </w:tcPr>
          <w:p w14:paraId="7B2081C3" w14:textId="65565165" w:rsidR="000B6579" w:rsidRPr="00F6445C" w:rsidRDefault="000B6579" w:rsidP="000B6579">
            <w:pPr>
              <w:pStyle w:val="NormalWeb"/>
              <w:spacing w:line="360" w:lineRule="auto"/>
              <w:jc w:val="both"/>
              <w:rPr>
                <w:sz w:val="18"/>
                <w:szCs w:val="18"/>
              </w:rPr>
            </w:pPr>
            <w:r w:rsidRPr="00F6445C">
              <w:rPr>
                <w:sz w:val="18"/>
                <w:szCs w:val="18"/>
              </w:rPr>
              <w:t>0.193676</w:t>
            </w:r>
          </w:p>
        </w:tc>
      </w:tr>
    </w:tbl>
    <w:p w14:paraId="47739C10" w14:textId="77777777" w:rsidR="0058196C" w:rsidRPr="00F6445C" w:rsidRDefault="0058196C" w:rsidP="00EE5A42">
      <w:pPr>
        <w:pStyle w:val="NormalWeb"/>
        <w:spacing w:line="360" w:lineRule="auto"/>
        <w:jc w:val="both"/>
        <w:rPr>
          <w:b/>
          <w:bCs/>
          <w:sz w:val="22"/>
        </w:rPr>
      </w:pPr>
    </w:p>
    <w:p w14:paraId="016C2143" w14:textId="20F08D90" w:rsidR="00762CF9" w:rsidRPr="00F6445C" w:rsidRDefault="00762CF9" w:rsidP="00EE5A42">
      <w:pPr>
        <w:pStyle w:val="NormalWeb"/>
        <w:spacing w:line="360" w:lineRule="auto"/>
        <w:jc w:val="both"/>
        <w:rPr>
          <w:b/>
          <w:bCs/>
          <w:sz w:val="22"/>
        </w:rPr>
      </w:pPr>
      <w:r w:rsidRPr="00F6445C">
        <w:rPr>
          <w:b/>
          <w:bCs/>
          <w:sz w:val="22"/>
        </w:rPr>
        <w:t xml:space="preserve">SUR coefficient estimates: macro-financial sensitivities </w:t>
      </w:r>
    </w:p>
    <w:p w14:paraId="62105392" w14:textId="0B113999" w:rsidR="003B2ADC" w:rsidRPr="00F6445C" w:rsidRDefault="003B2ADC" w:rsidP="00EE5A42">
      <w:pPr>
        <w:pStyle w:val="NormalWeb"/>
        <w:spacing w:line="360" w:lineRule="auto"/>
        <w:jc w:val="both"/>
        <w:rPr>
          <w:bCs/>
          <w:sz w:val="22"/>
        </w:rPr>
      </w:pPr>
      <w:r w:rsidRPr="00F6445C">
        <w:rPr>
          <w:bCs/>
          <w:sz w:val="22"/>
        </w:rPr>
        <w:t xml:space="preserve">Table 4 reports the estimated coefficients from the SUR–FGLS model. Several key patterns emerge. First, global market influences play a dominant role. The lagged S&amp;P 500 coefficient is positive and highly significant across all sectors, indicating strong international </w:t>
      </w:r>
      <w:proofErr w:type="spellStart"/>
      <w:r w:rsidRPr="00F6445C">
        <w:rPr>
          <w:bCs/>
          <w:sz w:val="22"/>
        </w:rPr>
        <w:t>spillover</w:t>
      </w:r>
      <w:proofErr w:type="spellEnd"/>
      <w:r w:rsidRPr="00F6445C">
        <w:rPr>
          <w:bCs/>
          <w:sz w:val="22"/>
        </w:rPr>
        <w:t xml:space="preserve"> effects from global equity markets to Indian sectoral returns. Second, domestic market exposure, captured through the lagged NIFTY 50 return, is consistently negative across sectors. This reflects the adjusted specification where global and domestic market factors are jointly included, leading to </w:t>
      </w:r>
      <w:r w:rsidR="007C2AD5">
        <w:rPr>
          <w:bCs/>
          <w:sz w:val="22"/>
        </w:rPr>
        <w:t xml:space="preserve">a </w:t>
      </w:r>
      <w:r w:rsidRPr="00F6445C">
        <w:rPr>
          <w:bCs/>
          <w:sz w:val="22"/>
        </w:rPr>
        <w:t>relative reallocation of explanatory power across correlated regressors. Third, volatility effects are generally negative but modest in magnitude, with sectors such as FMCG and Pharma showing stronger sensitivity to changes in market uncertainty. Fourth, exchange-rate effects display substantial heterogeneity across sectors. Banking, Auto, and Realty exhibit positive exposure to USD/INR movements, while Pharma shows a negative association, reflecting differences in external exposure and cost structures. Fifth, commodity price effects are most pronounced in Metals and Energy, where Brent crude coefficients are positive and statistically meaningful, consistent with commodity-cycle dependence. Finally, lagged own returns indicate mild short-term persistence in sectors such as Banking and Realty, while most sectors exhibit limited autocorrelation in conditional mean dynamics.</w:t>
      </w:r>
    </w:p>
    <w:p w14:paraId="043A9867" w14:textId="7A5071AA" w:rsidR="00091F53" w:rsidRPr="00F6445C" w:rsidRDefault="00BF6B13" w:rsidP="00EE5A42">
      <w:pPr>
        <w:pStyle w:val="NormalWeb"/>
        <w:spacing w:line="360" w:lineRule="auto"/>
        <w:jc w:val="both"/>
        <w:rPr>
          <w:b/>
          <w:bCs/>
        </w:rPr>
      </w:pPr>
      <w:r w:rsidRPr="00F6445C">
        <w:rPr>
          <w:b/>
          <w:bCs/>
        </w:rPr>
        <w:t>Table 4:</w:t>
      </w:r>
      <w:r w:rsidR="00091F53" w:rsidRPr="00F6445C">
        <w:rPr>
          <w:b/>
          <w:bCs/>
        </w:rPr>
        <w:t xml:space="preserve"> Seemingly Unrelated Regression (SUR) Coefficient Estimates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982"/>
        <w:gridCol w:w="981"/>
        <w:gridCol w:w="1046"/>
        <w:gridCol w:w="981"/>
        <w:gridCol w:w="1079"/>
        <w:gridCol w:w="982"/>
        <w:gridCol w:w="981"/>
        <w:gridCol w:w="981"/>
      </w:tblGrid>
      <w:tr w:rsidR="00091F53" w:rsidRPr="00F6445C" w14:paraId="12B56C7D" w14:textId="77777777" w:rsidTr="007A0E5E">
        <w:tc>
          <w:tcPr>
            <w:tcW w:w="0" w:type="auto"/>
            <w:tcBorders>
              <w:bottom w:val="single" w:sz="4" w:space="0" w:color="auto"/>
            </w:tcBorders>
            <w:hideMark/>
          </w:tcPr>
          <w:p w14:paraId="56F5562C" w14:textId="77777777" w:rsidR="00091F53" w:rsidRPr="00F6445C" w:rsidRDefault="00091F53" w:rsidP="00EE5A42">
            <w:pPr>
              <w:pStyle w:val="NormalWeb"/>
              <w:spacing w:line="360" w:lineRule="auto"/>
              <w:jc w:val="both"/>
              <w:rPr>
                <w:b/>
                <w:bCs/>
                <w:sz w:val="22"/>
                <w:szCs w:val="22"/>
              </w:rPr>
            </w:pPr>
            <w:r w:rsidRPr="00F6445C">
              <w:rPr>
                <w:b/>
                <w:bCs/>
                <w:sz w:val="22"/>
                <w:szCs w:val="22"/>
              </w:rPr>
              <w:t>Variable</w:t>
            </w:r>
          </w:p>
        </w:tc>
        <w:tc>
          <w:tcPr>
            <w:tcW w:w="0" w:type="auto"/>
            <w:tcBorders>
              <w:bottom w:val="single" w:sz="4" w:space="0" w:color="auto"/>
            </w:tcBorders>
            <w:hideMark/>
          </w:tcPr>
          <w:p w14:paraId="1CF7BD03" w14:textId="77777777" w:rsidR="00091F53" w:rsidRPr="00F6445C" w:rsidRDefault="00091F53" w:rsidP="00EE5A42">
            <w:pPr>
              <w:pStyle w:val="NormalWeb"/>
              <w:spacing w:line="360" w:lineRule="auto"/>
              <w:jc w:val="both"/>
              <w:rPr>
                <w:b/>
                <w:bCs/>
                <w:sz w:val="22"/>
                <w:szCs w:val="22"/>
              </w:rPr>
            </w:pPr>
            <w:r w:rsidRPr="00F6445C">
              <w:rPr>
                <w:b/>
                <w:bCs/>
                <w:sz w:val="22"/>
                <w:szCs w:val="22"/>
              </w:rPr>
              <w:t>IT</w:t>
            </w:r>
          </w:p>
        </w:tc>
        <w:tc>
          <w:tcPr>
            <w:tcW w:w="0" w:type="auto"/>
            <w:tcBorders>
              <w:bottom w:val="single" w:sz="4" w:space="0" w:color="auto"/>
            </w:tcBorders>
            <w:hideMark/>
          </w:tcPr>
          <w:p w14:paraId="671AEC90" w14:textId="77777777" w:rsidR="00091F53" w:rsidRPr="00F6445C" w:rsidRDefault="00091F53" w:rsidP="00EE5A42">
            <w:pPr>
              <w:pStyle w:val="NormalWeb"/>
              <w:spacing w:line="360" w:lineRule="auto"/>
              <w:jc w:val="both"/>
              <w:rPr>
                <w:b/>
                <w:bCs/>
                <w:sz w:val="22"/>
                <w:szCs w:val="22"/>
              </w:rPr>
            </w:pPr>
            <w:r w:rsidRPr="00F6445C">
              <w:rPr>
                <w:b/>
                <w:bCs/>
                <w:sz w:val="22"/>
                <w:szCs w:val="22"/>
              </w:rPr>
              <w:t>FMCG</w:t>
            </w:r>
          </w:p>
        </w:tc>
        <w:tc>
          <w:tcPr>
            <w:tcW w:w="0" w:type="auto"/>
            <w:tcBorders>
              <w:bottom w:val="single" w:sz="4" w:space="0" w:color="auto"/>
            </w:tcBorders>
            <w:hideMark/>
          </w:tcPr>
          <w:p w14:paraId="0EF22D4D" w14:textId="77777777" w:rsidR="00091F53" w:rsidRPr="00F6445C" w:rsidRDefault="00091F53" w:rsidP="00EE5A42">
            <w:pPr>
              <w:pStyle w:val="NormalWeb"/>
              <w:spacing w:line="360" w:lineRule="auto"/>
              <w:jc w:val="both"/>
              <w:rPr>
                <w:b/>
                <w:bCs/>
                <w:sz w:val="22"/>
                <w:szCs w:val="22"/>
              </w:rPr>
            </w:pPr>
            <w:r w:rsidRPr="00F6445C">
              <w:rPr>
                <w:b/>
                <w:bCs/>
                <w:sz w:val="22"/>
                <w:szCs w:val="22"/>
              </w:rPr>
              <w:t>Pharma</w:t>
            </w:r>
          </w:p>
        </w:tc>
        <w:tc>
          <w:tcPr>
            <w:tcW w:w="0" w:type="auto"/>
            <w:tcBorders>
              <w:bottom w:val="single" w:sz="4" w:space="0" w:color="auto"/>
            </w:tcBorders>
            <w:hideMark/>
          </w:tcPr>
          <w:p w14:paraId="7BC0A668" w14:textId="77777777" w:rsidR="00091F53" w:rsidRPr="00F6445C" w:rsidRDefault="00091F53" w:rsidP="00EE5A42">
            <w:pPr>
              <w:pStyle w:val="NormalWeb"/>
              <w:spacing w:line="360" w:lineRule="auto"/>
              <w:jc w:val="both"/>
              <w:rPr>
                <w:b/>
                <w:bCs/>
                <w:sz w:val="22"/>
                <w:szCs w:val="22"/>
              </w:rPr>
            </w:pPr>
            <w:r w:rsidRPr="00F6445C">
              <w:rPr>
                <w:b/>
                <w:bCs/>
                <w:sz w:val="22"/>
                <w:szCs w:val="22"/>
              </w:rPr>
              <w:t>Auto</w:t>
            </w:r>
          </w:p>
        </w:tc>
        <w:tc>
          <w:tcPr>
            <w:tcW w:w="0" w:type="auto"/>
            <w:tcBorders>
              <w:bottom w:val="single" w:sz="4" w:space="0" w:color="auto"/>
            </w:tcBorders>
            <w:hideMark/>
          </w:tcPr>
          <w:p w14:paraId="28BCCFE8" w14:textId="77777777" w:rsidR="00091F53" w:rsidRPr="00F6445C" w:rsidRDefault="00091F53" w:rsidP="00EE5A42">
            <w:pPr>
              <w:pStyle w:val="NormalWeb"/>
              <w:spacing w:line="360" w:lineRule="auto"/>
              <w:jc w:val="both"/>
              <w:rPr>
                <w:b/>
                <w:bCs/>
                <w:sz w:val="22"/>
                <w:szCs w:val="22"/>
              </w:rPr>
            </w:pPr>
            <w:r w:rsidRPr="00F6445C">
              <w:rPr>
                <w:b/>
                <w:bCs/>
                <w:sz w:val="22"/>
                <w:szCs w:val="22"/>
              </w:rPr>
              <w:t>Banking</w:t>
            </w:r>
          </w:p>
        </w:tc>
        <w:tc>
          <w:tcPr>
            <w:tcW w:w="0" w:type="auto"/>
            <w:tcBorders>
              <w:bottom w:val="single" w:sz="4" w:space="0" w:color="auto"/>
            </w:tcBorders>
            <w:hideMark/>
          </w:tcPr>
          <w:p w14:paraId="6E80AEF3" w14:textId="77777777" w:rsidR="00091F53" w:rsidRPr="00F6445C" w:rsidRDefault="00091F53" w:rsidP="00EE5A42">
            <w:pPr>
              <w:pStyle w:val="NormalWeb"/>
              <w:spacing w:line="360" w:lineRule="auto"/>
              <w:jc w:val="both"/>
              <w:rPr>
                <w:b/>
                <w:bCs/>
                <w:sz w:val="22"/>
                <w:szCs w:val="22"/>
              </w:rPr>
            </w:pPr>
            <w:r w:rsidRPr="00F6445C">
              <w:rPr>
                <w:b/>
                <w:bCs/>
                <w:sz w:val="22"/>
                <w:szCs w:val="22"/>
              </w:rPr>
              <w:t>Energy</w:t>
            </w:r>
          </w:p>
        </w:tc>
        <w:tc>
          <w:tcPr>
            <w:tcW w:w="0" w:type="auto"/>
            <w:tcBorders>
              <w:bottom w:val="single" w:sz="4" w:space="0" w:color="auto"/>
            </w:tcBorders>
            <w:hideMark/>
          </w:tcPr>
          <w:p w14:paraId="59C49EE8" w14:textId="77777777" w:rsidR="00091F53" w:rsidRPr="00F6445C" w:rsidRDefault="00091F53" w:rsidP="00EE5A42">
            <w:pPr>
              <w:pStyle w:val="NormalWeb"/>
              <w:spacing w:line="360" w:lineRule="auto"/>
              <w:jc w:val="both"/>
              <w:rPr>
                <w:b/>
                <w:bCs/>
                <w:sz w:val="22"/>
                <w:szCs w:val="22"/>
              </w:rPr>
            </w:pPr>
            <w:r w:rsidRPr="00F6445C">
              <w:rPr>
                <w:b/>
                <w:bCs/>
                <w:sz w:val="22"/>
                <w:szCs w:val="22"/>
              </w:rPr>
              <w:t>Metals</w:t>
            </w:r>
          </w:p>
        </w:tc>
        <w:tc>
          <w:tcPr>
            <w:tcW w:w="0" w:type="auto"/>
            <w:tcBorders>
              <w:bottom w:val="single" w:sz="4" w:space="0" w:color="auto"/>
            </w:tcBorders>
            <w:hideMark/>
          </w:tcPr>
          <w:p w14:paraId="67110338" w14:textId="77777777" w:rsidR="00091F53" w:rsidRPr="00F6445C" w:rsidRDefault="00091F53" w:rsidP="00EE5A42">
            <w:pPr>
              <w:pStyle w:val="NormalWeb"/>
              <w:spacing w:line="360" w:lineRule="auto"/>
              <w:jc w:val="both"/>
              <w:rPr>
                <w:b/>
                <w:bCs/>
                <w:sz w:val="22"/>
                <w:szCs w:val="22"/>
              </w:rPr>
            </w:pPr>
            <w:r w:rsidRPr="00F6445C">
              <w:rPr>
                <w:b/>
                <w:bCs/>
                <w:sz w:val="22"/>
                <w:szCs w:val="22"/>
              </w:rPr>
              <w:t>Realty</w:t>
            </w:r>
          </w:p>
        </w:tc>
      </w:tr>
      <w:tr w:rsidR="00C1662A" w:rsidRPr="00F6445C" w14:paraId="7527F905" w14:textId="77777777" w:rsidTr="008A1228">
        <w:tc>
          <w:tcPr>
            <w:tcW w:w="0" w:type="auto"/>
            <w:tcBorders>
              <w:top w:val="single" w:sz="4" w:space="0" w:color="auto"/>
            </w:tcBorders>
            <w:hideMark/>
          </w:tcPr>
          <w:p w14:paraId="550FB586" w14:textId="77777777" w:rsidR="00C1662A" w:rsidRPr="00F6445C" w:rsidRDefault="00C1662A" w:rsidP="00C1662A">
            <w:pPr>
              <w:pStyle w:val="NormalWeb"/>
              <w:spacing w:line="360" w:lineRule="auto"/>
              <w:jc w:val="both"/>
              <w:rPr>
                <w:sz w:val="22"/>
                <w:szCs w:val="22"/>
              </w:rPr>
            </w:pPr>
            <w:r w:rsidRPr="00F6445C">
              <w:rPr>
                <w:b/>
                <w:bCs/>
                <w:sz w:val="22"/>
                <w:szCs w:val="22"/>
              </w:rPr>
              <w:t>Constant</w:t>
            </w:r>
          </w:p>
        </w:tc>
        <w:tc>
          <w:tcPr>
            <w:tcW w:w="0" w:type="auto"/>
            <w:tcBorders>
              <w:top w:val="single" w:sz="4" w:space="0" w:color="auto"/>
            </w:tcBorders>
            <w:vAlign w:val="center"/>
            <w:hideMark/>
          </w:tcPr>
          <w:p w14:paraId="56B3C5C5" w14:textId="53CCB2CB" w:rsidR="00C1662A" w:rsidRPr="00F6445C" w:rsidRDefault="00C1662A" w:rsidP="00C1662A">
            <w:pPr>
              <w:pStyle w:val="NormalWeb"/>
              <w:spacing w:line="360" w:lineRule="auto"/>
              <w:jc w:val="both"/>
              <w:rPr>
                <w:sz w:val="22"/>
                <w:szCs w:val="22"/>
              </w:rPr>
            </w:pPr>
            <w:r w:rsidRPr="00F6445C">
              <w:rPr>
                <w:sz w:val="20"/>
                <w:szCs w:val="20"/>
              </w:rPr>
              <w:t>0.0411 (0.0373)</w:t>
            </w:r>
          </w:p>
        </w:tc>
        <w:tc>
          <w:tcPr>
            <w:tcW w:w="0" w:type="auto"/>
            <w:tcBorders>
              <w:top w:val="single" w:sz="4" w:space="0" w:color="auto"/>
            </w:tcBorders>
            <w:vAlign w:val="center"/>
            <w:hideMark/>
          </w:tcPr>
          <w:p w14:paraId="49B70C94" w14:textId="22CD360A" w:rsidR="00C1662A" w:rsidRPr="00F6445C" w:rsidRDefault="00C1662A" w:rsidP="00C1662A">
            <w:pPr>
              <w:pStyle w:val="NormalWeb"/>
              <w:spacing w:line="360" w:lineRule="auto"/>
              <w:jc w:val="both"/>
              <w:rPr>
                <w:sz w:val="22"/>
                <w:szCs w:val="22"/>
              </w:rPr>
            </w:pPr>
            <w:r w:rsidRPr="00F6445C">
              <w:rPr>
                <w:sz w:val="20"/>
                <w:szCs w:val="20"/>
              </w:rPr>
              <w:t>0.0398 (0.0273)</w:t>
            </w:r>
          </w:p>
        </w:tc>
        <w:tc>
          <w:tcPr>
            <w:tcW w:w="0" w:type="auto"/>
            <w:tcBorders>
              <w:top w:val="single" w:sz="4" w:space="0" w:color="auto"/>
            </w:tcBorders>
            <w:vAlign w:val="center"/>
            <w:hideMark/>
          </w:tcPr>
          <w:p w14:paraId="0E6A66D4" w14:textId="2D8BBA03" w:rsidR="00C1662A" w:rsidRPr="00F6445C" w:rsidRDefault="00C1662A" w:rsidP="00C1662A">
            <w:pPr>
              <w:pStyle w:val="NormalWeb"/>
              <w:spacing w:line="360" w:lineRule="auto"/>
              <w:jc w:val="both"/>
              <w:rPr>
                <w:sz w:val="22"/>
                <w:szCs w:val="22"/>
              </w:rPr>
            </w:pPr>
            <w:r w:rsidRPr="00F6445C">
              <w:rPr>
                <w:sz w:val="20"/>
                <w:szCs w:val="20"/>
              </w:rPr>
              <w:t>0.0670 (0.0318)</w:t>
            </w:r>
          </w:p>
        </w:tc>
        <w:tc>
          <w:tcPr>
            <w:tcW w:w="0" w:type="auto"/>
            <w:tcBorders>
              <w:top w:val="single" w:sz="4" w:space="0" w:color="auto"/>
            </w:tcBorders>
            <w:vAlign w:val="center"/>
            <w:hideMark/>
          </w:tcPr>
          <w:p w14:paraId="22F79D6C" w14:textId="161E071F" w:rsidR="00C1662A" w:rsidRPr="00F6445C" w:rsidRDefault="00C1662A" w:rsidP="00C1662A">
            <w:pPr>
              <w:pStyle w:val="NormalWeb"/>
              <w:spacing w:line="360" w:lineRule="auto"/>
              <w:jc w:val="both"/>
              <w:rPr>
                <w:sz w:val="22"/>
                <w:szCs w:val="22"/>
              </w:rPr>
            </w:pPr>
            <w:r w:rsidRPr="00F6445C">
              <w:rPr>
                <w:sz w:val="20"/>
                <w:szCs w:val="20"/>
              </w:rPr>
              <w:t>0.0699 (0.0381)</w:t>
            </w:r>
          </w:p>
        </w:tc>
        <w:tc>
          <w:tcPr>
            <w:tcW w:w="0" w:type="auto"/>
            <w:tcBorders>
              <w:top w:val="single" w:sz="4" w:space="0" w:color="auto"/>
            </w:tcBorders>
            <w:vAlign w:val="center"/>
            <w:hideMark/>
          </w:tcPr>
          <w:p w14:paraId="105EF9E0" w14:textId="495AEC42" w:rsidR="00C1662A" w:rsidRPr="00F6445C" w:rsidRDefault="00C1662A" w:rsidP="00C1662A">
            <w:pPr>
              <w:pStyle w:val="NormalWeb"/>
              <w:spacing w:line="360" w:lineRule="auto"/>
              <w:jc w:val="both"/>
              <w:rPr>
                <w:sz w:val="22"/>
                <w:szCs w:val="22"/>
              </w:rPr>
            </w:pPr>
            <w:r w:rsidRPr="00F6445C">
              <w:rPr>
                <w:sz w:val="20"/>
                <w:szCs w:val="20"/>
              </w:rPr>
              <w:t>0.0299 (0.0398)</w:t>
            </w:r>
          </w:p>
        </w:tc>
        <w:tc>
          <w:tcPr>
            <w:tcW w:w="0" w:type="auto"/>
            <w:tcBorders>
              <w:top w:val="single" w:sz="4" w:space="0" w:color="auto"/>
            </w:tcBorders>
            <w:vAlign w:val="center"/>
            <w:hideMark/>
          </w:tcPr>
          <w:p w14:paraId="26A4BE59" w14:textId="1E75601A" w:rsidR="00C1662A" w:rsidRPr="00F6445C" w:rsidRDefault="00C1662A" w:rsidP="00C1662A">
            <w:pPr>
              <w:pStyle w:val="NormalWeb"/>
              <w:spacing w:line="360" w:lineRule="auto"/>
              <w:jc w:val="both"/>
              <w:rPr>
                <w:sz w:val="22"/>
                <w:szCs w:val="22"/>
              </w:rPr>
            </w:pPr>
            <w:r w:rsidRPr="00F6445C">
              <w:rPr>
                <w:sz w:val="20"/>
                <w:szCs w:val="20"/>
              </w:rPr>
              <w:t>0.0458 (0.0374)</w:t>
            </w:r>
          </w:p>
        </w:tc>
        <w:tc>
          <w:tcPr>
            <w:tcW w:w="0" w:type="auto"/>
            <w:tcBorders>
              <w:top w:val="single" w:sz="4" w:space="0" w:color="auto"/>
            </w:tcBorders>
            <w:vAlign w:val="center"/>
            <w:hideMark/>
          </w:tcPr>
          <w:p w14:paraId="19272A1C" w14:textId="1A11B8ED" w:rsidR="00C1662A" w:rsidRPr="00F6445C" w:rsidRDefault="00C1662A" w:rsidP="00C1662A">
            <w:pPr>
              <w:pStyle w:val="NormalWeb"/>
              <w:spacing w:line="360" w:lineRule="auto"/>
              <w:jc w:val="both"/>
              <w:rPr>
                <w:sz w:val="22"/>
                <w:szCs w:val="22"/>
              </w:rPr>
            </w:pPr>
            <w:r w:rsidRPr="00F6445C">
              <w:rPr>
                <w:sz w:val="20"/>
                <w:szCs w:val="20"/>
              </w:rPr>
              <w:t>0.0766 (0.0484)</w:t>
            </w:r>
          </w:p>
        </w:tc>
        <w:tc>
          <w:tcPr>
            <w:tcW w:w="0" w:type="auto"/>
            <w:tcBorders>
              <w:top w:val="single" w:sz="4" w:space="0" w:color="auto"/>
            </w:tcBorders>
            <w:vAlign w:val="center"/>
            <w:hideMark/>
          </w:tcPr>
          <w:p w14:paraId="0E873C7B" w14:textId="78530EEB" w:rsidR="00C1662A" w:rsidRPr="00F6445C" w:rsidRDefault="00C1662A" w:rsidP="00C1662A">
            <w:pPr>
              <w:pStyle w:val="NormalWeb"/>
              <w:spacing w:line="360" w:lineRule="auto"/>
              <w:jc w:val="both"/>
              <w:rPr>
                <w:sz w:val="22"/>
                <w:szCs w:val="22"/>
              </w:rPr>
            </w:pPr>
            <w:r w:rsidRPr="00F6445C">
              <w:rPr>
                <w:sz w:val="20"/>
                <w:szCs w:val="20"/>
              </w:rPr>
              <w:t>0.0547 (0.0503)</w:t>
            </w:r>
          </w:p>
        </w:tc>
      </w:tr>
      <w:tr w:rsidR="00C1662A" w:rsidRPr="00F6445C" w14:paraId="582B848B" w14:textId="77777777" w:rsidTr="008A1228">
        <w:tc>
          <w:tcPr>
            <w:tcW w:w="0" w:type="auto"/>
            <w:hideMark/>
          </w:tcPr>
          <w:p w14:paraId="198939D1" w14:textId="77777777" w:rsidR="00C1662A" w:rsidRPr="00F6445C" w:rsidRDefault="00C1662A" w:rsidP="00C1662A">
            <w:pPr>
              <w:pStyle w:val="NormalWeb"/>
              <w:spacing w:line="360" w:lineRule="auto"/>
              <w:jc w:val="both"/>
              <w:rPr>
                <w:sz w:val="22"/>
                <w:szCs w:val="22"/>
              </w:rPr>
            </w:pPr>
            <w:r w:rsidRPr="00F6445C">
              <w:rPr>
                <w:b/>
                <w:bCs/>
                <w:sz w:val="22"/>
                <w:szCs w:val="22"/>
              </w:rPr>
              <w:lastRenderedPageBreak/>
              <w:t>Lagged own return (L1_own)</w:t>
            </w:r>
          </w:p>
        </w:tc>
        <w:tc>
          <w:tcPr>
            <w:tcW w:w="0" w:type="auto"/>
            <w:vAlign w:val="center"/>
            <w:hideMark/>
          </w:tcPr>
          <w:p w14:paraId="407BCA49" w14:textId="5CA27D15" w:rsidR="00C1662A" w:rsidRPr="00F6445C" w:rsidRDefault="00C1662A" w:rsidP="00C1662A">
            <w:pPr>
              <w:pStyle w:val="NormalWeb"/>
              <w:spacing w:line="360" w:lineRule="auto"/>
              <w:jc w:val="both"/>
              <w:rPr>
                <w:sz w:val="22"/>
                <w:szCs w:val="22"/>
              </w:rPr>
            </w:pPr>
            <w:r w:rsidRPr="00F6445C">
              <w:rPr>
                <w:sz w:val="20"/>
                <w:szCs w:val="20"/>
              </w:rPr>
              <w:t>0.0288 (0.0285)</w:t>
            </w:r>
          </w:p>
        </w:tc>
        <w:tc>
          <w:tcPr>
            <w:tcW w:w="0" w:type="auto"/>
            <w:vAlign w:val="center"/>
            <w:hideMark/>
          </w:tcPr>
          <w:p w14:paraId="680C37AC" w14:textId="4970FE0B" w:rsidR="00C1662A" w:rsidRPr="00F6445C" w:rsidRDefault="00C1662A" w:rsidP="00C1662A">
            <w:pPr>
              <w:pStyle w:val="NormalWeb"/>
              <w:spacing w:line="360" w:lineRule="auto"/>
              <w:jc w:val="both"/>
              <w:rPr>
                <w:sz w:val="22"/>
                <w:szCs w:val="22"/>
              </w:rPr>
            </w:pPr>
            <w:r w:rsidRPr="00F6445C">
              <w:rPr>
                <w:sz w:val="20"/>
                <w:szCs w:val="20"/>
              </w:rPr>
              <w:t>0.0256 (0.0267)</w:t>
            </w:r>
          </w:p>
        </w:tc>
        <w:tc>
          <w:tcPr>
            <w:tcW w:w="0" w:type="auto"/>
            <w:vAlign w:val="center"/>
            <w:hideMark/>
          </w:tcPr>
          <w:p w14:paraId="37C0A391" w14:textId="2E37CC87" w:rsidR="00C1662A" w:rsidRPr="00F6445C" w:rsidRDefault="00C1662A" w:rsidP="00C1662A">
            <w:pPr>
              <w:pStyle w:val="NormalWeb"/>
              <w:spacing w:line="360" w:lineRule="auto"/>
              <w:jc w:val="both"/>
              <w:rPr>
                <w:sz w:val="22"/>
                <w:szCs w:val="22"/>
              </w:rPr>
            </w:pPr>
            <w:r w:rsidRPr="00F6445C">
              <w:rPr>
                <w:sz w:val="20"/>
                <w:szCs w:val="20"/>
              </w:rPr>
              <w:t>0.0086 (0.0252)</w:t>
            </w:r>
          </w:p>
        </w:tc>
        <w:tc>
          <w:tcPr>
            <w:tcW w:w="0" w:type="auto"/>
            <w:vAlign w:val="center"/>
            <w:hideMark/>
          </w:tcPr>
          <w:p w14:paraId="744FC298" w14:textId="0B576527" w:rsidR="00C1662A" w:rsidRPr="00F6445C" w:rsidRDefault="00C1662A" w:rsidP="00C1662A">
            <w:pPr>
              <w:pStyle w:val="NormalWeb"/>
              <w:spacing w:line="360" w:lineRule="auto"/>
              <w:jc w:val="both"/>
              <w:rPr>
                <w:sz w:val="22"/>
                <w:szCs w:val="22"/>
              </w:rPr>
            </w:pPr>
            <w:r w:rsidRPr="00F6445C">
              <w:rPr>
                <w:sz w:val="20"/>
                <w:szCs w:val="20"/>
              </w:rPr>
              <w:t>0.0190 (0.0267)</w:t>
            </w:r>
          </w:p>
        </w:tc>
        <w:tc>
          <w:tcPr>
            <w:tcW w:w="0" w:type="auto"/>
            <w:vAlign w:val="center"/>
            <w:hideMark/>
          </w:tcPr>
          <w:p w14:paraId="32E94804" w14:textId="79E43569" w:rsidR="00C1662A" w:rsidRPr="00F6445C" w:rsidRDefault="00C1662A" w:rsidP="00C1662A">
            <w:pPr>
              <w:pStyle w:val="NormalWeb"/>
              <w:spacing w:line="360" w:lineRule="auto"/>
              <w:jc w:val="both"/>
              <w:rPr>
                <w:sz w:val="22"/>
                <w:szCs w:val="22"/>
              </w:rPr>
            </w:pPr>
            <w:r w:rsidRPr="00F6445C">
              <w:rPr>
                <w:sz w:val="20"/>
                <w:szCs w:val="20"/>
              </w:rPr>
              <w:t>0.1107 (0.0384)</w:t>
            </w:r>
          </w:p>
        </w:tc>
        <w:tc>
          <w:tcPr>
            <w:tcW w:w="0" w:type="auto"/>
            <w:vAlign w:val="center"/>
            <w:hideMark/>
          </w:tcPr>
          <w:p w14:paraId="3A7C929A" w14:textId="73AFA66B" w:rsidR="00C1662A" w:rsidRPr="00F6445C" w:rsidRDefault="00C1662A" w:rsidP="00C1662A">
            <w:pPr>
              <w:pStyle w:val="NormalWeb"/>
              <w:spacing w:line="360" w:lineRule="auto"/>
              <w:jc w:val="both"/>
              <w:rPr>
                <w:sz w:val="22"/>
                <w:szCs w:val="22"/>
              </w:rPr>
            </w:pPr>
            <w:r w:rsidRPr="00F6445C">
              <w:rPr>
                <w:sz w:val="20"/>
                <w:szCs w:val="20"/>
              </w:rPr>
              <w:t>0.0347 (0.0263)</w:t>
            </w:r>
          </w:p>
        </w:tc>
        <w:tc>
          <w:tcPr>
            <w:tcW w:w="0" w:type="auto"/>
            <w:vAlign w:val="center"/>
            <w:hideMark/>
          </w:tcPr>
          <w:p w14:paraId="5810ECEB" w14:textId="1D2A8B1A" w:rsidR="00C1662A" w:rsidRPr="00F6445C" w:rsidRDefault="00C1662A" w:rsidP="00C1662A">
            <w:pPr>
              <w:pStyle w:val="NormalWeb"/>
              <w:spacing w:line="360" w:lineRule="auto"/>
              <w:jc w:val="both"/>
              <w:rPr>
                <w:sz w:val="22"/>
                <w:szCs w:val="22"/>
              </w:rPr>
            </w:pPr>
            <w:r w:rsidRPr="00F6445C">
              <w:rPr>
                <w:sz w:val="20"/>
                <w:szCs w:val="20"/>
              </w:rPr>
              <w:t>0.0114 (0.0244)</w:t>
            </w:r>
          </w:p>
        </w:tc>
        <w:tc>
          <w:tcPr>
            <w:tcW w:w="0" w:type="auto"/>
            <w:vAlign w:val="center"/>
            <w:hideMark/>
          </w:tcPr>
          <w:p w14:paraId="1C5DDE72" w14:textId="6D151027" w:rsidR="00C1662A" w:rsidRPr="00F6445C" w:rsidRDefault="00C1662A" w:rsidP="00C1662A">
            <w:pPr>
              <w:pStyle w:val="NormalWeb"/>
              <w:spacing w:line="360" w:lineRule="auto"/>
              <w:jc w:val="both"/>
              <w:rPr>
                <w:sz w:val="22"/>
                <w:szCs w:val="22"/>
              </w:rPr>
            </w:pPr>
            <w:r w:rsidRPr="00F6445C">
              <w:rPr>
                <w:sz w:val="20"/>
                <w:szCs w:val="20"/>
              </w:rPr>
              <w:t>0.0660 (0.0248)</w:t>
            </w:r>
          </w:p>
        </w:tc>
      </w:tr>
      <w:tr w:rsidR="00C1662A" w:rsidRPr="00F6445C" w14:paraId="550DAD20" w14:textId="77777777" w:rsidTr="008A1228">
        <w:tc>
          <w:tcPr>
            <w:tcW w:w="0" w:type="auto"/>
            <w:hideMark/>
          </w:tcPr>
          <w:p w14:paraId="1888AD21" w14:textId="77777777" w:rsidR="00C1662A" w:rsidRPr="00F6445C" w:rsidRDefault="00C1662A" w:rsidP="00C1662A">
            <w:pPr>
              <w:pStyle w:val="NormalWeb"/>
              <w:spacing w:line="360" w:lineRule="auto"/>
              <w:jc w:val="both"/>
              <w:rPr>
                <w:sz w:val="22"/>
                <w:szCs w:val="22"/>
              </w:rPr>
            </w:pPr>
            <w:r w:rsidRPr="00F6445C">
              <w:rPr>
                <w:b/>
                <w:bCs/>
                <w:sz w:val="22"/>
                <w:szCs w:val="22"/>
              </w:rPr>
              <w:t>Market return (MKT)</w:t>
            </w:r>
          </w:p>
        </w:tc>
        <w:tc>
          <w:tcPr>
            <w:tcW w:w="0" w:type="auto"/>
            <w:vAlign w:val="center"/>
            <w:hideMark/>
          </w:tcPr>
          <w:p w14:paraId="4E667C4A" w14:textId="5AA8AC5F" w:rsidR="00C1662A" w:rsidRPr="00F6445C" w:rsidRDefault="00C1662A" w:rsidP="00C1662A">
            <w:pPr>
              <w:pStyle w:val="NormalWeb"/>
              <w:spacing w:line="360" w:lineRule="auto"/>
              <w:jc w:val="both"/>
              <w:rPr>
                <w:sz w:val="22"/>
                <w:szCs w:val="22"/>
              </w:rPr>
            </w:pPr>
            <w:r w:rsidRPr="00F6445C">
              <w:rPr>
                <w:sz w:val="20"/>
                <w:szCs w:val="20"/>
              </w:rPr>
              <w:t>-0.2507 (0.0469)</w:t>
            </w:r>
          </w:p>
        </w:tc>
        <w:tc>
          <w:tcPr>
            <w:tcW w:w="0" w:type="auto"/>
            <w:vAlign w:val="center"/>
            <w:hideMark/>
          </w:tcPr>
          <w:p w14:paraId="4CBB10A7" w14:textId="029D7880" w:rsidR="00C1662A" w:rsidRPr="00F6445C" w:rsidRDefault="00C1662A" w:rsidP="00C1662A">
            <w:pPr>
              <w:pStyle w:val="NormalWeb"/>
              <w:spacing w:line="360" w:lineRule="auto"/>
              <w:jc w:val="both"/>
              <w:rPr>
                <w:sz w:val="22"/>
                <w:szCs w:val="22"/>
              </w:rPr>
            </w:pPr>
            <w:r w:rsidRPr="00F6445C">
              <w:rPr>
                <w:sz w:val="20"/>
                <w:szCs w:val="20"/>
              </w:rPr>
              <w:t>-0.1897 (0.0335)</w:t>
            </w:r>
          </w:p>
        </w:tc>
        <w:tc>
          <w:tcPr>
            <w:tcW w:w="0" w:type="auto"/>
            <w:vAlign w:val="center"/>
            <w:hideMark/>
          </w:tcPr>
          <w:p w14:paraId="3F7AB47B" w14:textId="08F51729" w:rsidR="00C1662A" w:rsidRPr="00F6445C" w:rsidRDefault="00C1662A" w:rsidP="00C1662A">
            <w:pPr>
              <w:pStyle w:val="NormalWeb"/>
              <w:spacing w:line="360" w:lineRule="auto"/>
              <w:jc w:val="both"/>
              <w:rPr>
                <w:sz w:val="22"/>
                <w:szCs w:val="22"/>
              </w:rPr>
            </w:pPr>
            <w:r w:rsidRPr="00F6445C">
              <w:rPr>
                <w:sz w:val="20"/>
                <w:szCs w:val="20"/>
              </w:rPr>
              <w:t>-0.1529 (0.0367)</w:t>
            </w:r>
          </w:p>
        </w:tc>
        <w:tc>
          <w:tcPr>
            <w:tcW w:w="0" w:type="auto"/>
            <w:vAlign w:val="center"/>
            <w:hideMark/>
          </w:tcPr>
          <w:p w14:paraId="616A960B" w14:textId="624ABFB7" w:rsidR="00C1662A" w:rsidRPr="00F6445C" w:rsidRDefault="00C1662A" w:rsidP="00C1662A">
            <w:pPr>
              <w:pStyle w:val="NormalWeb"/>
              <w:spacing w:line="360" w:lineRule="auto"/>
              <w:jc w:val="both"/>
              <w:rPr>
                <w:sz w:val="22"/>
                <w:szCs w:val="22"/>
              </w:rPr>
            </w:pPr>
            <w:r w:rsidRPr="00F6445C">
              <w:rPr>
                <w:sz w:val="20"/>
                <w:szCs w:val="20"/>
              </w:rPr>
              <w:t>-0.1095 (0.0483)</w:t>
            </w:r>
          </w:p>
        </w:tc>
        <w:tc>
          <w:tcPr>
            <w:tcW w:w="0" w:type="auto"/>
            <w:vAlign w:val="center"/>
            <w:hideMark/>
          </w:tcPr>
          <w:p w14:paraId="510B0926" w14:textId="50B7761D" w:rsidR="00C1662A" w:rsidRPr="00F6445C" w:rsidRDefault="00C1662A" w:rsidP="00C1662A">
            <w:pPr>
              <w:pStyle w:val="NormalWeb"/>
              <w:spacing w:line="360" w:lineRule="auto"/>
              <w:jc w:val="both"/>
              <w:rPr>
                <w:sz w:val="22"/>
                <w:szCs w:val="22"/>
              </w:rPr>
            </w:pPr>
            <w:r w:rsidRPr="00F6445C">
              <w:rPr>
                <w:sz w:val="20"/>
                <w:szCs w:val="20"/>
              </w:rPr>
              <w:t>-0.2818 (0.0627)</w:t>
            </w:r>
          </w:p>
        </w:tc>
        <w:tc>
          <w:tcPr>
            <w:tcW w:w="0" w:type="auto"/>
            <w:vAlign w:val="center"/>
            <w:hideMark/>
          </w:tcPr>
          <w:p w14:paraId="2F6AD8E3" w14:textId="5C34AA6C" w:rsidR="00C1662A" w:rsidRPr="00F6445C" w:rsidRDefault="00C1662A" w:rsidP="00C1662A">
            <w:pPr>
              <w:pStyle w:val="NormalWeb"/>
              <w:spacing w:line="360" w:lineRule="auto"/>
              <w:jc w:val="both"/>
              <w:rPr>
                <w:sz w:val="22"/>
                <w:szCs w:val="22"/>
              </w:rPr>
            </w:pPr>
            <w:r w:rsidRPr="00F6445C">
              <w:rPr>
                <w:sz w:val="20"/>
                <w:szCs w:val="20"/>
              </w:rPr>
              <w:t>-0.1905 (0.0475)</w:t>
            </w:r>
          </w:p>
        </w:tc>
        <w:tc>
          <w:tcPr>
            <w:tcW w:w="0" w:type="auto"/>
            <w:vAlign w:val="center"/>
            <w:hideMark/>
          </w:tcPr>
          <w:p w14:paraId="310F4D63" w14:textId="6276D66F" w:rsidR="00C1662A" w:rsidRPr="00F6445C" w:rsidRDefault="00C1662A" w:rsidP="00C1662A">
            <w:pPr>
              <w:pStyle w:val="NormalWeb"/>
              <w:spacing w:line="360" w:lineRule="auto"/>
              <w:jc w:val="both"/>
              <w:rPr>
                <w:sz w:val="22"/>
                <w:szCs w:val="22"/>
              </w:rPr>
            </w:pPr>
            <w:r w:rsidRPr="00F6445C">
              <w:rPr>
                <w:sz w:val="20"/>
                <w:szCs w:val="20"/>
              </w:rPr>
              <w:t>-0.2555 (0.0581)</w:t>
            </w:r>
          </w:p>
        </w:tc>
        <w:tc>
          <w:tcPr>
            <w:tcW w:w="0" w:type="auto"/>
            <w:vAlign w:val="center"/>
            <w:hideMark/>
          </w:tcPr>
          <w:p w14:paraId="3318AF66" w14:textId="0B0728BA" w:rsidR="00C1662A" w:rsidRPr="00F6445C" w:rsidRDefault="00C1662A" w:rsidP="00C1662A">
            <w:pPr>
              <w:pStyle w:val="NormalWeb"/>
              <w:spacing w:line="360" w:lineRule="auto"/>
              <w:jc w:val="both"/>
              <w:rPr>
                <w:sz w:val="22"/>
                <w:szCs w:val="22"/>
              </w:rPr>
            </w:pPr>
            <w:r w:rsidRPr="00F6445C">
              <w:rPr>
                <w:sz w:val="20"/>
                <w:szCs w:val="20"/>
              </w:rPr>
              <w:t>-0.1164 (0.0599)</w:t>
            </w:r>
          </w:p>
        </w:tc>
      </w:tr>
      <w:tr w:rsidR="00C1662A" w:rsidRPr="00F6445C" w14:paraId="0B6B970C" w14:textId="77777777" w:rsidTr="008A1228">
        <w:tc>
          <w:tcPr>
            <w:tcW w:w="0" w:type="auto"/>
            <w:hideMark/>
          </w:tcPr>
          <w:p w14:paraId="08B79300" w14:textId="77777777" w:rsidR="00C1662A" w:rsidRPr="00F6445C" w:rsidRDefault="00C1662A" w:rsidP="00C1662A">
            <w:pPr>
              <w:pStyle w:val="NormalWeb"/>
              <w:spacing w:line="360" w:lineRule="auto"/>
              <w:jc w:val="both"/>
              <w:rPr>
                <w:sz w:val="22"/>
                <w:szCs w:val="22"/>
              </w:rPr>
            </w:pPr>
            <w:r w:rsidRPr="00F6445C">
              <w:rPr>
                <w:b/>
                <w:bCs/>
                <w:sz w:val="22"/>
                <w:szCs w:val="22"/>
              </w:rPr>
              <w:t>India VIX (VIX)</w:t>
            </w:r>
          </w:p>
        </w:tc>
        <w:tc>
          <w:tcPr>
            <w:tcW w:w="0" w:type="auto"/>
            <w:vAlign w:val="center"/>
            <w:hideMark/>
          </w:tcPr>
          <w:p w14:paraId="058F0979" w14:textId="46CD3827" w:rsidR="00C1662A" w:rsidRPr="00F6445C" w:rsidRDefault="00C1662A" w:rsidP="00C1662A">
            <w:pPr>
              <w:pStyle w:val="NormalWeb"/>
              <w:spacing w:line="360" w:lineRule="auto"/>
              <w:jc w:val="both"/>
              <w:rPr>
                <w:sz w:val="22"/>
                <w:szCs w:val="22"/>
              </w:rPr>
            </w:pPr>
            <w:r w:rsidRPr="00F6445C">
              <w:rPr>
                <w:sz w:val="20"/>
                <w:szCs w:val="20"/>
              </w:rPr>
              <w:t>-0.0150 (0.0081)</w:t>
            </w:r>
          </w:p>
        </w:tc>
        <w:tc>
          <w:tcPr>
            <w:tcW w:w="0" w:type="auto"/>
            <w:vAlign w:val="center"/>
            <w:hideMark/>
          </w:tcPr>
          <w:p w14:paraId="5B6B0959" w14:textId="1A0A3166" w:rsidR="00C1662A" w:rsidRPr="00F6445C" w:rsidRDefault="00C1662A" w:rsidP="00C1662A">
            <w:pPr>
              <w:pStyle w:val="NormalWeb"/>
              <w:spacing w:line="360" w:lineRule="auto"/>
              <w:jc w:val="both"/>
              <w:rPr>
                <w:sz w:val="22"/>
                <w:szCs w:val="22"/>
              </w:rPr>
            </w:pPr>
            <w:r w:rsidRPr="00F6445C">
              <w:rPr>
                <w:sz w:val="20"/>
                <w:szCs w:val="20"/>
              </w:rPr>
              <w:t>-0.0122 (0.0059)</w:t>
            </w:r>
          </w:p>
        </w:tc>
        <w:tc>
          <w:tcPr>
            <w:tcW w:w="0" w:type="auto"/>
            <w:vAlign w:val="center"/>
            <w:hideMark/>
          </w:tcPr>
          <w:p w14:paraId="3452837C" w14:textId="25E95529" w:rsidR="00C1662A" w:rsidRPr="00F6445C" w:rsidRDefault="00C1662A" w:rsidP="00C1662A">
            <w:pPr>
              <w:pStyle w:val="NormalWeb"/>
              <w:spacing w:line="360" w:lineRule="auto"/>
              <w:jc w:val="both"/>
              <w:rPr>
                <w:sz w:val="22"/>
                <w:szCs w:val="22"/>
              </w:rPr>
            </w:pPr>
            <w:r w:rsidRPr="00F6445C">
              <w:rPr>
                <w:sz w:val="20"/>
                <w:szCs w:val="20"/>
              </w:rPr>
              <w:t>-0.0086 (0.0069)</w:t>
            </w:r>
          </w:p>
        </w:tc>
        <w:tc>
          <w:tcPr>
            <w:tcW w:w="0" w:type="auto"/>
            <w:vAlign w:val="center"/>
            <w:hideMark/>
          </w:tcPr>
          <w:p w14:paraId="5C8AF1F4" w14:textId="35A10201" w:rsidR="00C1662A" w:rsidRPr="00F6445C" w:rsidRDefault="00C1662A" w:rsidP="00C1662A">
            <w:pPr>
              <w:pStyle w:val="NormalWeb"/>
              <w:spacing w:line="360" w:lineRule="auto"/>
              <w:jc w:val="both"/>
              <w:rPr>
                <w:sz w:val="22"/>
                <w:szCs w:val="22"/>
              </w:rPr>
            </w:pPr>
            <w:r w:rsidRPr="00F6445C">
              <w:rPr>
                <w:sz w:val="20"/>
                <w:szCs w:val="20"/>
              </w:rPr>
              <w:t>0.0032 (0.0083)</w:t>
            </w:r>
          </w:p>
        </w:tc>
        <w:tc>
          <w:tcPr>
            <w:tcW w:w="0" w:type="auto"/>
            <w:vAlign w:val="center"/>
            <w:hideMark/>
          </w:tcPr>
          <w:p w14:paraId="59710989" w14:textId="53D1F8A6" w:rsidR="00C1662A" w:rsidRPr="00F6445C" w:rsidRDefault="00C1662A" w:rsidP="00C1662A">
            <w:pPr>
              <w:pStyle w:val="NormalWeb"/>
              <w:spacing w:line="360" w:lineRule="auto"/>
              <w:jc w:val="both"/>
              <w:rPr>
                <w:sz w:val="22"/>
                <w:szCs w:val="22"/>
              </w:rPr>
            </w:pPr>
            <w:r w:rsidRPr="00F6445C">
              <w:rPr>
                <w:sz w:val="20"/>
                <w:szCs w:val="20"/>
              </w:rPr>
              <w:t>-0.0040 (0.0087)</w:t>
            </w:r>
          </w:p>
        </w:tc>
        <w:tc>
          <w:tcPr>
            <w:tcW w:w="0" w:type="auto"/>
            <w:vAlign w:val="center"/>
            <w:hideMark/>
          </w:tcPr>
          <w:p w14:paraId="6087BC30" w14:textId="6F730ECC" w:rsidR="00C1662A" w:rsidRPr="00F6445C" w:rsidRDefault="00C1662A" w:rsidP="00C1662A">
            <w:pPr>
              <w:pStyle w:val="NormalWeb"/>
              <w:spacing w:line="360" w:lineRule="auto"/>
              <w:jc w:val="both"/>
              <w:rPr>
                <w:sz w:val="22"/>
                <w:szCs w:val="22"/>
              </w:rPr>
            </w:pPr>
            <w:r w:rsidRPr="00F6445C">
              <w:rPr>
                <w:sz w:val="20"/>
                <w:szCs w:val="20"/>
              </w:rPr>
              <w:t>-0.0096 (0.0082)</w:t>
            </w:r>
          </w:p>
        </w:tc>
        <w:tc>
          <w:tcPr>
            <w:tcW w:w="0" w:type="auto"/>
            <w:vAlign w:val="center"/>
            <w:hideMark/>
          </w:tcPr>
          <w:p w14:paraId="524B5B19" w14:textId="55142484" w:rsidR="00C1662A" w:rsidRPr="00F6445C" w:rsidRDefault="00C1662A" w:rsidP="00C1662A">
            <w:pPr>
              <w:pStyle w:val="NormalWeb"/>
              <w:spacing w:line="360" w:lineRule="auto"/>
              <w:jc w:val="both"/>
              <w:rPr>
                <w:sz w:val="22"/>
                <w:szCs w:val="22"/>
              </w:rPr>
            </w:pPr>
            <w:r w:rsidRPr="00F6445C">
              <w:rPr>
                <w:sz w:val="20"/>
                <w:szCs w:val="20"/>
              </w:rPr>
              <w:t>-0.0036 (0.0106)</w:t>
            </w:r>
          </w:p>
        </w:tc>
        <w:tc>
          <w:tcPr>
            <w:tcW w:w="0" w:type="auto"/>
            <w:vAlign w:val="center"/>
            <w:hideMark/>
          </w:tcPr>
          <w:p w14:paraId="2FF2A9DF" w14:textId="5883398F" w:rsidR="00C1662A" w:rsidRPr="00F6445C" w:rsidRDefault="00C1662A" w:rsidP="00C1662A">
            <w:pPr>
              <w:pStyle w:val="NormalWeb"/>
              <w:spacing w:line="360" w:lineRule="auto"/>
              <w:jc w:val="both"/>
              <w:rPr>
                <w:sz w:val="22"/>
                <w:szCs w:val="22"/>
              </w:rPr>
            </w:pPr>
            <w:r w:rsidRPr="00F6445C">
              <w:rPr>
                <w:sz w:val="20"/>
                <w:szCs w:val="20"/>
              </w:rPr>
              <w:t>-0.0023 (0.0110)</w:t>
            </w:r>
          </w:p>
        </w:tc>
      </w:tr>
      <w:tr w:rsidR="00C1662A" w:rsidRPr="00F6445C" w14:paraId="7E1D9EB5" w14:textId="77777777" w:rsidTr="008A1228">
        <w:tc>
          <w:tcPr>
            <w:tcW w:w="0" w:type="auto"/>
            <w:hideMark/>
          </w:tcPr>
          <w:p w14:paraId="398E6254" w14:textId="77777777" w:rsidR="00C1662A" w:rsidRPr="00F6445C" w:rsidRDefault="00C1662A" w:rsidP="00C1662A">
            <w:pPr>
              <w:pStyle w:val="NormalWeb"/>
              <w:spacing w:line="360" w:lineRule="auto"/>
              <w:jc w:val="both"/>
              <w:rPr>
                <w:sz w:val="22"/>
                <w:szCs w:val="22"/>
              </w:rPr>
            </w:pPr>
            <w:r w:rsidRPr="00F6445C">
              <w:rPr>
                <w:b/>
                <w:bCs/>
                <w:sz w:val="22"/>
                <w:szCs w:val="22"/>
              </w:rPr>
              <w:t>USD/INR</w:t>
            </w:r>
          </w:p>
        </w:tc>
        <w:tc>
          <w:tcPr>
            <w:tcW w:w="0" w:type="auto"/>
            <w:vAlign w:val="center"/>
            <w:hideMark/>
          </w:tcPr>
          <w:p w14:paraId="265F087C" w14:textId="766AB5D0" w:rsidR="00C1662A" w:rsidRPr="00F6445C" w:rsidRDefault="00C1662A" w:rsidP="00C1662A">
            <w:pPr>
              <w:pStyle w:val="NormalWeb"/>
              <w:spacing w:line="360" w:lineRule="auto"/>
              <w:jc w:val="both"/>
              <w:rPr>
                <w:sz w:val="22"/>
                <w:szCs w:val="22"/>
              </w:rPr>
            </w:pPr>
            <w:r w:rsidRPr="00F6445C">
              <w:rPr>
                <w:sz w:val="20"/>
                <w:szCs w:val="20"/>
              </w:rPr>
              <w:t>0.2130 (0.1092)</w:t>
            </w:r>
          </w:p>
        </w:tc>
        <w:tc>
          <w:tcPr>
            <w:tcW w:w="0" w:type="auto"/>
            <w:vAlign w:val="center"/>
            <w:hideMark/>
          </w:tcPr>
          <w:p w14:paraId="26D539F7" w14:textId="56821B9F" w:rsidR="00C1662A" w:rsidRPr="00F6445C" w:rsidRDefault="00C1662A" w:rsidP="00C1662A">
            <w:pPr>
              <w:pStyle w:val="NormalWeb"/>
              <w:spacing w:line="360" w:lineRule="auto"/>
              <w:jc w:val="both"/>
              <w:rPr>
                <w:sz w:val="22"/>
                <w:szCs w:val="22"/>
              </w:rPr>
            </w:pPr>
            <w:r w:rsidRPr="00F6445C">
              <w:rPr>
                <w:sz w:val="20"/>
                <w:szCs w:val="20"/>
              </w:rPr>
              <w:t>0.0753 (0.0800)</w:t>
            </w:r>
          </w:p>
        </w:tc>
        <w:tc>
          <w:tcPr>
            <w:tcW w:w="0" w:type="auto"/>
            <w:vAlign w:val="center"/>
            <w:hideMark/>
          </w:tcPr>
          <w:p w14:paraId="5D1D860E" w14:textId="06F3405D" w:rsidR="00C1662A" w:rsidRPr="00F6445C" w:rsidRDefault="00C1662A" w:rsidP="00C1662A">
            <w:pPr>
              <w:pStyle w:val="NormalWeb"/>
              <w:spacing w:line="360" w:lineRule="auto"/>
              <w:jc w:val="both"/>
              <w:rPr>
                <w:sz w:val="22"/>
                <w:szCs w:val="22"/>
              </w:rPr>
            </w:pPr>
            <w:r w:rsidRPr="00F6445C">
              <w:rPr>
                <w:sz w:val="20"/>
                <w:szCs w:val="20"/>
              </w:rPr>
              <w:t>-0.1191 (0.0934)</w:t>
            </w:r>
          </w:p>
        </w:tc>
        <w:tc>
          <w:tcPr>
            <w:tcW w:w="0" w:type="auto"/>
            <w:vAlign w:val="center"/>
            <w:hideMark/>
          </w:tcPr>
          <w:p w14:paraId="50ACB24F" w14:textId="348C437E" w:rsidR="00C1662A" w:rsidRPr="00F6445C" w:rsidRDefault="00C1662A" w:rsidP="00C1662A">
            <w:pPr>
              <w:pStyle w:val="NormalWeb"/>
              <w:spacing w:line="360" w:lineRule="auto"/>
              <w:jc w:val="both"/>
              <w:rPr>
                <w:sz w:val="22"/>
                <w:szCs w:val="22"/>
              </w:rPr>
            </w:pPr>
            <w:r w:rsidRPr="00F6445C">
              <w:rPr>
                <w:sz w:val="20"/>
                <w:szCs w:val="20"/>
              </w:rPr>
              <w:t>0.2541 (0.1113)</w:t>
            </w:r>
          </w:p>
        </w:tc>
        <w:tc>
          <w:tcPr>
            <w:tcW w:w="0" w:type="auto"/>
            <w:vAlign w:val="center"/>
            <w:hideMark/>
          </w:tcPr>
          <w:p w14:paraId="0C4157C5" w14:textId="78949C3D" w:rsidR="00C1662A" w:rsidRPr="00F6445C" w:rsidRDefault="00C1662A" w:rsidP="00C1662A">
            <w:pPr>
              <w:pStyle w:val="NormalWeb"/>
              <w:spacing w:line="360" w:lineRule="auto"/>
              <w:jc w:val="both"/>
              <w:rPr>
                <w:sz w:val="22"/>
                <w:szCs w:val="22"/>
              </w:rPr>
            </w:pPr>
            <w:r w:rsidRPr="00F6445C">
              <w:rPr>
                <w:sz w:val="20"/>
                <w:szCs w:val="20"/>
              </w:rPr>
              <w:t>0.3013 (0.1166)</w:t>
            </w:r>
          </w:p>
        </w:tc>
        <w:tc>
          <w:tcPr>
            <w:tcW w:w="0" w:type="auto"/>
            <w:vAlign w:val="center"/>
            <w:hideMark/>
          </w:tcPr>
          <w:p w14:paraId="41D0D697" w14:textId="0124EAE2" w:rsidR="00C1662A" w:rsidRPr="00F6445C" w:rsidRDefault="00C1662A" w:rsidP="00C1662A">
            <w:pPr>
              <w:pStyle w:val="NormalWeb"/>
              <w:spacing w:line="360" w:lineRule="auto"/>
              <w:jc w:val="both"/>
              <w:rPr>
                <w:sz w:val="22"/>
                <w:szCs w:val="22"/>
              </w:rPr>
            </w:pPr>
            <w:r w:rsidRPr="00F6445C">
              <w:rPr>
                <w:sz w:val="20"/>
                <w:szCs w:val="20"/>
              </w:rPr>
              <w:t>0.0839 (0.1096)</w:t>
            </w:r>
          </w:p>
        </w:tc>
        <w:tc>
          <w:tcPr>
            <w:tcW w:w="0" w:type="auto"/>
            <w:vAlign w:val="center"/>
            <w:hideMark/>
          </w:tcPr>
          <w:p w14:paraId="03C53746" w14:textId="229ED770" w:rsidR="00C1662A" w:rsidRPr="00F6445C" w:rsidRDefault="00C1662A" w:rsidP="00C1662A">
            <w:pPr>
              <w:pStyle w:val="NormalWeb"/>
              <w:spacing w:line="360" w:lineRule="auto"/>
              <w:jc w:val="both"/>
              <w:rPr>
                <w:sz w:val="22"/>
                <w:szCs w:val="22"/>
              </w:rPr>
            </w:pPr>
            <w:r w:rsidRPr="00F6445C">
              <w:rPr>
                <w:sz w:val="20"/>
                <w:szCs w:val="20"/>
              </w:rPr>
              <w:t>0.1221 (0.1417)</w:t>
            </w:r>
          </w:p>
        </w:tc>
        <w:tc>
          <w:tcPr>
            <w:tcW w:w="0" w:type="auto"/>
            <w:vAlign w:val="center"/>
            <w:hideMark/>
          </w:tcPr>
          <w:p w14:paraId="3FE638CB" w14:textId="36643D0B" w:rsidR="00C1662A" w:rsidRPr="00F6445C" w:rsidRDefault="00C1662A" w:rsidP="00C1662A">
            <w:pPr>
              <w:pStyle w:val="NormalWeb"/>
              <w:spacing w:line="360" w:lineRule="auto"/>
              <w:jc w:val="both"/>
              <w:rPr>
                <w:sz w:val="22"/>
                <w:szCs w:val="22"/>
              </w:rPr>
            </w:pPr>
            <w:r w:rsidRPr="00F6445C">
              <w:rPr>
                <w:sz w:val="20"/>
                <w:szCs w:val="20"/>
              </w:rPr>
              <w:t>0.2182 (0.1471)</w:t>
            </w:r>
          </w:p>
        </w:tc>
      </w:tr>
      <w:tr w:rsidR="00C1662A" w:rsidRPr="00F6445C" w14:paraId="62CD6C40" w14:textId="77777777" w:rsidTr="008A1228">
        <w:tc>
          <w:tcPr>
            <w:tcW w:w="0" w:type="auto"/>
            <w:hideMark/>
          </w:tcPr>
          <w:p w14:paraId="515E7339" w14:textId="77777777" w:rsidR="00C1662A" w:rsidRPr="00F6445C" w:rsidRDefault="00C1662A" w:rsidP="00C1662A">
            <w:pPr>
              <w:pStyle w:val="NormalWeb"/>
              <w:spacing w:line="360" w:lineRule="auto"/>
              <w:jc w:val="both"/>
              <w:rPr>
                <w:sz w:val="22"/>
                <w:szCs w:val="22"/>
              </w:rPr>
            </w:pPr>
            <w:r w:rsidRPr="00F6445C">
              <w:rPr>
                <w:b/>
                <w:bCs/>
                <w:sz w:val="22"/>
                <w:szCs w:val="22"/>
              </w:rPr>
              <w:t>Brent crude (BRENT)</w:t>
            </w:r>
          </w:p>
        </w:tc>
        <w:tc>
          <w:tcPr>
            <w:tcW w:w="0" w:type="auto"/>
            <w:vAlign w:val="center"/>
            <w:hideMark/>
          </w:tcPr>
          <w:p w14:paraId="2F773A15" w14:textId="4D729DA6" w:rsidR="00C1662A" w:rsidRPr="00F6445C" w:rsidRDefault="00C1662A" w:rsidP="00C1662A">
            <w:pPr>
              <w:pStyle w:val="NormalWeb"/>
              <w:spacing w:line="360" w:lineRule="auto"/>
              <w:jc w:val="both"/>
              <w:rPr>
                <w:sz w:val="22"/>
                <w:szCs w:val="22"/>
              </w:rPr>
            </w:pPr>
            <w:r w:rsidRPr="00F6445C">
              <w:rPr>
                <w:sz w:val="20"/>
                <w:szCs w:val="20"/>
              </w:rPr>
              <w:t>0.0359 (0.0136)</w:t>
            </w:r>
          </w:p>
        </w:tc>
        <w:tc>
          <w:tcPr>
            <w:tcW w:w="0" w:type="auto"/>
            <w:vAlign w:val="center"/>
            <w:hideMark/>
          </w:tcPr>
          <w:p w14:paraId="0BFC1272" w14:textId="220F8B31" w:rsidR="00C1662A" w:rsidRPr="00F6445C" w:rsidRDefault="00C1662A" w:rsidP="00C1662A">
            <w:pPr>
              <w:pStyle w:val="NormalWeb"/>
              <w:spacing w:line="360" w:lineRule="auto"/>
              <w:jc w:val="both"/>
              <w:rPr>
                <w:sz w:val="22"/>
                <w:szCs w:val="22"/>
              </w:rPr>
            </w:pPr>
            <w:r w:rsidRPr="00F6445C">
              <w:rPr>
                <w:sz w:val="20"/>
                <w:szCs w:val="20"/>
              </w:rPr>
              <w:t>-0.0146 (0.0100)</w:t>
            </w:r>
          </w:p>
        </w:tc>
        <w:tc>
          <w:tcPr>
            <w:tcW w:w="0" w:type="auto"/>
            <w:vAlign w:val="center"/>
            <w:hideMark/>
          </w:tcPr>
          <w:p w14:paraId="605C5895" w14:textId="5B249150" w:rsidR="00C1662A" w:rsidRPr="00F6445C" w:rsidRDefault="00C1662A" w:rsidP="00C1662A">
            <w:pPr>
              <w:pStyle w:val="NormalWeb"/>
              <w:spacing w:line="360" w:lineRule="auto"/>
              <w:jc w:val="both"/>
              <w:rPr>
                <w:sz w:val="22"/>
                <w:szCs w:val="22"/>
              </w:rPr>
            </w:pPr>
            <w:r w:rsidRPr="00F6445C">
              <w:rPr>
                <w:sz w:val="20"/>
                <w:szCs w:val="20"/>
              </w:rPr>
              <w:t>0.0213 (0.0116)</w:t>
            </w:r>
          </w:p>
        </w:tc>
        <w:tc>
          <w:tcPr>
            <w:tcW w:w="0" w:type="auto"/>
            <w:vAlign w:val="center"/>
            <w:hideMark/>
          </w:tcPr>
          <w:p w14:paraId="51BF3CAC" w14:textId="6273D2CD" w:rsidR="00C1662A" w:rsidRPr="00F6445C" w:rsidRDefault="00C1662A" w:rsidP="00C1662A">
            <w:pPr>
              <w:pStyle w:val="NormalWeb"/>
              <w:spacing w:line="360" w:lineRule="auto"/>
              <w:jc w:val="both"/>
              <w:rPr>
                <w:sz w:val="22"/>
                <w:szCs w:val="22"/>
              </w:rPr>
            </w:pPr>
            <w:r w:rsidRPr="00F6445C">
              <w:rPr>
                <w:sz w:val="20"/>
                <w:szCs w:val="20"/>
              </w:rPr>
              <w:t>0.0333 (0.0139)</w:t>
            </w:r>
          </w:p>
        </w:tc>
        <w:tc>
          <w:tcPr>
            <w:tcW w:w="0" w:type="auto"/>
            <w:vAlign w:val="center"/>
            <w:hideMark/>
          </w:tcPr>
          <w:p w14:paraId="30876595" w14:textId="71C03622" w:rsidR="00C1662A" w:rsidRPr="00F6445C" w:rsidRDefault="00C1662A" w:rsidP="00C1662A">
            <w:pPr>
              <w:pStyle w:val="NormalWeb"/>
              <w:spacing w:line="360" w:lineRule="auto"/>
              <w:jc w:val="both"/>
              <w:rPr>
                <w:sz w:val="22"/>
                <w:szCs w:val="22"/>
              </w:rPr>
            </w:pPr>
            <w:r w:rsidRPr="00F6445C">
              <w:rPr>
                <w:sz w:val="20"/>
                <w:szCs w:val="20"/>
              </w:rPr>
              <w:t>0.0187 (0.0146)</w:t>
            </w:r>
          </w:p>
        </w:tc>
        <w:tc>
          <w:tcPr>
            <w:tcW w:w="0" w:type="auto"/>
            <w:vAlign w:val="center"/>
            <w:hideMark/>
          </w:tcPr>
          <w:p w14:paraId="5550C976" w14:textId="1FAEB28C" w:rsidR="00C1662A" w:rsidRPr="00F6445C" w:rsidRDefault="00C1662A" w:rsidP="00C1662A">
            <w:pPr>
              <w:pStyle w:val="NormalWeb"/>
              <w:spacing w:line="360" w:lineRule="auto"/>
              <w:jc w:val="both"/>
              <w:rPr>
                <w:sz w:val="22"/>
                <w:szCs w:val="22"/>
              </w:rPr>
            </w:pPr>
            <w:r w:rsidRPr="00F6445C">
              <w:rPr>
                <w:sz w:val="20"/>
                <w:szCs w:val="20"/>
              </w:rPr>
              <w:t>0.0539 (0.0137)</w:t>
            </w:r>
          </w:p>
        </w:tc>
        <w:tc>
          <w:tcPr>
            <w:tcW w:w="0" w:type="auto"/>
            <w:vAlign w:val="center"/>
            <w:hideMark/>
          </w:tcPr>
          <w:p w14:paraId="174DA6E3" w14:textId="21838176" w:rsidR="00C1662A" w:rsidRPr="00F6445C" w:rsidRDefault="00C1662A" w:rsidP="00C1662A">
            <w:pPr>
              <w:pStyle w:val="NormalWeb"/>
              <w:spacing w:line="360" w:lineRule="auto"/>
              <w:jc w:val="both"/>
              <w:rPr>
                <w:sz w:val="22"/>
                <w:szCs w:val="22"/>
              </w:rPr>
            </w:pPr>
            <w:r w:rsidRPr="00F6445C">
              <w:rPr>
                <w:sz w:val="20"/>
                <w:szCs w:val="20"/>
              </w:rPr>
              <w:t>0.0725 (0.0177)</w:t>
            </w:r>
          </w:p>
        </w:tc>
        <w:tc>
          <w:tcPr>
            <w:tcW w:w="0" w:type="auto"/>
            <w:vAlign w:val="center"/>
            <w:hideMark/>
          </w:tcPr>
          <w:p w14:paraId="1907FEFA" w14:textId="22516969" w:rsidR="00C1662A" w:rsidRPr="00F6445C" w:rsidRDefault="00C1662A" w:rsidP="00C1662A">
            <w:pPr>
              <w:pStyle w:val="NormalWeb"/>
              <w:spacing w:line="360" w:lineRule="auto"/>
              <w:jc w:val="both"/>
              <w:rPr>
                <w:sz w:val="22"/>
                <w:szCs w:val="22"/>
              </w:rPr>
            </w:pPr>
            <w:r w:rsidRPr="00F6445C">
              <w:rPr>
                <w:sz w:val="20"/>
                <w:szCs w:val="20"/>
              </w:rPr>
              <w:t>0.0271 (0.0184)</w:t>
            </w:r>
          </w:p>
        </w:tc>
      </w:tr>
      <w:tr w:rsidR="00C1662A" w:rsidRPr="00F6445C" w14:paraId="206952A9" w14:textId="77777777" w:rsidTr="008A1228">
        <w:tc>
          <w:tcPr>
            <w:tcW w:w="0" w:type="auto"/>
          </w:tcPr>
          <w:p w14:paraId="6A9C0C73" w14:textId="00AACA48" w:rsidR="00C1662A" w:rsidRPr="00F6445C" w:rsidRDefault="00C1662A" w:rsidP="00C1662A">
            <w:pPr>
              <w:pStyle w:val="NormalWeb"/>
              <w:spacing w:line="360" w:lineRule="auto"/>
              <w:jc w:val="both"/>
              <w:rPr>
                <w:b/>
                <w:bCs/>
                <w:sz w:val="22"/>
                <w:szCs w:val="22"/>
              </w:rPr>
            </w:pPr>
            <w:r w:rsidRPr="00F6445C">
              <w:rPr>
                <w:b/>
                <w:bCs/>
                <w:sz w:val="22"/>
                <w:szCs w:val="22"/>
              </w:rPr>
              <w:t>S&amp;P 500</w:t>
            </w:r>
          </w:p>
        </w:tc>
        <w:tc>
          <w:tcPr>
            <w:tcW w:w="0" w:type="auto"/>
            <w:vAlign w:val="center"/>
          </w:tcPr>
          <w:p w14:paraId="7F968EAF" w14:textId="2845B2E5" w:rsidR="00C1662A" w:rsidRPr="00F6445C" w:rsidRDefault="00C1662A" w:rsidP="00C1662A">
            <w:pPr>
              <w:pStyle w:val="NormalWeb"/>
              <w:spacing w:line="360" w:lineRule="auto"/>
              <w:jc w:val="both"/>
              <w:rPr>
                <w:sz w:val="20"/>
                <w:szCs w:val="20"/>
              </w:rPr>
            </w:pPr>
            <w:r w:rsidRPr="00F6445C">
              <w:rPr>
                <w:sz w:val="20"/>
                <w:szCs w:val="20"/>
              </w:rPr>
              <w:t>0.3469 (0.0303)</w:t>
            </w:r>
          </w:p>
        </w:tc>
        <w:tc>
          <w:tcPr>
            <w:tcW w:w="0" w:type="auto"/>
            <w:vAlign w:val="center"/>
          </w:tcPr>
          <w:p w14:paraId="4DECD9E4" w14:textId="14ECB530" w:rsidR="00C1662A" w:rsidRPr="00F6445C" w:rsidRDefault="00C1662A" w:rsidP="00C1662A">
            <w:pPr>
              <w:pStyle w:val="NormalWeb"/>
              <w:spacing w:line="360" w:lineRule="auto"/>
              <w:jc w:val="both"/>
              <w:rPr>
                <w:sz w:val="20"/>
                <w:szCs w:val="20"/>
              </w:rPr>
            </w:pPr>
            <w:r w:rsidRPr="00F6445C">
              <w:rPr>
                <w:sz w:val="20"/>
                <w:szCs w:val="20"/>
              </w:rPr>
              <w:t>0.1242 (0.0222)</w:t>
            </w:r>
          </w:p>
        </w:tc>
        <w:tc>
          <w:tcPr>
            <w:tcW w:w="0" w:type="auto"/>
            <w:vAlign w:val="center"/>
          </w:tcPr>
          <w:p w14:paraId="126FE5A9" w14:textId="57EFBC8A" w:rsidR="00C1662A" w:rsidRPr="00F6445C" w:rsidRDefault="00C1662A" w:rsidP="00C1662A">
            <w:pPr>
              <w:pStyle w:val="NormalWeb"/>
              <w:spacing w:line="360" w:lineRule="auto"/>
              <w:jc w:val="both"/>
              <w:rPr>
                <w:sz w:val="20"/>
                <w:szCs w:val="20"/>
              </w:rPr>
            </w:pPr>
            <w:r w:rsidRPr="00F6445C">
              <w:rPr>
                <w:sz w:val="20"/>
                <w:szCs w:val="20"/>
              </w:rPr>
              <w:t>0.1570 (0.0259)</w:t>
            </w:r>
          </w:p>
        </w:tc>
        <w:tc>
          <w:tcPr>
            <w:tcW w:w="0" w:type="auto"/>
            <w:vAlign w:val="center"/>
          </w:tcPr>
          <w:p w14:paraId="69CA3219" w14:textId="2320ECA0" w:rsidR="00C1662A" w:rsidRPr="00F6445C" w:rsidRDefault="00C1662A" w:rsidP="00C1662A">
            <w:pPr>
              <w:pStyle w:val="NormalWeb"/>
              <w:spacing w:line="360" w:lineRule="auto"/>
              <w:jc w:val="both"/>
              <w:rPr>
                <w:sz w:val="20"/>
                <w:szCs w:val="20"/>
              </w:rPr>
            </w:pPr>
            <w:r w:rsidRPr="00F6445C">
              <w:rPr>
                <w:sz w:val="20"/>
                <w:szCs w:val="20"/>
              </w:rPr>
              <w:t>0.2531 (0.0309)</w:t>
            </w:r>
          </w:p>
        </w:tc>
        <w:tc>
          <w:tcPr>
            <w:tcW w:w="0" w:type="auto"/>
            <w:vAlign w:val="center"/>
          </w:tcPr>
          <w:p w14:paraId="0CF0E1A5" w14:textId="41227E95" w:rsidR="00C1662A" w:rsidRPr="00F6445C" w:rsidRDefault="00C1662A" w:rsidP="00C1662A">
            <w:pPr>
              <w:pStyle w:val="NormalWeb"/>
              <w:spacing w:line="360" w:lineRule="auto"/>
              <w:jc w:val="both"/>
              <w:rPr>
                <w:sz w:val="20"/>
                <w:szCs w:val="20"/>
              </w:rPr>
            </w:pPr>
            <w:r w:rsidRPr="00F6445C">
              <w:rPr>
                <w:sz w:val="20"/>
                <w:szCs w:val="20"/>
              </w:rPr>
              <w:t>0.2727 (0.0324)</w:t>
            </w:r>
          </w:p>
        </w:tc>
        <w:tc>
          <w:tcPr>
            <w:tcW w:w="0" w:type="auto"/>
            <w:vAlign w:val="center"/>
          </w:tcPr>
          <w:p w14:paraId="100D3463" w14:textId="635EE667" w:rsidR="00C1662A" w:rsidRPr="00F6445C" w:rsidRDefault="00C1662A" w:rsidP="00C1662A">
            <w:pPr>
              <w:pStyle w:val="NormalWeb"/>
              <w:spacing w:line="360" w:lineRule="auto"/>
              <w:jc w:val="both"/>
              <w:rPr>
                <w:sz w:val="20"/>
                <w:szCs w:val="20"/>
              </w:rPr>
            </w:pPr>
            <w:r w:rsidRPr="00F6445C">
              <w:rPr>
                <w:sz w:val="20"/>
                <w:szCs w:val="20"/>
              </w:rPr>
              <w:t>0.1990 (0.0305)</w:t>
            </w:r>
          </w:p>
        </w:tc>
        <w:tc>
          <w:tcPr>
            <w:tcW w:w="0" w:type="auto"/>
            <w:vAlign w:val="center"/>
          </w:tcPr>
          <w:p w14:paraId="659F6B57" w14:textId="4AB9FA2C" w:rsidR="00C1662A" w:rsidRPr="00F6445C" w:rsidRDefault="00C1662A" w:rsidP="00C1662A">
            <w:pPr>
              <w:pStyle w:val="NormalWeb"/>
              <w:spacing w:line="360" w:lineRule="auto"/>
              <w:jc w:val="both"/>
              <w:rPr>
                <w:sz w:val="20"/>
                <w:szCs w:val="20"/>
              </w:rPr>
            </w:pPr>
            <w:r w:rsidRPr="00F6445C">
              <w:rPr>
                <w:sz w:val="20"/>
                <w:szCs w:val="20"/>
              </w:rPr>
              <w:t>0.3460 (0.0394)</w:t>
            </w:r>
          </w:p>
        </w:tc>
        <w:tc>
          <w:tcPr>
            <w:tcW w:w="0" w:type="auto"/>
            <w:vAlign w:val="center"/>
          </w:tcPr>
          <w:p w14:paraId="2FE5DD58" w14:textId="5BBF5462" w:rsidR="00C1662A" w:rsidRPr="00F6445C" w:rsidRDefault="00C1662A" w:rsidP="00C1662A">
            <w:pPr>
              <w:pStyle w:val="NormalWeb"/>
              <w:spacing w:line="360" w:lineRule="auto"/>
              <w:jc w:val="both"/>
              <w:rPr>
                <w:sz w:val="20"/>
                <w:szCs w:val="20"/>
              </w:rPr>
            </w:pPr>
            <w:r w:rsidRPr="00F6445C">
              <w:rPr>
                <w:sz w:val="20"/>
                <w:szCs w:val="20"/>
              </w:rPr>
              <w:t>0.2527 (0.0409)</w:t>
            </w:r>
          </w:p>
        </w:tc>
      </w:tr>
      <w:tr w:rsidR="00C1662A" w:rsidRPr="00F6445C" w14:paraId="067D321D" w14:textId="77777777" w:rsidTr="008A1228">
        <w:tc>
          <w:tcPr>
            <w:tcW w:w="0" w:type="auto"/>
          </w:tcPr>
          <w:p w14:paraId="137C0D10" w14:textId="3C75F3A5" w:rsidR="00C1662A" w:rsidRPr="00F6445C" w:rsidRDefault="00C1662A" w:rsidP="00C1662A">
            <w:pPr>
              <w:pStyle w:val="NormalWeb"/>
              <w:spacing w:line="360" w:lineRule="auto"/>
              <w:jc w:val="both"/>
              <w:rPr>
                <w:b/>
                <w:bCs/>
                <w:sz w:val="22"/>
                <w:szCs w:val="22"/>
              </w:rPr>
            </w:pPr>
            <w:r w:rsidRPr="00F6445C">
              <w:rPr>
                <w:b/>
                <w:bCs/>
                <w:sz w:val="22"/>
                <w:szCs w:val="22"/>
              </w:rPr>
              <w:t>Gold</w:t>
            </w:r>
          </w:p>
        </w:tc>
        <w:tc>
          <w:tcPr>
            <w:tcW w:w="0" w:type="auto"/>
            <w:vAlign w:val="center"/>
          </w:tcPr>
          <w:p w14:paraId="190DE09A" w14:textId="56150ABE" w:rsidR="00C1662A" w:rsidRPr="00F6445C" w:rsidRDefault="00C1662A" w:rsidP="00C1662A">
            <w:pPr>
              <w:pStyle w:val="NormalWeb"/>
              <w:spacing w:line="360" w:lineRule="auto"/>
              <w:jc w:val="both"/>
              <w:rPr>
                <w:sz w:val="20"/>
                <w:szCs w:val="20"/>
              </w:rPr>
            </w:pPr>
            <w:r w:rsidRPr="00F6445C">
              <w:rPr>
                <w:sz w:val="20"/>
                <w:szCs w:val="20"/>
              </w:rPr>
              <w:t>0.1235 (0.0339)</w:t>
            </w:r>
          </w:p>
        </w:tc>
        <w:tc>
          <w:tcPr>
            <w:tcW w:w="0" w:type="auto"/>
            <w:vAlign w:val="center"/>
          </w:tcPr>
          <w:p w14:paraId="446E39DA" w14:textId="0049FE62" w:rsidR="00C1662A" w:rsidRPr="00F6445C" w:rsidRDefault="00C1662A" w:rsidP="00C1662A">
            <w:pPr>
              <w:pStyle w:val="NormalWeb"/>
              <w:spacing w:line="360" w:lineRule="auto"/>
              <w:jc w:val="both"/>
              <w:rPr>
                <w:sz w:val="20"/>
                <w:szCs w:val="20"/>
              </w:rPr>
            </w:pPr>
            <w:r w:rsidRPr="00F6445C">
              <w:rPr>
                <w:sz w:val="20"/>
                <w:szCs w:val="20"/>
              </w:rPr>
              <w:t>0.0519 (0.0248)</w:t>
            </w:r>
          </w:p>
        </w:tc>
        <w:tc>
          <w:tcPr>
            <w:tcW w:w="0" w:type="auto"/>
            <w:vAlign w:val="center"/>
          </w:tcPr>
          <w:p w14:paraId="53AE4C17" w14:textId="31B0A389" w:rsidR="00C1662A" w:rsidRPr="00F6445C" w:rsidRDefault="00C1662A" w:rsidP="00C1662A">
            <w:pPr>
              <w:pStyle w:val="NormalWeb"/>
              <w:spacing w:line="360" w:lineRule="auto"/>
              <w:jc w:val="both"/>
              <w:rPr>
                <w:sz w:val="20"/>
                <w:szCs w:val="20"/>
              </w:rPr>
            </w:pPr>
            <w:r w:rsidRPr="00F6445C">
              <w:rPr>
                <w:sz w:val="20"/>
                <w:szCs w:val="20"/>
              </w:rPr>
              <w:t>0.0841 (0.0289)</w:t>
            </w:r>
          </w:p>
        </w:tc>
        <w:tc>
          <w:tcPr>
            <w:tcW w:w="0" w:type="auto"/>
            <w:vAlign w:val="center"/>
          </w:tcPr>
          <w:p w14:paraId="60A9FDC6" w14:textId="607E7F82" w:rsidR="00C1662A" w:rsidRPr="00F6445C" w:rsidRDefault="00C1662A" w:rsidP="00C1662A">
            <w:pPr>
              <w:pStyle w:val="NormalWeb"/>
              <w:spacing w:line="360" w:lineRule="auto"/>
              <w:jc w:val="both"/>
              <w:rPr>
                <w:sz w:val="20"/>
                <w:szCs w:val="20"/>
              </w:rPr>
            </w:pPr>
            <w:r w:rsidRPr="00F6445C">
              <w:rPr>
                <w:sz w:val="20"/>
                <w:szCs w:val="20"/>
              </w:rPr>
              <w:t>0.0490 (0.0345)</w:t>
            </w:r>
          </w:p>
        </w:tc>
        <w:tc>
          <w:tcPr>
            <w:tcW w:w="0" w:type="auto"/>
            <w:vAlign w:val="center"/>
          </w:tcPr>
          <w:p w14:paraId="74797296" w14:textId="6FEE840D" w:rsidR="00C1662A" w:rsidRPr="00F6445C" w:rsidRDefault="00C1662A" w:rsidP="00C1662A">
            <w:pPr>
              <w:pStyle w:val="NormalWeb"/>
              <w:spacing w:line="360" w:lineRule="auto"/>
              <w:jc w:val="both"/>
              <w:rPr>
                <w:sz w:val="20"/>
                <w:szCs w:val="20"/>
              </w:rPr>
            </w:pPr>
            <w:r w:rsidRPr="00F6445C">
              <w:rPr>
                <w:sz w:val="20"/>
                <w:szCs w:val="20"/>
              </w:rPr>
              <w:t>0.0578 (0.0362)</w:t>
            </w:r>
          </w:p>
        </w:tc>
        <w:tc>
          <w:tcPr>
            <w:tcW w:w="0" w:type="auto"/>
            <w:vAlign w:val="center"/>
          </w:tcPr>
          <w:p w14:paraId="722DE6A4" w14:textId="2C4CE128" w:rsidR="00C1662A" w:rsidRPr="00F6445C" w:rsidRDefault="00C1662A" w:rsidP="00C1662A">
            <w:pPr>
              <w:pStyle w:val="NormalWeb"/>
              <w:spacing w:line="360" w:lineRule="auto"/>
              <w:jc w:val="both"/>
              <w:rPr>
                <w:sz w:val="20"/>
                <w:szCs w:val="20"/>
              </w:rPr>
            </w:pPr>
            <w:r w:rsidRPr="00F6445C">
              <w:rPr>
                <w:sz w:val="20"/>
                <w:szCs w:val="20"/>
              </w:rPr>
              <w:t>0.0786 (0.0340)</w:t>
            </w:r>
          </w:p>
        </w:tc>
        <w:tc>
          <w:tcPr>
            <w:tcW w:w="0" w:type="auto"/>
            <w:vAlign w:val="center"/>
          </w:tcPr>
          <w:p w14:paraId="65F60F0C" w14:textId="1C668DE1" w:rsidR="00C1662A" w:rsidRPr="00F6445C" w:rsidRDefault="00C1662A" w:rsidP="00C1662A">
            <w:pPr>
              <w:pStyle w:val="NormalWeb"/>
              <w:spacing w:line="360" w:lineRule="auto"/>
              <w:jc w:val="both"/>
              <w:rPr>
                <w:sz w:val="20"/>
                <w:szCs w:val="20"/>
              </w:rPr>
            </w:pPr>
            <w:r w:rsidRPr="00F6445C">
              <w:rPr>
                <w:sz w:val="20"/>
                <w:szCs w:val="20"/>
              </w:rPr>
              <w:t>0.1548 (0.0440)</w:t>
            </w:r>
          </w:p>
        </w:tc>
        <w:tc>
          <w:tcPr>
            <w:tcW w:w="0" w:type="auto"/>
            <w:vAlign w:val="center"/>
          </w:tcPr>
          <w:p w14:paraId="2BAC27BC" w14:textId="255DBC1E" w:rsidR="00C1662A" w:rsidRPr="00F6445C" w:rsidRDefault="00C1662A" w:rsidP="00C1662A">
            <w:pPr>
              <w:pStyle w:val="NormalWeb"/>
              <w:spacing w:line="360" w:lineRule="auto"/>
              <w:jc w:val="both"/>
              <w:rPr>
                <w:sz w:val="20"/>
                <w:szCs w:val="20"/>
              </w:rPr>
            </w:pPr>
            <w:r w:rsidRPr="00F6445C">
              <w:rPr>
                <w:sz w:val="20"/>
                <w:szCs w:val="20"/>
              </w:rPr>
              <w:t>0.0668 (0.0457)</w:t>
            </w:r>
          </w:p>
        </w:tc>
      </w:tr>
    </w:tbl>
    <w:p w14:paraId="05161322" w14:textId="505E0A2E" w:rsidR="000B6579" w:rsidRPr="00F6445C" w:rsidRDefault="00091F53" w:rsidP="00EE5A42">
      <w:pPr>
        <w:pStyle w:val="NormalWeb"/>
        <w:spacing w:line="360" w:lineRule="auto"/>
        <w:jc w:val="both"/>
        <w:rPr>
          <w:i/>
          <w:iCs/>
        </w:rPr>
      </w:pPr>
      <w:r w:rsidRPr="00F6445C">
        <w:rPr>
          <w:i/>
          <w:iCs/>
        </w:rPr>
        <w:t>Notes: Coefficient estimates with standard errors in parentheses</w:t>
      </w:r>
    </w:p>
    <w:p w14:paraId="4CE3CA0F" w14:textId="7FA1C919" w:rsidR="00091F53" w:rsidRPr="00F6445C" w:rsidRDefault="00746AD2" w:rsidP="0058196C">
      <w:pPr>
        <w:pStyle w:val="NormalWeb"/>
        <w:spacing w:line="360" w:lineRule="auto"/>
        <w:jc w:val="center"/>
        <w:rPr>
          <w:noProof/>
        </w:rPr>
      </w:pPr>
      <w:r w:rsidRPr="00F6445C">
        <w:rPr>
          <w:noProof/>
          <w:lang w:val="en-US" w:eastAsia="en-US"/>
        </w:rPr>
        <w:lastRenderedPageBreak/>
        <w:drawing>
          <wp:inline distT="0" distB="0" distL="0" distR="0" wp14:anchorId="6D8095E9" wp14:editId="2310270A">
            <wp:extent cx="4930973" cy="7791450"/>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4051"/>
                    <a:stretch/>
                  </pic:blipFill>
                  <pic:spPr bwMode="auto">
                    <a:xfrm>
                      <a:off x="0" y="0"/>
                      <a:ext cx="4947163" cy="7817031"/>
                    </a:xfrm>
                    <a:prstGeom prst="rect">
                      <a:avLst/>
                    </a:prstGeom>
                    <a:ln>
                      <a:noFill/>
                    </a:ln>
                    <a:extLst>
                      <a:ext uri="{53640926-AAD7-44D8-BBD7-CCE9431645EC}">
                        <a14:shadowObscured xmlns:a14="http://schemas.microsoft.com/office/drawing/2010/main"/>
                      </a:ext>
                    </a:extLst>
                  </pic:spPr>
                </pic:pic>
              </a:graphicData>
            </a:graphic>
          </wp:inline>
        </w:drawing>
      </w:r>
    </w:p>
    <w:p w14:paraId="056C078B" w14:textId="287C70C5" w:rsidR="00091F53" w:rsidRPr="00F6445C" w:rsidRDefault="007A0E5E" w:rsidP="00EE5A42">
      <w:pPr>
        <w:pStyle w:val="NormalWeb"/>
        <w:spacing w:line="360" w:lineRule="auto"/>
        <w:jc w:val="center"/>
      </w:pPr>
      <w:r w:rsidRPr="00F6445C">
        <w:rPr>
          <w:b/>
          <w:bCs/>
          <w:sz w:val="20"/>
          <w:szCs w:val="20"/>
        </w:rPr>
        <w:t>Figure</w:t>
      </w:r>
      <w:r w:rsidR="00091F53" w:rsidRPr="00F6445C">
        <w:rPr>
          <w:b/>
          <w:bCs/>
          <w:sz w:val="20"/>
          <w:szCs w:val="20"/>
        </w:rPr>
        <w:t xml:space="preserve"> </w:t>
      </w:r>
      <w:r w:rsidRPr="00F6445C">
        <w:rPr>
          <w:b/>
          <w:bCs/>
          <w:sz w:val="20"/>
          <w:szCs w:val="20"/>
        </w:rPr>
        <w:t>2</w:t>
      </w:r>
      <w:r w:rsidR="00BF6B13" w:rsidRPr="00F6445C">
        <w:rPr>
          <w:b/>
          <w:bCs/>
          <w:sz w:val="20"/>
          <w:szCs w:val="20"/>
        </w:rPr>
        <w:t>:</w:t>
      </w:r>
      <w:r w:rsidR="00091F53" w:rsidRPr="00F6445C">
        <w:rPr>
          <w:sz w:val="20"/>
          <w:szCs w:val="20"/>
        </w:rPr>
        <w:t xml:space="preserve"> Coefficient comparison (SUR) across stocks for key regressors</w:t>
      </w:r>
    </w:p>
    <w:p w14:paraId="2108C895" w14:textId="2EDB47D3" w:rsidR="003B2ADC" w:rsidRPr="00F6445C" w:rsidRDefault="003B2ADC" w:rsidP="00EE5A42">
      <w:pPr>
        <w:pStyle w:val="NormalWeb"/>
        <w:spacing w:line="360" w:lineRule="auto"/>
        <w:jc w:val="both"/>
      </w:pPr>
      <w:r w:rsidRPr="00F6445C">
        <w:lastRenderedPageBreak/>
        <w:t>Figure 2 provides a visual comparison of SUR coefficient estimates with 95% confidence intervals across sectors. The figure highlights substantial heterogeneity in factor sensitivities. Global market exposure (S&amp;P 500) emerges as the most consistent and significant driver across all sectors, while volatility and currency effects vary considerably. The confidence intervals further indicate that while some factors are statistically robust across sectors, others exhibit sector-specific significance, reinforcing the importance of a system-based mode</w:t>
      </w:r>
      <w:r w:rsidR="007C2AD5">
        <w:t>l</w:t>
      </w:r>
      <w:r w:rsidRPr="00F6445C">
        <w:t>ling approach.</w:t>
      </w:r>
    </w:p>
    <w:p w14:paraId="10BC798D" w14:textId="060B1657" w:rsidR="003B2ADC" w:rsidRPr="00F6445C" w:rsidRDefault="003B2ADC" w:rsidP="00EE5A42">
      <w:pPr>
        <w:pStyle w:val="NormalWeb"/>
        <w:spacing w:line="360" w:lineRule="auto"/>
        <w:jc w:val="both"/>
        <w:rPr>
          <w:b/>
          <w:bCs/>
        </w:rPr>
      </w:pPr>
      <w:r w:rsidRPr="00F6445C">
        <w:t>Table 5 reports the percentage reduction in standard errors when moving from OLS to SUR estimation. The largest efficiency gains are observed for lagged own-return coefficients, particularly in cyclical sectors such as Auto, Banking, Energy, and Metals, wh</w:t>
      </w:r>
      <w:bookmarkStart w:id="0" w:name="_GoBack"/>
      <w:bookmarkEnd w:id="0"/>
      <w:r w:rsidRPr="00F6445C">
        <w:t>ere reductions exceed 30%. In contrast, efficiency improvements for macro-financial variables are relatively modest. These results confirm the theoretical advantage of SUR, as it exploits contemporaneous cross-equation correlations to improve estimation precision, particularly for sector-specific dynamics.</w:t>
      </w:r>
    </w:p>
    <w:p w14:paraId="1D174AF3" w14:textId="01C5EC59" w:rsidR="00091F53" w:rsidRPr="00F6445C" w:rsidRDefault="00BF6B13" w:rsidP="00EE5A42">
      <w:pPr>
        <w:pStyle w:val="NormalWeb"/>
        <w:spacing w:line="360" w:lineRule="auto"/>
        <w:jc w:val="both"/>
        <w:rPr>
          <w:b/>
          <w:bCs/>
        </w:rPr>
      </w:pPr>
      <w:r w:rsidRPr="00F6445C">
        <w:rPr>
          <w:b/>
          <w:bCs/>
        </w:rPr>
        <w:t>Table 5:</w:t>
      </w:r>
      <w:r w:rsidR="00091F53" w:rsidRPr="00F6445C">
        <w:rPr>
          <w:b/>
          <w:bCs/>
        </w:rPr>
        <w:t xml:space="preserve"> Efficiency </w:t>
      </w:r>
      <w:r w:rsidR="00EF59C4" w:rsidRPr="00F6445C">
        <w:rPr>
          <w:b/>
          <w:bCs/>
        </w:rPr>
        <w:t xml:space="preserve">Gains from SUR Relative to OLS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782"/>
        <w:gridCol w:w="1746"/>
        <w:gridCol w:w="908"/>
        <w:gridCol w:w="1364"/>
        <w:gridCol w:w="1030"/>
      </w:tblGrid>
      <w:tr w:rsidR="005E6F7A" w:rsidRPr="00F6445C" w14:paraId="57C166A1" w14:textId="77777777" w:rsidTr="008A1228">
        <w:tc>
          <w:tcPr>
            <w:tcW w:w="0" w:type="auto"/>
            <w:tcBorders>
              <w:bottom w:val="single" w:sz="4" w:space="0" w:color="auto"/>
            </w:tcBorders>
            <w:hideMark/>
          </w:tcPr>
          <w:p w14:paraId="21A310EA" w14:textId="77777777" w:rsidR="005E6F7A" w:rsidRPr="00F6445C" w:rsidRDefault="005E6F7A" w:rsidP="005E6F7A">
            <w:pPr>
              <w:pStyle w:val="NormalWeb"/>
              <w:spacing w:line="360" w:lineRule="auto"/>
              <w:jc w:val="both"/>
              <w:rPr>
                <w:b/>
                <w:bCs/>
                <w:sz w:val="20"/>
                <w:szCs w:val="20"/>
              </w:rPr>
            </w:pPr>
            <w:r w:rsidRPr="00F6445C">
              <w:rPr>
                <w:b/>
                <w:bCs/>
                <w:sz w:val="20"/>
                <w:szCs w:val="20"/>
              </w:rPr>
              <w:t>Sector</w:t>
            </w:r>
          </w:p>
        </w:tc>
        <w:tc>
          <w:tcPr>
            <w:tcW w:w="0" w:type="auto"/>
            <w:tcBorders>
              <w:bottom w:val="single" w:sz="4" w:space="0" w:color="auto"/>
            </w:tcBorders>
            <w:vAlign w:val="center"/>
            <w:hideMark/>
          </w:tcPr>
          <w:p w14:paraId="07CCA32C" w14:textId="3451A805" w:rsidR="005E6F7A" w:rsidRPr="00F6445C" w:rsidRDefault="005E6F7A" w:rsidP="005E6F7A">
            <w:pPr>
              <w:pStyle w:val="NormalWeb"/>
              <w:spacing w:line="360" w:lineRule="auto"/>
              <w:jc w:val="both"/>
              <w:rPr>
                <w:b/>
                <w:bCs/>
                <w:sz w:val="20"/>
                <w:szCs w:val="20"/>
              </w:rPr>
            </w:pPr>
            <w:r w:rsidRPr="00F6445C">
              <w:rPr>
                <w:b/>
                <w:bCs/>
                <w:sz w:val="20"/>
                <w:szCs w:val="20"/>
              </w:rPr>
              <w:t>L1 Own Return (%)</w:t>
            </w:r>
          </w:p>
        </w:tc>
        <w:tc>
          <w:tcPr>
            <w:tcW w:w="0" w:type="auto"/>
            <w:tcBorders>
              <w:bottom w:val="single" w:sz="4" w:space="0" w:color="auto"/>
            </w:tcBorders>
            <w:vAlign w:val="center"/>
            <w:hideMark/>
          </w:tcPr>
          <w:p w14:paraId="509C915F" w14:textId="249ECD7F" w:rsidR="005E6F7A" w:rsidRPr="00F6445C" w:rsidRDefault="005E6F7A" w:rsidP="005E6F7A">
            <w:pPr>
              <w:pStyle w:val="NormalWeb"/>
              <w:spacing w:line="360" w:lineRule="auto"/>
              <w:jc w:val="both"/>
              <w:rPr>
                <w:b/>
                <w:bCs/>
                <w:sz w:val="20"/>
                <w:szCs w:val="20"/>
              </w:rPr>
            </w:pPr>
            <w:r w:rsidRPr="00F6445C">
              <w:rPr>
                <w:b/>
                <w:bCs/>
                <w:sz w:val="20"/>
                <w:szCs w:val="20"/>
              </w:rPr>
              <w:t>Market (MKT) (%)</w:t>
            </w:r>
          </w:p>
        </w:tc>
        <w:tc>
          <w:tcPr>
            <w:tcW w:w="0" w:type="auto"/>
            <w:tcBorders>
              <w:bottom w:val="single" w:sz="4" w:space="0" w:color="auto"/>
            </w:tcBorders>
            <w:vAlign w:val="center"/>
            <w:hideMark/>
          </w:tcPr>
          <w:p w14:paraId="2181C0CE" w14:textId="1E7205D2" w:rsidR="005E6F7A" w:rsidRPr="00F6445C" w:rsidRDefault="005E6F7A" w:rsidP="005E6F7A">
            <w:pPr>
              <w:pStyle w:val="NormalWeb"/>
              <w:spacing w:line="360" w:lineRule="auto"/>
              <w:jc w:val="both"/>
              <w:rPr>
                <w:b/>
                <w:bCs/>
                <w:sz w:val="20"/>
                <w:szCs w:val="20"/>
              </w:rPr>
            </w:pPr>
            <w:r w:rsidRPr="00F6445C">
              <w:rPr>
                <w:b/>
                <w:bCs/>
                <w:sz w:val="20"/>
                <w:szCs w:val="20"/>
              </w:rPr>
              <w:t>VIX (%)</w:t>
            </w:r>
          </w:p>
        </w:tc>
        <w:tc>
          <w:tcPr>
            <w:tcW w:w="0" w:type="auto"/>
            <w:tcBorders>
              <w:bottom w:val="single" w:sz="4" w:space="0" w:color="auto"/>
            </w:tcBorders>
            <w:vAlign w:val="center"/>
            <w:hideMark/>
          </w:tcPr>
          <w:p w14:paraId="09CE69C5" w14:textId="58AC3E6D" w:rsidR="005E6F7A" w:rsidRPr="00F6445C" w:rsidRDefault="005E6F7A" w:rsidP="005E6F7A">
            <w:pPr>
              <w:pStyle w:val="NormalWeb"/>
              <w:spacing w:line="360" w:lineRule="auto"/>
              <w:jc w:val="both"/>
              <w:rPr>
                <w:b/>
                <w:bCs/>
                <w:sz w:val="20"/>
                <w:szCs w:val="20"/>
              </w:rPr>
            </w:pPr>
            <w:r w:rsidRPr="00F6445C">
              <w:rPr>
                <w:b/>
                <w:bCs/>
                <w:sz w:val="20"/>
                <w:szCs w:val="20"/>
              </w:rPr>
              <w:t>USD/INR (%)</w:t>
            </w:r>
          </w:p>
        </w:tc>
        <w:tc>
          <w:tcPr>
            <w:tcW w:w="0" w:type="auto"/>
            <w:tcBorders>
              <w:bottom w:val="single" w:sz="4" w:space="0" w:color="auto"/>
            </w:tcBorders>
            <w:vAlign w:val="center"/>
            <w:hideMark/>
          </w:tcPr>
          <w:p w14:paraId="4EBC5041" w14:textId="564C88FE" w:rsidR="005E6F7A" w:rsidRPr="00F6445C" w:rsidRDefault="005E6F7A" w:rsidP="005E6F7A">
            <w:pPr>
              <w:pStyle w:val="NormalWeb"/>
              <w:spacing w:line="360" w:lineRule="auto"/>
              <w:jc w:val="both"/>
              <w:rPr>
                <w:b/>
                <w:bCs/>
                <w:sz w:val="20"/>
                <w:szCs w:val="20"/>
              </w:rPr>
            </w:pPr>
            <w:r w:rsidRPr="00F6445C">
              <w:rPr>
                <w:b/>
                <w:bCs/>
                <w:sz w:val="20"/>
                <w:szCs w:val="20"/>
              </w:rPr>
              <w:t>Brent (%)</w:t>
            </w:r>
          </w:p>
        </w:tc>
      </w:tr>
      <w:tr w:rsidR="005E6F7A" w:rsidRPr="00F6445C" w14:paraId="7BCA5537" w14:textId="77777777" w:rsidTr="008A1228">
        <w:tc>
          <w:tcPr>
            <w:tcW w:w="0" w:type="auto"/>
            <w:tcBorders>
              <w:top w:val="single" w:sz="4" w:space="0" w:color="auto"/>
            </w:tcBorders>
            <w:hideMark/>
          </w:tcPr>
          <w:p w14:paraId="318B0482" w14:textId="77777777" w:rsidR="005E6F7A" w:rsidRPr="00F6445C" w:rsidRDefault="005E6F7A" w:rsidP="005E6F7A">
            <w:pPr>
              <w:pStyle w:val="NormalWeb"/>
              <w:spacing w:line="360" w:lineRule="auto"/>
              <w:jc w:val="both"/>
              <w:rPr>
                <w:sz w:val="20"/>
                <w:szCs w:val="20"/>
              </w:rPr>
            </w:pPr>
            <w:r w:rsidRPr="00F6445C">
              <w:rPr>
                <w:b/>
                <w:bCs/>
                <w:sz w:val="20"/>
                <w:szCs w:val="20"/>
              </w:rPr>
              <w:t>Information Technology (IT)</w:t>
            </w:r>
          </w:p>
        </w:tc>
        <w:tc>
          <w:tcPr>
            <w:tcW w:w="0" w:type="auto"/>
            <w:tcBorders>
              <w:top w:val="single" w:sz="4" w:space="0" w:color="auto"/>
            </w:tcBorders>
            <w:vAlign w:val="center"/>
            <w:hideMark/>
          </w:tcPr>
          <w:p w14:paraId="3D38B6C9" w14:textId="05FC96CC" w:rsidR="005E6F7A" w:rsidRPr="00F6445C" w:rsidRDefault="005E6F7A" w:rsidP="005E6F7A">
            <w:pPr>
              <w:pStyle w:val="NormalWeb"/>
              <w:spacing w:line="360" w:lineRule="auto"/>
              <w:jc w:val="both"/>
              <w:rPr>
                <w:sz w:val="20"/>
                <w:szCs w:val="20"/>
              </w:rPr>
            </w:pPr>
            <w:r w:rsidRPr="00F6445C">
              <w:rPr>
                <w:sz w:val="20"/>
                <w:szCs w:val="20"/>
              </w:rPr>
              <w:t>16.88</w:t>
            </w:r>
          </w:p>
        </w:tc>
        <w:tc>
          <w:tcPr>
            <w:tcW w:w="0" w:type="auto"/>
            <w:tcBorders>
              <w:top w:val="single" w:sz="4" w:space="0" w:color="auto"/>
            </w:tcBorders>
            <w:vAlign w:val="center"/>
            <w:hideMark/>
          </w:tcPr>
          <w:p w14:paraId="43C90267" w14:textId="7C29912D" w:rsidR="005E6F7A" w:rsidRPr="00F6445C" w:rsidRDefault="005E6F7A" w:rsidP="005E6F7A">
            <w:pPr>
              <w:pStyle w:val="NormalWeb"/>
              <w:spacing w:line="360" w:lineRule="auto"/>
              <w:jc w:val="both"/>
              <w:rPr>
                <w:sz w:val="20"/>
                <w:szCs w:val="20"/>
              </w:rPr>
            </w:pPr>
            <w:r w:rsidRPr="00F6445C">
              <w:rPr>
                <w:sz w:val="20"/>
                <w:szCs w:val="20"/>
              </w:rPr>
              <w:t>5.65</w:t>
            </w:r>
          </w:p>
        </w:tc>
        <w:tc>
          <w:tcPr>
            <w:tcW w:w="0" w:type="auto"/>
            <w:tcBorders>
              <w:top w:val="single" w:sz="4" w:space="0" w:color="auto"/>
            </w:tcBorders>
            <w:vAlign w:val="center"/>
            <w:hideMark/>
          </w:tcPr>
          <w:p w14:paraId="116E0AE7" w14:textId="382C94D5"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tcBorders>
              <w:top w:val="single" w:sz="4" w:space="0" w:color="auto"/>
            </w:tcBorders>
            <w:vAlign w:val="center"/>
            <w:hideMark/>
          </w:tcPr>
          <w:p w14:paraId="45A4FF75" w14:textId="11480A98" w:rsidR="005E6F7A" w:rsidRPr="00F6445C" w:rsidRDefault="005E6F7A" w:rsidP="005E6F7A">
            <w:pPr>
              <w:pStyle w:val="NormalWeb"/>
              <w:spacing w:line="360" w:lineRule="auto"/>
              <w:jc w:val="both"/>
              <w:rPr>
                <w:sz w:val="20"/>
                <w:szCs w:val="20"/>
              </w:rPr>
            </w:pPr>
            <w:r w:rsidRPr="00F6445C">
              <w:rPr>
                <w:sz w:val="20"/>
                <w:szCs w:val="20"/>
              </w:rPr>
              <w:t>0.33</w:t>
            </w:r>
          </w:p>
        </w:tc>
        <w:tc>
          <w:tcPr>
            <w:tcW w:w="0" w:type="auto"/>
            <w:tcBorders>
              <w:top w:val="single" w:sz="4" w:space="0" w:color="auto"/>
            </w:tcBorders>
            <w:vAlign w:val="center"/>
            <w:hideMark/>
          </w:tcPr>
          <w:p w14:paraId="65E9068A" w14:textId="74157371"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60BE9407" w14:textId="77777777" w:rsidTr="008A1228">
        <w:tc>
          <w:tcPr>
            <w:tcW w:w="0" w:type="auto"/>
            <w:hideMark/>
          </w:tcPr>
          <w:p w14:paraId="1C341991" w14:textId="77777777" w:rsidR="005E6F7A" w:rsidRPr="00F6445C" w:rsidRDefault="005E6F7A" w:rsidP="005E6F7A">
            <w:pPr>
              <w:pStyle w:val="NormalWeb"/>
              <w:spacing w:line="360" w:lineRule="auto"/>
              <w:jc w:val="both"/>
              <w:rPr>
                <w:sz w:val="20"/>
                <w:szCs w:val="20"/>
              </w:rPr>
            </w:pPr>
            <w:r w:rsidRPr="00F6445C">
              <w:rPr>
                <w:b/>
                <w:bCs/>
                <w:sz w:val="20"/>
                <w:szCs w:val="20"/>
              </w:rPr>
              <w:t>FMCG</w:t>
            </w:r>
          </w:p>
        </w:tc>
        <w:tc>
          <w:tcPr>
            <w:tcW w:w="0" w:type="auto"/>
            <w:vAlign w:val="center"/>
            <w:hideMark/>
          </w:tcPr>
          <w:p w14:paraId="15C58973" w14:textId="2E094F1E" w:rsidR="005E6F7A" w:rsidRPr="00F6445C" w:rsidRDefault="005E6F7A" w:rsidP="005E6F7A">
            <w:pPr>
              <w:pStyle w:val="NormalWeb"/>
              <w:spacing w:line="360" w:lineRule="auto"/>
              <w:jc w:val="both"/>
              <w:rPr>
                <w:sz w:val="20"/>
                <w:szCs w:val="20"/>
              </w:rPr>
            </w:pPr>
            <w:r w:rsidRPr="00F6445C">
              <w:rPr>
                <w:sz w:val="20"/>
                <w:szCs w:val="20"/>
              </w:rPr>
              <w:t>25.17</w:t>
            </w:r>
          </w:p>
        </w:tc>
        <w:tc>
          <w:tcPr>
            <w:tcW w:w="0" w:type="auto"/>
            <w:vAlign w:val="center"/>
            <w:hideMark/>
          </w:tcPr>
          <w:p w14:paraId="5636B5FA" w14:textId="77B833E2" w:rsidR="005E6F7A" w:rsidRPr="00F6445C" w:rsidRDefault="005E6F7A" w:rsidP="005E6F7A">
            <w:pPr>
              <w:pStyle w:val="NormalWeb"/>
              <w:spacing w:line="360" w:lineRule="auto"/>
              <w:jc w:val="both"/>
              <w:rPr>
                <w:sz w:val="20"/>
                <w:szCs w:val="20"/>
              </w:rPr>
            </w:pPr>
            <w:r w:rsidRPr="00F6445C">
              <w:rPr>
                <w:sz w:val="20"/>
                <w:szCs w:val="20"/>
              </w:rPr>
              <w:t>8.00</w:t>
            </w:r>
          </w:p>
        </w:tc>
        <w:tc>
          <w:tcPr>
            <w:tcW w:w="0" w:type="auto"/>
            <w:vAlign w:val="center"/>
            <w:hideMark/>
          </w:tcPr>
          <w:p w14:paraId="0BF01050" w14:textId="78D90469"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13AE9466" w14:textId="4C4C74CA" w:rsidR="005E6F7A" w:rsidRPr="00F6445C" w:rsidRDefault="005E6F7A" w:rsidP="005E6F7A">
            <w:pPr>
              <w:pStyle w:val="NormalWeb"/>
              <w:spacing w:line="360" w:lineRule="auto"/>
              <w:jc w:val="both"/>
              <w:rPr>
                <w:sz w:val="20"/>
                <w:szCs w:val="20"/>
              </w:rPr>
            </w:pPr>
            <w:r w:rsidRPr="00F6445C">
              <w:rPr>
                <w:sz w:val="20"/>
                <w:szCs w:val="20"/>
              </w:rPr>
              <w:t>0.32</w:t>
            </w:r>
          </w:p>
        </w:tc>
        <w:tc>
          <w:tcPr>
            <w:tcW w:w="0" w:type="auto"/>
            <w:vAlign w:val="center"/>
            <w:hideMark/>
          </w:tcPr>
          <w:p w14:paraId="2B7FBD89" w14:textId="461E9237" w:rsidR="005E6F7A" w:rsidRPr="00F6445C" w:rsidRDefault="005E6F7A" w:rsidP="005E6F7A">
            <w:pPr>
              <w:pStyle w:val="NormalWeb"/>
              <w:spacing w:line="360" w:lineRule="auto"/>
              <w:jc w:val="both"/>
              <w:rPr>
                <w:sz w:val="20"/>
                <w:szCs w:val="20"/>
              </w:rPr>
            </w:pPr>
            <w:r w:rsidRPr="00F6445C">
              <w:rPr>
                <w:sz w:val="20"/>
                <w:szCs w:val="20"/>
              </w:rPr>
              <w:t>0.42</w:t>
            </w:r>
          </w:p>
        </w:tc>
      </w:tr>
      <w:tr w:rsidR="005E6F7A" w:rsidRPr="00F6445C" w14:paraId="6084725F" w14:textId="77777777" w:rsidTr="008A1228">
        <w:tc>
          <w:tcPr>
            <w:tcW w:w="0" w:type="auto"/>
            <w:hideMark/>
          </w:tcPr>
          <w:p w14:paraId="0A41B626" w14:textId="77777777" w:rsidR="005E6F7A" w:rsidRPr="00F6445C" w:rsidRDefault="005E6F7A" w:rsidP="005E6F7A">
            <w:pPr>
              <w:pStyle w:val="NormalWeb"/>
              <w:spacing w:line="360" w:lineRule="auto"/>
              <w:jc w:val="both"/>
              <w:rPr>
                <w:sz w:val="20"/>
                <w:szCs w:val="20"/>
              </w:rPr>
            </w:pPr>
            <w:r w:rsidRPr="00F6445C">
              <w:rPr>
                <w:b/>
                <w:bCs/>
                <w:sz w:val="20"/>
                <w:szCs w:val="20"/>
              </w:rPr>
              <w:t>Pharmaceuticals</w:t>
            </w:r>
          </w:p>
        </w:tc>
        <w:tc>
          <w:tcPr>
            <w:tcW w:w="0" w:type="auto"/>
            <w:vAlign w:val="center"/>
            <w:hideMark/>
          </w:tcPr>
          <w:p w14:paraId="15F58EF9" w14:textId="2129E58A" w:rsidR="005E6F7A" w:rsidRPr="00F6445C" w:rsidRDefault="005E6F7A" w:rsidP="005E6F7A">
            <w:pPr>
              <w:pStyle w:val="NormalWeb"/>
              <w:spacing w:line="360" w:lineRule="auto"/>
              <w:jc w:val="both"/>
              <w:rPr>
                <w:sz w:val="20"/>
                <w:szCs w:val="20"/>
              </w:rPr>
            </w:pPr>
            <w:r w:rsidRPr="00F6445C">
              <w:rPr>
                <w:sz w:val="20"/>
                <w:szCs w:val="20"/>
              </w:rPr>
              <w:t>20.07</w:t>
            </w:r>
          </w:p>
        </w:tc>
        <w:tc>
          <w:tcPr>
            <w:tcW w:w="0" w:type="auto"/>
            <w:vAlign w:val="center"/>
            <w:hideMark/>
          </w:tcPr>
          <w:p w14:paraId="087A9EA8" w14:textId="424366EF" w:rsidR="005E6F7A" w:rsidRPr="00F6445C" w:rsidRDefault="005E6F7A" w:rsidP="005E6F7A">
            <w:pPr>
              <w:pStyle w:val="NormalWeb"/>
              <w:spacing w:line="360" w:lineRule="auto"/>
              <w:jc w:val="both"/>
              <w:rPr>
                <w:sz w:val="20"/>
                <w:szCs w:val="20"/>
              </w:rPr>
            </w:pPr>
            <w:r w:rsidRPr="00F6445C">
              <w:rPr>
                <w:sz w:val="20"/>
                <w:szCs w:val="20"/>
              </w:rPr>
              <w:t>3.64</w:t>
            </w:r>
          </w:p>
        </w:tc>
        <w:tc>
          <w:tcPr>
            <w:tcW w:w="0" w:type="auto"/>
            <w:vAlign w:val="center"/>
            <w:hideMark/>
          </w:tcPr>
          <w:p w14:paraId="63254F59" w14:textId="161E5C64"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2961EBA4" w14:textId="001B2FCA" w:rsidR="005E6F7A" w:rsidRPr="00F6445C" w:rsidRDefault="005E6F7A" w:rsidP="005E6F7A">
            <w:pPr>
              <w:pStyle w:val="NormalWeb"/>
              <w:spacing w:line="360" w:lineRule="auto"/>
              <w:jc w:val="both"/>
              <w:rPr>
                <w:sz w:val="20"/>
                <w:szCs w:val="20"/>
              </w:rPr>
            </w:pPr>
            <w:r w:rsidRPr="00F6445C">
              <w:rPr>
                <w:sz w:val="20"/>
                <w:szCs w:val="20"/>
              </w:rPr>
              <w:t>0.51</w:t>
            </w:r>
          </w:p>
        </w:tc>
        <w:tc>
          <w:tcPr>
            <w:tcW w:w="0" w:type="auto"/>
            <w:vAlign w:val="center"/>
            <w:hideMark/>
          </w:tcPr>
          <w:p w14:paraId="2C99B20B" w14:textId="14A75173" w:rsidR="005E6F7A" w:rsidRPr="00F6445C" w:rsidRDefault="005E6F7A" w:rsidP="005E6F7A">
            <w:pPr>
              <w:pStyle w:val="NormalWeb"/>
              <w:spacing w:line="360" w:lineRule="auto"/>
              <w:jc w:val="both"/>
              <w:rPr>
                <w:sz w:val="20"/>
                <w:szCs w:val="20"/>
              </w:rPr>
            </w:pPr>
            <w:r w:rsidRPr="00F6445C">
              <w:rPr>
                <w:sz w:val="20"/>
                <w:szCs w:val="20"/>
              </w:rPr>
              <w:t>0.28</w:t>
            </w:r>
          </w:p>
        </w:tc>
      </w:tr>
      <w:tr w:rsidR="005E6F7A" w:rsidRPr="00F6445C" w14:paraId="1AAF5190" w14:textId="77777777" w:rsidTr="008A1228">
        <w:tc>
          <w:tcPr>
            <w:tcW w:w="0" w:type="auto"/>
            <w:hideMark/>
          </w:tcPr>
          <w:p w14:paraId="54248A51" w14:textId="77777777" w:rsidR="005E6F7A" w:rsidRPr="00F6445C" w:rsidRDefault="005E6F7A" w:rsidP="005E6F7A">
            <w:pPr>
              <w:pStyle w:val="NormalWeb"/>
              <w:spacing w:line="360" w:lineRule="auto"/>
              <w:jc w:val="both"/>
              <w:rPr>
                <w:sz w:val="20"/>
                <w:szCs w:val="20"/>
              </w:rPr>
            </w:pPr>
            <w:r w:rsidRPr="00F6445C">
              <w:rPr>
                <w:b/>
                <w:bCs/>
                <w:sz w:val="20"/>
                <w:szCs w:val="20"/>
              </w:rPr>
              <w:t>Automobiles</w:t>
            </w:r>
          </w:p>
        </w:tc>
        <w:tc>
          <w:tcPr>
            <w:tcW w:w="0" w:type="auto"/>
            <w:vAlign w:val="center"/>
            <w:hideMark/>
          </w:tcPr>
          <w:p w14:paraId="18DB1D2B" w14:textId="1462525D" w:rsidR="005E6F7A" w:rsidRPr="00F6445C" w:rsidRDefault="005E6F7A" w:rsidP="005E6F7A">
            <w:pPr>
              <w:pStyle w:val="NormalWeb"/>
              <w:spacing w:line="360" w:lineRule="auto"/>
              <w:jc w:val="both"/>
              <w:rPr>
                <w:sz w:val="20"/>
                <w:szCs w:val="20"/>
              </w:rPr>
            </w:pPr>
            <w:r w:rsidRPr="00F6445C">
              <w:rPr>
                <w:sz w:val="20"/>
                <w:szCs w:val="20"/>
              </w:rPr>
              <w:t>37.72</w:t>
            </w:r>
          </w:p>
        </w:tc>
        <w:tc>
          <w:tcPr>
            <w:tcW w:w="0" w:type="auto"/>
            <w:vAlign w:val="center"/>
            <w:hideMark/>
          </w:tcPr>
          <w:p w14:paraId="28FAC8FF" w14:textId="31054EBC" w:rsidR="005E6F7A" w:rsidRPr="00F6445C" w:rsidRDefault="005E6F7A" w:rsidP="005E6F7A">
            <w:pPr>
              <w:pStyle w:val="NormalWeb"/>
              <w:spacing w:line="360" w:lineRule="auto"/>
              <w:jc w:val="both"/>
              <w:rPr>
                <w:sz w:val="20"/>
                <w:szCs w:val="20"/>
              </w:rPr>
            </w:pPr>
            <w:r w:rsidRPr="00F6445C">
              <w:rPr>
                <w:sz w:val="20"/>
                <w:szCs w:val="20"/>
              </w:rPr>
              <w:t>16.75</w:t>
            </w:r>
          </w:p>
        </w:tc>
        <w:tc>
          <w:tcPr>
            <w:tcW w:w="0" w:type="auto"/>
            <w:vAlign w:val="center"/>
            <w:hideMark/>
          </w:tcPr>
          <w:p w14:paraId="37FDB854" w14:textId="24F771EE" w:rsidR="005E6F7A" w:rsidRPr="00F6445C" w:rsidRDefault="005E6F7A" w:rsidP="005E6F7A">
            <w:pPr>
              <w:pStyle w:val="NormalWeb"/>
              <w:spacing w:line="360" w:lineRule="auto"/>
              <w:jc w:val="both"/>
              <w:rPr>
                <w:sz w:val="20"/>
                <w:szCs w:val="20"/>
              </w:rPr>
            </w:pPr>
            <w:r w:rsidRPr="00F6445C">
              <w:rPr>
                <w:sz w:val="20"/>
                <w:szCs w:val="20"/>
              </w:rPr>
              <w:t>0.63</w:t>
            </w:r>
          </w:p>
        </w:tc>
        <w:tc>
          <w:tcPr>
            <w:tcW w:w="0" w:type="auto"/>
            <w:vAlign w:val="center"/>
            <w:hideMark/>
          </w:tcPr>
          <w:p w14:paraId="1B953241" w14:textId="2FEBAC57"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45B5A2E2" w14:textId="3B26C224" w:rsidR="005E6F7A" w:rsidRPr="00F6445C" w:rsidRDefault="005E6F7A" w:rsidP="005E6F7A">
            <w:pPr>
              <w:pStyle w:val="NormalWeb"/>
              <w:spacing w:line="360" w:lineRule="auto"/>
              <w:jc w:val="both"/>
              <w:rPr>
                <w:sz w:val="20"/>
                <w:szCs w:val="20"/>
              </w:rPr>
            </w:pPr>
            <w:r w:rsidRPr="00F6445C">
              <w:rPr>
                <w:sz w:val="20"/>
                <w:szCs w:val="20"/>
              </w:rPr>
              <w:t>0.29</w:t>
            </w:r>
          </w:p>
        </w:tc>
      </w:tr>
      <w:tr w:rsidR="005E6F7A" w:rsidRPr="00F6445C" w14:paraId="3B6D9F01" w14:textId="77777777" w:rsidTr="008A1228">
        <w:tc>
          <w:tcPr>
            <w:tcW w:w="0" w:type="auto"/>
            <w:hideMark/>
          </w:tcPr>
          <w:p w14:paraId="52D8D023" w14:textId="77777777" w:rsidR="005E6F7A" w:rsidRPr="00F6445C" w:rsidRDefault="005E6F7A" w:rsidP="005E6F7A">
            <w:pPr>
              <w:pStyle w:val="NormalWeb"/>
              <w:spacing w:line="360" w:lineRule="auto"/>
              <w:jc w:val="both"/>
              <w:rPr>
                <w:sz w:val="20"/>
                <w:szCs w:val="20"/>
              </w:rPr>
            </w:pPr>
            <w:r w:rsidRPr="00F6445C">
              <w:rPr>
                <w:b/>
                <w:bCs/>
                <w:sz w:val="20"/>
                <w:szCs w:val="20"/>
              </w:rPr>
              <w:t>Banking</w:t>
            </w:r>
          </w:p>
        </w:tc>
        <w:tc>
          <w:tcPr>
            <w:tcW w:w="0" w:type="auto"/>
            <w:vAlign w:val="center"/>
            <w:hideMark/>
          </w:tcPr>
          <w:p w14:paraId="62B5ABD9" w14:textId="727EE31C" w:rsidR="005E6F7A" w:rsidRPr="00F6445C" w:rsidRDefault="005E6F7A" w:rsidP="005E6F7A">
            <w:pPr>
              <w:pStyle w:val="NormalWeb"/>
              <w:spacing w:line="360" w:lineRule="auto"/>
              <w:jc w:val="both"/>
              <w:rPr>
                <w:sz w:val="20"/>
                <w:szCs w:val="20"/>
              </w:rPr>
            </w:pPr>
            <w:r w:rsidRPr="00F6445C">
              <w:rPr>
                <w:sz w:val="20"/>
                <w:szCs w:val="20"/>
              </w:rPr>
              <w:t>33.13</w:t>
            </w:r>
          </w:p>
        </w:tc>
        <w:tc>
          <w:tcPr>
            <w:tcW w:w="0" w:type="auto"/>
            <w:vAlign w:val="center"/>
            <w:hideMark/>
          </w:tcPr>
          <w:p w14:paraId="6E8E9B91" w14:textId="6C4E6D05" w:rsidR="005E6F7A" w:rsidRPr="00F6445C" w:rsidRDefault="005E6F7A" w:rsidP="005E6F7A">
            <w:pPr>
              <w:pStyle w:val="NormalWeb"/>
              <w:spacing w:line="360" w:lineRule="auto"/>
              <w:jc w:val="both"/>
              <w:rPr>
                <w:sz w:val="20"/>
                <w:szCs w:val="20"/>
              </w:rPr>
            </w:pPr>
            <w:r w:rsidRPr="00F6445C">
              <w:rPr>
                <w:sz w:val="20"/>
                <w:szCs w:val="20"/>
              </w:rPr>
              <w:t>22.37</w:t>
            </w:r>
          </w:p>
        </w:tc>
        <w:tc>
          <w:tcPr>
            <w:tcW w:w="0" w:type="auto"/>
            <w:vAlign w:val="center"/>
            <w:hideMark/>
          </w:tcPr>
          <w:p w14:paraId="6FF2ED8D" w14:textId="3879F5F4" w:rsidR="005E6F7A" w:rsidRPr="00F6445C" w:rsidRDefault="005E6F7A" w:rsidP="005E6F7A">
            <w:pPr>
              <w:pStyle w:val="NormalWeb"/>
              <w:spacing w:line="360" w:lineRule="auto"/>
              <w:jc w:val="both"/>
              <w:rPr>
                <w:sz w:val="20"/>
                <w:szCs w:val="20"/>
              </w:rPr>
            </w:pPr>
            <w:r w:rsidRPr="00F6445C">
              <w:rPr>
                <w:sz w:val="20"/>
                <w:szCs w:val="20"/>
              </w:rPr>
              <w:t>0.29</w:t>
            </w:r>
          </w:p>
        </w:tc>
        <w:tc>
          <w:tcPr>
            <w:tcW w:w="0" w:type="auto"/>
            <w:vAlign w:val="center"/>
            <w:hideMark/>
          </w:tcPr>
          <w:p w14:paraId="55903F5F" w14:textId="7B0FE647" w:rsidR="005E6F7A" w:rsidRPr="00F6445C" w:rsidRDefault="005E6F7A" w:rsidP="005E6F7A">
            <w:pPr>
              <w:pStyle w:val="NormalWeb"/>
              <w:spacing w:line="360" w:lineRule="auto"/>
              <w:jc w:val="both"/>
              <w:rPr>
                <w:sz w:val="20"/>
                <w:szCs w:val="20"/>
              </w:rPr>
            </w:pPr>
            <w:r w:rsidRPr="00F6445C">
              <w:rPr>
                <w:sz w:val="20"/>
                <w:szCs w:val="20"/>
              </w:rPr>
              <w:t>0.39</w:t>
            </w:r>
          </w:p>
        </w:tc>
        <w:tc>
          <w:tcPr>
            <w:tcW w:w="0" w:type="auto"/>
            <w:vAlign w:val="center"/>
            <w:hideMark/>
          </w:tcPr>
          <w:p w14:paraId="19DBF0D0" w14:textId="6D1F1FF8" w:rsidR="005E6F7A" w:rsidRPr="00F6445C" w:rsidRDefault="005E6F7A" w:rsidP="005E6F7A">
            <w:pPr>
              <w:pStyle w:val="NormalWeb"/>
              <w:spacing w:line="360" w:lineRule="auto"/>
              <w:jc w:val="both"/>
              <w:rPr>
                <w:sz w:val="20"/>
                <w:szCs w:val="20"/>
              </w:rPr>
            </w:pPr>
            <w:r w:rsidRPr="00F6445C">
              <w:rPr>
                <w:sz w:val="20"/>
                <w:szCs w:val="20"/>
              </w:rPr>
              <w:t>0.30</w:t>
            </w:r>
          </w:p>
        </w:tc>
      </w:tr>
      <w:tr w:rsidR="005E6F7A" w:rsidRPr="00F6445C" w14:paraId="7C8B5EB2" w14:textId="77777777" w:rsidTr="008A1228">
        <w:tc>
          <w:tcPr>
            <w:tcW w:w="0" w:type="auto"/>
            <w:hideMark/>
          </w:tcPr>
          <w:p w14:paraId="7779B33D" w14:textId="77777777" w:rsidR="005E6F7A" w:rsidRPr="00F6445C" w:rsidRDefault="005E6F7A" w:rsidP="005E6F7A">
            <w:pPr>
              <w:pStyle w:val="NormalWeb"/>
              <w:spacing w:line="360" w:lineRule="auto"/>
              <w:jc w:val="both"/>
              <w:rPr>
                <w:sz w:val="20"/>
                <w:szCs w:val="20"/>
              </w:rPr>
            </w:pPr>
            <w:r w:rsidRPr="00F6445C">
              <w:rPr>
                <w:b/>
                <w:bCs/>
                <w:sz w:val="20"/>
                <w:szCs w:val="20"/>
              </w:rPr>
              <w:t>Energy</w:t>
            </w:r>
          </w:p>
        </w:tc>
        <w:tc>
          <w:tcPr>
            <w:tcW w:w="0" w:type="auto"/>
            <w:vAlign w:val="center"/>
            <w:hideMark/>
          </w:tcPr>
          <w:p w14:paraId="12DE2F1D" w14:textId="32A41F30" w:rsidR="005E6F7A" w:rsidRPr="00F6445C" w:rsidRDefault="005E6F7A" w:rsidP="005E6F7A">
            <w:pPr>
              <w:pStyle w:val="NormalWeb"/>
              <w:spacing w:line="360" w:lineRule="auto"/>
              <w:jc w:val="both"/>
              <w:rPr>
                <w:sz w:val="20"/>
                <w:szCs w:val="20"/>
              </w:rPr>
            </w:pPr>
            <w:r w:rsidRPr="00F6445C">
              <w:rPr>
                <w:sz w:val="20"/>
                <w:szCs w:val="20"/>
              </w:rPr>
              <w:t>35.96</w:t>
            </w:r>
          </w:p>
        </w:tc>
        <w:tc>
          <w:tcPr>
            <w:tcW w:w="0" w:type="auto"/>
            <w:vAlign w:val="center"/>
            <w:hideMark/>
          </w:tcPr>
          <w:p w14:paraId="70C21A10" w14:textId="78E3756B" w:rsidR="005E6F7A" w:rsidRPr="00F6445C" w:rsidRDefault="005E6F7A" w:rsidP="005E6F7A">
            <w:pPr>
              <w:pStyle w:val="NormalWeb"/>
              <w:spacing w:line="360" w:lineRule="auto"/>
              <w:jc w:val="both"/>
              <w:rPr>
                <w:sz w:val="20"/>
                <w:szCs w:val="20"/>
              </w:rPr>
            </w:pPr>
            <w:r w:rsidRPr="00F6445C">
              <w:rPr>
                <w:sz w:val="20"/>
                <w:szCs w:val="20"/>
              </w:rPr>
              <w:t>15.52</w:t>
            </w:r>
          </w:p>
        </w:tc>
        <w:tc>
          <w:tcPr>
            <w:tcW w:w="0" w:type="auto"/>
            <w:vAlign w:val="center"/>
            <w:hideMark/>
          </w:tcPr>
          <w:p w14:paraId="616ED04C" w14:textId="68681B5F" w:rsidR="005E6F7A" w:rsidRPr="00F6445C" w:rsidRDefault="005E6F7A" w:rsidP="005E6F7A">
            <w:pPr>
              <w:pStyle w:val="NormalWeb"/>
              <w:spacing w:line="360" w:lineRule="auto"/>
              <w:jc w:val="both"/>
              <w:rPr>
                <w:sz w:val="20"/>
                <w:szCs w:val="20"/>
              </w:rPr>
            </w:pPr>
            <w:r w:rsidRPr="00F6445C">
              <w:rPr>
                <w:sz w:val="20"/>
                <w:szCs w:val="20"/>
              </w:rPr>
              <w:t>0.41</w:t>
            </w:r>
          </w:p>
        </w:tc>
        <w:tc>
          <w:tcPr>
            <w:tcW w:w="0" w:type="auto"/>
            <w:vAlign w:val="center"/>
            <w:hideMark/>
          </w:tcPr>
          <w:p w14:paraId="7339D071" w14:textId="77E970F0" w:rsidR="005E6F7A" w:rsidRPr="00F6445C" w:rsidRDefault="005E6F7A" w:rsidP="005E6F7A">
            <w:pPr>
              <w:pStyle w:val="NormalWeb"/>
              <w:spacing w:line="360" w:lineRule="auto"/>
              <w:jc w:val="both"/>
              <w:rPr>
                <w:sz w:val="20"/>
                <w:szCs w:val="20"/>
              </w:rPr>
            </w:pPr>
            <w:r w:rsidRPr="00F6445C">
              <w:rPr>
                <w:sz w:val="20"/>
                <w:szCs w:val="20"/>
              </w:rPr>
              <w:t>0.38</w:t>
            </w:r>
          </w:p>
        </w:tc>
        <w:tc>
          <w:tcPr>
            <w:tcW w:w="0" w:type="auto"/>
            <w:vAlign w:val="center"/>
            <w:hideMark/>
          </w:tcPr>
          <w:p w14:paraId="0BFE8148" w14:textId="4B3B5F19" w:rsidR="005E6F7A" w:rsidRPr="00F6445C" w:rsidRDefault="005E6F7A" w:rsidP="005E6F7A">
            <w:pPr>
              <w:pStyle w:val="NormalWeb"/>
              <w:spacing w:line="360" w:lineRule="auto"/>
              <w:jc w:val="both"/>
              <w:rPr>
                <w:sz w:val="20"/>
                <w:szCs w:val="20"/>
              </w:rPr>
            </w:pPr>
            <w:r w:rsidRPr="00F6445C">
              <w:rPr>
                <w:sz w:val="20"/>
                <w:szCs w:val="20"/>
              </w:rPr>
              <w:t>0.36</w:t>
            </w:r>
          </w:p>
        </w:tc>
      </w:tr>
      <w:tr w:rsidR="005E6F7A" w:rsidRPr="00F6445C" w14:paraId="49116424" w14:textId="77777777" w:rsidTr="008A1228">
        <w:tc>
          <w:tcPr>
            <w:tcW w:w="0" w:type="auto"/>
            <w:hideMark/>
          </w:tcPr>
          <w:p w14:paraId="09BCC921" w14:textId="77777777" w:rsidR="005E6F7A" w:rsidRPr="00F6445C" w:rsidRDefault="005E6F7A" w:rsidP="005E6F7A">
            <w:pPr>
              <w:pStyle w:val="NormalWeb"/>
              <w:spacing w:line="360" w:lineRule="auto"/>
              <w:jc w:val="both"/>
              <w:rPr>
                <w:sz w:val="20"/>
                <w:szCs w:val="20"/>
              </w:rPr>
            </w:pPr>
            <w:r w:rsidRPr="00F6445C">
              <w:rPr>
                <w:b/>
                <w:bCs/>
                <w:sz w:val="20"/>
                <w:szCs w:val="20"/>
              </w:rPr>
              <w:t>Metals</w:t>
            </w:r>
          </w:p>
        </w:tc>
        <w:tc>
          <w:tcPr>
            <w:tcW w:w="0" w:type="auto"/>
            <w:vAlign w:val="center"/>
            <w:hideMark/>
          </w:tcPr>
          <w:p w14:paraId="2A7CB136" w14:textId="2D1AEED5" w:rsidR="005E6F7A" w:rsidRPr="00F6445C" w:rsidRDefault="005E6F7A" w:rsidP="005E6F7A">
            <w:pPr>
              <w:pStyle w:val="NormalWeb"/>
              <w:spacing w:line="360" w:lineRule="auto"/>
              <w:jc w:val="both"/>
              <w:rPr>
                <w:sz w:val="20"/>
                <w:szCs w:val="20"/>
              </w:rPr>
            </w:pPr>
            <w:r w:rsidRPr="00F6445C">
              <w:rPr>
                <w:sz w:val="20"/>
                <w:szCs w:val="20"/>
              </w:rPr>
              <w:t>35.01</w:t>
            </w:r>
          </w:p>
        </w:tc>
        <w:tc>
          <w:tcPr>
            <w:tcW w:w="0" w:type="auto"/>
            <w:vAlign w:val="center"/>
            <w:hideMark/>
          </w:tcPr>
          <w:p w14:paraId="0CA71D44" w14:textId="7B525D74" w:rsidR="005E6F7A" w:rsidRPr="00F6445C" w:rsidRDefault="005E6F7A" w:rsidP="005E6F7A">
            <w:pPr>
              <w:pStyle w:val="NormalWeb"/>
              <w:spacing w:line="360" w:lineRule="auto"/>
              <w:jc w:val="both"/>
              <w:rPr>
                <w:sz w:val="20"/>
                <w:szCs w:val="20"/>
              </w:rPr>
            </w:pPr>
            <w:r w:rsidRPr="00F6445C">
              <w:rPr>
                <w:sz w:val="20"/>
                <w:szCs w:val="20"/>
              </w:rPr>
              <w:t>11.07</w:t>
            </w:r>
          </w:p>
        </w:tc>
        <w:tc>
          <w:tcPr>
            <w:tcW w:w="0" w:type="auto"/>
            <w:vAlign w:val="center"/>
            <w:hideMark/>
          </w:tcPr>
          <w:p w14:paraId="021A7979" w14:textId="7EB2CD50" w:rsidR="005E6F7A" w:rsidRPr="00F6445C" w:rsidRDefault="005E6F7A" w:rsidP="005E6F7A">
            <w:pPr>
              <w:pStyle w:val="NormalWeb"/>
              <w:spacing w:line="360" w:lineRule="auto"/>
              <w:jc w:val="both"/>
              <w:rPr>
                <w:sz w:val="20"/>
                <w:szCs w:val="20"/>
              </w:rPr>
            </w:pPr>
            <w:r w:rsidRPr="00F6445C">
              <w:rPr>
                <w:sz w:val="20"/>
                <w:szCs w:val="20"/>
              </w:rPr>
              <w:t>1.25</w:t>
            </w:r>
          </w:p>
        </w:tc>
        <w:tc>
          <w:tcPr>
            <w:tcW w:w="0" w:type="auto"/>
            <w:vAlign w:val="center"/>
            <w:hideMark/>
          </w:tcPr>
          <w:p w14:paraId="4CB2BA2C" w14:textId="17C83CA1" w:rsidR="005E6F7A" w:rsidRPr="00F6445C" w:rsidRDefault="005E6F7A" w:rsidP="005E6F7A">
            <w:pPr>
              <w:pStyle w:val="NormalWeb"/>
              <w:spacing w:line="360" w:lineRule="auto"/>
              <w:jc w:val="both"/>
              <w:rPr>
                <w:sz w:val="20"/>
                <w:szCs w:val="20"/>
              </w:rPr>
            </w:pPr>
            <w:r w:rsidRPr="00F6445C">
              <w:rPr>
                <w:sz w:val="20"/>
                <w:szCs w:val="20"/>
              </w:rPr>
              <w:t>0.28</w:t>
            </w:r>
          </w:p>
        </w:tc>
        <w:tc>
          <w:tcPr>
            <w:tcW w:w="0" w:type="auto"/>
            <w:vAlign w:val="center"/>
            <w:hideMark/>
          </w:tcPr>
          <w:p w14:paraId="7F9D120F" w14:textId="32ACC0CF" w:rsidR="005E6F7A" w:rsidRPr="00F6445C" w:rsidRDefault="005E6F7A" w:rsidP="005E6F7A">
            <w:pPr>
              <w:pStyle w:val="NormalWeb"/>
              <w:spacing w:line="360" w:lineRule="auto"/>
              <w:jc w:val="both"/>
              <w:rPr>
                <w:sz w:val="20"/>
                <w:szCs w:val="20"/>
              </w:rPr>
            </w:pPr>
            <w:r w:rsidRPr="00F6445C">
              <w:rPr>
                <w:sz w:val="20"/>
                <w:szCs w:val="20"/>
              </w:rPr>
              <w:t>0.49</w:t>
            </w:r>
          </w:p>
        </w:tc>
      </w:tr>
      <w:tr w:rsidR="005E6F7A" w:rsidRPr="00F6445C" w14:paraId="0A02504D" w14:textId="77777777" w:rsidTr="008A1228">
        <w:tc>
          <w:tcPr>
            <w:tcW w:w="0" w:type="auto"/>
            <w:hideMark/>
          </w:tcPr>
          <w:p w14:paraId="3B3B898D" w14:textId="77777777" w:rsidR="005E6F7A" w:rsidRPr="00F6445C" w:rsidRDefault="005E6F7A" w:rsidP="005E6F7A">
            <w:pPr>
              <w:pStyle w:val="NormalWeb"/>
              <w:spacing w:line="360" w:lineRule="auto"/>
              <w:jc w:val="both"/>
              <w:rPr>
                <w:sz w:val="20"/>
                <w:szCs w:val="20"/>
              </w:rPr>
            </w:pPr>
            <w:r w:rsidRPr="00F6445C">
              <w:rPr>
                <w:b/>
                <w:bCs/>
                <w:sz w:val="20"/>
                <w:szCs w:val="20"/>
              </w:rPr>
              <w:t>Realty</w:t>
            </w:r>
          </w:p>
        </w:tc>
        <w:tc>
          <w:tcPr>
            <w:tcW w:w="0" w:type="auto"/>
            <w:vAlign w:val="center"/>
            <w:hideMark/>
          </w:tcPr>
          <w:p w14:paraId="7618C335" w14:textId="1052D61E" w:rsidR="005E6F7A" w:rsidRPr="00F6445C" w:rsidRDefault="005E6F7A" w:rsidP="005E6F7A">
            <w:pPr>
              <w:pStyle w:val="NormalWeb"/>
              <w:spacing w:line="360" w:lineRule="auto"/>
              <w:jc w:val="both"/>
              <w:rPr>
                <w:sz w:val="20"/>
                <w:szCs w:val="20"/>
              </w:rPr>
            </w:pPr>
            <w:r w:rsidRPr="00F6445C">
              <w:rPr>
                <w:sz w:val="20"/>
                <w:szCs w:val="20"/>
              </w:rPr>
              <w:t>32.15</w:t>
            </w:r>
          </w:p>
        </w:tc>
        <w:tc>
          <w:tcPr>
            <w:tcW w:w="0" w:type="auto"/>
            <w:vAlign w:val="center"/>
            <w:hideMark/>
          </w:tcPr>
          <w:p w14:paraId="2F05B20E" w14:textId="23A2C3F5" w:rsidR="005E6F7A" w:rsidRPr="00F6445C" w:rsidRDefault="005E6F7A" w:rsidP="005E6F7A">
            <w:pPr>
              <w:pStyle w:val="NormalWeb"/>
              <w:spacing w:line="360" w:lineRule="auto"/>
              <w:jc w:val="both"/>
              <w:rPr>
                <w:sz w:val="20"/>
                <w:szCs w:val="20"/>
              </w:rPr>
            </w:pPr>
            <w:r w:rsidRPr="00F6445C">
              <w:rPr>
                <w:sz w:val="20"/>
                <w:szCs w:val="20"/>
              </w:rPr>
              <w:t>9.29</w:t>
            </w:r>
          </w:p>
        </w:tc>
        <w:tc>
          <w:tcPr>
            <w:tcW w:w="0" w:type="auto"/>
            <w:vAlign w:val="center"/>
            <w:hideMark/>
          </w:tcPr>
          <w:p w14:paraId="088C88D9" w14:textId="78D7E092" w:rsidR="005E6F7A" w:rsidRPr="00F6445C" w:rsidRDefault="005E6F7A" w:rsidP="005E6F7A">
            <w:pPr>
              <w:pStyle w:val="NormalWeb"/>
              <w:spacing w:line="360" w:lineRule="auto"/>
              <w:jc w:val="both"/>
              <w:rPr>
                <w:sz w:val="20"/>
                <w:szCs w:val="20"/>
              </w:rPr>
            </w:pPr>
            <w:r w:rsidRPr="00F6445C">
              <w:rPr>
                <w:sz w:val="20"/>
                <w:szCs w:val="20"/>
              </w:rPr>
              <w:t>1.03</w:t>
            </w:r>
          </w:p>
        </w:tc>
        <w:tc>
          <w:tcPr>
            <w:tcW w:w="0" w:type="auto"/>
            <w:vAlign w:val="center"/>
            <w:hideMark/>
          </w:tcPr>
          <w:p w14:paraId="126AA46F" w14:textId="0326DA62" w:rsidR="005E6F7A" w:rsidRPr="00F6445C" w:rsidRDefault="005E6F7A" w:rsidP="005E6F7A">
            <w:pPr>
              <w:pStyle w:val="NormalWeb"/>
              <w:spacing w:line="360" w:lineRule="auto"/>
              <w:jc w:val="both"/>
              <w:rPr>
                <w:sz w:val="20"/>
                <w:szCs w:val="20"/>
              </w:rPr>
            </w:pPr>
            <w:r w:rsidRPr="00F6445C">
              <w:rPr>
                <w:sz w:val="20"/>
                <w:szCs w:val="20"/>
              </w:rPr>
              <w:t>0.30</w:t>
            </w:r>
          </w:p>
        </w:tc>
        <w:tc>
          <w:tcPr>
            <w:tcW w:w="0" w:type="auto"/>
            <w:vAlign w:val="center"/>
            <w:hideMark/>
          </w:tcPr>
          <w:p w14:paraId="2032E143" w14:textId="514227CC" w:rsidR="005E6F7A" w:rsidRPr="00F6445C" w:rsidRDefault="005E6F7A" w:rsidP="005E6F7A">
            <w:pPr>
              <w:pStyle w:val="NormalWeb"/>
              <w:spacing w:line="360" w:lineRule="auto"/>
              <w:jc w:val="both"/>
              <w:rPr>
                <w:sz w:val="20"/>
                <w:szCs w:val="20"/>
              </w:rPr>
            </w:pPr>
            <w:r w:rsidRPr="00F6445C">
              <w:rPr>
                <w:sz w:val="20"/>
                <w:szCs w:val="20"/>
              </w:rPr>
              <w:t>0.28</w:t>
            </w:r>
          </w:p>
        </w:tc>
      </w:tr>
    </w:tbl>
    <w:p w14:paraId="79FDD16A" w14:textId="4CB597C0" w:rsidR="00091F53" w:rsidRPr="00F6445C" w:rsidRDefault="00091F53" w:rsidP="00EE5A42">
      <w:pPr>
        <w:pStyle w:val="NormalWeb"/>
        <w:spacing w:line="360" w:lineRule="auto"/>
        <w:jc w:val="both"/>
        <w:rPr>
          <w:i/>
          <w:iCs/>
          <w:sz w:val="20"/>
        </w:rPr>
      </w:pPr>
      <w:r w:rsidRPr="00F6445C">
        <w:rPr>
          <w:i/>
          <w:iCs/>
          <w:sz w:val="20"/>
        </w:rPr>
        <w:t>Notes: Percentage reduction in standard errors when moving from OLS to SUR–FGLS</w:t>
      </w:r>
    </w:p>
    <w:p w14:paraId="4409E74A" w14:textId="77777777" w:rsidR="003B2ADC" w:rsidRPr="00F6445C" w:rsidRDefault="003B2ADC" w:rsidP="003B2ADC">
      <w:pPr>
        <w:pStyle w:val="NormalWeb"/>
        <w:spacing w:line="360" w:lineRule="auto"/>
        <w:jc w:val="both"/>
        <w:rPr>
          <w:bCs/>
          <w:sz w:val="22"/>
          <w:szCs w:val="22"/>
        </w:rPr>
      </w:pPr>
      <w:r w:rsidRPr="00F6445C">
        <w:rPr>
          <w:bCs/>
          <w:sz w:val="22"/>
          <w:szCs w:val="22"/>
        </w:rPr>
        <w:t>Table 6 summarizes the contemporaneous residual covariance structure derived from the SUR model. Panel A indicates that residual variance differs significantly across sectors, with Metals and Realty exhibiting the highest unexplained volatility, suggesting a greater role for sector-specific shocks.</w:t>
      </w:r>
    </w:p>
    <w:p w14:paraId="1FFC28B0" w14:textId="55E82079" w:rsidR="003B2ADC" w:rsidRPr="00F6445C" w:rsidRDefault="003B2ADC" w:rsidP="00EE5A42">
      <w:pPr>
        <w:pStyle w:val="NormalWeb"/>
        <w:spacing w:line="360" w:lineRule="auto"/>
        <w:jc w:val="both"/>
        <w:rPr>
          <w:bCs/>
          <w:sz w:val="22"/>
          <w:szCs w:val="22"/>
        </w:rPr>
      </w:pPr>
      <w:r w:rsidRPr="00F6445C">
        <w:rPr>
          <w:bCs/>
          <w:sz w:val="22"/>
          <w:szCs w:val="22"/>
        </w:rPr>
        <w:lastRenderedPageBreak/>
        <w:t>Panel B highlights the strongest residual correlations, revealing a dense network of positive contemporaneous associations. The strongest linkage is observed between Energy and Metals, reflecting shared exposure to global commodity cycles. Strong positive connections are also evident among Auto, Banking, and Realty, indicating clustering among cyclical sectors. These findings suggest that even after controlling for observed macro-financial drivers, sectoral innovations remain highly interconnected through latent common influences.</w:t>
      </w:r>
    </w:p>
    <w:p w14:paraId="36CBAABF" w14:textId="7264CC3D" w:rsidR="00F97CED" w:rsidRPr="00F6445C" w:rsidRDefault="00BF6B13" w:rsidP="00EE5A42">
      <w:pPr>
        <w:pStyle w:val="NormalWeb"/>
        <w:spacing w:line="360" w:lineRule="auto"/>
        <w:jc w:val="both"/>
        <w:rPr>
          <w:b/>
          <w:bCs/>
          <w:sz w:val="22"/>
          <w:szCs w:val="22"/>
        </w:rPr>
      </w:pPr>
      <w:r w:rsidRPr="00F6445C">
        <w:rPr>
          <w:b/>
          <w:bCs/>
          <w:sz w:val="22"/>
          <w:szCs w:val="22"/>
        </w:rPr>
        <w:t>Table 6:</w:t>
      </w:r>
      <w:r w:rsidR="00F97CED" w:rsidRPr="00F6445C">
        <w:rPr>
          <w:b/>
          <w:bCs/>
          <w:sz w:val="22"/>
          <w:szCs w:val="22"/>
        </w:rPr>
        <w:t xml:space="preserve"> Contemporaneous Residual Dependence Across NIFTY Sector Indices (SUR Estimates)</w:t>
      </w:r>
    </w:p>
    <w:p w14:paraId="277C41A3" w14:textId="3D87625B" w:rsidR="005E6F7A" w:rsidRPr="00F6445C" w:rsidRDefault="00F97CED" w:rsidP="005E6F7A">
      <w:pPr>
        <w:pStyle w:val="NormalWeb"/>
        <w:spacing w:line="360" w:lineRule="auto"/>
        <w:jc w:val="both"/>
        <w:rPr>
          <w:b/>
          <w:bCs/>
          <w:sz w:val="22"/>
          <w:szCs w:val="22"/>
        </w:rPr>
      </w:pPr>
      <w:r w:rsidRPr="00F6445C">
        <w:rPr>
          <w:b/>
          <w:bCs/>
          <w:sz w:val="22"/>
          <w:szCs w:val="22"/>
        </w:rPr>
        <w:t xml:space="preserve">Panel A. </w:t>
      </w:r>
      <w:r w:rsidR="005E6F7A" w:rsidRPr="00F6445C">
        <w:rPr>
          <w:b/>
          <w:bCs/>
          <w:sz w:val="22"/>
          <w:szCs w:val="22"/>
        </w:rPr>
        <w:t>Contemporaneous Residual Variance (Diagonal of Σ̂)</w:t>
      </w:r>
    </w:p>
    <w:tbl>
      <w:tblPr>
        <w:tblStyle w:val="TableGrid"/>
        <w:tblW w:w="0" w:type="auto"/>
        <w:jc w:val="center"/>
        <w:tblLook w:val="04A0" w:firstRow="1" w:lastRow="0" w:firstColumn="1" w:lastColumn="0" w:noHBand="0" w:noVBand="1"/>
      </w:tblPr>
      <w:tblGrid>
        <w:gridCol w:w="1030"/>
        <w:gridCol w:w="2103"/>
      </w:tblGrid>
      <w:tr w:rsidR="00F97CED" w:rsidRPr="00F6445C" w14:paraId="2A76D9C3" w14:textId="77777777" w:rsidTr="007A0E5E">
        <w:trPr>
          <w:jc w:val="center"/>
        </w:trPr>
        <w:tc>
          <w:tcPr>
            <w:tcW w:w="0" w:type="auto"/>
            <w:tcBorders>
              <w:top w:val="single" w:sz="4" w:space="0" w:color="auto"/>
              <w:left w:val="nil"/>
              <w:bottom w:val="single" w:sz="4" w:space="0" w:color="auto"/>
              <w:right w:val="nil"/>
            </w:tcBorders>
            <w:hideMark/>
          </w:tcPr>
          <w:p w14:paraId="5733EC83" w14:textId="77777777" w:rsidR="00F97CED" w:rsidRPr="00F6445C" w:rsidRDefault="00F97CED" w:rsidP="00EE5A42">
            <w:pPr>
              <w:pStyle w:val="NormalWeb"/>
              <w:spacing w:line="360" w:lineRule="auto"/>
              <w:jc w:val="both"/>
              <w:rPr>
                <w:b/>
                <w:bCs/>
              </w:rPr>
            </w:pPr>
            <w:r w:rsidRPr="00F6445C">
              <w:rPr>
                <w:b/>
                <w:bCs/>
              </w:rPr>
              <w:t>Sector</w:t>
            </w:r>
          </w:p>
        </w:tc>
        <w:tc>
          <w:tcPr>
            <w:tcW w:w="0" w:type="auto"/>
            <w:tcBorders>
              <w:top w:val="single" w:sz="4" w:space="0" w:color="auto"/>
              <w:left w:val="nil"/>
              <w:bottom w:val="single" w:sz="4" w:space="0" w:color="auto"/>
              <w:right w:val="nil"/>
            </w:tcBorders>
            <w:hideMark/>
          </w:tcPr>
          <w:p w14:paraId="7E05400B" w14:textId="77777777" w:rsidR="00F97CED" w:rsidRPr="00F6445C" w:rsidRDefault="00F97CED" w:rsidP="00EE5A42">
            <w:pPr>
              <w:pStyle w:val="NormalWeb"/>
              <w:spacing w:line="360" w:lineRule="auto"/>
              <w:jc w:val="both"/>
              <w:rPr>
                <w:b/>
                <w:bCs/>
              </w:rPr>
            </w:pPr>
            <w:r w:rsidRPr="00F6445C">
              <w:rPr>
                <w:b/>
                <w:bCs/>
              </w:rPr>
              <w:t>Residual Variance</w:t>
            </w:r>
          </w:p>
        </w:tc>
      </w:tr>
      <w:tr w:rsidR="005E6F7A" w:rsidRPr="00F6445C" w14:paraId="792AFAD3" w14:textId="77777777" w:rsidTr="008A1228">
        <w:trPr>
          <w:jc w:val="center"/>
        </w:trPr>
        <w:tc>
          <w:tcPr>
            <w:tcW w:w="0" w:type="auto"/>
            <w:tcBorders>
              <w:top w:val="single" w:sz="4" w:space="0" w:color="auto"/>
              <w:left w:val="nil"/>
              <w:bottom w:val="nil"/>
              <w:right w:val="nil"/>
            </w:tcBorders>
            <w:vAlign w:val="center"/>
            <w:hideMark/>
          </w:tcPr>
          <w:p w14:paraId="2C8CD9BE" w14:textId="5CDE3E7D" w:rsidR="005E6F7A" w:rsidRPr="00F6445C" w:rsidRDefault="005E6F7A" w:rsidP="005E6F7A">
            <w:pPr>
              <w:pStyle w:val="NormalWeb"/>
              <w:spacing w:line="360" w:lineRule="auto"/>
              <w:jc w:val="center"/>
            </w:pPr>
            <w:r w:rsidRPr="00F6445C">
              <w:t>IT</w:t>
            </w:r>
          </w:p>
        </w:tc>
        <w:tc>
          <w:tcPr>
            <w:tcW w:w="0" w:type="auto"/>
            <w:tcBorders>
              <w:top w:val="single" w:sz="4" w:space="0" w:color="auto"/>
              <w:left w:val="nil"/>
              <w:bottom w:val="nil"/>
              <w:right w:val="nil"/>
            </w:tcBorders>
            <w:vAlign w:val="center"/>
            <w:hideMark/>
          </w:tcPr>
          <w:p w14:paraId="328A27F0" w14:textId="1DF4A4E8" w:rsidR="005E6F7A" w:rsidRPr="00F6445C" w:rsidRDefault="005E6F7A" w:rsidP="005E6F7A">
            <w:pPr>
              <w:pStyle w:val="NormalWeb"/>
              <w:spacing w:line="360" w:lineRule="auto"/>
              <w:jc w:val="center"/>
            </w:pPr>
            <w:r w:rsidRPr="00F6445C">
              <w:t>1.963</w:t>
            </w:r>
          </w:p>
        </w:tc>
      </w:tr>
      <w:tr w:rsidR="005E6F7A" w:rsidRPr="00F6445C" w14:paraId="21EF5C3D" w14:textId="77777777" w:rsidTr="008A1228">
        <w:trPr>
          <w:jc w:val="center"/>
        </w:trPr>
        <w:tc>
          <w:tcPr>
            <w:tcW w:w="0" w:type="auto"/>
            <w:tcBorders>
              <w:top w:val="nil"/>
              <w:left w:val="nil"/>
              <w:bottom w:val="nil"/>
              <w:right w:val="nil"/>
            </w:tcBorders>
            <w:vAlign w:val="center"/>
            <w:hideMark/>
          </w:tcPr>
          <w:p w14:paraId="00E56C4A" w14:textId="6A02C91B" w:rsidR="005E6F7A" w:rsidRPr="00F6445C" w:rsidRDefault="005E6F7A" w:rsidP="005E6F7A">
            <w:pPr>
              <w:pStyle w:val="NormalWeb"/>
              <w:spacing w:line="360" w:lineRule="auto"/>
              <w:jc w:val="center"/>
            </w:pPr>
            <w:r w:rsidRPr="00F6445C">
              <w:t>FMCG</w:t>
            </w:r>
          </w:p>
        </w:tc>
        <w:tc>
          <w:tcPr>
            <w:tcW w:w="0" w:type="auto"/>
            <w:tcBorders>
              <w:top w:val="nil"/>
              <w:left w:val="nil"/>
              <w:bottom w:val="nil"/>
              <w:right w:val="nil"/>
            </w:tcBorders>
            <w:vAlign w:val="center"/>
            <w:hideMark/>
          </w:tcPr>
          <w:p w14:paraId="7C77FB44" w14:textId="09095750" w:rsidR="005E6F7A" w:rsidRPr="00F6445C" w:rsidRDefault="005E6F7A" w:rsidP="005E6F7A">
            <w:pPr>
              <w:pStyle w:val="NormalWeb"/>
              <w:spacing w:line="360" w:lineRule="auto"/>
              <w:jc w:val="center"/>
            </w:pPr>
            <w:r w:rsidRPr="00F6445C">
              <w:t>1.056</w:t>
            </w:r>
          </w:p>
        </w:tc>
      </w:tr>
      <w:tr w:rsidR="005E6F7A" w:rsidRPr="00F6445C" w14:paraId="23BFB483" w14:textId="77777777" w:rsidTr="008A1228">
        <w:trPr>
          <w:jc w:val="center"/>
        </w:trPr>
        <w:tc>
          <w:tcPr>
            <w:tcW w:w="0" w:type="auto"/>
            <w:tcBorders>
              <w:top w:val="nil"/>
              <w:left w:val="nil"/>
              <w:bottom w:val="nil"/>
              <w:right w:val="nil"/>
            </w:tcBorders>
            <w:vAlign w:val="center"/>
            <w:hideMark/>
          </w:tcPr>
          <w:p w14:paraId="76B24AD3" w14:textId="34712D41" w:rsidR="005E6F7A" w:rsidRPr="00F6445C" w:rsidRDefault="005E6F7A" w:rsidP="005E6F7A">
            <w:pPr>
              <w:pStyle w:val="NormalWeb"/>
              <w:spacing w:line="360" w:lineRule="auto"/>
              <w:jc w:val="center"/>
            </w:pPr>
            <w:r w:rsidRPr="00F6445C">
              <w:t>Pharma</w:t>
            </w:r>
          </w:p>
        </w:tc>
        <w:tc>
          <w:tcPr>
            <w:tcW w:w="0" w:type="auto"/>
            <w:tcBorders>
              <w:top w:val="nil"/>
              <w:left w:val="nil"/>
              <w:bottom w:val="nil"/>
              <w:right w:val="nil"/>
            </w:tcBorders>
            <w:vAlign w:val="center"/>
            <w:hideMark/>
          </w:tcPr>
          <w:p w14:paraId="30ED8979" w14:textId="01543B22" w:rsidR="005E6F7A" w:rsidRPr="00F6445C" w:rsidRDefault="005E6F7A" w:rsidP="005E6F7A">
            <w:pPr>
              <w:pStyle w:val="NormalWeb"/>
              <w:spacing w:line="360" w:lineRule="auto"/>
              <w:jc w:val="center"/>
            </w:pPr>
            <w:r w:rsidRPr="00F6445C">
              <w:t>1.429</w:t>
            </w:r>
          </w:p>
        </w:tc>
      </w:tr>
      <w:tr w:rsidR="005E6F7A" w:rsidRPr="00F6445C" w14:paraId="32CBFE55" w14:textId="77777777" w:rsidTr="008A1228">
        <w:trPr>
          <w:jc w:val="center"/>
        </w:trPr>
        <w:tc>
          <w:tcPr>
            <w:tcW w:w="0" w:type="auto"/>
            <w:tcBorders>
              <w:top w:val="nil"/>
              <w:left w:val="nil"/>
              <w:bottom w:val="nil"/>
              <w:right w:val="nil"/>
            </w:tcBorders>
            <w:vAlign w:val="center"/>
            <w:hideMark/>
          </w:tcPr>
          <w:p w14:paraId="0C7CB8FE" w14:textId="1762CB64" w:rsidR="005E6F7A" w:rsidRPr="00F6445C" w:rsidRDefault="005E6F7A" w:rsidP="005E6F7A">
            <w:pPr>
              <w:pStyle w:val="NormalWeb"/>
              <w:spacing w:line="360" w:lineRule="auto"/>
              <w:jc w:val="center"/>
            </w:pPr>
            <w:r w:rsidRPr="00F6445C">
              <w:t>Auto</w:t>
            </w:r>
          </w:p>
        </w:tc>
        <w:tc>
          <w:tcPr>
            <w:tcW w:w="0" w:type="auto"/>
            <w:tcBorders>
              <w:top w:val="nil"/>
              <w:left w:val="nil"/>
              <w:bottom w:val="nil"/>
              <w:right w:val="nil"/>
            </w:tcBorders>
            <w:vAlign w:val="center"/>
            <w:hideMark/>
          </w:tcPr>
          <w:p w14:paraId="27D1B2FB" w14:textId="51AAE8E4" w:rsidR="005E6F7A" w:rsidRPr="00F6445C" w:rsidRDefault="005E6F7A" w:rsidP="005E6F7A">
            <w:pPr>
              <w:pStyle w:val="NormalWeb"/>
              <w:spacing w:line="360" w:lineRule="auto"/>
              <w:jc w:val="center"/>
            </w:pPr>
            <w:r w:rsidRPr="00F6445C">
              <w:t>2.046</w:t>
            </w:r>
          </w:p>
        </w:tc>
      </w:tr>
      <w:tr w:rsidR="005E6F7A" w:rsidRPr="00F6445C" w14:paraId="56E382D6" w14:textId="77777777" w:rsidTr="008A1228">
        <w:trPr>
          <w:jc w:val="center"/>
        </w:trPr>
        <w:tc>
          <w:tcPr>
            <w:tcW w:w="0" w:type="auto"/>
            <w:tcBorders>
              <w:top w:val="nil"/>
              <w:left w:val="nil"/>
              <w:bottom w:val="nil"/>
              <w:right w:val="nil"/>
            </w:tcBorders>
            <w:vAlign w:val="center"/>
            <w:hideMark/>
          </w:tcPr>
          <w:p w14:paraId="56E8D0BA" w14:textId="50D5AFD2" w:rsidR="005E6F7A" w:rsidRPr="00F6445C" w:rsidRDefault="005E6F7A" w:rsidP="005E6F7A">
            <w:pPr>
              <w:pStyle w:val="NormalWeb"/>
              <w:spacing w:line="360" w:lineRule="auto"/>
              <w:jc w:val="center"/>
            </w:pPr>
            <w:r w:rsidRPr="00F6445C">
              <w:t>Banking</w:t>
            </w:r>
          </w:p>
        </w:tc>
        <w:tc>
          <w:tcPr>
            <w:tcW w:w="0" w:type="auto"/>
            <w:tcBorders>
              <w:top w:val="nil"/>
              <w:left w:val="nil"/>
              <w:bottom w:val="nil"/>
              <w:right w:val="nil"/>
            </w:tcBorders>
            <w:vAlign w:val="center"/>
            <w:hideMark/>
          </w:tcPr>
          <w:p w14:paraId="3C9C6535" w14:textId="5A803B5D" w:rsidR="005E6F7A" w:rsidRPr="00F6445C" w:rsidRDefault="005E6F7A" w:rsidP="005E6F7A">
            <w:pPr>
              <w:pStyle w:val="NormalWeb"/>
              <w:spacing w:line="360" w:lineRule="auto"/>
              <w:jc w:val="center"/>
            </w:pPr>
            <w:r w:rsidRPr="00F6445C">
              <w:t>2.241</w:t>
            </w:r>
          </w:p>
        </w:tc>
      </w:tr>
      <w:tr w:rsidR="005E6F7A" w:rsidRPr="00F6445C" w14:paraId="522D9A64" w14:textId="77777777" w:rsidTr="008A1228">
        <w:trPr>
          <w:jc w:val="center"/>
        </w:trPr>
        <w:tc>
          <w:tcPr>
            <w:tcW w:w="0" w:type="auto"/>
            <w:tcBorders>
              <w:top w:val="nil"/>
              <w:left w:val="nil"/>
              <w:bottom w:val="nil"/>
              <w:right w:val="nil"/>
            </w:tcBorders>
            <w:vAlign w:val="center"/>
            <w:hideMark/>
          </w:tcPr>
          <w:p w14:paraId="711F2AC0" w14:textId="57B8C706" w:rsidR="005E6F7A" w:rsidRPr="00F6445C" w:rsidRDefault="005E6F7A" w:rsidP="005E6F7A">
            <w:pPr>
              <w:pStyle w:val="NormalWeb"/>
              <w:spacing w:line="360" w:lineRule="auto"/>
              <w:jc w:val="center"/>
            </w:pPr>
            <w:r w:rsidRPr="00F6445C">
              <w:t>Energy</w:t>
            </w:r>
          </w:p>
        </w:tc>
        <w:tc>
          <w:tcPr>
            <w:tcW w:w="0" w:type="auto"/>
            <w:tcBorders>
              <w:top w:val="nil"/>
              <w:left w:val="nil"/>
              <w:bottom w:val="nil"/>
              <w:right w:val="nil"/>
            </w:tcBorders>
            <w:vAlign w:val="center"/>
            <w:hideMark/>
          </w:tcPr>
          <w:p w14:paraId="53B7EDE0" w14:textId="2C6EE9BF" w:rsidR="005E6F7A" w:rsidRPr="00F6445C" w:rsidRDefault="005E6F7A" w:rsidP="005E6F7A">
            <w:pPr>
              <w:pStyle w:val="NormalWeb"/>
              <w:spacing w:line="360" w:lineRule="auto"/>
              <w:jc w:val="center"/>
            </w:pPr>
            <w:r w:rsidRPr="00F6445C">
              <w:t>1.983</w:t>
            </w:r>
          </w:p>
        </w:tc>
      </w:tr>
      <w:tr w:rsidR="005E6F7A" w:rsidRPr="00F6445C" w14:paraId="5DED84B1" w14:textId="77777777" w:rsidTr="008A1228">
        <w:trPr>
          <w:jc w:val="center"/>
        </w:trPr>
        <w:tc>
          <w:tcPr>
            <w:tcW w:w="0" w:type="auto"/>
            <w:tcBorders>
              <w:top w:val="nil"/>
              <w:left w:val="nil"/>
              <w:bottom w:val="nil"/>
              <w:right w:val="nil"/>
            </w:tcBorders>
            <w:vAlign w:val="center"/>
            <w:hideMark/>
          </w:tcPr>
          <w:p w14:paraId="3A88DD5F" w14:textId="3EF00074" w:rsidR="005E6F7A" w:rsidRPr="00F6445C" w:rsidRDefault="005E6F7A" w:rsidP="005E6F7A">
            <w:pPr>
              <w:pStyle w:val="NormalWeb"/>
              <w:spacing w:line="360" w:lineRule="auto"/>
              <w:jc w:val="center"/>
            </w:pPr>
            <w:r w:rsidRPr="00F6445C">
              <w:t>Metal</w:t>
            </w:r>
          </w:p>
        </w:tc>
        <w:tc>
          <w:tcPr>
            <w:tcW w:w="0" w:type="auto"/>
            <w:tcBorders>
              <w:top w:val="nil"/>
              <w:left w:val="nil"/>
              <w:bottom w:val="nil"/>
              <w:right w:val="nil"/>
            </w:tcBorders>
            <w:vAlign w:val="center"/>
            <w:hideMark/>
          </w:tcPr>
          <w:p w14:paraId="2FA166B2" w14:textId="3CCEED66" w:rsidR="005E6F7A" w:rsidRPr="00F6445C" w:rsidRDefault="005E6F7A" w:rsidP="005E6F7A">
            <w:pPr>
              <w:pStyle w:val="NormalWeb"/>
              <w:spacing w:line="360" w:lineRule="auto"/>
              <w:jc w:val="center"/>
            </w:pPr>
            <w:r w:rsidRPr="00F6445C">
              <w:t>3.318</w:t>
            </w:r>
          </w:p>
        </w:tc>
      </w:tr>
      <w:tr w:rsidR="005E6F7A" w:rsidRPr="00F6445C" w14:paraId="0242CF7D" w14:textId="77777777" w:rsidTr="008A1228">
        <w:trPr>
          <w:jc w:val="center"/>
        </w:trPr>
        <w:tc>
          <w:tcPr>
            <w:tcW w:w="0" w:type="auto"/>
            <w:tcBorders>
              <w:top w:val="nil"/>
              <w:left w:val="nil"/>
              <w:bottom w:val="single" w:sz="4" w:space="0" w:color="auto"/>
              <w:right w:val="nil"/>
            </w:tcBorders>
            <w:vAlign w:val="center"/>
            <w:hideMark/>
          </w:tcPr>
          <w:p w14:paraId="7C0865D2" w14:textId="0A7733D8" w:rsidR="005E6F7A" w:rsidRPr="00F6445C" w:rsidRDefault="005E6F7A" w:rsidP="005E6F7A">
            <w:pPr>
              <w:pStyle w:val="NormalWeb"/>
              <w:spacing w:line="360" w:lineRule="auto"/>
              <w:jc w:val="center"/>
            </w:pPr>
            <w:r w:rsidRPr="00F6445C">
              <w:t>Realty</w:t>
            </w:r>
          </w:p>
        </w:tc>
        <w:tc>
          <w:tcPr>
            <w:tcW w:w="0" w:type="auto"/>
            <w:tcBorders>
              <w:top w:val="nil"/>
              <w:left w:val="nil"/>
              <w:bottom w:val="single" w:sz="4" w:space="0" w:color="auto"/>
              <w:right w:val="nil"/>
            </w:tcBorders>
            <w:vAlign w:val="center"/>
            <w:hideMark/>
          </w:tcPr>
          <w:p w14:paraId="69371C3A" w14:textId="770FDB6E" w:rsidR="005E6F7A" w:rsidRPr="00F6445C" w:rsidRDefault="005E6F7A" w:rsidP="005E6F7A">
            <w:pPr>
              <w:pStyle w:val="NormalWeb"/>
              <w:spacing w:line="360" w:lineRule="auto"/>
              <w:jc w:val="center"/>
            </w:pPr>
            <w:r w:rsidRPr="00F6445C">
              <w:t>3.574</w:t>
            </w:r>
          </w:p>
        </w:tc>
      </w:tr>
    </w:tbl>
    <w:p w14:paraId="2C4EDAF5" w14:textId="421F1CFF" w:rsidR="00F97CED" w:rsidRPr="00F6445C" w:rsidRDefault="00F97CED" w:rsidP="003B2ADC">
      <w:pPr>
        <w:pStyle w:val="NormalWeb"/>
        <w:spacing w:line="360" w:lineRule="auto"/>
        <w:jc w:val="both"/>
        <w:rPr>
          <w:sz w:val="22"/>
          <w:szCs w:val="22"/>
        </w:rPr>
      </w:pPr>
      <w:r w:rsidRPr="00F6445C">
        <w:rPr>
          <w:b/>
          <w:bCs/>
          <w:sz w:val="22"/>
          <w:szCs w:val="22"/>
        </w:rPr>
        <w:t xml:space="preserve">Panel B. </w:t>
      </w:r>
      <w:r w:rsidR="003B2ADC" w:rsidRPr="00F6445C">
        <w:rPr>
          <w:b/>
          <w:bCs/>
          <w:sz w:val="22"/>
          <w:szCs w:val="22"/>
        </w:rPr>
        <w:t>Strongest Residual</w:t>
      </w:r>
      <w:r w:rsidR="005E6F7A" w:rsidRPr="00F6445C">
        <w:rPr>
          <w:b/>
          <w:bCs/>
          <w:sz w:val="22"/>
          <w:szCs w:val="22"/>
        </w:rPr>
        <w:t xml:space="preserve"> Correlations (|ρᵢⱼ| ≥ 0.4</w:t>
      </w:r>
      <w:r w:rsidRPr="00F6445C">
        <w:rPr>
          <w:b/>
          <w:bCs/>
          <w:sz w:val="22"/>
          <w:szCs w:val="22"/>
        </w:rPr>
        <w:t>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2370"/>
      </w:tblGrid>
      <w:tr w:rsidR="00F97CED" w:rsidRPr="00F6445C" w14:paraId="70471C75" w14:textId="77777777" w:rsidTr="007A0E5E">
        <w:trPr>
          <w:trHeight w:val="277"/>
          <w:jc w:val="center"/>
        </w:trPr>
        <w:tc>
          <w:tcPr>
            <w:tcW w:w="0" w:type="auto"/>
            <w:tcBorders>
              <w:bottom w:val="single" w:sz="4" w:space="0" w:color="auto"/>
            </w:tcBorders>
            <w:hideMark/>
          </w:tcPr>
          <w:p w14:paraId="65787480" w14:textId="77777777" w:rsidR="003B2ADC" w:rsidRPr="00F6445C" w:rsidRDefault="003B2ADC" w:rsidP="003B2ADC">
            <w:pPr>
              <w:pStyle w:val="NormalWeb"/>
              <w:spacing w:before="0" w:beforeAutospacing="0" w:after="0" w:afterAutospacing="0" w:line="360" w:lineRule="auto"/>
              <w:jc w:val="both"/>
              <w:rPr>
                <w:b/>
                <w:bCs/>
              </w:rPr>
            </w:pPr>
          </w:p>
          <w:p w14:paraId="6832AFA9" w14:textId="41B2050C" w:rsidR="00F97CED" w:rsidRPr="00F6445C" w:rsidRDefault="00F97CED" w:rsidP="003B2ADC">
            <w:pPr>
              <w:pStyle w:val="NormalWeb"/>
              <w:spacing w:before="0" w:beforeAutospacing="0" w:after="0" w:afterAutospacing="0" w:line="360" w:lineRule="auto"/>
              <w:jc w:val="both"/>
              <w:rPr>
                <w:b/>
                <w:bCs/>
              </w:rPr>
            </w:pPr>
            <w:r w:rsidRPr="00F6445C">
              <w:rPr>
                <w:b/>
                <w:bCs/>
              </w:rPr>
              <w:t>Sector Pair</w:t>
            </w:r>
          </w:p>
        </w:tc>
        <w:tc>
          <w:tcPr>
            <w:tcW w:w="0" w:type="auto"/>
            <w:tcBorders>
              <w:bottom w:val="single" w:sz="4" w:space="0" w:color="auto"/>
            </w:tcBorders>
            <w:hideMark/>
          </w:tcPr>
          <w:p w14:paraId="7B95ED00" w14:textId="1AF5204D" w:rsidR="003B2ADC" w:rsidRPr="00F6445C" w:rsidRDefault="003B2ADC" w:rsidP="003B2ADC">
            <w:pPr>
              <w:pStyle w:val="NormalWeb"/>
              <w:spacing w:before="0" w:beforeAutospacing="0" w:after="0" w:afterAutospacing="0" w:line="360" w:lineRule="auto"/>
              <w:jc w:val="both"/>
              <w:rPr>
                <w:b/>
                <w:bCs/>
              </w:rPr>
            </w:pPr>
          </w:p>
          <w:p w14:paraId="7B89CB3F" w14:textId="346E03D6" w:rsidR="00F97CED" w:rsidRPr="00F6445C" w:rsidRDefault="00F97CED" w:rsidP="003B2ADC">
            <w:pPr>
              <w:pStyle w:val="NormalWeb"/>
              <w:spacing w:before="0" w:beforeAutospacing="0" w:after="0" w:afterAutospacing="0" w:line="360" w:lineRule="auto"/>
              <w:jc w:val="both"/>
              <w:rPr>
                <w:b/>
                <w:bCs/>
              </w:rPr>
            </w:pPr>
            <w:r w:rsidRPr="00F6445C">
              <w:rPr>
                <w:b/>
                <w:bCs/>
              </w:rPr>
              <w:t>Residual Correlation</w:t>
            </w:r>
          </w:p>
        </w:tc>
      </w:tr>
      <w:tr w:rsidR="005E6F7A" w:rsidRPr="00F6445C" w14:paraId="6A4758C2" w14:textId="77777777" w:rsidTr="008A1228">
        <w:trPr>
          <w:trHeight w:val="277"/>
          <w:jc w:val="center"/>
        </w:trPr>
        <w:tc>
          <w:tcPr>
            <w:tcW w:w="0" w:type="auto"/>
            <w:tcBorders>
              <w:top w:val="single" w:sz="4" w:space="0" w:color="auto"/>
            </w:tcBorders>
            <w:vAlign w:val="center"/>
            <w:hideMark/>
          </w:tcPr>
          <w:p w14:paraId="731B95FC" w14:textId="54735E99" w:rsidR="005E6F7A" w:rsidRPr="00F6445C" w:rsidRDefault="005E6F7A" w:rsidP="005E6F7A">
            <w:pPr>
              <w:pStyle w:val="NormalWeb"/>
              <w:spacing w:line="360" w:lineRule="auto"/>
              <w:jc w:val="center"/>
            </w:pPr>
            <w:r w:rsidRPr="00F6445C">
              <w:t>Energy – Metal</w:t>
            </w:r>
          </w:p>
        </w:tc>
        <w:tc>
          <w:tcPr>
            <w:tcW w:w="0" w:type="auto"/>
            <w:tcBorders>
              <w:top w:val="single" w:sz="4" w:space="0" w:color="auto"/>
            </w:tcBorders>
            <w:vAlign w:val="center"/>
            <w:hideMark/>
          </w:tcPr>
          <w:p w14:paraId="0455CA87" w14:textId="2D07C06F" w:rsidR="005E6F7A" w:rsidRPr="00F6445C" w:rsidRDefault="005E6F7A" w:rsidP="005E6F7A">
            <w:pPr>
              <w:pStyle w:val="NormalWeb"/>
              <w:spacing w:line="360" w:lineRule="auto"/>
              <w:jc w:val="center"/>
            </w:pPr>
            <w:r w:rsidRPr="00F6445C">
              <w:t>0.708</w:t>
            </w:r>
          </w:p>
        </w:tc>
      </w:tr>
      <w:tr w:rsidR="005E6F7A" w:rsidRPr="00F6445C" w14:paraId="24E32C81" w14:textId="77777777" w:rsidTr="008A1228">
        <w:trPr>
          <w:trHeight w:val="277"/>
          <w:jc w:val="center"/>
        </w:trPr>
        <w:tc>
          <w:tcPr>
            <w:tcW w:w="0" w:type="auto"/>
            <w:vAlign w:val="center"/>
            <w:hideMark/>
          </w:tcPr>
          <w:p w14:paraId="4E2501C3" w14:textId="653387CC" w:rsidR="005E6F7A" w:rsidRPr="00F6445C" w:rsidRDefault="005E6F7A" w:rsidP="005E6F7A">
            <w:pPr>
              <w:pStyle w:val="NormalWeb"/>
              <w:spacing w:line="360" w:lineRule="auto"/>
              <w:jc w:val="center"/>
            </w:pPr>
            <w:r w:rsidRPr="00F6445C">
              <w:t>Auto – Banking</w:t>
            </w:r>
          </w:p>
        </w:tc>
        <w:tc>
          <w:tcPr>
            <w:tcW w:w="0" w:type="auto"/>
            <w:vAlign w:val="center"/>
            <w:hideMark/>
          </w:tcPr>
          <w:p w14:paraId="7CC17645" w14:textId="284C1156" w:rsidR="005E6F7A" w:rsidRPr="00F6445C" w:rsidRDefault="005E6F7A" w:rsidP="005E6F7A">
            <w:pPr>
              <w:pStyle w:val="NormalWeb"/>
              <w:spacing w:line="360" w:lineRule="auto"/>
              <w:jc w:val="center"/>
            </w:pPr>
            <w:r w:rsidRPr="00F6445C">
              <w:t>0.671</w:t>
            </w:r>
          </w:p>
        </w:tc>
      </w:tr>
      <w:tr w:rsidR="005E6F7A" w:rsidRPr="00F6445C" w14:paraId="0EC65A02" w14:textId="77777777" w:rsidTr="008A1228">
        <w:trPr>
          <w:trHeight w:val="277"/>
          <w:jc w:val="center"/>
        </w:trPr>
        <w:tc>
          <w:tcPr>
            <w:tcW w:w="0" w:type="auto"/>
            <w:vAlign w:val="center"/>
            <w:hideMark/>
          </w:tcPr>
          <w:p w14:paraId="3A2F1905" w14:textId="2A6E1B19" w:rsidR="005E6F7A" w:rsidRPr="00F6445C" w:rsidRDefault="005E6F7A" w:rsidP="005E6F7A">
            <w:pPr>
              <w:pStyle w:val="NormalWeb"/>
              <w:spacing w:line="360" w:lineRule="auto"/>
              <w:jc w:val="center"/>
            </w:pPr>
            <w:r w:rsidRPr="00F6445C">
              <w:t>Auto – Realty</w:t>
            </w:r>
          </w:p>
        </w:tc>
        <w:tc>
          <w:tcPr>
            <w:tcW w:w="0" w:type="auto"/>
            <w:vAlign w:val="center"/>
            <w:hideMark/>
          </w:tcPr>
          <w:p w14:paraId="3BDFAB95" w14:textId="4092DB3E" w:rsidR="005E6F7A" w:rsidRPr="00F6445C" w:rsidRDefault="005E6F7A" w:rsidP="005E6F7A">
            <w:pPr>
              <w:pStyle w:val="NormalWeb"/>
              <w:spacing w:line="360" w:lineRule="auto"/>
              <w:jc w:val="center"/>
            </w:pPr>
            <w:r w:rsidRPr="00F6445C">
              <w:t>0.644</w:t>
            </w:r>
          </w:p>
        </w:tc>
      </w:tr>
      <w:tr w:rsidR="005E6F7A" w:rsidRPr="00F6445C" w14:paraId="5A74FFB9" w14:textId="77777777" w:rsidTr="008A1228">
        <w:trPr>
          <w:trHeight w:val="277"/>
          <w:jc w:val="center"/>
        </w:trPr>
        <w:tc>
          <w:tcPr>
            <w:tcW w:w="0" w:type="auto"/>
            <w:vAlign w:val="center"/>
            <w:hideMark/>
          </w:tcPr>
          <w:p w14:paraId="6A77C143" w14:textId="24E7A8E5" w:rsidR="005E6F7A" w:rsidRPr="00F6445C" w:rsidRDefault="005E6F7A" w:rsidP="005E6F7A">
            <w:pPr>
              <w:pStyle w:val="NormalWeb"/>
              <w:spacing w:line="360" w:lineRule="auto"/>
              <w:jc w:val="center"/>
            </w:pPr>
            <w:r w:rsidRPr="00F6445C">
              <w:t>Banking – Realty</w:t>
            </w:r>
          </w:p>
        </w:tc>
        <w:tc>
          <w:tcPr>
            <w:tcW w:w="0" w:type="auto"/>
            <w:vAlign w:val="center"/>
            <w:hideMark/>
          </w:tcPr>
          <w:p w14:paraId="0F3E0C92" w14:textId="3D2D82F8" w:rsidR="005E6F7A" w:rsidRPr="00F6445C" w:rsidRDefault="005E6F7A" w:rsidP="005E6F7A">
            <w:pPr>
              <w:pStyle w:val="NormalWeb"/>
              <w:spacing w:line="360" w:lineRule="auto"/>
              <w:jc w:val="center"/>
            </w:pPr>
            <w:r w:rsidRPr="00F6445C">
              <w:t>0.619</w:t>
            </w:r>
          </w:p>
        </w:tc>
      </w:tr>
      <w:tr w:rsidR="005E6F7A" w:rsidRPr="00F6445C" w14:paraId="00ACA758" w14:textId="77777777" w:rsidTr="008A1228">
        <w:trPr>
          <w:trHeight w:val="277"/>
          <w:jc w:val="center"/>
        </w:trPr>
        <w:tc>
          <w:tcPr>
            <w:tcW w:w="0" w:type="auto"/>
            <w:vAlign w:val="center"/>
            <w:hideMark/>
          </w:tcPr>
          <w:p w14:paraId="55834F5F" w14:textId="4EDA8C80" w:rsidR="005E6F7A" w:rsidRPr="00F6445C" w:rsidRDefault="005E6F7A" w:rsidP="005E6F7A">
            <w:pPr>
              <w:pStyle w:val="NormalWeb"/>
              <w:spacing w:line="360" w:lineRule="auto"/>
              <w:jc w:val="center"/>
            </w:pPr>
            <w:r w:rsidRPr="00F6445C">
              <w:t>Energy – Banking</w:t>
            </w:r>
          </w:p>
        </w:tc>
        <w:tc>
          <w:tcPr>
            <w:tcW w:w="0" w:type="auto"/>
            <w:vAlign w:val="center"/>
            <w:hideMark/>
          </w:tcPr>
          <w:p w14:paraId="2988D052" w14:textId="08912ADA" w:rsidR="005E6F7A" w:rsidRPr="00F6445C" w:rsidRDefault="005E6F7A" w:rsidP="005E6F7A">
            <w:pPr>
              <w:pStyle w:val="NormalWeb"/>
              <w:spacing w:line="360" w:lineRule="auto"/>
              <w:jc w:val="center"/>
            </w:pPr>
            <w:r w:rsidRPr="00F6445C">
              <w:t>0.603</w:t>
            </w:r>
          </w:p>
        </w:tc>
      </w:tr>
      <w:tr w:rsidR="005E6F7A" w:rsidRPr="00F6445C" w14:paraId="42B2301B" w14:textId="77777777" w:rsidTr="008A1228">
        <w:trPr>
          <w:trHeight w:val="277"/>
          <w:jc w:val="center"/>
        </w:trPr>
        <w:tc>
          <w:tcPr>
            <w:tcW w:w="0" w:type="auto"/>
            <w:vAlign w:val="center"/>
            <w:hideMark/>
          </w:tcPr>
          <w:p w14:paraId="7A9C8E5E" w14:textId="6D6234F7" w:rsidR="005E6F7A" w:rsidRPr="00F6445C" w:rsidRDefault="005E6F7A" w:rsidP="005E6F7A">
            <w:pPr>
              <w:pStyle w:val="NormalWeb"/>
              <w:spacing w:line="360" w:lineRule="auto"/>
              <w:jc w:val="center"/>
            </w:pPr>
            <w:r w:rsidRPr="00F6445C">
              <w:t>Energy – Realty</w:t>
            </w:r>
          </w:p>
        </w:tc>
        <w:tc>
          <w:tcPr>
            <w:tcW w:w="0" w:type="auto"/>
            <w:vAlign w:val="center"/>
            <w:hideMark/>
          </w:tcPr>
          <w:p w14:paraId="630E9D37" w14:textId="7529BA47" w:rsidR="005E6F7A" w:rsidRPr="00F6445C" w:rsidRDefault="005E6F7A" w:rsidP="005E6F7A">
            <w:pPr>
              <w:pStyle w:val="NormalWeb"/>
              <w:spacing w:line="360" w:lineRule="auto"/>
              <w:jc w:val="center"/>
            </w:pPr>
            <w:r w:rsidRPr="00F6445C">
              <w:t>0.605</w:t>
            </w:r>
          </w:p>
        </w:tc>
      </w:tr>
      <w:tr w:rsidR="005E6F7A" w:rsidRPr="00F6445C" w14:paraId="5331D911" w14:textId="77777777" w:rsidTr="008A1228">
        <w:trPr>
          <w:trHeight w:val="293"/>
          <w:jc w:val="center"/>
        </w:trPr>
        <w:tc>
          <w:tcPr>
            <w:tcW w:w="0" w:type="auto"/>
            <w:vAlign w:val="center"/>
            <w:hideMark/>
          </w:tcPr>
          <w:p w14:paraId="48EC4F94" w14:textId="15A8E075" w:rsidR="005E6F7A" w:rsidRPr="00F6445C" w:rsidRDefault="005E6F7A" w:rsidP="005E6F7A">
            <w:pPr>
              <w:pStyle w:val="NormalWeb"/>
              <w:spacing w:line="360" w:lineRule="auto"/>
              <w:jc w:val="center"/>
            </w:pPr>
            <w:r w:rsidRPr="00F6445C">
              <w:t>Metal – Realty</w:t>
            </w:r>
          </w:p>
        </w:tc>
        <w:tc>
          <w:tcPr>
            <w:tcW w:w="0" w:type="auto"/>
            <w:vAlign w:val="center"/>
            <w:hideMark/>
          </w:tcPr>
          <w:p w14:paraId="2CB5BD74" w14:textId="08101DCD" w:rsidR="005E6F7A" w:rsidRPr="00F6445C" w:rsidRDefault="005E6F7A" w:rsidP="005E6F7A">
            <w:pPr>
              <w:pStyle w:val="NormalWeb"/>
              <w:spacing w:line="360" w:lineRule="auto"/>
              <w:jc w:val="center"/>
            </w:pPr>
            <w:r w:rsidRPr="00F6445C">
              <w:t>0.611</w:t>
            </w:r>
          </w:p>
        </w:tc>
      </w:tr>
      <w:tr w:rsidR="005E6F7A" w:rsidRPr="00F6445C" w14:paraId="6385FC43" w14:textId="77777777" w:rsidTr="008A1228">
        <w:trPr>
          <w:trHeight w:val="262"/>
          <w:jc w:val="center"/>
        </w:trPr>
        <w:tc>
          <w:tcPr>
            <w:tcW w:w="0" w:type="auto"/>
            <w:vAlign w:val="center"/>
            <w:hideMark/>
          </w:tcPr>
          <w:p w14:paraId="3A61376B" w14:textId="4013076D" w:rsidR="005E6F7A" w:rsidRPr="00F6445C" w:rsidRDefault="005E6F7A" w:rsidP="005E6F7A">
            <w:pPr>
              <w:pStyle w:val="NormalWeb"/>
              <w:spacing w:line="360" w:lineRule="auto"/>
              <w:jc w:val="center"/>
            </w:pPr>
            <w:r w:rsidRPr="00F6445C">
              <w:t>Auto – Energy</w:t>
            </w:r>
          </w:p>
        </w:tc>
        <w:tc>
          <w:tcPr>
            <w:tcW w:w="0" w:type="auto"/>
            <w:vAlign w:val="center"/>
            <w:hideMark/>
          </w:tcPr>
          <w:p w14:paraId="3E97E055" w14:textId="4B5E63A0" w:rsidR="005E6F7A" w:rsidRPr="00F6445C" w:rsidRDefault="005E6F7A" w:rsidP="005E6F7A">
            <w:pPr>
              <w:pStyle w:val="NormalWeb"/>
              <w:spacing w:line="360" w:lineRule="auto"/>
              <w:jc w:val="center"/>
            </w:pPr>
            <w:r w:rsidRPr="00F6445C">
              <w:t>0.627</w:t>
            </w:r>
          </w:p>
        </w:tc>
      </w:tr>
    </w:tbl>
    <w:p w14:paraId="4247AA81" w14:textId="7B162437" w:rsidR="003B2ADC" w:rsidRPr="00F6445C" w:rsidRDefault="003B2ADC" w:rsidP="008A1228">
      <w:pPr>
        <w:pStyle w:val="NormalWeb"/>
        <w:spacing w:line="360" w:lineRule="auto"/>
        <w:jc w:val="both"/>
        <w:rPr>
          <w:b/>
          <w:bCs/>
        </w:rPr>
      </w:pPr>
      <w:r w:rsidRPr="00F6445C">
        <w:lastRenderedPageBreak/>
        <w:t>Table 7 presents a sensitivity analysis of the residual connectedness network across different correlation thresholds. The network remains fully connected for thresholds up to 0.30, indicating that residual dependencies are pervasive across sectors. Even at higher thresholds, a substantial number of connections persist, demonstrating the robustness of the identified network structure. Notably, the Energy–Metal pair consistently emerges as the strongest linkage across all thresholds, suggesting a stable and economically meaningful relationship. These results confirm that the inferred connectedness is not driven by an arbitrary threshold choice.</w:t>
      </w:r>
    </w:p>
    <w:p w14:paraId="27570DF4" w14:textId="4532A097" w:rsidR="008A1228" w:rsidRPr="00F6445C" w:rsidRDefault="00B354F6" w:rsidP="008A1228">
      <w:pPr>
        <w:pStyle w:val="NormalWeb"/>
        <w:spacing w:line="360" w:lineRule="auto"/>
        <w:jc w:val="both"/>
        <w:rPr>
          <w:b/>
          <w:bCs/>
        </w:rPr>
      </w:pPr>
      <w:r w:rsidRPr="00F6445C">
        <w:rPr>
          <w:b/>
          <w:bCs/>
        </w:rPr>
        <w:t>Table 7</w:t>
      </w:r>
      <w:r w:rsidR="008A1228" w:rsidRPr="00F6445C">
        <w:rPr>
          <w:b/>
          <w:bCs/>
        </w:rPr>
        <w:t>. Threshold Sensitivity of Residual Connectedness Network</w:t>
      </w:r>
    </w:p>
    <w:tbl>
      <w:tblPr>
        <w:tblW w:w="0" w:type="auto"/>
        <w:tblCellSpacing w:w="15" w:type="dxa"/>
        <w:tblInd w:w="89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847"/>
        <w:gridCol w:w="1787"/>
        <w:gridCol w:w="1553"/>
        <w:gridCol w:w="1275"/>
      </w:tblGrid>
      <w:tr w:rsidR="008A1228" w:rsidRPr="00F6445C" w14:paraId="361DC523" w14:textId="77777777" w:rsidTr="0031118D">
        <w:trPr>
          <w:tblHeader/>
          <w:tblCellSpacing w:w="15" w:type="dxa"/>
        </w:trPr>
        <w:tc>
          <w:tcPr>
            <w:tcW w:w="0" w:type="auto"/>
            <w:vAlign w:val="center"/>
            <w:hideMark/>
          </w:tcPr>
          <w:p w14:paraId="51BF123F" w14:textId="77777777" w:rsidR="008A1228" w:rsidRPr="00F6445C" w:rsidRDefault="008A1228" w:rsidP="008A1228">
            <w:pPr>
              <w:pStyle w:val="NormalWeb"/>
              <w:spacing w:line="360" w:lineRule="auto"/>
              <w:jc w:val="both"/>
              <w:rPr>
                <w:b/>
                <w:bCs/>
              </w:rPr>
            </w:pPr>
            <w:r w:rsidRPr="00F6445C">
              <w:rPr>
                <w:b/>
                <w:bCs/>
              </w:rPr>
              <w:t>Threshold</w:t>
            </w:r>
          </w:p>
        </w:tc>
        <w:tc>
          <w:tcPr>
            <w:tcW w:w="0" w:type="auto"/>
            <w:vAlign w:val="center"/>
            <w:hideMark/>
          </w:tcPr>
          <w:p w14:paraId="2A2BD51A" w14:textId="77777777" w:rsidR="008A1228" w:rsidRPr="00F6445C" w:rsidRDefault="008A1228" w:rsidP="008A1228">
            <w:pPr>
              <w:pStyle w:val="NormalWeb"/>
              <w:spacing w:line="360" w:lineRule="auto"/>
              <w:jc w:val="both"/>
              <w:rPr>
                <w:b/>
                <w:bCs/>
              </w:rPr>
            </w:pPr>
            <w:r w:rsidRPr="00F6445C">
              <w:rPr>
                <w:b/>
                <w:bCs/>
              </w:rPr>
              <w:t>Number of Edges</w:t>
            </w:r>
          </w:p>
        </w:tc>
        <w:tc>
          <w:tcPr>
            <w:tcW w:w="0" w:type="auto"/>
            <w:vAlign w:val="center"/>
            <w:hideMark/>
          </w:tcPr>
          <w:p w14:paraId="6E9B1498" w14:textId="77777777" w:rsidR="008A1228" w:rsidRPr="00F6445C" w:rsidRDefault="008A1228" w:rsidP="008A1228">
            <w:pPr>
              <w:pStyle w:val="NormalWeb"/>
              <w:spacing w:line="360" w:lineRule="auto"/>
              <w:jc w:val="both"/>
              <w:rPr>
                <w:b/>
                <w:bCs/>
              </w:rPr>
            </w:pPr>
            <w:r w:rsidRPr="00F6445C">
              <w:rPr>
                <w:b/>
                <w:bCs/>
              </w:rPr>
              <w:t>Network Density</w:t>
            </w:r>
          </w:p>
        </w:tc>
        <w:tc>
          <w:tcPr>
            <w:tcW w:w="0" w:type="auto"/>
            <w:vAlign w:val="center"/>
            <w:hideMark/>
          </w:tcPr>
          <w:p w14:paraId="4E71F65E" w14:textId="77777777" w:rsidR="008A1228" w:rsidRPr="00F6445C" w:rsidRDefault="008A1228" w:rsidP="008A1228">
            <w:pPr>
              <w:pStyle w:val="NormalWeb"/>
              <w:spacing w:line="360" w:lineRule="auto"/>
              <w:jc w:val="both"/>
              <w:rPr>
                <w:b/>
                <w:bCs/>
              </w:rPr>
            </w:pPr>
            <w:r w:rsidRPr="00F6445C">
              <w:rPr>
                <w:b/>
                <w:bCs/>
              </w:rPr>
              <w:t>Strongest Pair</w:t>
            </w:r>
          </w:p>
        </w:tc>
        <w:tc>
          <w:tcPr>
            <w:tcW w:w="0" w:type="auto"/>
            <w:vAlign w:val="center"/>
            <w:hideMark/>
          </w:tcPr>
          <w:p w14:paraId="05054467" w14:textId="77777777" w:rsidR="008A1228" w:rsidRPr="00F6445C" w:rsidRDefault="008A1228" w:rsidP="008A1228">
            <w:pPr>
              <w:pStyle w:val="NormalWeb"/>
              <w:spacing w:line="360" w:lineRule="auto"/>
              <w:jc w:val="both"/>
              <w:rPr>
                <w:b/>
                <w:bCs/>
              </w:rPr>
            </w:pPr>
            <w:r w:rsidRPr="00F6445C">
              <w:rPr>
                <w:b/>
                <w:bCs/>
              </w:rPr>
              <w:t>Correlation</w:t>
            </w:r>
          </w:p>
        </w:tc>
      </w:tr>
      <w:tr w:rsidR="008A1228" w:rsidRPr="00F6445C" w14:paraId="621A4701" w14:textId="77777777" w:rsidTr="0031118D">
        <w:trPr>
          <w:tblCellSpacing w:w="15" w:type="dxa"/>
        </w:trPr>
        <w:tc>
          <w:tcPr>
            <w:tcW w:w="0" w:type="auto"/>
            <w:tcBorders>
              <w:top w:val="single" w:sz="4" w:space="0" w:color="auto"/>
            </w:tcBorders>
            <w:vAlign w:val="center"/>
            <w:hideMark/>
          </w:tcPr>
          <w:p w14:paraId="2F209F84" w14:textId="77777777" w:rsidR="008A1228" w:rsidRPr="00F6445C" w:rsidRDefault="008A1228" w:rsidP="008A1228">
            <w:pPr>
              <w:pStyle w:val="NormalWeb"/>
              <w:spacing w:line="360" w:lineRule="auto"/>
              <w:jc w:val="both"/>
            </w:pPr>
            <w:r w:rsidRPr="00F6445C">
              <w:t>0.10</w:t>
            </w:r>
          </w:p>
        </w:tc>
        <w:tc>
          <w:tcPr>
            <w:tcW w:w="0" w:type="auto"/>
            <w:tcBorders>
              <w:top w:val="single" w:sz="4" w:space="0" w:color="auto"/>
            </w:tcBorders>
            <w:vAlign w:val="center"/>
            <w:hideMark/>
          </w:tcPr>
          <w:p w14:paraId="11944F97" w14:textId="77777777" w:rsidR="008A1228" w:rsidRPr="00F6445C" w:rsidRDefault="008A1228" w:rsidP="008A1228">
            <w:pPr>
              <w:pStyle w:val="NormalWeb"/>
              <w:spacing w:line="360" w:lineRule="auto"/>
              <w:jc w:val="both"/>
            </w:pPr>
            <w:r w:rsidRPr="00F6445C">
              <w:t>28</w:t>
            </w:r>
          </w:p>
        </w:tc>
        <w:tc>
          <w:tcPr>
            <w:tcW w:w="0" w:type="auto"/>
            <w:tcBorders>
              <w:top w:val="single" w:sz="4" w:space="0" w:color="auto"/>
            </w:tcBorders>
            <w:vAlign w:val="center"/>
            <w:hideMark/>
          </w:tcPr>
          <w:p w14:paraId="01BE1605" w14:textId="77777777" w:rsidR="008A1228" w:rsidRPr="00F6445C" w:rsidRDefault="008A1228" w:rsidP="008A1228">
            <w:pPr>
              <w:pStyle w:val="NormalWeb"/>
              <w:spacing w:line="360" w:lineRule="auto"/>
              <w:jc w:val="both"/>
            </w:pPr>
            <w:r w:rsidRPr="00F6445C">
              <w:t>1.000</w:t>
            </w:r>
          </w:p>
        </w:tc>
        <w:tc>
          <w:tcPr>
            <w:tcW w:w="0" w:type="auto"/>
            <w:tcBorders>
              <w:top w:val="single" w:sz="4" w:space="0" w:color="auto"/>
            </w:tcBorders>
            <w:vAlign w:val="center"/>
            <w:hideMark/>
          </w:tcPr>
          <w:p w14:paraId="745F8033" w14:textId="77777777" w:rsidR="008A1228" w:rsidRPr="00F6445C" w:rsidRDefault="008A1228" w:rsidP="008A1228">
            <w:pPr>
              <w:pStyle w:val="NormalWeb"/>
              <w:spacing w:line="360" w:lineRule="auto"/>
              <w:jc w:val="both"/>
            </w:pPr>
            <w:r w:rsidRPr="00F6445C">
              <w:t>Energy – Metal</w:t>
            </w:r>
          </w:p>
        </w:tc>
        <w:tc>
          <w:tcPr>
            <w:tcW w:w="0" w:type="auto"/>
            <w:tcBorders>
              <w:top w:val="single" w:sz="4" w:space="0" w:color="auto"/>
            </w:tcBorders>
            <w:vAlign w:val="center"/>
            <w:hideMark/>
          </w:tcPr>
          <w:p w14:paraId="0EC62230" w14:textId="77777777" w:rsidR="008A1228" w:rsidRPr="00F6445C" w:rsidRDefault="008A1228" w:rsidP="008A1228">
            <w:pPr>
              <w:pStyle w:val="NormalWeb"/>
              <w:spacing w:line="360" w:lineRule="auto"/>
              <w:jc w:val="both"/>
            </w:pPr>
            <w:r w:rsidRPr="00F6445C">
              <w:t>0.708</w:t>
            </w:r>
          </w:p>
        </w:tc>
      </w:tr>
      <w:tr w:rsidR="008A1228" w:rsidRPr="00F6445C" w14:paraId="27D73DA7" w14:textId="77777777" w:rsidTr="0031118D">
        <w:trPr>
          <w:tblCellSpacing w:w="15" w:type="dxa"/>
        </w:trPr>
        <w:tc>
          <w:tcPr>
            <w:tcW w:w="0" w:type="auto"/>
            <w:vAlign w:val="center"/>
            <w:hideMark/>
          </w:tcPr>
          <w:p w14:paraId="2522DAB7" w14:textId="77777777" w:rsidR="008A1228" w:rsidRPr="00F6445C" w:rsidRDefault="008A1228" w:rsidP="008A1228">
            <w:pPr>
              <w:pStyle w:val="NormalWeb"/>
              <w:spacing w:line="360" w:lineRule="auto"/>
              <w:jc w:val="both"/>
            </w:pPr>
            <w:r w:rsidRPr="00F6445C">
              <w:t>0.20</w:t>
            </w:r>
          </w:p>
        </w:tc>
        <w:tc>
          <w:tcPr>
            <w:tcW w:w="0" w:type="auto"/>
            <w:vAlign w:val="center"/>
            <w:hideMark/>
          </w:tcPr>
          <w:p w14:paraId="452D60CB" w14:textId="77777777" w:rsidR="008A1228" w:rsidRPr="00F6445C" w:rsidRDefault="008A1228" w:rsidP="008A1228">
            <w:pPr>
              <w:pStyle w:val="NormalWeb"/>
              <w:spacing w:line="360" w:lineRule="auto"/>
              <w:jc w:val="both"/>
            </w:pPr>
            <w:r w:rsidRPr="00F6445C">
              <w:t>28</w:t>
            </w:r>
          </w:p>
        </w:tc>
        <w:tc>
          <w:tcPr>
            <w:tcW w:w="0" w:type="auto"/>
            <w:vAlign w:val="center"/>
            <w:hideMark/>
          </w:tcPr>
          <w:p w14:paraId="78E71C11"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552CAD96"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E0C459C" w14:textId="77777777" w:rsidR="008A1228" w:rsidRPr="00F6445C" w:rsidRDefault="008A1228" w:rsidP="008A1228">
            <w:pPr>
              <w:pStyle w:val="NormalWeb"/>
              <w:spacing w:line="360" w:lineRule="auto"/>
              <w:jc w:val="both"/>
            </w:pPr>
            <w:r w:rsidRPr="00F6445C">
              <w:t>0.708</w:t>
            </w:r>
          </w:p>
        </w:tc>
      </w:tr>
      <w:tr w:rsidR="008A1228" w:rsidRPr="00F6445C" w14:paraId="2A43FB8A" w14:textId="77777777" w:rsidTr="0031118D">
        <w:trPr>
          <w:tblCellSpacing w:w="15" w:type="dxa"/>
        </w:trPr>
        <w:tc>
          <w:tcPr>
            <w:tcW w:w="0" w:type="auto"/>
            <w:vAlign w:val="center"/>
            <w:hideMark/>
          </w:tcPr>
          <w:p w14:paraId="0764EA31" w14:textId="77777777" w:rsidR="008A1228" w:rsidRPr="00F6445C" w:rsidRDefault="008A1228" w:rsidP="008A1228">
            <w:pPr>
              <w:pStyle w:val="NormalWeb"/>
              <w:spacing w:line="360" w:lineRule="auto"/>
              <w:jc w:val="both"/>
            </w:pPr>
            <w:r w:rsidRPr="00F6445C">
              <w:t>0.30</w:t>
            </w:r>
          </w:p>
        </w:tc>
        <w:tc>
          <w:tcPr>
            <w:tcW w:w="0" w:type="auto"/>
            <w:vAlign w:val="center"/>
            <w:hideMark/>
          </w:tcPr>
          <w:p w14:paraId="457907F5" w14:textId="77777777" w:rsidR="008A1228" w:rsidRPr="00F6445C" w:rsidRDefault="008A1228" w:rsidP="008A1228">
            <w:pPr>
              <w:pStyle w:val="NormalWeb"/>
              <w:spacing w:line="360" w:lineRule="auto"/>
              <w:jc w:val="both"/>
            </w:pPr>
            <w:r w:rsidRPr="00F6445C">
              <w:t>28</w:t>
            </w:r>
          </w:p>
        </w:tc>
        <w:tc>
          <w:tcPr>
            <w:tcW w:w="0" w:type="auto"/>
            <w:vAlign w:val="center"/>
            <w:hideMark/>
          </w:tcPr>
          <w:p w14:paraId="4F3317A5" w14:textId="77777777" w:rsidR="008A1228" w:rsidRPr="00F6445C" w:rsidRDefault="008A1228" w:rsidP="008A1228">
            <w:pPr>
              <w:pStyle w:val="NormalWeb"/>
              <w:spacing w:line="360" w:lineRule="auto"/>
              <w:jc w:val="both"/>
            </w:pPr>
            <w:r w:rsidRPr="00F6445C">
              <w:t>1.000</w:t>
            </w:r>
          </w:p>
        </w:tc>
        <w:tc>
          <w:tcPr>
            <w:tcW w:w="0" w:type="auto"/>
            <w:vAlign w:val="center"/>
            <w:hideMark/>
          </w:tcPr>
          <w:p w14:paraId="761F0661"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1F44B798" w14:textId="77777777" w:rsidR="008A1228" w:rsidRPr="00F6445C" w:rsidRDefault="008A1228" w:rsidP="008A1228">
            <w:pPr>
              <w:pStyle w:val="NormalWeb"/>
              <w:spacing w:line="360" w:lineRule="auto"/>
              <w:jc w:val="both"/>
            </w:pPr>
            <w:r w:rsidRPr="00F6445C">
              <w:t>0.708</w:t>
            </w:r>
          </w:p>
        </w:tc>
      </w:tr>
      <w:tr w:rsidR="008A1228" w:rsidRPr="00F6445C" w14:paraId="01E332AE" w14:textId="77777777" w:rsidTr="0031118D">
        <w:trPr>
          <w:tblCellSpacing w:w="15" w:type="dxa"/>
        </w:trPr>
        <w:tc>
          <w:tcPr>
            <w:tcW w:w="0" w:type="auto"/>
            <w:vAlign w:val="center"/>
            <w:hideMark/>
          </w:tcPr>
          <w:p w14:paraId="0D15B540" w14:textId="77777777" w:rsidR="008A1228" w:rsidRPr="00F6445C" w:rsidRDefault="008A1228" w:rsidP="008A1228">
            <w:pPr>
              <w:pStyle w:val="NormalWeb"/>
              <w:spacing w:line="360" w:lineRule="auto"/>
              <w:jc w:val="both"/>
            </w:pPr>
            <w:r w:rsidRPr="00F6445C">
              <w:t>0.40</w:t>
            </w:r>
          </w:p>
        </w:tc>
        <w:tc>
          <w:tcPr>
            <w:tcW w:w="0" w:type="auto"/>
            <w:vAlign w:val="center"/>
            <w:hideMark/>
          </w:tcPr>
          <w:p w14:paraId="14D7231B" w14:textId="77777777" w:rsidR="008A1228" w:rsidRPr="00F6445C" w:rsidRDefault="008A1228" w:rsidP="008A1228">
            <w:pPr>
              <w:pStyle w:val="NormalWeb"/>
              <w:spacing w:line="360" w:lineRule="auto"/>
              <w:jc w:val="both"/>
            </w:pPr>
            <w:r w:rsidRPr="00F6445C">
              <w:t>25</w:t>
            </w:r>
          </w:p>
        </w:tc>
        <w:tc>
          <w:tcPr>
            <w:tcW w:w="0" w:type="auto"/>
            <w:vAlign w:val="center"/>
            <w:hideMark/>
          </w:tcPr>
          <w:p w14:paraId="1C6A87E5" w14:textId="77777777" w:rsidR="008A1228" w:rsidRPr="00F6445C" w:rsidRDefault="008A1228" w:rsidP="008A1228">
            <w:pPr>
              <w:pStyle w:val="NormalWeb"/>
              <w:spacing w:line="360" w:lineRule="auto"/>
              <w:jc w:val="both"/>
            </w:pPr>
            <w:r w:rsidRPr="00F6445C">
              <w:t>0.893</w:t>
            </w:r>
          </w:p>
        </w:tc>
        <w:tc>
          <w:tcPr>
            <w:tcW w:w="0" w:type="auto"/>
            <w:vAlign w:val="center"/>
            <w:hideMark/>
          </w:tcPr>
          <w:p w14:paraId="3DEC21CD"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6D9857F" w14:textId="77777777" w:rsidR="008A1228" w:rsidRPr="00F6445C" w:rsidRDefault="008A1228" w:rsidP="008A1228">
            <w:pPr>
              <w:pStyle w:val="NormalWeb"/>
              <w:spacing w:line="360" w:lineRule="auto"/>
              <w:jc w:val="both"/>
            </w:pPr>
            <w:r w:rsidRPr="00F6445C">
              <w:t>0.708</w:t>
            </w:r>
          </w:p>
        </w:tc>
      </w:tr>
      <w:tr w:rsidR="008A1228" w:rsidRPr="00F6445C" w14:paraId="36BD5E8F" w14:textId="77777777" w:rsidTr="0031118D">
        <w:trPr>
          <w:tblCellSpacing w:w="15" w:type="dxa"/>
        </w:trPr>
        <w:tc>
          <w:tcPr>
            <w:tcW w:w="0" w:type="auto"/>
            <w:vAlign w:val="center"/>
            <w:hideMark/>
          </w:tcPr>
          <w:p w14:paraId="041BF303" w14:textId="77777777" w:rsidR="008A1228" w:rsidRPr="00F6445C" w:rsidRDefault="008A1228" w:rsidP="008A1228">
            <w:pPr>
              <w:pStyle w:val="NormalWeb"/>
              <w:spacing w:line="360" w:lineRule="auto"/>
              <w:jc w:val="both"/>
            </w:pPr>
            <w:r w:rsidRPr="00F6445C">
              <w:t>0.50</w:t>
            </w:r>
          </w:p>
        </w:tc>
        <w:tc>
          <w:tcPr>
            <w:tcW w:w="0" w:type="auto"/>
            <w:vAlign w:val="center"/>
            <w:hideMark/>
          </w:tcPr>
          <w:p w14:paraId="3F467D9A" w14:textId="77777777" w:rsidR="008A1228" w:rsidRPr="00F6445C" w:rsidRDefault="008A1228" w:rsidP="008A1228">
            <w:pPr>
              <w:pStyle w:val="NormalWeb"/>
              <w:spacing w:line="360" w:lineRule="auto"/>
              <w:jc w:val="both"/>
            </w:pPr>
            <w:r w:rsidRPr="00F6445C">
              <w:t>12</w:t>
            </w:r>
          </w:p>
        </w:tc>
        <w:tc>
          <w:tcPr>
            <w:tcW w:w="0" w:type="auto"/>
            <w:vAlign w:val="center"/>
            <w:hideMark/>
          </w:tcPr>
          <w:p w14:paraId="0E4D60AB" w14:textId="77777777" w:rsidR="008A1228" w:rsidRPr="00F6445C" w:rsidRDefault="008A1228" w:rsidP="008A1228">
            <w:pPr>
              <w:pStyle w:val="NormalWeb"/>
              <w:spacing w:line="360" w:lineRule="auto"/>
              <w:jc w:val="both"/>
            </w:pPr>
            <w:r w:rsidRPr="00F6445C">
              <w:t>0.429</w:t>
            </w:r>
          </w:p>
        </w:tc>
        <w:tc>
          <w:tcPr>
            <w:tcW w:w="0" w:type="auto"/>
            <w:vAlign w:val="center"/>
            <w:hideMark/>
          </w:tcPr>
          <w:p w14:paraId="4982419C" w14:textId="77777777" w:rsidR="008A1228" w:rsidRPr="00F6445C" w:rsidRDefault="008A1228" w:rsidP="008A1228">
            <w:pPr>
              <w:pStyle w:val="NormalWeb"/>
              <w:spacing w:line="360" w:lineRule="auto"/>
              <w:jc w:val="both"/>
            </w:pPr>
            <w:r w:rsidRPr="00F6445C">
              <w:t>Energy – Metal</w:t>
            </w:r>
          </w:p>
        </w:tc>
        <w:tc>
          <w:tcPr>
            <w:tcW w:w="0" w:type="auto"/>
            <w:vAlign w:val="center"/>
            <w:hideMark/>
          </w:tcPr>
          <w:p w14:paraId="251BCE12" w14:textId="77777777" w:rsidR="008A1228" w:rsidRPr="00F6445C" w:rsidRDefault="008A1228" w:rsidP="008A1228">
            <w:pPr>
              <w:pStyle w:val="NormalWeb"/>
              <w:spacing w:line="360" w:lineRule="auto"/>
              <w:jc w:val="both"/>
            </w:pPr>
            <w:r w:rsidRPr="00F6445C">
              <w:t>0.708</w:t>
            </w:r>
          </w:p>
        </w:tc>
      </w:tr>
    </w:tbl>
    <w:p w14:paraId="3B822269" w14:textId="1FD72553" w:rsidR="0058196C" w:rsidRPr="00F6445C" w:rsidRDefault="0058196C" w:rsidP="008A1228">
      <w:pPr>
        <w:pStyle w:val="NormalWeb"/>
        <w:spacing w:line="360" w:lineRule="auto"/>
        <w:jc w:val="both"/>
        <w:rPr>
          <w:b/>
          <w:bCs/>
        </w:rPr>
      </w:pPr>
      <w:r w:rsidRPr="00F6445C">
        <w:t xml:space="preserve">Table 8 reports post-estimation residual diagnostics from the SUR model. First-order autocorrelation, as measured by </w:t>
      </w:r>
      <w:proofErr w:type="gramStart"/>
      <w:r w:rsidRPr="00F6445C">
        <w:t>ACF(</w:t>
      </w:r>
      <w:proofErr w:type="gramEnd"/>
      <w:r w:rsidRPr="00F6445C">
        <w:t xml:space="preserve">1) and Durbin–Watson statistics, is generally low, indicating that the inclusion of lagged own returns effectively mitigates short-term serial dependence. However, </w:t>
      </w:r>
      <w:proofErr w:type="spellStart"/>
      <w:r w:rsidRPr="00F6445C">
        <w:t>Ljung</w:t>
      </w:r>
      <w:proofErr w:type="spellEnd"/>
      <w:r w:rsidRPr="00F6445C">
        <w:t>–Box statistics reveal the presence of higher-order autocorrelation in certain sectors, particularly FMCG, Pharma, Banking, and Energy. These findings suggest that while the model adequately captures immediate temporal dependence, some residual dynamic structure remains, and results should be interpreted primarily in terms of contemporaneous conditional associations.</w:t>
      </w:r>
    </w:p>
    <w:p w14:paraId="67E9E442" w14:textId="6B692375" w:rsidR="008A1228" w:rsidRPr="00F6445C" w:rsidRDefault="00B354F6" w:rsidP="008A1228">
      <w:pPr>
        <w:pStyle w:val="NormalWeb"/>
        <w:spacing w:line="360" w:lineRule="auto"/>
        <w:jc w:val="both"/>
        <w:rPr>
          <w:b/>
          <w:bCs/>
        </w:rPr>
      </w:pPr>
      <w:r w:rsidRPr="00F6445C">
        <w:rPr>
          <w:b/>
          <w:bCs/>
        </w:rPr>
        <w:t>Table 8</w:t>
      </w:r>
      <w:r w:rsidR="008A1228" w:rsidRPr="00F6445C">
        <w:rPr>
          <w:b/>
          <w:bCs/>
        </w:rPr>
        <w:t>. Post-Estimation Residual Serial Correlation Diagnostics</w:t>
      </w:r>
    </w:p>
    <w:tbl>
      <w:tblPr>
        <w:tblW w:w="0" w:type="auto"/>
        <w:tblCellSpacing w:w="15" w:type="dxa"/>
        <w:tblInd w:w="21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66"/>
        <w:gridCol w:w="834"/>
        <w:gridCol w:w="2487"/>
        <w:gridCol w:w="1729"/>
      </w:tblGrid>
      <w:tr w:rsidR="008A1228" w:rsidRPr="00F6445C" w14:paraId="3CD71555" w14:textId="77777777" w:rsidTr="0031118D">
        <w:trPr>
          <w:tblHeader/>
          <w:tblCellSpacing w:w="15" w:type="dxa"/>
        </w:trPr>
        <w:tc>
          <w:tcPr>
            <w:tcW w:w="0" w:type="auto"/>
            <w:vAlign w:val="center"/>
            <w:hideMark/>
          </w:tcPr>
          <w:p w14:paraId="12E6ADD8" w14:textId="77777777" w:rsidR="008A1228" w:rsidRPr="00F6445C" w:rsidRDefault="008A1228" w:rsidP="008A1228">
            <w:pPr>
              <w:pStyle w:val="NormalWeb"/>
              <w:spacing w:line="360" w:lineRule="auto"/>
              <w:jc w:val="both"/>
              <w:rPr>
                <w:b/>
                <w:bCs/>
              </w:rPr>
            </w:pPr>
            <w:r w:rsidRPr="00F6445C">
              <w:rPr>
                <w:b/>
                <w:bCs/>
              </w:rPr>
              <w:t>Sector</w:t>
            </w:r>
          </w:p>
        </w:tc>
        <w:tc>
          <w:tcPr>
            <w:tcW w:w="0" w:type="auto"/>
          </w:tcPr>
          <w:p w14:paraId="78E51C8F" w14:textId="77777777" w:rsidR="008A1228" w:rsidRPr="00F6445C" w:rsidRDefault="008A1228" w:rsidP="008A1228">
            <w:pPr>
              <w:pStyle w:val="NormalWeb"/>
              <w:spacing w:line="360" w:lineRule="auto"/>
              <w:jc w:val="both"/>
              <w:rPr>
                <w:b/>
                <w:bCs/>
              </w:rPr>
            </w:pPr>
          </w:p>
        </w:tc>
        <w:tc>
          <w:tcPr>
            <w:tcW w:w="0" w:type="auto"/>
            <w:vAlign w:val="center"/>
            <w:hideMark/>
          </w:tcPr>
          <w:p w14:paraId="36A7E03B" w14:textId="42CACB46" w:rsidR="008A1228" w:rsidRPr="00F6445C" w:rsidRDefault="008A1228" w:rsidP="008A1228">
            <w:pPr>
              <w:pStyle w:val="NormalWeb"/>
              <w:spacing w:line="360" w:lineRule="auto"/>
              <w:jc w:val="both"/>
              <w:rPr>
                <w:b/>
                <w:bCs/>
              </w:rPr>
            </w:pPr>
            <w:r w:rsidRPr="00F6445C">
              <w:rPr>
                <w:b/>
                <w:bCs/>
              </w:rPr>
              <w:t>ACF(1)</w:t>
            </w:r>
          </w:p>
        </w:tc>
        <w:tc>
          <w:tcPr>
            <w:tcW w:w="0" w:type="auto"/>
            <w:vAlign w:val="center"/>
            <w:hideMark/>
          </w:tcPr>
          <w:p w14:paraId="61520A14" w14:textId="77777777" w:rsidR="008A1228" w:rsidRPr="00F6445C" w:rsidRDefault="008A1228" w:rsidP="008A1228">
            <w:pPr>
              <w:pStyle w:val="NormalWeb"/>
              <w:spacing w:line="360" w:lineRule="auto"/>
              <w:jc w:val="both"/>
              <w:rPr>
                <w:b/>
                <w:bCs/>
              </w:rPr>
            </w:pPr>
            <w:proofErr w:type="spellStart"/>
            <w:r w:rsidRPr="00F6445C">
              <w:rPr>
                <w:b/>
                <w:bCs/>
              </w:rPr>
              <w:t>Ljung</w:t>
            </w:r>
            <w:proofErr w:type="spellEnd"/>
            <w:r w:rsidRPr="00F6445C">
              <w:rPr>
                <w:b/>
                <w:bCs/>
              </w:rPr>
              <w:t>–Box p-value (10)</w:t>
            </w:r>
          </w:p>
        </w:tc>
        <w:tc>
          <w:tcPr>
            <w:tcW w:w="0" w:type="auto"/>
            <w:vAlign w:val="center"/>
            <w:hideMark/>
          </w:tcPr>
          <w:p w14:paraId="23598885" w14:textId="77777777" w:rsidR="008A1228" w:rsidRPr="00F6445C" w:rsidRDefault="008A1228" w:rsidP="008A1228">
            <w:pPr>
              <w:pStyle w:val="NormalWeb"/>
              <w:spacing w:line="360" w:lineRule="auto"/>
              <w:jc w:val="both"/>
              <w:rPr>
                <w:b/>
                <w:bCs/>
              </w:rPr>
            </w:pPr>
            <w:r w:rsidRPr="00F6445C">
              <w:rPr>
                <w:b/>
                <w:bCs/>
              </w:rPr>
              <w:t>Durbin–Watson</w:t>
            </w:r>
          </w:p>
        </w:tc>
      </w:tr>
      <w:tr w:rsidR="008A1228" w:rsidRPr="00F6445C" w14:paraId="5C251945" w14:textId="77777777" w:rsidTr="0031118D">
        <w:trPr>
          <w:tblCellSpacing w:w="15" w:type="dxa"/>
        </w:trPr>
        <w:tc>
          <w:tcPr>
            <w:tcW w:w="0" w:type="auto"/>
            <w:tcBorders>
              <w:top w:val="single" w:sz="4" w:space="0" w:color="auto"/>
            </w:tcBorders>
            <w:vAlign w:val="center"/>
            <w:hideMark/>
          </w:tcPr>
          <w:p w14:paraId="225A2E81" w14:textId="77777777" w:rsidR="008A1228" w:rsidRPr="00F6445C" w:rsidRDefault="008A1228" w:rsidP="008A1228">
            <w:pPr>
              <w:pStyle w:val="NormalWeb"/>
              <w:spacing w:line="360" w:lineRule="auto"/>
              <w:jc w:val="both"/>
            </w:pPr>
            <w:r w:rsidRPr="00F6445C">
              <w:t>IT</w:t>
            </w:r>
          </w:p>
        </w:tc>
        <w:tc>
          <w:tcPr>
            <w:tcW w:w="0" w:type="auto"/>
            <w:tcBorders>
              <w:top w:val="single" w:sz="4" w:space="0" w:color="auto"/>
            </w:tcBorders>
          </w:tcPr>
          <w:p w14:paraId="08B9B905" w14:textId="77777777" w:rsidR="008A1228" w:rsidRPr="00F6445C" w:rsidRDefault="008A1228" w:rsidP="008A1228">
            <w:pPr>
              <w:pStyle w:val="NormalWeb"/>
              <w:spacing w:line="360" w:lineRule="auto"/>
              <w:jc w:val="both"/>
            </w:pPr>
          </w:p>
        </w:tc>
        <w:tc>
          <w:tcPr>
            <w:tcW w:w="0" w:type="auto"/>
            <w:tcBorders>
              <w:top w:val="single" w:sz="4" w:space="0" w:color="auto"/>
            </w:tcBorders>
            <w:vAlign w:val="center"/>
            <w:hideMark/>
          </w:tcPr>
          <w:p w14:paraId="78B6CF6B" w14:textId="08859BE1" w:rsidR="008A1228" w:rsidRPr="00F6445C" w:rsidRDefault="008A1228" w:rsidP="008A1228">
            <w:pPr>
              <w:pStyle w:val="NormalWeb"/>
              <w:spacing w:line="360" w:lineRule="auto"/>
              <w:jc w:val="both"/>
            </w:pPr>
            <w:r w:rsidRPr="00F6445C">
              <w:t>-0.044</w:t>
            </w:r>
          </w:p>
        </w:tc>
        <w:tc>
          <w:tcPr>
            <w:tcW w:w="0" w:type="auto"/>
            <w:tcBorders>
              <w:top w:val="single" w:sz="4" w:space="0" w:color="auto"/>
            </w:tcBorders>
            <w:vAlign w:val="center"/>
            <w:hideMark/>
          </w:tcPr>
          <w:p w14:paraId="184043CB" w14:textId="77777777" w:rsidR="008A1228" w:rsidRPr="00F6445C" w:rsidRDefault="008A1228" w:rsidP="008A1228">
            <w:pPr>
              <w:pStyle w:val="NormalWeb"/>
              <w:spacing w:line="360" w:lineRule="auto"/>
              <w:jc w:val="both"/>
            </w:pPr>
            <w:r w:rsidRPr="00F6445C">
              <w:t>0.346</w:t>
            </w:r>
          </w:p>
        </w:tc>
        <w:tc>
          <w:tcPr>
            <w:tcW w:w="0" w:type="auto"/>
            <w:tcBorders>
              <w:top w:val="single" w:sz="4" w:space="0" w:color="auto"/>
            </w:tcBorders>
            <w:vAlign w:val="center"/>
            <w:hideMark/>
          </w:tcPr>
          <w:p w14:paraId="74758967" w14:textId="77777777" w:rsidR="008A1228" w:rsidRPr="00F6445C" w:rsidRDefault="008A1228" w:rsidP="008A1228">
            <w:pPr>
              <w:pStyle w:val="NormalWeb"/>
              <w:spacing w:line="360" w:lineRule="auto"/>
              <w:jc w:val="both"/>
            </w:pPr>
            <w:r w:rsidRPr="00F6445C">
              <w:t>2.088</w:t>
            </w:r>
          </w:p>
        </w:tc>
      </w:tr>
      <w:tr w:rsidR="008A1228" w:rsidRPr="00F6445C" w14:paraId="74F8BA17" w14:textId="77777777" w:rsidTr="0031118D">
        <w:trPr>
          <w:tblCellSpacing w:w="15" w:type="dxa"/>
        </w:trPr>
        <w:tc>
          <w:tcPr>
            <w:tcW w:w="0" w:type="auto"/>
            <w:vAlign w:val="center"/>
            <w:hideMark/>
          </w:tcPr>
          <w:p w14:paraId="164758CA" w14:textId="77777777" w:rsidR="008A1228" w:rsidRPr="00F6445C" w:rsidRDefault="008A1228" w:rsidP="008A1228">
            <w:pPr>
              <w:pStyle w:val="NormalWeb"/>
              <w:spacing w:line="360" w:lineRule="auto"/>
              <w:jc w:val="both"/>
            </w:pPr>
            <w:r w:rsidRPr="00F6445C">
              <w:t>FMCG</w:t>
            </w:r>
          </w:p>
        </w:tc>
        <w:tc>
          <w:tcPr>
            <w:tcW w:w="0" w:type="auto"/>
          </w:tcPr>
          <w:p w14:paraId="6BC4BECE" w14:textId="77777777" w:rsidR="008A1228" w:rsidRPr="00F6445C" w:rsidRDefault="008A1228" w:rsidP="008A1228">
            <w:pPr>
              <w:pStyle w:val="NormalWeb"/>
              <w:spacing w:line="360" w:lineRule="auto"/>
              <w:jc w:val="both"/>
            </w:pPr>
          </w:p>
        </w:tc>
        <w:tc>
          <w:tcPr>
            <w:tcW w:w="0" w:type="auto"/>
            <w:vAlign w:val="center"/>
            <w:hideMark/>
          </w:tcPr>
          <w:p w14:paraId="4A26065D" w14:textId="57FBA3B8" w:rsidR="008A1228" w:rsidRPr="00F6445C" w:rsidRDefault="008A1228" w:rsidP="008A1228">
            <w:pPr>
              <w:pStyle w:val="NormalWeb"/>
              <w:spacing w:line="360" w:lineRule="auto"/>
              <w:jc w:val="both"/>
            </w:pPr>
            <w:r w:rsidRPr="00F6445C">
              <w:t>-0.005</w:t>
            </w:r>
          </w:p>
        </w:tc>
        <w:tc>
          <w:tcPr>
            <w:tcW w:w="0" w:type="auto"/>
            <w:vAlign w:val="center"/>
            <w:hideMark/>
          </w:tcPr>
          <w:p w14:paraId="2FCEF47A" w14:textId="77777777" w:rsidR="008A1228" w:rsidRPr="00F6445C" w:rsidRDefault="008A1228" w:rsidP="008A1228">
            <w:pPr>
              <w:pStyle w:val="NormalWeb"/>
              <w:spacing w:line="360" w:lineRule="auto"/>
              <w:jc w:val="both"/>
            </w:pPr>
            <w:r w:rsidRPr="00F6445C">
              <w:t>&lt; 0.001 ***</w:t>
            </w:r>
          </w:p>
        </w:tc>
        <w:tc>
          <w:tcPr>
            <w:tcW w:w="0" w:type="auto"/>
            <w:vAlign w:val="center"/>
            <w:hideMark/>
          </w:tcPr>
          <w:p w14:paraId="3185CC3B" w14:textId="77777777" w:rsidR="008A1228" w:rsidRPr="00F6445C" w:rsidRDefault="008A1228" w:rsidP="008A1228">
            <w:pPr>
              <w:pStyle w:val="NormalWeb"/>
              <w:spacing w:line="360" w:lineRule="auto"/>
              <w:jc w:val="both"/>
            </w:pPr>
            <w:r w:rsidRPr="00F6445C">
              <w:t>2.010</w:t>
            </w:r>
          </w:p>
        </w:tc>
      </w:tr>
      <w:tr w:rsidR="008A1228" w:rsidRPr="00F6445C" w14:paraId="4A5B1F2A" w14:textId="77777777" w:rsidTr="0031118D">
        <w:trPr>
          <w:tblCellSpacing w:w="15" w:type="dxa"/>
        </w:trPr>
        <w:tc>
          <w:tcPr>
            <w:tcW w:w="0" w:type="auto"/>
            <w:vAlign w:val="center"/>
            <w:hideMark/>
          </w:tcPr>
          <w:p w14:paraId="0507E936" w14:textId="77777777" w:rsidR="008A1228" w:rsidRPr="00F6445C" w:rsidRDefault="008A1228" w:rsidP="008A1228">
            <w:pPr>
              <w:pStyle w:val="NormalWeb"/>
              <w:spacing w:line="360" w:lineRule="auto"/>
              <w:jc w:val="both"/>
            </w:pPr>
            <w:r w:rsidRPr="00F6445C">
              <w:lastRenderedPageBreak/>
              <w:t>Pharma</w:t>
            </w:r>
          </w:p>
        </w:tc>
        <w:tc>
          <w:tcPr>
            <w:tcW w:w="0" w:type="auto"/>
          </w:tcPr>
          <w:p w14:paraId="1A3400B3" w14:textId="77777777" w:rsidR="008A1228" w:rsidRPr="00F6445C" w:rsidRDefault="008A1228" w:rsidP="008A1228">
            <w:pPr>
              <w:pStyle w:val="NormalWeb"/>
              <w:spacing w:line="360" w:lineRule="auto"/>
              <w:jc w:val="both"/>
            </w:pPr>
          </w:p>
        </w:tc>
        <w:tc>
          <w:tcPr>
            <w:tcW w:w="0" w:type="auto"/>
            <w:vAlign w:val="center"/>
            <w:hideMark/>
          </w:tcPr>
          <w:p w14:paraId="1B8A82FA" w14:textId="75D8D36D" w:rsidR="008A1228" w:rsidRPr="00F6445C" w:rsidRDefault="008A1228" w:rsidP="008A1228">
            <w:pPr>
              <w:pStyle w:val="NormalWeb"/>
              <w:spacing w:line="360" w:lineRule="auto"/>
              <w:jc w:val="both"/>
            </w:pPr>
            <w:r w:rsidRPr="00F6445C">
              <w:t>-0.021</w:t>
            </w:r>
          </w:p>
        </w:tc>
        <w:tc>
          <w:tcPr>
            <w:tcW w:w="0" w:type="auto"/>
            <w:vAlign w:val="center"/>
            <w:hideMark/>
          </w:tcPr>
          <w:p w14:paraId="2BCF79CD" w14:textId="77777777" w:rsidR="008A1228" w:rsidRPr="00F6445C" w:rsidRDefault="008A1228" w:rsidP="008A1228">
            <w:pPr>
              <w:pStyle w:val="NormalWeb"/>
              <w:spacing w:line="360" w:lineRule="auto"/>
              <w:jc w:val="both"/>
            </w:pPr>
            <w:r w:rsidRPr="00F6445C">
              <w:t>0.004 ***</w:t>
            </w:r>
          </w:p>
        </w:tc>
        <w:tc>
          <w:tcPr>
            <w:tcW w:w="0" w:type="auto"/>
            <w:vAlign w:val="center"/>
            <w:hideMark/>
          </w:tcPr>
          <w:p w14:paraId="5180842A" w14:textId="77777777" w:rsidR="008A1228" w:rsidRPr="00F6445C" w:rsidRDefault="008A1228" w:rsidP="008A1228">
            <w:pPr>
              <w:pStyle w:val="NormalWeb"/>
              <w:spacing w:line="360" w:lineRule="auto"/>
              <w:jc w:val="both"/>
            </w:pPr>
            <w:r w:rsidRPr="00F6445C">
              <w:t>2.041</w:t>
            </w:r>
          </w:p>
        </w:tc>
      </w:tr>
      <w:tr w:rsidR="008A1228" w:rsidRPr="00F6445C" w14:paraId="6A79B892" w14:textId="77777777" w:rsidTr="0031118D">
        <w:trPr>
          <w:tblCellSpacing w:w="15" w:type="dxa"/>
        </w:trPr>
        <w:tc>
          <w:tcPr>
            <w:tcW w:w="0" w:type="auto"/>
            <w:vAlign w:val="center"/>
            <w:hideMark/>
          </w:tcPr>
          <w:p w14:paraId="24C77B48" w14:textId="77777777" w:rsidR="008A1228" w:rsidRPr="00F6445C" w:rsidRDefault="008A1228" w:rsidP="008A1228">
            <w:pPr>
              <w:pStyle w:val="NormalWeb"/>
              <w:spacing w:line="360" w:lineRule="auto"/>
              <w:jc w:val="both"/>
            </w:pPr>
            <w:r w:rsidRPr="00F6445C">
              <w:t>Auto</w:t>
            </w:r>
          </w:p>
        </w:tc>
        <w:tc>
          <w:tcPr>
            <w:tcW w:w="0" w:type="auto"/>
          </w:tcPr>
          <w:p w14:paraId="4E8CC504" w14:textId="77777777" w:rsidR="008A1228" w:rsidRPr="00F6445C" w:rsidRDefault="008A1228" w:rsidP="008A1228">
            <w:pPr>
              <w:pStyle w:val="NormalWeb"/>
              <w:spacing w:line="360" w:lineRule="auto"/>
              <w:jc w:val="both"/>
            </w:pPr>
          </w:p>
        </w:tc>
        <w:tc>
          <w:tcPr>
            <w:tcW w:w="0" w:type="auto"/>
            <w:vAlign w:val="center"/>
            <w:hideMark/>
          </w:tcPr>
          <w:p w14:paraId="13D137A6" w14:textId="580B8F7E" w:rsidR="008A1228" w:rsidRPr="00F6445C" w:rsidRDefault="008A1228" w:rsidP="008A1228">
            <w:pPr>
              <w:pStyle w:val="NormalWeb"/>
              <w:spacing w:line="360" w:lineRule="auto"/>
              <w:jc w:val="both"/>
            </w:pPr>
            <w:r w:rsidRPr="00F6445C">
              <w:t>-0.024</w:t>
            </w:r>
          </w:p>
        </w:tc>
        <w:tc>
          <w:tcPr>
            <w:tcW w:w="0" w:type="auto"/>
            <w:vAlign w:val="center"/>
            <w:hideMark/>
          </w:tcPr>
          <w:p w14:paraId="5C50A183" w14:textId="77777777" w:rsidR="008A1228" w:rsidRPr="00F6445C" w:rsidRDefault="008A1228" w:rsidP="008A1228">
            <w:pPr>
              <w:pStyle w:val="NormalWeb"/>
              <w:spacing w:line="360" w:lineRule="auto"/>
              <w:jc w:val="both"/>
            </w:pPr>
            <w:r w:rsidRPr="00F6445C">
              <w:t>0.233</w:t>
            </w:r>
          </w:p>
        </w:tc>
        <w:tc>
          <w:tcPr>
            <w:tcW w:w="0" w:type="auto"/>
            <w:vAlign w:val="center"/>
            <w:hideMark/>
          </w:tcPr>
          <w:p w14:paraId="1C510000" w14:textId="77777777" w:rsidR="008A1228" w:rsidRPr="00F6445C" w:rsidRDefault="008A1228" w:rsidP="008A1228">
            <w:pPr>
              <w:pStyle w:val="NormalWeb"/>
              <w:spacing w:line="360" w:lineRule="auto"/>
              <w:jc w:val="both"/>
            </w:pPr>
            <w:r w:rsidRPr="00F6445C">
              <w:t>2.046</w:t>
            </w:r>
          </w:p>
        </w:tc>
      </w:tr>
      <w:tr w:rsidR="008A1228" w:rsidRPr="00F6445C" w14:paraId="01EA7A98" w14:textId="77777777" w:rsidTr="0031118D">
        <w:trPr>
          <w:tblCellSpacing w:w="15" w:type="dxa"/>
        </w:trPr>
        <w:tc>
          <w:tcPr>
            <w:tcW w:w="0" w:type="auto"/>
            <w:vAlign w:val="center"/>
            <w:hideMark/>
          </w:tcPr>
          <w:p w14:paraId="5AAA9832" w14:textId="77777777" w:rsidR="008A1228" w:rsidRPr="00F6445C" w:rsidRDefault="008A1228" w:rsidP="008A1228">
            <w:pPr>
              <w:pStyle w:val="NormalWeb"/>
              <w:spacing w:line="360" w:lineRule="auto"/>
              <w:jc w:val="both"/>
            </w:pPr>
            <w:r w:rsidRPr="00F6445C">
              <w:t>Banking</w:t>
            </w:r>
          </w:p>
        </w:tc>
        <w:tc>
          <w:tcPr>
            <w:tcW w:w="0" w:type="auto"/>
          </w:tcPr>
          <w:p w14:paraId="03943C75" w14:textId="77777777" w:rsidR="008A1228" w:rsidRPr="00F6445C" w:rsidRDefault="008A1228" w:rsidP="008A1228">
            <w:pPr>
              <w:pStyle w:val="NormalWeb"/>
              <w:spacing w:line="360" w:lineRule="auto"/>
              <w:jc w:val="both"/>
            </w:pPr>
          </w:p>
        </w:tc>
        <w:tc>
          <w:tcPr>
            <w:tcW w:w="0" w:type="auto"/>
            <w:vAlign w:val="center"/>
            <w:hideMark/>
          </w:tcPr>
          <w:p w14:paraId="5D9DAA3A" w14:textId="096F080B" w:rsidR="008A1228" w:rsidRPr="00F6445C" w:rsidRDefault="008A1228" w:rsidP="008A1228">
            <w:pPr>
              <w:pStyle w:val="NormalWeb"/>
              <w:spacing w:line="360" w:lineRule="auto"/>
              <w:jc w:val="both"/>
            </w:pPr>
            <w:r w:rsidRPr="00F6445C">
              <w:t>-0.003</w:t>
            </w:r>
          </w:p>
        </w:tc>
        <w:tc>
          <w:tcPr>
            <w:tcW w:w="0" w:type="auto"/>
            <w:vAlign w:val="center"/>
            <w:hideMark/>
          </w:tcPr>
          <w:p w14:paraId="04985AC6" w14:textId="77777777" w:rsidR="008A1228" w:rsidRPr="00F6445C" w:rsidRDefault="008A1228" w:rsidP="008A1228">
            <w:pPr>
              <w:pStyle w:val="NormalWeb"/>
              <w:spacing w:line="360" w:lineRule="auto"/>
              <w:jc w:val="both"/>
            </w:pPr>
            <w:r w:rsidRPr="00F6445C">
              <w:t>0.001 ***</w:t>
            </w:r>
          </w:p>
        </w:tc>
        <w:tc>
          <w:tcPr>
            <w:tcW w:w="0" w:type="auto"/>
            <w:vAlign w:val="center"/>
            <w:hideMark/>
          </w:tcPr>
          <w:p w14:paraId="63DF2064" w14:textId="77777777" w:rsidR="008A1228" w:rsidRPr="00F6445C" w:rsidRDefault="008A1228" w:rsidP="008A1228">
            <w:pPr>
              <w:pStyle w:val="NormalWeb"/>
              <w:spacing w:line="360" w:lineRule="auto"/>
              <w:jc w:val="both"/>
            </w:pPr>
            <w:r w:rsidRPr="00F6445C">
              <w:t>2.003</w:t>
            </w:r>
          </w:p>
        </w:tc>
      </w:tr>
      <w:tr w:rsidR="008A1228" w:rsidRPr="00F6445C" w14:paraId="7C6F56B9" w14:textId="77777777" w:rsidTr="0031118D">
        <w:trPr>
          <w:tblCellSpacing w:w="15" w:type="dxa"/>
        </w:trPr>
        <w:tc>
          <w:tcPr>
            <w:tcW w:w="0" w:type="auto"/>
            <w:vAlign w:val="center"/>
            <w:hideMark/>
          </w:tcPr>
          <w:p w14:paraId="1B6DB9AA" w14:textId="77777777" w:rsidR="008A1228" w:rsidRPr="00F6445C" w:rsidRDefault="008A1228" w:rsidP="008A1228">
            <w:pPr>
              <w:pStyle w:val="NormalWeb"/>
              <w:spacing w:line="360" w:lineRule="auto"/>
              <w:jc w:val="both"/>
            </w:pPr>
            <w:r w:rsidRPr="00F6445C">
              <w:t>Energy</w:t>
            </w:r>
          </w:p>
        </w:tc>
        <w:tc>
          <w:tcPr>
            <w:tcW w:w="0" w:type="auto"/>
          </w:tcPr>
          <w:p w14:paraId="736B9333" w14:textId="77777777" w:rsidR="008A1228" w:rsidRPr="00F6445C" w:rsidRDefault="008A1228" w:rsidP="008A1228">
            <w:pPr>
              <w:pStyle w:val="NormalWeb"/>
              <w:spacing w:line="360" w:lineRule="auto"/>
              <w:jc w:val="both"/>
            </w:pPr>
          </w:p>
        </w:tc>
        <w:tc>
          <w:tcPr>
            <w:tcW w:w="0" w:type="auto"/>
            <w:vAlign w:val="center"/>
            <w:hideMark/>
          </w:tcPr>
          <w:p w14:paraId="5B787B30" w14:textId="68DFF94B" w:rsidR="008A1228" w:rsidRPr="00F6445C" w:rsidRDefault="008A1228" w:rsidP="008A1228">
            <w:pPr>
              <w:pStyle w:val="NormalWeb"/>
              <w:spacing w:line="360" w:lineRule="auto"/>
              <w:jc w:val="both"/>
            </w:pPr>
            <w:r w:rsidRPr="00F6445C">
              <w:t>-0.054</w:t>
            </w:r>
          </w:p>
        </w:tc>
        <w:tc>
          <w:tcPr>
            <w:tcW w:w="0" w:type="auto"/>
            <w:vAlign w:val="center"/>
            <w:hideMark/>
          </w:tcPr>
          <w:p w14:paraId="381AB568" w14:textId="77777777" w:rsidR="008A1228" w:rsidRPr="00F6445C" w:rsidRDefault="008A1228" w:rsidP="008A1228">
            <w:pPr>
              <w:pStyle w:val="NormalWeb"/>
              <w:spacing w:line="360" w:lineRule="auto"/>
              <w:jc w:val="both"/>
            </w:pPr>
            <w:r w:rsidRPr="00F6445C">
              <w:t>0.002 ***</w:t>
            </w:r>
          </w:p>
        </w:tc>
        <w:tc>
          <w:tcPr>
            <w:tcW w:w="0" w:type="auto"/>
            <w:vAlign w:val="center"/>
            <w:hideMark/>
          </w:tcPr>
          <w:p w14:paraId="73AE2FDE" w14:textId="77777777" w:rsidR="008A1228" w:rsidRPr="00F6445C" w:rsidRDefault="008A1228" w:rsidP="008A1228">
            <w:pPr>
              <w:pStyle w:val="NormalWeb"/>
              <w:spacing w:line="360" w:lineRule="auto"/>
              <w:jc w:val="both"/>
            </w:pPr>
            <w:r w:rsidRPr="00F6445C">
              <w:t>2.105</w:t>
            </w:r>
          </w:p>
        </w:tc>
      </w:tr>
      <w:tr w:rsidR="008A1228" w:rsidRPr="00F6445C" w14:paraId="2A6EC66F" w14:textId="77777777" w:rsidTr="0031118D">
        <w:trPr>
          <w:tblCellSpacing w:w="15" w:type="dxa"/>
        </w:trPr>
        <w:tc>
          <w:tcPr>
            <w:tcW w:w="0" w:type="auto"/>
            <w:vAlign w:val="center"/>
            <w:hideMark/>
          </w:tcPr>
          <w:p w14:paraId="565EF9CE" w14:textId="77777777" w:rsidR="008A1228" w:rsidRPr="00F6445C" w:rsidRDefault="008A1228" w:rsidP="008A1228">
            <w:pPr>
              <w:pStyle w:val="NormalWeb"/>
              <w:spacing w:line="360" w:lineRule="auto"/>
              <w:jc w:val="both"/>
            </w:pPr>
            <w:r w:rsidRPr="00F6445C">
              <w:t>Metal</w:t>
            </w:r>
          </w:p>
        </w:tc>
        <w:tc>
          <w:tcPr>
            <w:tcW w:w="0" w:type="auto"/>
          </w:tcPr>
          <w:p w14:paraId="3A3D13D6" w14:textId="77777777" w:rsidR="008A1228" w:rsidRPr="00F6445C" w:rsidRDefault="008A1228" w:rsidP="008A1228">
            <w:pPr>
              <w:pStyle w:val="NormalWeb"/>
              <w:spacing w:line="360" w:lineRule="auto"/>
              <w:jc w:val="both"/>
            </w:pPr>
          </w:p>
        </w:tc>
        <w:tc>
          <w:tcPr>
            <w:tcW w:w="0" w:type="auto"/>
            <w:vAlign w:val="center"/>
            <w:hideMark/>
          </w:tcPr>
          <w:p w14:paraId="14A244C1" w14:textId="00FB0D62" w:rsidR="008A1228" w:rsidRPr="00F6445C" w:rsidRDefault="008A1228" w:rsidP="008A1228">
            <w:pPr>
              <w:pStyle w:val="NormalWeb"/>
              <w:spacing w:line="360" w:lineRule="auto"/>
              <w:jc w:val="both"/>
            </w:pPr>
            <w:r w:rsidRPr="00F6445C">
              <w:t>-0.021</w:t>
            </w:r>
          </w:p>
        </w:tc>
        <w:tc>
          <w:tcPr>
            <w:tcW w:w="0" w:type="auto"/>
            <w:vAlign w:val="center"/>
            <w:hideMark/>
          </w:tcPr>
          <w:p w14:paraId="30346FB0" w14:textId="77777777" w:rsidR="008A1228" w:rsidRPr="00F6445C" w:rsidRDefault="008A1228" w:rsidP="008A1228">
            <w:pPr>
              <w:pStyle w:val="NormalWeb"/>
              <w:spacing w:line="360" w:lineRule="auto"/>
              <w:jc w:val="both"/>
            </w:pPr>
            <w:r w:rsidRPr="00F6445C">
              <w:t>0.208</w:t>
            </w:r>
          </w:p>
        </w:tc>
        <w:tc>
          <w:tcPr>
            <w:tcW w:w="0" w:type="auto"/>
            <w:vAlign w:val="center"/>
            <w:hideMark/>
          </w:tcPr>
          <w:p w14:paraId="66AD8907" w14:textId="77777777" w:rsidR="008A1228" w:rsidRPr="00F6445C" w:rsidRDefault="008A1228" w:rsidP="008A1228">
            <w:pPr>
              <w:pStyle w:val="NormalWeb"/>
              <w:spacing w:line="360" w:lineRule="auto"/>
              <w:jc w:val="both"/>
            </w:pPr>
            <w:r w:rsidRPr="00F6445C">
              <w:t>2.039</w:t>
            </w:r>
          </w:p>
        </w:tc>
      </w:tr>
      <w:tr w:rsidR="008A1228" w:rsidRPr="00F6445C" w14:paraId="3F09C3BD" w14:textId="77777777" w:rsidTr="0031118D">
        <w:trPr>
          <w:tblCellSpacing w:w="15" w:type="dxa"/>
        </w:trPr>
        <w:tc>
          <w:tcPr>
            <w:tcW w:w="0" w:type="auto"/>
            <w:vAlign w:val="center"/>
            <w:hideMark/>
          </w:tcPr>
          <w:p w14:paraId="76BF5195" w14:textId="77777777" w:rsidR="008A1228" w:rsidRPr="00F6445C" w:rsidRDefault="008A1228" w:rsidP="008A1228">
            <w:pPr>
              <w:pStyle w:val="NormalWeb"/>
              <w:spacing w:line="360" w:lineRule="auto"/>
              <w:jc w:val="both"/>
            </w:pPr>
            <w:r w:rsidRPr="00F6445C">
              <w:t>Realty</w:t>
            </w:r>
          </w:p>
        </w:tc>
        <w:tc>
          <w:tcPr>
            <w:tcW w:w="0" w:type="auto"/>
          </w:tcPr>
          <w:p w14:paraId="2234E812" w14:textId="77777777" w:rsidR="008A1228" w:rsidRPr="00F6445C" w:rsidRDefault="008A1228" w:rsidP="008A1228">
            <w:pPr>
              <w:pStyle w:val="NormalWeb"/>
              <w:spacing w:line="360" w:lineRule="auto"/>
              <w:jc w:val="both"/>
            </w:pPr>
          </w:p>
        </w:tc>
        <w:tc>
          <w:tcPr>
            <w:tcW w:w="0" w:type="auto"/>
            <w:vAlign w:val="center"/>
            <w:hideMark/>
          </w:tcPr>
          <w:p w14:paraId="24A9C95A" w14:textId="542ECB2A" w:rsidR="008A1228" w:rsidRPr="00F6445C" w:rsidRDefault="008A1228" w:rsidP="008A1228">
            <w:pPr>
              <w:pStyle w:val="NormalWeb"/>
              <w:spacing w:line="360" w:lineRule="auto"/>
              <w:jc w:val="both"/>
            </w:pPr>
            <w:r w:rsidRPr="00F6445C">
              <w:t>0.021</w:t>
            </w:r>
          </w:p>
        </w:tc>
        <w:tc>
          <w:tcPr>
            <w:tcW w:w="0" w:type="auto"/>
            <w:vAlign w:val="center"/>
            <w:hideMark/>
          </w:tcPr>
          <w:p w14:paraId="209E3DDD" w14:textId="77777777" w:rsidR="008A1228" w:rsidRPr="00F6445C" w:rsidRDefault="008A1228" w:rsidP="008A1228">
            <w:pPr>
              <w:pStyle w:val="NormalWeb"/>
              <w:spacing w:line="360" w:lineRule="auto"/>
              <w:jc w:val="both"/>
            </w:pPr>
            <w:r w:rsidRPr="00F6445C">
              <w:t>0.149</w:t>
            </w:r>
          </w:p>
        </w:tc>
        <w:tc>
          <w:tcPr>
            <w:tcW w:w="0" w:type="auto"/>
            <w:vAlign w:val="center"/>
            <w:hideMark/>
          </w:tcPr>
          <w:p w14:paraId="71B81BA7" w14:textId="77777777" w:rsidR="008A1228" w:rsidRPr="00F6445C" w:rsidRDefault="008A1228" w:rsidP="008A1228">
            <w:pPr>
              <w:pStyle w:val="NormalWeb"/>
              <w:spacing w:line="360" w:lineRule="auto"/>
              <w:jc w:val="both"/>
            </w:pPr>
            <w:r w:rsidRPr="00F6445C">
              <w:t>1.956</w:t>
            </w:r>
          </w:p>
        </w:tc>
      </w:tr>
    </w:tbl>
    <w:p w14:paraId="7072D962"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Notes:</w:t>
      </w:r>
    </w:p>
    <w:p w14:paraId="010A71C7" w14:textId="77777777" w:rsidR="008A1228" w:rsidRPr="00F6445C" w:rsidRDefault="008A1228" w:rsidP="0058196C">
      <w:pPr>
        <w:pStyle w:val="NormalWeb"/>
        <w:spacing w:before="0" w:beforeAutospacing="0" w:after="0" w:afterAutospacing="0" w:line="360" w:lineRule="auto"/>
        <w:jc w:val="both"/>
        <w:rPr>
          <w:i/>
          <w:iCs/>
          <w:sz w:val="20"/>
          <w:szCs w:val="20"/>
        </w:rPr>
      </w:pPr>
      <w:proofErr w:type="gramStart"/>
      <w:r w:rsidRPr="00F6445C">
        <w:rPr>
          <w:i/>
          <w:iCs/>
          <w:sz w:val="20"/>
          <w:szCs w:val="20"/>
        </w:rPr>
        <w:t>ACF(</w:t>
      </w:r>
      <w:proofErr w:type="gramEnd"/>
      <w:r w:rsidRPr="00F6445C">
        <w:rPr>
          <w:i/>
          <w:iCs/>
          <w:sz w:val="20"/>
          <w:szCs w:val="20"/>
        </w:rPr>
        <w:t xml:space="preserve">1): First-order autocorrelation </w:t>
      </w:r>
    </w:p>
    <w:p w14:paraId="08BB856F" w14:textId="77777777" w:rsidR="008A1228" w:rsidRPr="00F6445C" w:rsidRDefault="008A1228" w:rsidP="0058196C">
      <w:pPr>
        <w:pStyle w:val="NormalWeb"/>
        <w:spacing w:before="0" w:beforeAutospacing="0" w:after="0" w:afterAutospacing="0" w:line="360" w:lineRule="auto"/>
        <w:jc w:val="both"/>
        <w:rPr>
          <w:i/>
          <w:iCs/>
          <w:sz w:val="20"/>
          <w:szCs w:val="20"/>
        </w:rPr>
      </w:pPr>
      <w:proofErr w:type="spellStart"/>
      <w:r w:rsidRPr="00F6445C">
        <w:rPr>
          <w:i/>
          <w:iCs/>
          <w:sz w:val="20"/>
          <w:szCs w:val="20"/>
        </w:rPr>
        <w:t>Ljung</w:t>
      </w:r>
      <w:proofErr w:type="spellEnd"/>
      <w:r w:rsidRPr="00F6445C">
        <w:rPr>
          <w:i/>
          <w:iCs/>
          <w:sz w:val="20"/>
          <w:szCs w:val="20"/>
        </w:rPr>
        <w:t xml:space="preserve">–Box tests null of no serial correlation up to 10 lags </w:t>
      </w:r>
    </w:p>
    <w:p w14:paraId="1CFAB843" w14:textId="77777777" w:rsidR="008A1228" w:rsidRPr="00F6445C" w:rsidRDefault="008A1228" w:rsidP="0058196C">
      <w:pPr>
        <w:pStyle w:val="NormalWeb"/>
        <w:spacing w:before="0" w:beforeAutospacing="0" w:after="0" w:afterAutospacing="0" w:line="360" w:lineRule="auto"/>
        <w:jc w:val="both"/>
        <w:rPr>
          <w:i/>
          <w:iCs/>
          <w:sz w:val="20"/>
          <w:szCs w:val="20"/>
        </w:rPr>
      </w:pPr>
      <w:r w:rsidRPr="00F6445C">
        <w:rPr>
          <w:i/>
          <w:iCs/>
          <w:sz w:val="20"/>
          <w:szCs w:val="20"/>
        </w:rPr>
        <w:t>*** indicates significance at 1% level</w:t>
      </w:r>
    </w:p>
    <w:p w14:paraId="57F32585" w14:textId="3F151FBC" w:rsidR="008A1228" w:rsidRPr="00F6445C" w:rsidRDefault="000E1551" w:rsidP="0058196C">
      <w:pPr>
        <w:pStyle w:val="NormalWeb"/>
        <w:spacing w:line="360" w:lineRule="auto"/>
        <w:jc w:val="center"/>
      </w:pPr>
      <w:r w:rsidRPr="00F6445C">
        <w:rPr>
          <w:noProof/>
          <w:lang w:val="en-US" w:eastAsia="en-US"/>
        </w:rPr>
        <w:drawing>
          <wp:inline distT="0" distB="0" distL="0" distR="0" wp14:anchorId="28F9B51E" wp14:editId="5C23C281">
            <wp:extent cx="4297045" cy="2931556"/>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a:srcRect t="5962"/>
                    <a:stretch/>
                  </pic:blipFill>
                  <pic:spPr bwMode="auto">
                    <a:xfrm>
                      <a:off x="0" y="0"/>
                      <a:ext cx="4315275" cy="2943993"/>
                    </a:xfrm>
                    <a:prstGeom prst="rect">
                      <a:avLst/>
                    </a:prstGeom>
                    <a:ln>
                      <a:noFill/>
                    </a:ln>
                    <a:extLst>
                      <a:ext uri="{53640926-AAD7-44D8-BBD7-CCE9431645EC}">
                        <a14:shadowObscured xmlns:a14="http://schemas.microsoft.com/office/drawing/2010/main"/>
                      </a:ext>
                    </a:extLst>
                  </pic:spPr>
                </pic:pic>
              </a:graphicData>
            </a:graphic>
          </wp:inline>
        </w:drawing>
      </w:r>
    </w:p>
    <w:p w14:paraId="4E97F462" w14:textId="75759B06" w:rsidR="000E1551" w:rsidRPr="00F6445C" w:rsidRDefault="000E1551" w:rsidP="000E1551">
      <w:pPr>
        <w:pStyle w:val="NormalWeb"/>
        <w:spacing w:line="360" w:lineRule="auto"/>
        <w:jc w:val="center"/>
      </w:pPr>
      <w:r w:rsidRPr="00F6445C">
        <w:rPr>
          <w:b/>
          <w:bCs/>
          <w:sz w:val="20"/>
          <w:szCs w:val="20"/>
        </w:rPr>
        <w:t>Figure 3:</w:t>
      </w:r>
      <w:r w:rsidRPr="00F6445C">
        <w:rPr>
          <w:sz w:val="20"/>
          <w:szCs w:val="20"/>
        </w:rPr>
        <w:t xml:space="preserve"> Conditional Residual Connectedness Network |rho|</w:t>
      </w:r>
      <m:oMath>
        <m:r>
          <w:rPr>
            <w:rFonts w:ascii="Cambria Math" w:hAnsi="Cambria Math"/>
            <w:sz w:val="20"/>
            <w:szCs w:val="20"/>
          </w:rPr>
          <m:t>≥3</m:t>
        </m:r>
      </m:oMath>
    </w:p>
    <w:p w14:paraId="5449B910" w14:textId="77777777" w:rsidR="00A421CE" w:rsidRDefault="0058196C" w:rsidP="00EE5A42">
      <w:pPr>
        <w:pStyle w:val="NormalWeb"/>
        <w:spacing w:line="360" w:lineRule="auto"/>
        <w:jc w:val="both"/>
      </w:pPr>
      <w:r w:rsidRPr="00F6445C">
        <w:t xml:space="preserve">Figure 3 visualizes the residual connectedness network based on the SUR residual correlation matrix. The network exhibits a dense structure with strong clustering among cyclical sectors, particularly Auto, Banking, Energy, and Metals. The most prominent linkage is between Energy and Metals, reflecting common exposure to commodity-related shocks. Overall, the network highlights that sectoral interdependence persists even after controlling for macro-financial factors, </w:t>
      </w:r>
      <w:r w:rsidRPr="00F6445C">
        <w:lastRenderedPageBreak/>
        <w:t>emphasizing the presence of latent shared influences across the equity market.</w:t>
      </w:r>
      <w:r w:rsidR="00A421CE">
        <w:t xml:space="preserve"> These findings remain robust across alternative threshold specifications and diagnostic checks. </w:t>
      </w:r>
    </w:p>
    <w:p w14:paraId="7E78E21E" w14:textId="63F1F4D0" w:rsidR="00762CF9" w:rsidRDefault="00EE5A42" w:rsidP="00EE5A42">
      <w:pPr>
        <w:pStyle w:val="NormalWeb"/>
        <w:spacing w:line="360" w:lineRule="auto"/>
        <w:jc w:val="both"/>
        <w:rPr>
          <w:b/>
          <w:bCs/>
        </w:rPr>
      </w:pPr>
      <w:r w:rsidRPr="00F6445C">
        <w:rPr>
          <w:b/>
          <w:bCs/>
        </w:rPr>
        <w:t>DISCUSSION</w:t>
      </w:r>
    </w:p>
    <w:p w14:paraId="32421A46" w14:textId="77777777" w:rsidR="00F6445C" w:rsidRPr="00F6445C" w:rsidRDefault="00F6445C" w:rsidP="00F6445C">
      <w:pPr>
        <w:pStyle w:val="NormalWeb"/>
        <w:spacing w:line="360" w:lineRule="auto"/>
        <w:jc w:val="both"/>
        <w:rPr>
          <w:bCs/>
        </w:rPr>
      </w:pPr>
      <w:r w:rsidRPr="00F6445C">
        <w:rPr>
          <w:bCs/>
        </w:rPr>
        <w:t>The empirical results provide a refined understanding of sectoral connectedness in Indian equity markets once common macro-financial influences are explicitly controlled for. A comparison between raw return correlations and residual correlations reveals an important distinction: while unconditional correlations suggest broad-based co-movement across sectors, the conditional framework demonstrates that a substantial portion of this co-movement is attributable to shared exposure to global and domestic risk factors. However, even after accounting for these drivers, residual correlations remain positive and economically meaningful, indicating the presence of latent common influences affecting multiple sectors simultaneously.</w:t>
      </w:r>
    </w:p>
    <w:p w14:paraId="2CF6AF1F" w14:textId="52DFAA46" w:rsidR="00F6445C" w:rsidRPr="00F6445C" w:rsidRDefault="00F6445C" w:rsidP="00F6445C">
      <w:pPr>
        <w:pStyle w:val="NormalWeb"/>
        <w:spacing w:line="360" w:lineRule="auto"/>
        <w:jc w:val="both"/>
        <w:rPr>
          <w:bCs/>
        </w:rPr>
      </w:pPr>
      <w:r w:rsidRPr="00F6445C">
        <w:rPr>
          <w:bCs/>
        </w:rPr>
        <w:t xml:space="preserve">A key finding of the study is the dominant role of global market </w:t>
      </w:r>
      <w:proofErr w:type="spellStart"/>
      <w:r w:rsidRPr="00F6445C">
        <w:rPr>
          <w:bCs/>
        </w:rPr>
        <w:t>spillovers</w:t>
      </w:r>
      <w:proofErr w:type="spellEnd"/>
      <w:r w:rsidRPr="00F6445C">
        <w:rPr>
          <w:bCs/>
        </w:rPr>
        <w:t xml:space="preserve">. The consistently strong and statistically significant coefficients associated with lagged S&amp;P 500 returns across all sectors suggest that Indian sectoral indices are closely integrated with global equity market dynamics. This highlights the increasing globalization of financial markets, where external shocks and international risk sentiment are rapidly transmitted across domestic sectors. In contrast, the domestic market factor (NIFTY 50) exhibits negative coefficients in the presence of global controls, reflecting the redistribution of explanatory power among correlated regressors rather than a literal inverse market relationship. </w:t>
      </w:r>
      <w:r w:rsidR="00940249" w:rsidRPr="00940249">
        <w:rPr>
          <w:bCs/>
        </w:rPr>
        <w:t>This negative sign should not be interpreted as an inverse market relationship, but rather as a statistical adjustment arising from multicollinearity among correlated market-wide factors.</w:t>
      </w:r>
      <w:r w:rsidR="00940249">
        <w:rPr>
          <w:bCs/>
        </w:rPr>
        <w:t xml:space="preserve"> </w:t>
      </w:r>
      <w:r w:rsidRPr="00F6445C">
        <w:rPr>
          <w:bCs/>
        </w:rPr>
        <w:t>This underscores the importance of carefully specifying factor structures when multiple highly correlated market proxies are included.</w:t>
      </w:r>
    </w:p>
    <w:p w14:paraId="0EA8FAE0" w14:textId="77777777" w:rsidR="00F6445C" w:rsidRPr="00F6445C" w:rsidRDefault="00F6445C" w:rsidP="00F6445C">
      <w:pPr>
        <w:pStyle w:val="NormalWeb"/>
        <w:spacing w:line="360" w:lineRule="auto"/>
        <w:jc w:val="both"/>
        <w:rPr>
          <w:bCs/>
        </w:rPr>
      </w:pPr>
      <w:r w:rsidRPr="00F6445C">
        <w:rPr>
          <w:bCs/>
        </w:rPr>
        <w:t xml:space="preserve">Sectoral heterogeneity in macro-financial sensitivities further enriches the interpretation. Volatility effects, captured through the VIX, are generally negative but modest, with stronger sensitivity observed in defensive sectors such as FMCG and Pharma. Exchange-rate effects display substantial variation, with Banking, Auto, and Realty showing positive exposure, while Pharma exhibits a negative relationship. These differences reflect underlying sectoral characteristics, including international exposure, cost structures, and sensitivity to capital flows. Commodity price </w:t>
      </w:r>
      <w:r w:rsidRPr="00F6445C">
        <w:rPr>
          <w:bCs/>
        </w:rPr>
        <w:lastRenderedPageBreak/>
        <w:t>effects are most pronounced in Metals and Energy, confirming their dependence on global commodity cycles even after controlling for oil prices directly.</w:t>
      </w:r>
    </w:p>
    <w:p w14:paraId="03AD2936" w14:textId="77777777" w:rsidR="00F6445C" w:rsidRPr="00F6445C" w:rsidRDefault="00F6445C" w:rsidP="00F6445C">
      <w:pPr>
        <w:pStyle w:val="NormalWeb"/>
        <w:spacing w:line="360" w:lineRule="auto"/>
        <w:jc w:val="both"/>
        <w:rPr>
          <w:bCs/>
        </w:rPr>
      </w:pPr>
      <w:r w:rsidRPr="00F6445C">
        <w:rPr>
          <w:bCs/>
        </w:rPr>
        <w:t xml:space="preserve">The efficiency gains observed from SUR estimation reinforce the methodological contribution of the study. Significant reductions in standard errors, particularly for lagged own-return coefficients in cyclical sectors, demonstrate that exploiting contemporaneous cross-equation covariance improves estimation precision. This provides empirical validation for the use of system-based estimators in multi-sector financial </w:t>
      </w:r>
      <w:proofErr w:type="spellStart"/>
      <w:r w:rsidRPr="00F6445C">
        <w:rPr>
          <w:bCs/>
        </w:rPr>
        <w:t>modeling</w:t>
      </w:r>
      <w:proofErr w:type="spellEnd"/>
      <w:r w:rsidRPr="00F6445C">
        <w:rPr>
          <w:bCs/>
        </w:rPr>
        <w:t>, where ignoring cross-sectional dependence can lead to inefficient inference.</w:t>
      </w:r>
    </w:p>
    <w:p w14:paraId="2512BB2F" w14:textId="77777777" w:rsidR="00F6445C" w:rsidRPr="00F6445C" w:rsidRDefault="00F6445C" w:rsidP="00F6445C">
      <w:pPr>
        <w:pStyle w:val="NormalWeb"/>
        <w:spacing w:line="360" w:lineRule="auto"/>
        <w:jc w:val="both"/>
        <w:rPr>
          <w:bCs/>
        </w:rPr>
      </w:pPr>
      <w:r w:rsidRPr="00F6445C">
        <w:rPr>
          <w:bCs/>
        </w:rPr>
        <w:t>The residual covariance structure offers deeper insights into hidden sectoral connectedness. The persistence of strong positive residual correlations across multiple sector pairs suggests that unobserved common shocks continue to influence sectoral returns beyond what is captured by observable macro-financial variables. In particular, the strong clustering among cyclical sectors such as Auto, Banking, Energy, and Metals indicates the presence of shared latent drivers, potentially related to industrial cycles, credit conditions, or investor sentiment. The consistently strongest linkage between Energy and Metals further supports the existence of a commodity-driven sub-network within the broader market structure.</w:t>
      </w:r>
    </w:p>
    <w:p w14:paraId="5AA3C740" w14:textId="77777777" w:rsidR="00F6445C" w:rsidRPr="00F6445C" w:rsidRDefault="00F6445C" w:rsidP="00F6445C">
      <w:pPr>
        <w:pStyle w:val="NormalWeb"/>
        <w:spacing w:line="360" w:lineRule="auto"/>
        <w:jc w:val="both"/>
        <w:rPr>
          <w:bCs/>
        </w:rPr>
      </w:pPr>
      <w:r w:rsidRPr="00F6445C">
        <w:rPr>
          <w:bCs/>
        </w:rPr>
        <w:t xml:space="preserve">Importantly, the network-based analysis demonstrates that these findings are robust to variations in correlation thresholds. The residual connectedness network remains dense across a wide range of thresholds, indicating that the observed interdependencies are not driven by arbitrary </w:t>
      </w:r>
      <w:proofErr w:type="spellStart"/>
      <w:r w:rsidRPr="00F6445C">
        <w:rPr>
          <w:bCs/>
        </w:rPr>
        <w:t>cutoff</w:t>
      </w:r>
      <w:proofErr w:type="spellEnd"/>
      <w:r w:rsidRPr="00F6445C">
        <w:rPr>
          <w:bCs/>
        </w:rPr>
        <w:t xml:space="preserve"> choices. This strengthens the reliability of the inferred network structure and suggests that sectoral connectedness in the Indian market is both pervasive and stable in a conditional sense.</w:t>
      </w:r>
    </w:p>
    <w:p w14:paraId="581FBF89" w14:textId="77777777" w:rsidR="00F6445C" w:rsidRPr="00F6445C" w:rsidRDefault="00F6445C" w:rsidP="00F6445C">
      <w:pPr>
        <w:pStyle w:val="NormalWeb"/>
        <w:spacing w:line="360" w:lineRule="auto"/>
        <w:jc w:val="both"/>
        <w:rPr>
          <w:bCs/>
        </w:rPr>
      </w:pPr>
      <w:r w:rsidRPr="00F6445C">
        <w:rPr>
          <w:bCs/>
        </w:rPr>
        <w:t xml:space="preserve">From a time-series perspective, residual diagnostics indicate that the inclusion of lagged own returns effectively mitigates first-order autocorrelation, as reflected in Durbin–Watson statistics close to two. However, </w:t>
      </w:r>
      <w:proofErr w:type="spellStart"/>
      <w:r w:rsidRPr="00F6445C">
        <w:rPr>
          <w:bCs/>
        </w:rPr>
        <w:t>Ljung</w:t>
      </w:r>
      <w:proofErr w:type="spellEnd"/>
      <w:r w:rsidRPr="00F6445C">
        <w:rPr>
          <w:bCs/>
        </w:rPr>
        <w:t>–Box tests reveal the presence of higher-order dependence in certain sectors, suggesting that some dynamic structure remains unmodeled. Accordingly, the results are interpreted in terms of contemporaneous conditional associations rather than fully dynamic transmission mechanisms.</w:t>
      </w:r>
    </w:p>
    <w:p w14:paraId="1C7C8B34" w14:textId="43B43BA3" w:rsidR="00F6445C" w:rsidRPr="00F6445C" w:rsidRDefault="00F6445C" w:rsidP="00EE5A42">
      <w:pPr>
        <w:pStyle w:val="NormalWeb"/>
        <w:spacing w:line="360" w:lineRule="auto"/>
        <w:jc w:val="both"/>
        <w:rPr>
          <w:bCs/>
        </w:rPr>
      </w:pPr>
      <w:r w:rsidRPr="00F6445C">
        <w:rPr>
          <w:bCs/>
        </w:rPr>
        <w:lastRenderedPageBreak/>
        <w:t>Overall, the findings emphasize that sectoral connectedness is inherently conditional. While market-wide and macro-financial factors explain a substantial portion of co-movement, a dense network of residual interdependence persists, reflecting the influence of latent common shocks. This has important implications for portfolio diversification and risk management. Traditional diversification strategies based solely on raw correlations may overestimate risk reduction benefits, as hidden conditional linkages can lead to synchronized sectoral responses during periods of stress. The SUR framework thus provides a more nuanced and informative representation of sectoral interdependence in modern financial markets.</w:t>
      </w:r>
    </w:p>
    <w:p w14:paraId="527ADE10" w14:textId="647FF47E" w:rsidR="00281F22" w:rsidRDefault="00EF7E1D" w:rsidP="00EE5A42">
      <w:pPr>
        <w:pStyle w:val="NormalWeb"/>
        <w:spacing w:line="360" w:lineRule="auto"/>
        <w:jc w:val="both"/>
        <w:rPr>
          <w:b/>
          <w:bCs/>
        </w:rPr>
      </w:pPr>
      <w:r w:rsidRPr="00F6445C">
        <w:rPr>
          <w:b/>
          <w:bCs/>
        </w:rPr>
        <w:t xml:space="preserve">CONCLUSION </w:t>
      </w:r>
      <w:r w:rsidR="00F6445C">
        <w:rPr>
          <w:b/>
          <w:bCs/>
        </w:rPr>
        <w:t>&amp; FUTURE WORK</w:t>
      </w:r>
    </w:p>
    <w:p w14:paraId="3F710F06" w14:textId="4B08C89E" w:rsidR="00F6445C" w:rsidRPr="00F6445C" w:rsidRDefault="00F6445C" w:rsidP="00EE5A42">
      <w:pPr>
        <w:pStyle w:val="NormalWeb"/>
        <w:spacing w:line="360" w:lineRule="auto"/>
        <w:jc w:val="both"/>
        <w:rPr>
          <w:bCs/>
        </w:rPr>
      </w:pPr>
      <w:r w:rsidRPr="00F6445C">
        <w:rPr>
          <w:bCs/>
        </w:rPr>
        <w:t xml:space="preserve">This study examines sectoral connectedness in the Indian equity market using a system-based econometric framework built on Seemingly Unrelated Regressions (SUR). By </w:t>
      </w:r>
      <w:proofErr w:type="spellStart"/>
      <w:r w:rsidRPr="00F6445C">
        <w:rPr>
          <w:bCs/>
        </w:rPr>
        <w:t>modeling</w:t>
      </w:r>
      <w:proofErr w:type="spellEnd"/>
      <w:r w:rsidRPr="00F6445C">
        <w:rPr>
          <w:bCs/>
        </w:rPr>
        <w:t xml:space="preserve"> daily returns of eight major NIFTY sectoral indices with lagged macro-financial controls and global market factors, the analysis distinguishes between co-movement driven by observable common influences and residual interdependence arising from latent shared shocks.</w:t>
      </w:r>
      <w:r>
        <w:rPr>
          <w:bCs/>
        </w:rPr>
        <w:t xml:space="preserve"> </w:t>
      </w:r>
      <w:r w:rsidRPr="00F6445C">
        <w:rPr>
          <w:bCs/>
        </w:rPr>
        <w:t xml:space="preserve">The findings demonstrate that a significant portion of sectoral co-movement can be explained by global and domestic market conditions, particularly through strong </w:t>
      </w:r>
      <w:proofErr w:type="spellStart"/>
      <w:r w:rsidRPr="00F6445C">
        <w:rPr>
          <w:bCs/>
        </w:rPr>
        <w:t>spillover</w:t>
      </w:r>
      <w:proofErr w:type="spellEnd"/>
      <w:r w:rsidRPr="00F6445C">
        <w:rPr>
          <w:bCs/>
        </w:rPr>
        <w:t xml:space="preserve"> effects from international equity markets. However, even after accounting for these drivers, substantial contemporaneous residual correlations persist across sectors. This indicates that sectoral returns are influenced not only by observable macro-financial variables but also by unobserved common factors that generate conditional interdependence.</w:t>
      </w:r>
      <w:r>
        <w:rPr>
          <w:bCs/>
        </w:rPr>
        <w:t xml:space="preserve"> </w:t>
      </w:r>
      <w:r w:rsidRPr="00F6445C">
        <w:rPr>
          <w:bCs/>
        </w:rPr>
        <w:t>The residual covariance structure reveals a dense network of positive connections, with particularly strong clustering among cyclical and commodity-linked sectors such as Energy, Metals, Banking, and Automobiles. These patterns highlight the presence of latent economic linkages that remain hidden in traditional correlation-based analyses. Moreover, sensitivity analysis confirms that the structure of this residual connectedness network is robust to alternative threshold specifications, reinforcing the stability of the identified relationships.</w:t>
      </w:r>
      <w:r>
        <w:rPr>
          <w:bCs/>
        </w:rPr>
        <w:t xml:space="preserve"> </w:t>
      </w:r>
      <w:r w:rsidRPr="00F6445C">
        <w:rPr>
          <w:bCs/>
        </w:rPr>
        <w:t xml:space="preserve">From a methodological perspective, the results validate the advantages of SUR estimation over equation-by-equation OLS. By explicitly </w:t>
      </w:r>
      <w:proofErr w:type="spellStart"/>
      <w:r w:rsidRPr="00F6445C">
        <w:rPr>
          <w:bCs/>
        </w:rPr>
        <w:t>modeling</w:t>
      </w:r>
      <w:proofErr w:type="spellEnd"/>
      <w:r w:rsidRPr="00F6445C">
        <w:rPr>
          <w:bCs/>
        </w:rPr>
        <w:t xml:space="preserve"> contemporaneous cross-equation dependence, SUR improves estimation efficiency and provides a richer representation of sectoral interactions. At the same time, residual diagnostics suggest that while short-term serial dependence is largely mitigated through lagged specifications, some higher-order dynamics remain, indicating potential avenues </w:t>
      </w:r>
      <w:r w:rsidRPr="00F6445C">
        <w:rPr>
          <w:bCs/>
        </w:rPr>
        <w:lastRenderedPageBreak/>
        <w:t>for extending the framework.</w:t>
      </w:r>
      <w:r>
        <w:rPr>
          <w:bCs/>
        </w:rPr>
        <w:t xml:space="preserve"> </w:t>
      </w:r>
      <w:r w:rsidRPr="00F6445C">
        <w:rPr>
          <w:bCs/>
        </w:rPr>
        <w:t>The study has important implications for portfolio management and systemic risk assessment. In particular, it highlights that diversification benefits inferred from unconditional correlations may be overstated, as hidden conditional linkages can lead to synchronized sectoral movements under certain conditions. A system-based approach that accounts for both observable and latent interdependencies therefore offers a more realistic assessment of risk.</w:t>
      </w:r>
      <w:r>
        <w:rPr>
          <w:bCs/>
        </w:rPr>
        <w:t xml:space="preserve"> </w:t>
      </w:r>
      <w:r w:rsidR="00B43F1A" w:rsidRPr="00B43F1A">
        <w:rPr>
          <w:bCs/>
        </w:rPr>
        <w:t>The study is subject to certain limitations, including the assumption of static contemporaneous relationships and reliance on a fixed set of macro-financial variables. Potential omitted factors and dynamic dependencies may influence the results.</w:t>
      </w:r>
      <w:r w:rsidR="00B43F1A">
        <w:rPr>
          <w:bCs/>
        </w:rPr>
        <w:t xml:space="preserve"> </w:t>
      </w:r>
      <w:r w:rsidRPr="00F6445C">
        <w:rPr>
          <w:bCs/>
        </w:rPr>
        <w:t>Future research may extend this framework in several directions, including the incorporation of regime-switching dynamics, additional macroeconomic or global risk factors, and dynamic system models that capture time-varying connectedness. Exploring predictive applications of residual networks and integrating high-frequency or alternative data sources may further enhance the understanding of sectoral interactions in evolving financial markets.</w:t>
      </w:r>
      <w:r w:rsidR="00940249">
        <w:rPr>
          <w:bCs/>
        </w:rPr>
        <w:t xml:space="preserve"> </w:t>
      </w:r>
      <w:r w:rsidR="00940249" w:rsidRPr="00940249">
        <w:rPr>
          <w:bCs/>
        </w:rPr>
        <w:t>Future research may explore hybrid approaches combining econometric frameworks with machine learning models such as LSTM or graph-based networks to capture nonlinear and time-varying sectoral dependencies.</w:t>
      </w:r>
    </w:p>
    <w:p w14:paraId="5B65BDAE" w14:textId="16670F97" w:rsidR="002024CB" w:rsidRPr="00F6445C" w:rsidRDefault="002024CB" w:rsidP="00EE5A42">
      <w:pPr>
        <w:pStyle w:val="NormalWeb"/>
        <w:spacing w:line="360" w:lineRule="auto"/>
        <w:jc w:val="both"/>
      </w:pPr>
      <w:r w:rsidRPr="00F6445C">
        <w:rPr>
          <w:b/>
        </w:rPr>
        <w:t>Abbreviations</w:t>
      </w:r>
      <w:r w:rsidRPr="00F6445C">
        <w:br/>
        <w:t>SUR: Seemingly Unrelated Regression, OLS: Ordinary Least Squares, FGLS: Feasible Generalized Least Squares, VAR: Vector Autoregression, ACF: Autocorrelation Function, NIFTY: National Stock Exchange Fifty Index, VIX: Volatility Index, USD/INR: US Dollar to Indian Rupee Exchange Rate, BRENT: Brent Crude Oil Benchmark, MKT: Market Return, L1: Lagged Return (First Lag), R²: Coefficient of Determination, AIC: Akaike Information Criterion, BIC: Bayesian Information Criterion, DW: Durbin–Watson Statistic, CAPM: Capital Asset Pricing Model, FMCG: Fast Moving Consumer Goods.</w:t>
      </w:r>
    </w:p>
    <w:p w14:paraId="35E96C31" w14:textId="77777777" w:rsidR="002024CB" w:rsidRPr="00F6445C" w:rsidRDefault="002024CB" w:rsidP="002024CB">
      <w:pPr>
        <w:pStyle w:val="NormalWeb"/>
        <w:spacing w:line="360" w:lineRule="auto"/>
        <w:jc w:val="both"/>
        <w:rPr>
          <w:b/>
        </w:rPr>
      </w:pPr>
      <w:r w:rsidRPr="00F6445C">
        <w:rPr>
          <w:b/>
        </w:rPr>
        <w:t>Conflicts of Interest</w:t>
      </w:r>
    </w:p>
    <w:p w14:paraId="2B253C62" w14:textId="320B145C" w:rsidR="002024CB" w:rsidRPr="00F6445C" w:rsidRDefault="002024CB" w:rsidP="002024CB">
      <w:pPr>
        <w:pStyle w:val="NormalWeb"/>
        <w:spacing w:line="360" w:lineRule="auto"/>
        <w:jc w:val="both"/>
      </w:pPr>
      <w:r w:rsidRPr="00F6445C">
        <w:t>The authors declare that they have no conflicts of interest.</w:t>
      </w:r>
    </w:p>
    <w:p w14:paraId="7DBDBFEB" w14:textId="24D75D0C" w:rsidR="00CC01F4" w:rsidRDefault="00CC01F4" w:rsidP="00CC01F4">
      <w:pPr>
        <w:pStyle w:val="NormalWeb"/>
        <w:spacing w:line="360" w:lineRule="auto"/>
        <w:jc w:val="both"/>
      </w:pPr>
      <w:r>
        <w:t>COMPETING INTERESTS:</w:t>
      </w:r>
    </w:p>
    <w:p w14:paraId="73788837" w14:textId="77777777" w:rsidR="00CC01F4" w:rsidRDefault="00CC01F4" w:rsidP="00CC01F4">
      <w:pPr>
        <w:pStyle w:val="NormalWeb"/>
        <w:spacing w:line="360" w:lineRule="auto"/>
        <w:jc w:val="both"/>
      </w:pPr>
      <w:r>
        <w:lastRenderedPageBreak/>
        <w:t>Authors have declared that they have no known competing financial interests OR non-financial interests OR personal relationships that could have appeared to influence the work reported in this paper.</w:t>
      </w:r>
    </w:p>
    <w:p w14:paraId="59CEF9E3" w14:textId="77777777" w:rsidR="00901137" w:rsidRPr="00005ED1" w:rsidRDefault="00901137" w:rsidP="00901137">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4555BFE" w14:textId="77777777" w:rsidR="00901137" w:rsidRPr="00005ED1" w:rsidRDefault="00901137" w:rsidP="00901137">
      <w:pPr>
        <w:pStyle w:val="NoSpacing"/>
        <w:rPr>
          <w:rFonts w:ascii="Arial" w:hAnsi="Arial" w:cs="Arial"/>
          <w:highlight w:val="yellow"/>
        </w:rPr>
      </w:pPr>
    </w:p>
    <w:p w14:paraId="09B71A02" w14:textId="77777777" w:rsidR="00901137" w:rsidRPr="00005ED1" w:rsidRDefault="00901137" w:rsidP="0090113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06D8695" w14:textId="77777777" w:rsidR="00901137" w:rsidRDefault="00901137" w:rsidP="00901137">
      <w:pPr>
        <w:pStyle w:val="NoSpacing"/>
        <w:rPr>
          <w:rFonts w:ascii="Arial" w:hAnsi="Arial" w:cs="Arial"/>
        </w:rPr>
      </w:pPr>
    </w:p>
    <w:p w14:paraId="14D0E364" w14:textId="77777777" w:rsidR="00901137" w:rsidRDefault="00901137" w:rsidP="00901137">
      <w:pPr>
        <w:pStyle w:val="NoSpacing"/>
        <w:rPr>
          <w:rFonts w:ascii="Arial" w:hAnsi="Arial" w:cs="Arial"/>
        </w:rPr>
      </w:pPr>
    </w:p>
    <w:p w14:paraId="2CB01DF7" w14:textId="77777777" w:rsidR="00901137" w:rsidRPr="00005ED1" w:rsidRDefault="00901137" w:rsidP="00901137">
      <w:pPr>
        <w:pStyle w:val="NoSpacing"/>
        <w:rPr>
          <w:rFonts w:ascii="Arial" w:hAnsi="Arial" w:cs="Arial"/>
        </w:rPr>
      </w:pPr>
    </w:p>
    <w:p w14:paraId="720EA1D6" w14:textId="77777777" w:rsidR="00CC01F4" w:rsidRDefault="00CC01F4" w:rsidP="00CC01F4">
      <w:pPr>
        <w:pStyle w:val="NormalWeb"/>
        <w:spacing w:line="360" w:lineRule="auto"/>
        <w:jc w:val="both"/>
      </w:pPr>
    </w:p>
    <w:p w14:paraId="0FFDB99D" w14:textId="77777777" w:rsidR="00CC01F4" w:rsidRPr="00F6445C" w:rsidRDefault="00CC01F4" w:rsidP="00EE5A42">
      <w:pPr>
        <w:pStyle w:val="NormalWeb"/>
        <w:spacing w:line="360" w:lineRule="auto"/>
        <w:jc w:val="both"/>
      </w:pPr>
    </w:p>
    <w:p w14:paraId="155D8083" w14:textId="09540986" w:rsidR="00BE4402" w:rsidRPr="00F6445C" w:rsidRDefault="00633B52" w:rsidP="00EE5A42">
      <w:pPr>
        <w:pStyle w:val="NormalWeb"/>
        <w:spacing w:line="360" w:lineRule="auto"/>
        <w:jc w:val="both"/>
        <w:rPr>
          <w:b/>
        </w:rPr>
      </w:pPr>
      <w:r w:rsidRPr="00F6445C">
        <w:rPr>
          <w:b/>
        </w:rPr>
        <w:t>REFERENCES</w:t>
      </w:r>
    </w:p>
    <w:p w14:paraId="48D09463" w14:textId="77777777" w:rsidR="0092542F" w:rsidRPr="00F6445C" w:rsidRDefault="0092542F" w:rsidP="00EE5A42">
      <w:pPr>
        <w:pStyle w:val="NormalWeb"/>
        <w:numPr>
          <w:ilvl w:val="0"/>
          <w:numId w:val="6"/>
        </w:numPr>
        <w:spacing w:line="360" w:lineRule="auto"/>
        <w:jc w:val="both"/>
        <w:rPr>
          <w:rStyle w:val="Hyperlink"/>
          <w:rFonts w:eastAsiaTheme="majorEastAsia"/>
          <w:color w:val="auto"/>
          <w:u w:val="none"/>
        </w:rPr>
      </w:pPr>
      <w:r w:rsidRPr="00F6445C">
        <w:t xml:space="preserve">Schiavone, A. (2020). Estimating the contagion effect through the portfolio channel using a network approach. The Journal of Network Theory in Finance. </w:t>
      </w:r>
      <w:hyperlink r:id="rId10" w:history="1">
        <w:r w:rsidRPr="00F6445C">
          <w:rPr>
            <w:rStyle w:val="Hyperlink"/>
          </w:rPr>
          <w:t>https://doi.org/10.21314/jntf.2019.054</w:t>
        </w:r>
      </w:hyperlink>
    </w:p>
    <w:p w14:paraId="04D9717C" w14:textId="77777777" w:rsidR="0092542F" w:rsidRPr="00F6445C" w:rsidRDefault="0092542F" w:rsidP="00EE5A42">
      <w:pPr>
        <w:pStyle w:val="NormalWeb"/>
        <w:numPr>
          <w:ilvl w:val="0"/>
          <w:numId w:val="6"/>
        </w:numPr>
        <w:spacing w:line="360" w:lineRule="auto"/>
        <w:jc w:val="both"/>
      </w:pPr>
      <w:r w:rsidRPr="00F6445C">
        <w:t xml:space="preserve">Liu, Z., Liu, Y., and Li, W. (2025). Exploring volatility </w:t>
      </w:r>
      <w:proofErr w:type="spellStart"/>
      <w:r w:rsidRPr="00F6445C">
        <w:t>spillover</w:t>
      </w:r>
      <w:proofErr w:type="spellEnd"/>
      <w:r w:rsidRPr="00F6445C">
        <w:t xml:space="preserve"> of Chinese financial system using empirical mode decomposition and multilayer networks. International Journal of Emerging Markets, 1–27. </w:t>
      </w:r>
      <w:hyperlink r:id="rId11" w:history="1">
        <w:r w:rsidRPr="00F6445C">
          <w:rPr>
            <w:rStyle w:val="Hyperlink"/>
          </w:rPr>
          <w:t>https://doi.org/10.1108/ijoem-04-2025-0727</w:t>
        </w:r>
      </w:hyperlink>
    </w:p>
    <w:p w14:paraId="6B5B1AB9" w14:textId="75B0AD60" w:rsidR="00501317" w:rsidRDefault="00501317" w:rsidP="00501317">
      <w:pPr>
        <w:pStyle w:val="NormalWeb"/>
        <w:numPr>
          <w:ilvl w:val="0"/>
          <w:numId w:val="6"/>
        </w:numPr>
        <w:spacing w:line="360" w:lineRule="auto"/>
        <w:jc w:val="both"/>
      </w:pPr>
      <w:r w:rsidRPr="00501317">
        <w:t xml:space="preserve">Chang, J., Hu, Q., Shi, Z., &amp; Zhang, J. (2025). Empirical likelihood approach for high-dimensional moment restrictions with dependent data. In ArXiv.org. </w:t>
      </w:r>
      <w:proofErr w:type="spellStart"/>
      <w:r w:rsidRPr="00501317">
        <w:t>Societa</w:t>
      </w:r>
      <w:proofErr w:type="spellEnd"/>
      <w:r w:rsidRPr="00501317">
        <w:t xml:space="preserve"> </w:t>
      </w:r>
      <w:proofErr w:type="spellStart"/>
      <w:r w:rsidRPr="00501317">
        <w:t>Italiana</w:t>
      </w:r>
      <w:proofErr w:type="spellEnd"/>
      <w:r w:rsidRPr="00501317">
        <w:t xml:space="preserve"> Di </w:t>
      </w:r>
      <w:proofErr w:type="spellStart"/>
      <w:r w:rsidRPr="00501317">
        <w:t>Fisica</w:t>
      </w:r>
      <w:proofErr w:type="spellEnd"/>
      <w:r w:rsidRPr="00501317">
        <w:t xml:space="preserve">. </w:t>
      </w:r>
      <w:hyperlink r:id="rId12" w:history="1">
        <w:r w:rsidRPr="007C098D">
          <w:rPr>
            <w:rStyle w:val="Hyperlink"/>
          </w:rPr>
          <w:t>https://doi.org/10.48550/arxiv.2502.18970</w:t>
        </w:r>
      </w:hyperlink>
    </w:p>
    <w:p w14:paraId="413ABD01" w14:textId="4D37A8FF" w:rsidR="0092542F" w:rsidRPr="00F6445C" w:rsidRDefault="0092542F" w:rsidP="00501317">
      <w:pPr>
        <w:pStyle w:val="NormalWeb"/>
        <w:numPr>
          <w:ilvl w:val="0"/>
          <w:numId w:val="6"/>
        </w:numPr>
        <w:spacing w:line="360" w:lineRule="auto"/>
        <w:jc w:val="both"/>
      </w:pPr>
      <w:r w:rsidRPr="00F6445C">
        <w:t xml:space="preserve">Do, H. X., Nepal, R., Pham, S. D., and </w:t>
      </w:r>
      <w:proofErr w:type="spellStart"/>
      <w:r w:rsidRPr="00F6445C">
        <w:t>Jamasb</w:t>
      </w:r>
      <w:proofErr w:type="spellEnd"/>
      <w:r w:rsidRPr="00F6445C">
        <w:t xml:space="preserve">, T. (2024). Electricity market crisis in Europe and cross border price effects: A quantile return connectedness analysis. Energy Economics, 135, 107633. </w:t>
      </w:r>
      <w:hyperlink r:id="rId13" w:history="1">
        <w:r w:rsidRPr="00F6445C">
          <w:rPr>
            <w:rStyle w:val="Hyperlink"/>
          </w:rPr>
          <w:t>https://doi.org/10.1016/j.eneco.2024.107633</w:t>
        </w:r>
      </w:hyperlink>
    </w:p>
    <w:p w14:paraId="0571B857" w14:textId="77777777" w:rsidR="0092542F" w:rsidRPr="00F6445C" w:rsidRDefault="0092542F" w:rsidP="00EE5A42">
      <w:pPr>
        <w:pStyle w:val="NormalWeb"/>
        <w:numPr>
          <w:ilvl w:val="0"/>
          <w:numId w:val="6"/>
        </w:numPr>
        <w:spacing w:line="360" w:lineRule="auto"/>
        <w:jc w:val="both"/>
      </w:pPr>
      <w:r w:rsidRPr="00F6445C">
        <w:t xml:space="preserve">Rafiq, A., and Hassan, S. (2019). Macro-economic determinant and interdependence of the stock markets. Economic Journal of Emerging Markets, 11(1), 104–112. </w:t>
      </w:r>
      <w:hyperlink r:id="rId14" w:history="1">
        <w:r w:rsidRPr="00F6445C">
          <w:rPr>
            <w:rStyle w:val="Hyperlink"/>
          </w:rPr>
          <w:t>https://doi.org/10.20885/ejem.vol11.iss1.art11</w:t>
        </w:r>
      </w:hyperlink>
    </w:p>
    <w:p w14:paraId="76B9A770" w14:textId="77777777" w:rsidR="0092542F" w:rsidRPr="00F6445C" w:rsidRDefault="0092542F" w:rsidP="00EE5A42">
      <w:pPr>
        <w:pStyle w:val="NormalWeb"/>
        <w:numPr>
          <w:ilvl w:val="0"/>
          <w:numId w:val="6"/>
        </w:numPr>
        <w:spacing w:line="360" w:lineRule="auto"/>
        <w:jc w:val="both"/>
      </w:pPr>
      <w:r w:rsidRPr="00F6445C">
        <w:lastRenderedPageBreak/>
        <w:t>Tripathi, A. (2014). A Study of Correlation between Selected Asian, European and American Stock Exchange Market. SSRN Electronic Journal. https://doi.org/10.2139/ssrn.2170019</w:t>
      </w:r>
    </w:p>
    <w:p w14:paraId="4B59589E" w14:textId="77777777" w:rsidR="0092542F" w:rsidRPr="00F6445C" w:rsidRDefault="0092542F" w:rsidP="00EE5A42">
      <w:pPr>
        <w:pStyle w:val="NormalWeb"/>
        <w:numPr>
          <w:ilvl w:val="0"/>
          <w:numId w:val="6"/>
        </w:numPr>
        <w:spacing w:line="360" w:lineRule="auto"/>
        <w:jc w:val="both"/>
      </w:pPr>
      <w:r w:rsidRPr="00F6445C">
        <w:t xml:space="preserve">Tripathi, A., and Rathore, R. (2016). Impact of Liberalization and Globalization on Stock Exchange Markets A Study of Interdependence and Co-Movement of Selected Asian, European and American Market. JIMS8M: The Journal of Indian Management </w:t>
      </w:r>
      <w:proofErr w:type="spellStart"/>
      <w:r w:rsidRPr="00F6445C">
        <w:t>andamp</w:t>
      </w:r>
      <w:proofErr w:type="spellEnd"/>
      <w:r w:rsidRPr="00F6445C">
        <w:t>; Strategy, 21(3), 60. https://doi.org/10.5958/0973-9343.2016.00026.0</w:t>
      </w:r>
    </w:p>
    <w:p w14:paraId="3DA972A6" w14:textId="77777777" w:rsidR="0092542F" w:rsidRPr="00F6445C" w:rsidRDefault="0092542F" w:rsidP="00EE5A42">
      <w:pPr>
        <w:pStyle w:val="NormalWeb"/>
        <w:numPr>
          <w:ilvl w:val="0"/>
          <w:numId w:val="6"/>
        </w:numPr>
        <w:spacing w:line="360" w:lineRule="auto"/>
        <w:jc w:val="both"/>
      </w:pPr>
      <w:r w:rsidRPr="00F6445C">
        <w:t xml:space="preserve">Kaur, P., and Arora, H. (2018). Financial markets interdependence in India: an empirical analysis. International Journal of Economics and Business Research, 16(4), 517. </w:t>
      </w:r>
      <w:hyperlink r:id="rId15" w:history="1">
        <w:r w:rsidRPr="00F6445C">
          <w:rPr>
            <w:rStyle w:val="Hyperlink"/>
          </w:rPr>
          <w:t>https://doi.org/10.1504/ijebr.2018.10016071</w:t>
        </w:r>
      </w:hyperlink>
    </w:p>
    <w:p w14:paraId="28A02E8F" w14:textId="77777777" w:rsidR="0092542F" w:rsidRPr="00F6445C" w:rsidRDefault="0092542F" w:rsidP="00EE5A42">
      <w:pPr>
        <w:pStyle w:val="NormalWeb"/>
        <w:numPr>
          <w:ilvl w:val="0"/>
          <w:numId w:val="6"/>
        </w:numPr>
        <w:spacing w:line="360" w:lineRule="auto"/>
        <w:jc w:val="both"/>
      </w:pPr>
      <w:proofErr w:type="spellStart"/>
      <w:r w:rsidRPr="00F6445C">
        <w:t>Chelley-Steeley</w:t>
      </w:r>
      <w:proofErr w:type="spellEnd"/>
      <w:r w:rsidRPr="00F6445C">
        <w:t xml:space="preserve">, P. L. (2000). Interdependence of international equity market volatility. Applied Economics Letters, 7(5), 341–345. </w:t>
      </w:r>
      <w:hyperlink r:id="rId16" w:history="1">
        <w:r w:rsidRPr="00F6445C">
          <w:rPr>
            <w:rStyle w:val="Hyperlink"/>
          </w:rPr>
          <w:t>https://doi.org/10.1080/135048500351500</w:t>
        </w:r>
      </w:hyperlink>
    </w:p>
    <w:p w14:paraId="2426FF24" w14:textId="77777777" w:rsidR="0092542F" w:rsidRPr="00F6445C" w:rsidRDefault="0092542F" w:rsidP="00EE5A42">
      <w:pPr>
        <w:pStyle w:val="NormalWeb"/>
        <w:numPr>
          <w:ilvl w:val="0"/>
          <w:numId w:val="6"/>
        </w:numPr>
        <w:spacing w:line="360" w:lineRule="auto"/>
        <w:jc w:val="both"/>
      </w:pPr>
      <w:r w:rsidRPr="00F6445C">
        <w:t xml:space="preserve">Chong, L., Drew, M., and </w:t>
      </w:r>
      <w:proofErr w:type="spellStart"/>
      <w:r w:rsidRPr="00F6445C">
        <w:t>Veeraraghavan</w:t>
      </w:r>
      <w:proofErr w:type="spellEnd"/>
      <w:r w:rsidRPr="00F6445C">
        <w:t>, M. (2003). Stock Market Interdependence: Evidence from Australia. Pacific Accounting Review, 15(2), 51–76. https://doi.org/10.1108/eb037974</w:t>
      </w:r>
    </w:p>
    <w:p w14:paraId="0716BDBB" w14:textId="77777777" w:rsidR="0092542F" w:rsidRPr="00F6445C" w:rsidRDefault="0092542F" w:rsidP="00EE5A42">
      <w:pPr>
        <w:pStyle w:val="NormalWeb"/>
        <w:numPr>
          <w:ilvl w:val="0"/>
          <w:numId w:val="6"/>
        </w:numPr>
        <w:spacing w:line="360" w:lineRule="auto"/>
        <w:jc w:val="both"/>
      </w:pPr>
      <w:proofErr w:type="spellStart"/>
      <w:r w:rsidRPr="00F6445C">
        <w:t>Emenike</w:t>
      </w:r>
      <w:proofErr w:type="spellEnd"/>
      <w:r w:rsidRPr="00F6445C">
        <w:t xml:space="preserve">, K. O. (2021). Interdependence among West African stock markets: A dimension of regional financial integration. African Development Review, 33(2), 288–299. </w:t>
      </w:r>
      <w:hyperlink r:id="rId17" w:history="1">
        <w:r w:rsidRPr="00F6445C">
          <w:rPr>
            <w:rStyle w:val="Hyperlink"/>
          </w:rPr>
          <w:t>https://doi.org/10.1111/1467-8268.12575</w:t>
        </w:r>
      </w:hyperlink>
    </w:p>
    <w:p w14:paraId="0E796483" w14:textId="77777777" w:rsidR="0092542F" w:rsidRPr="00F6445C" w:rsidRDefault="0092542F" w:rsidP="00EE5A42">
      <w:pPr>
        <w:pStyle w:val="NormalWeb"/>
        <w:numPr>
          <w:ilvl w:val="0"/>
          <w:numId w:val="6"/>
        </w:numPr>
        <w:spacing w:line="360" w:lineRule="auto"/>
        <w:jc w:val="both"/>
      </w:pPr>
      <w:r w:rsidRPr="00F6445C">
        <w:t xml:space="preserve">Ghosh, I., and Chaudhuri, T. D. (2020). Wavelet decomposition approach for understanding time-varying relationship of financial sector variables: a study of the </w:t>
      </w:r>
      <w:proofErr w:type="spellStart"/>
      <w:r w:rsidRPr="00F6445C">
        <w:t>indian</w:t>
      </w:r>
      <w:proofErr w:type="spellEnd"/>
      <w:r w:rsidRPr="00F6445C">
        <w:t xml:space="preserve"> stock market. Multiple Criteria Decision Making, 15, 36–65. https://doi.org/10.22367/mcdm.2020.15.03</w:t>
      </w:r>
    </w:p>
    <w:p w14:paraId="6211A432" w14:textId="77777777" w:rsidR="0092542F" w:rsidRPr="00F6445C" w:rsidRDefault="0092542F" w:rsidP="00EE5A42">
      <w:pPr>
        <w:pStyle w:val="NormalWeb"/>
        <w:numPr>
          <w:ilvl w:val="0"/>
          <w:numId w:val="6"/>
        </w:numPr>
        <w:spacing w:line="360" w:lineRule="auto"/>
        <w:jc w:val="both"/>
      </w:pPr>
      <w:r w:rsidRPr="00F6445C">
        <w:t xml:space="preserve">Saini, H., and Sharma, D. D. (2025). Volatility </w:t>
      </w:r>
      <w:proofErr w:type="spellStart"/>
      <w:r w:rsidRPr="00F6445C">
        <w:t>Spillover</w:t>
      </w:r>
      <w:proofErr w:type="spellEnd"/>
      <w:r w:rsidRPr="00F6445C">
        <w:t xml:space="preserve"> Among Sectoral Indices of the Indian and US Stock Markets. International Journal of Management and Humanities, 11(9), 11–17. https://doi.org/10.35940/ijmh.g1801.11090525</w:t>
      </w:r>
    </w:p>
    <w:p w14:paraId="59D4EB41" w14:textId="77777777" w:rsidR="0092542F" w:rsidRPr="00F6445C" w:rsidRDefault="0092542F" w:rsidP="00EE5A42">
      <w:pPr>
        <w:pStyle w:val="NormalWeb"/>
        <w:numPr>
          <w:ilvl w:val="0"/>
          <w:numId w:val="6"/>
        </w:numPr>
        <w:spacing w:line="360" w:lineRule="auto"/>
        <w:jc w:val="both"/>
      </w:pPr>
      <w:r w:rsidRPr="00F6445C">
        <w:t>Chen, J.-H., Ko, C.-C., Wang, Y., and Francis, D. (2013). The Influence of Macroeconomic Factors and Banking Fragility on Offshore Banking Unit (OBU). Asia-Pacific Management Review, 18(4), 407–425. https://doi.org/10.6126/apmr.2013.18.4.04</w:t>
      </w:r>
    </w:p>
    <w:p w14:paraId="5851F554" w14:textId="77777777" w:rsidR="0092542F" w:rsidRPr="00F6445C" w:rsidRDefault="0092542F" w:rsidP="00EE5A42">
      <w:pPr>
        <w:pStyle w:val="NormalWeb"/>
        <w:numPr>
          <w:ilvl w:val="0"/>
          <w:numId w:val="6"/>
        </w:numPr>
        <w:spacing w:line="360" w:lineRule="auto"/>
        <w:jc w:val="both"/>
      </w:pPr>
      <w:r w:rsidRPr="00F6445C">
        <w:t>Takada, H., Ullah, A., and Chen, Y.-M. (1995). Estimation of the seemingly unrelated regression model when the error covariance matrix is singular. Journal of Applied Statistics, 22(4), 517–530. https://doi.org/10.1080/757584788</w:t>
      </w:r>
    </w:p>
    <w:p w14:paraId="5B3D73C0" w14:textId="77777777" w:rsidR="0092542F" w:rsidRPr="00F6445C" w:rsidRDefault="0092542F" w:rsidP="00EE5A42">
      <w:pPr>
        <w:pStyle w:val="NormalWeb"/>
        <w:numPr>
          <w:ilvl w:val="0"/>
          <w:numId w:val="6"/>
        </w:numPr>
        <w:spacing w:line="360" w:lineRule="auto"/>
        <w:jc w:val="both"/>
      </w:pPr>
      <w:r w:rsidRPr="00F6445C">
        <w:lastRenderedPageBreak/>
        <w:t>Agarwal, S. (2024). Volatility in the Equity Stock Market in India from 2019 to 2024: An Empirical Analysis. INTERANTIONAL JOURNAL OF SCIENTIFIC RESEARCH IN ENGINEERING AND MANAGEMENT, 08(008), 1–4. https://doi.org/10.55041/ijsrem37237</w:t>
      </w:r>
    </w:p>
    <w:p w14:paraId="5F8E7D97" w14:textId="77777777" w:rsidR="0092542F" w:rsidRPr="00F6445C" w:rsidRDefault="0092542F" w:rsidP="00EE5A42">
      <w:pPr>
        <w:pStyle w:val="NormalWeb"/>
        <w:numPr>
          <w:ilvl w:val="0"/>
          <w:numId w:val="6"/>
        </w:numPr>
        <w:spacing w:line="360" w:lineRule="auto"/>
        <w:jc w:val="both"/>
      </w:pPr>
      <w:r w:rsidRPr="00F6445C">
        <w:t xml:space="preserve">Lang, S., Adebayo, S. B., </w:t>
      </w:r>
      <w:proofErr w:type="spellStart"/>
      <w:r w:rsidRPr="00F6445C">
        <w:t>Fahrmeir</w:t>
      </w:r>
      <w:proofErr w:type="spellEnd"/>
      <w:r w:rsidRPr="00F6445C">
        <w:t xml:space="preserve">, L., and Steiner, W. J. (2003). Bayesian </w:t>
      </w:r>
      <w:proofErr w:type="spellStart"/>
      <w:r w:rsidRPr="00F6445C">
        <w:t>Geoadditive</w:t>
      </w:r>
      <w:proofErr w:type="spellEnd"/>
      <w:r w:rsidRPr="00F6445C">
        <w:t xml:space="preserve"> Seemingly Unrelated Regression. Computational Statistics, 18(2), 263–292. https://doi.org/10.1007/s001800300144</w:t>
      </w:r>
    </w:p>
    <w:p w14:paraId="7874F8D2" w14:textId="77777777" w:rsidR="0092542F" w:rsidRPr="00F6445C" w:rsidRDefault="0092542F" w:rsidP="00EE5A42">
      <w:pPr>
        <w:pStyle w:val="NormalWeb"/>
        <w:numPr>
          <w:ilvl w:val="0"/>
          <w:numId w:val="6"/>
        </w:numPr>
        <w:spacing w:line="360" w:lineRule="auto"/>
        <w:jc w:val="both"/>
      </w:pPr>
      <w:r w:rsidRPr="00F6445C">
        <w:t>Koop, G., Poirier, D. J., and Tobias, J. (2005). Semiparametric Bayesian inference in multiple equation models. Journal of Applied Econometrics, 20(6), 723–747. https://doi.org/10.1002/jae.810</w:t>
      </w:r>
    </w:p>
    <w:p w14:paraId="3A7A90DE" w14:textId="77777777" w:rsidR="0092542F" w:rsidRPr="00F6445C" w:rsidRDefault="0092542F" w:rsidP="00EE5A42">
      <w:pPr>
        <w:pStyle w:val="NormalWeb"/>
        <w:numPr>
          <w:ilvl w:val="0"/>
          <w:numId w:val="6"/>
        </w:numPr>
        <w:spacing w:line="360" w:lineRule="auto"/>
        <w:jc w:val="both"/>
      </w:pPr>
      <w:proofErr w:type="spellStart"/>
      <w:r w:rsidRPr="00F6445C">
        <w:t>Onwukwe</w:t>
      </w:r>
      <w:proofErr w:type="spellEnd"/>
      <w:r w:rsidRPr="00F6445C">
        <w:t xml:space="preserve">, E. K., and Ali, P. I. (2018). Weak Form Efficiency of the Insurance Industry: Empirical Evidence from Nigeria. </w:t>
      </w:r>
      <w:proofErr w:type="spellStart"/>
      <w:r w:rsidRPr="00F6445C">
        <w:t>Jurnal</w:t>
      </w:r>
      <w:proofErr w:type="spellEnd"/>
      <w:r w:rsidRPr="00F6445C">
        <w:t xml:space="preserve"> </w:t>
      </w:r>
      <w:proofErr w:type="spellStart"/>
      <w:r w:rsidRPr="00F6445C">
        <w:t>Keuangan</w:t>
      </w:r>
      <w:proofErr w:type="spellEnd"/>
      <w:r w:rsidRPr="00F6445C">
        <w:t xml:space="preserve"> Dan </w:t>
      </w:r>
      <w:proofErr w:type="spellStart"/>
      <w:r w:rsidRPr="00F6445C">
        <w:t>Perbankan</w:t>
      </w:r>
      <w:proofErr w:type="spellEnd"/>
      <w:r w:rsidRPr="00F6445C">
        <w:t>, 22(1). https://doi.org/10.26905/jkdp.v22i1.1800</w:t>
      </w:r>
    </w:p>
    <w:p w14:paraId="0B1462CD" w14:textId="77777777" w:rsidR="0092542F" w:rsidRPr="00F6445C" w:rsidRDefault="0092542F" w:rsidP="00EE5A42">
      <w:pPr>
        <w:pStyle w:val="NormalWeb"/>
        <w:numPr>
          <w:ilvl w:val="0"/>
          <w:numId w:val="6"/>
        </w:numPr>
        <w:spacing w:line="360" w:lineRule="auto"/>
        <w:jc w:val="both"/>
      </w:pPr>
      <w:r w:rsidRPr="00F6445C">
        <w:t xml:space="preserve">Srinivasan, P., and </w:t>
      </w:r>
      <w:proofErr w:type="spellStart"/>
      <w:r w:rsidRPr="00F6445C">
        <w:t>Murugadoss</w:t>
      </w:r>
      <w:proofErr w:type="spellEnd"/>
      <w:r w:rsidRPr="00F6445C">
        <w:t>, K. (2015). Relationship between Macroeconomic Variables and Stock Market Indices-Evidence from Bombay Stock Exchange. Asian Journal of Research in Business Economics and Management, 5(2), 23. https://doi.org/10.5958/2249-7307.2015.00027.4</w:t>
      </w:r>
    </w:p>
    <w:p w14:paraId="57314A62" w14:textId="77777777" w:rsidR="00346368" w:rsidRPr="00F6445C" w:rsidRDefault="00346368" w:rsidP="00EE5A42">
      <w:pPr>
        <w:pStyle w:val="NormalWeb"/>
        <w:spacing w:line="360" w:lineRule="auto"/>
        <w:ind w:left="720"/>
        <w:jc w:val="both"/>
        <w:rPr>
          <w:iCs/>
        </w:rPr>
      </w:pPr>
    </w:p>
    <w:sectPr w:rsidR="00346368" w:rsidRPr="00F6445C" w:rsidSect="00EE5A42">
      <w:headerReference w:type="even" r:id="rId18"/>
      <w:headerReference w:type="default" r:id="rId19"/>
      <w:footerReference w:type="even" r:id="rId20"/>
      <w:footerReference w:type="default" r:id="rId21"/>
      <w:headerReference w:type="first" r:id="rId22"/>
      <w:footerReference w:type="first" r:id="rId23"/>
      <w:pgSz w:w="12242" w:h="15842"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0033" w14:textId="77777777" w:rsidR="00C90297" w:rsidRDefault="00C90297" w:rsidP="00C5474A">
      <w:pPr>
        <w:spacing w:after="0" w:line="240" w:lineRule="auto"/>
      </w:pPr>
      <w:r>
        <w:separator/>
      </w:r>
    </w:p>
  </w:endnote>
  <w:endnote w:type="continuationSeparator" w:id="0">
    <w:p w14:paraId="4C9DB705" w14:textId="77777777" w:rsidR="00C90297" w:rsidRDefault="00C90297" w:rsidP="00C5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29EC" w14:textId="77777777" w:rsidR="00C5474A" w:rsidRDefault="00C5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AAC7" w14:textId="77777777" w:rsidR="00C5474A" w:rsidRDefault="00C54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CEBB" w14:textId="77777777" w:rsidR="00C5474A" w:rsidRDefault="00C5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92FF" w14:textId="77777777" w:rsidR="00C90297" w:rsidRDefault="00C90297" w:rsidP="00C5474A">
      <w:pPr>
        <w:spacing w:after="0" w:line="240" w:lineRule="auto"/>
      </w:pPr>
      <w:r>
        <w:separator/>
      </w:r>
    </w:p>
  </w:footnote>
  <w:footnote w:type="continuationSeparator" w:id="0">
    <w:p w14:paraId="61ABE967" w14:textId="77777777" w:rsidR="00C90297" w:rsidRDefault="00C90297" w:rsidP="00C5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B3C6" w14:textId="5F51FC59" w:rsidR="00C5474A" w:rsidRDefault="007C2AD5">
    <w:pPr>
      <w:pStyle w:val="Header"/>
    </w:pPr>
    <w:r>
      <w:rPr>
        <w:noProof/>
      </w:rPr>
      <w:pict w14:anchorId="41331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1" o:spid="_x0000_s2050"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1952" w14:textId="58BB587B" w:rsidR="00C5474A" w:rsidRDefault="007C2AD5">
    <w:pPr>
      <w:pStyle w:val="Header"/>
    </w:pPr>
    <w:r>
      <w:rPr>
        <w:noProof/>
      </w:rPr>
      <w:pict w14:anchorId="27CF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2" o:spid="_x0000_s2051"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A50D" w14:textId="6DD1BE27" w:rsidR="00C5474A" w:rsidRDefault="007C2AD5">
    <w:pPr>
      <w:pStyle w:val="Header"/>
    </w:pPr>
    <w:r>
      <w:rPr>
        <w:noProof/>
      </w:rPr>
      <w:pict w14:anchorId="04814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15500" o:spid="_x0000_s2049"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C5"/>
    <w:multiLevelType w:val="multilevel"/>
    <w:tmpl w:val="D5AE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2DE7"/>
    <w:multiLevelType w:val="multilevel"/>
    <w:tmpl w:val="72BC1BC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454B98"/>
    <w:multiLevelType w:val="hybridMultilevel"/>
    <w:tmpl w:val="1460206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7D457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3A42B8"/>
    <w:multiLevelType w:val="multilevel"/>
    <w:tmpl w:val="AB5E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43C24"/>
    <w:multiLevelType w:val="multilevel"/>
    <w:tmpl w:val="C7FA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07C46"/>
    <w:multiLevelType w:val="multilevel"/>
    <w:tmpl w:val="C82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67067"/>
    <w:multiLevelType w:val="hybridMultilevel"/>
    <w:tmpl w:val="2F3A3D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AB5264"/>
    <w:multiLevelType w:val="multilevel"/>
    <w:tmpl w:val="333028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4"/>
  </w:num>
  <w:num w:numId="3">
    <w:abstractNumId w:val="2"/>
  </w:num>
  <w:num w:numId="4">
    <w:abstractNumId w:val="1"/>
  </w:num>
  <w:num w:numId="5">
    <w:abstractNumId w:val="3"/>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NDSzMDAwNTM0NTBS0lEKTi0uzszPAykwrAUAlEWLqSwAAAA="/>
  </w:docVars>
  <w:rsids>
    <w:rsidRoot w:val="008453FF"/>
    <w:rsid w:val="0003674F"/>
    <w:rsid w:val="00055482"/>
    <w:rsid w:val="0007073B"/>
    <w:rsid w:val="00084CBB"/>
    <w:rsid w:val="00091F53"/>
    <w:rsid w:val="00097924"/>
    <w:rsid w:val="000B206F"/>
    <w:rsid w:val="000B6579"/>
    <w:rsid w:val="000E1551"/>
    <w:rsid w:val="000E5CE5"/>
    <w:rsid w:val="001203DC"/>
    <w:rsid w:val="0013614C"/>
    <w:rsid w:val="001511FF"/>
    <w:rsid w:val="00164155"/>
    <w:rsid w:val="00172575"/>
    <w:rsid w:val="002024CB"/>
    <w:rsid w:val="00206763"/>
    <w:rsid w:val="0020796B"/>
    <w:rsid w:val="00280EF0"/>
    <w:rsid w:val="00281F22"/>
    <w:rsid w:val="0029540E"/>
    <w:rsid w:val="002A5FD9"/>
    <w:rsid w:val="002B330C"/>
    <w:rsid w:val="002D21BB"/>
    <w:rsid w:val="002D7CB6"/>
    <w:rsid w:val="0031118D"/>
    <w:rsid w:val="00346368"/>
    <w:rsid w:val="003908B2"/>
    <w:rsid w:val="003B2ADC"/>
    <w:rsid w:val="003D1153"/>
    <w:rsid w:val="003D4ECB"/>
    <w:rsid w:val="004436D4"/>
    <w:rsid w:val="004709C7"/>
    <w:rsid w:val="004D168B"/>
    <w:rsid w:val="004E7683"/>
    <w:rsid w:val="00501317"/>
    <w:rsid w:val="00524F48"/>
    <w:rsid w:val="005377F1"/>
    <w:rsid w:val="0058196C"/>
    <w:rsid w:val="005874AF"/>
    <w:rsid w:val="005A59AF"/>
    <w:rsid w:val="005C045C"/>
    <w:rsid w:val="005E6F7A"/>
    <w:rsid w:val="00633B52"/>
    <w:rsid w:val="00636A47"/>
    <w:rsid w:val="00654150"/>
    <w:rsid w:val="0068156C"/>
    <w:rsid w:val="00694B28"/>
    <w:rsid w:val="006A33E9"/>
    <w:rsid w:val="0071304D"/>
    <w:rsid w:val="0073531B"/>
    <w:rsid w:val="00740273"/>
    <w:rsid w:val="007446F7"/>
    <w:rsid w:val="00746AD2"/>
    <w:rsid w:val="00752B3D"/>
    <w:rsid w:val="00762CF9"/>
    <w:rsid w:val="007A0E5E"/>
    <w:rsid w:val="007C2AD5"/>
    <w:rsid w:val="007C4AC0"/>
    <w:rsid w:val="008009D7"/>
    <w:rsid w:val="008125C5"/>
    <w:rsid w:val="008453FF"/>
    <w:rsid w:val="008830F1"/>
    <w:rsid w:val="008861BF"/>
    <w:rsid w:val="00893631"/>
    <w:rsid w:val="008A10A9"/>
    <w:rsid w:val="008A1228"/>
    <w:rsid w:val="008B5E7F"/>
    <w:rsid w:val="008C7091"/>
    <w:rsid w:val="008D61CF"/>
    <w:rsid w:val="008D7F52"/>
    <w:rsid w:val="008E00D5"/>
    <w:rsid w:val="00901137"/>
    <w:rsid w:val="0092542F"/>
    <w:rsid w:val="00937219"/>
    <w:rsid w:val="00940249"/>
    <w:rsid w:val="00956261"/>
    <w:rsid w:val="00974D51"/>
    <w:rsid w:val="009771AF"/>
    <w:rsid w:val="009A4EB2"/>
    <w:rsid w:val="00A06318"/>
    <w:rsid w:val="00A1450A"/>
    <w:rsid w:val="00A14833"/>
    <w:rsid w:val="00A274A0"/>
    <w:rsid w:val="00A421CE"/>
    <w:rsid w:val="00AC2761"/>
    <w:rsid w:val="00AD4126"/>
    <w:rsid w:val="00AD5302"/>
    <w:rsid w:val="00AD70EA"/>
    <w:rsid w:val="00B17C55"/>
    <w:rsid w:val="00B354F6"/>
    <w:rsid w:val="00B43F1A"/>
    <w:rsid w:val="00B64159"/>
    <w:rsid w:val="00B76052"/>
    <w:rsid w:val="00B967E3"/>
    <w:rsid w:val="00BA39C9"/>
    <w:rsid w:val="00BE26F1"/>
    <w:rsid w:val="00BE4402"/>
    <w:rsid w:val="00BF6B13"/>
    <w:rsid w:val="00C06B19"/>
    <w:rsid w:val="00C1662A"/>
    <w:rsid w:val="00C218B3"/>
    <w:rsid w:val="00C41017"/>
    <w:rsid w:val="00C5474A"/>
    <w:rsid w:val="00C80BE0"/>
    <w:rsid w:val="00C90297"/>
    <w:rsid w:val="00CA0FE0"/>
    <w:rsid w:val="00CC01F4"/>
    <w:rsid w:val="00CD6F25"/>
    <w:rsid w:val="00CF62B4"/>
    <w:rsid w:val="00D05979"/>
    <w:rsid w:val="00D5053D"/>
    <w:rsid w:val="00D6335F"/>
    <w:rsid w:val="00D64DFF"/>
    <w:rsid w:val="00D85714"/>
    <w:rsid w:val="00DB74B0"/>
    <w:rsid w:val="00DD2D10"/>
    <w:rsid w:val="00DF5007"/>
    <w:rsid w:val="00E20A25"/>
    <w:rsid w:val="00E31307"/>
    <w:rsid w:val="00E51CB4"/>
    <w:rsid w:val="00ED74FF"/>
    <w:rsid w:val="00EE5A42"/>
    <w:rsid w:val="00EE787D"/>
    <w:rsid w:val="00EF59C4"/>
    <w:rsid w:val="00EF7E1D"/>
    <w:rsid w:val="00F51FFA"/>
    <w:rsid w:val="00F6445C"/>
    <w:rsid w:val="00F81A7C"/>
    <w:rsid w:val="00F97859"/>
    <w:rsid w:val="00F97CED"/>
    <w:rsid w:val="00FC0A22"/>
    <w:rsid w:val="00FC37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F5F92"/>
  <w15:chartTrackingRefBased/>
  <w15:docId w15:val="{F8A4A540-124F-4D41-A26E-9F059DF3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3FF"/>
    <w:rPr>
      <w:rFonts w:eastAsiaTheme="majorEastAsia" w:cstheme="majorBidi"/>
      <w:color w:val="272727" w:themeColor="text1" w:themeTint="D8"/>
    </w:rPr>
  </w:style>
  <w:style w:type="paragraph" w:styleId="Title">
    <w:name w:val="Title"/>
    <w:basedOn w:val="Normal"/>
    <w:next w:val="Normal"/>
    <w:link w:val="TitleChar"/>
    <w:uiPriority w:val="10"/>
    <w:qFormat/>
    <w:rsid w:val="0084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3FF"/>
    <w:pPr>
      <w:spacing w:before="160"/>
      <w:jc w:val="center"/>
    </w:pPr>
    <w:rPr>
      <w:i/>
      <w:iCs/>
      <w:color w:val="404040" w:themeColor="text1" w:themeTint="BF"/>
    </w:rPr>
  </w:style>
  <w:style w:type="character" w:customStyle="1" w:styleId="QuoteChar">
    <w:name w:val="Quote Char"/>
    <w:basedOn w:val="DefaultParagraphFont"/>
    <w:link w:val="Quote"/>
    <w:uiPriority w:val="29"/>
    <w:rsid w:val="008453FF"/>
    <w:rPr>
      <w:i/>
      <w:iCs/>
      <w:color w:val="404040" w:themeColor="text1" w:themeTint="BF"/>
    </w:rPr>
  </w:style>
  <w:style w:type="paragraph" w:styleId="ListParagraph">
    <w:name w:val="List Paragraph"/>
    <w:basedOn w:val="Normal"/>
    <w:uiPriority w:val="34"/>
    <w:qFormat/>
    <w:rsid w:val="008453FF"/>
    <w:pPr>
      <w:ind w:left="720"/>
      <w:contextualSpacing/>
    </w:pPr>
  </w:style>
  <w:style w:type="character" w:styleId="IntenseEmphasis">
    <w:name w:val="Intense Emphasis"/>
    <w:basedOn w:val="DefaultParagraphFont"/>
    <w:uiPriority w:val="21"/>
    <w:qFormat/>
    <w:rsid w:val="008453FF"/>
    <w:rPr>
      <w:i/>
      <w:iCs/>
      <w:color w:val="2F5496" w:themeColor="accent1" w:themeShade="BF"/>
    </w:rPr>
  </w:style>
  <w:style w:type="paragraph" w:styleId="IntenseQuote">
    <w:name w:val="Intense Quote"/>
    <w:basedOn w:val="Normal"/>
    <w:next w:val="Normal"/>
    <w:link w:val="IntenseQuoteChar"/>
    <w:uiPriority w:val="30"/>
    <w:qFormat/>
    <w:rsid w:val="00845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3FF"/>
    <w:rPr>
      <w:i/>
      <w:iCs/>
      <w:color w:val="2F5496" w:themeColor="accent1" w:themeShade="BF"/>
    </w:rPr>
  </w:style>
  <w:style w:type="character" w:styleId="IntenseReference">
    <w:name w:val="Intense Reference"/>
    <w:basedOn w:val="DefaultParagraphFont"/>
    <w:uiPriority w:val="32"/>
    <w:qFormat/>
    <w:rsid w:val="008453FF"/>
    <w:rPr>
      <w:b/>
      <w:bCs/>
      <w:smallCaps/>
      <w:color w:val="2F5496" w:themeColor="accent1" w:themeShade="BF"/>
      <w:spacing w:val="5"/>
    </w:rPr>
  </w:style>
  <w:style w:type="paragraph" w:styleId="NormalWeb">
    <w:name w:val="Normal (Web)"/>
    <w:basedOn w:val="Normal"/>
    <w:uiPriority w:val="99"/>
    <w:unhideWhenUsed/>
    <w:rsid w:val="0034636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katex-mathml">
    <w:name w:val="katex-mathml"/>
    <w:basedOn w:val="DefaultParagraphFont"/>
    <w:rsid w:val="00346368"/>
  </w:style>
  <w:style w:type="character" w:customStyle="1" w:styleId="mord">
    <w:name w:val="mord"/>
    <w:basedOn w:val="DefaultParagraphFont"/>
    <w:rsid w:val="00346368"/>
  </w:style>
  <w:style w:type="character" w:styleId="Strong">
    <w:name w:val="Strong"/>
    <w:basedOn w:val="DefaultParagraphFont"/>
    <w:uiPriority w:val="22"/>
    <w:qFormat/>
    <w:rsid w:val="0020796B"/>
    <w:rPr>
      <w:b/>
      <w:bCs/>
    </w:rPr>
  </w:style>
  <w:style w:type="character" w:styleId="PlaceholderText">
    <w:name w:val="Placeholder Text"/>
    <w:basedOn w:val="DefaultParagraphFont"/>
    <w:uiPriority w:val="99"/>
    <w:semiHidden/>
    <w:rsid w:val="0068156C"/>
    <w:rPr>
      <w:color w:val="808080"/>
    </w:rPr>
  </w:style>
  <w:style w:type="table" w:styleId="TableGrid">
    <w:name w:val="Table Grid"/>
    <w:basedOn w:val="TableNormal"/>
    <w:uiPriority w:val="39"/>
    <w:rsid w:val="00D6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91F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91F53"/>
    <w:rPr>
      <w:rFonts w:ascii="Consolas" w:hAnsi="Consolas"/>
      <w:sz w:val="20"/>
      <w:szCs w:val="20"/>
    </w:rPr>
  </w:style>
  <w:style w:type="character" w:styleId="Hyperlink">
    <w:name w:val="Hyperlink"/>
    <w:basedOn w:val="DefaultParagraphFont"/>
    <w:uiPriority w:val="99"/>
    <w:unhideWhenUsed/>
    <w:rsid w:val="00BE4402"/>
    <w:rPr>
      <w:color w:val="0563C1" w:themeColor="hyperlink"/>
      <w:u w:val="single"/>
    </w:rPr>
  </w:style>
  <w:style w:type="paragraph" w:styleId="Header">
    <w:name w:val="header"/>
    <w:basedOn w:val="Normal"/>
    <w:link w:val="HeaderChar"/>
    <w:uiPriority w:val="99"/>
    <w:unhideWhenUsed/>
    <w:rsid w:val="00C54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74A"/>
  </w:style>
  <w:style w:type="paragraph" w:styleId="Footer">
    <w:name w:val="footer"/>
    <w:basedOn w:val="Normal"/>
    <w:link w:val="FooterChar"/>
    <w:uiPriority w:val="99"/>
    <w:unhideWhenUsed/>
    <w:rsid w:val="00C54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74A"/>
  </w:style>
  <w:style w:type="paragraph" w:styleId="NoSpacing">
    <w:name w:val="No Spacing"/>
    <w:uiPriority w:val="1"/>
    <w:qFormat/>
    <w:rsid w:val="00901137"/>
    <w:pPr>
      <w:spacing w:after="0" w:line="240" w:lineRule="auto"/>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2658">
      <w:bodyDiv w:val="1"/>
      <w:marLeft w:val="0"/>
      <w:marRight w:val="0"/>
      <w:marTop w:val="0"/>
      <w:marBottom w:val="0"/>
      <w:divBdr>
        <w:top w:val="none" w:sz="0" w:space="0" w:color="auto"/>
        <w:left w:val="none" w:sz="0" w:space="0" w:color="auto"/>
        <w:bottom w:val="none" w:sz="0" w:space="0" w:color="auto"/>
        <w:right w:val="none" w:sz="0" w:space="0" w:color="auto"/>
      </w:divBdr>
    </w:div>
    <w:div w:id="109593248">
      <w:bodyDiv w:val="1"/>
      <w:marLeft w:val="0"/>
      <w:marRight w:val="0"/>
      <w:marTop w:val="0"/>
      <w:marBottom w:val="0"/>
      <w:divBdr>
        <w:top w:val="none" w:sz="0" w:space="0" w:color="auto"/>
        <w:left w:val="none" w:sz="0" w:space="0" w:color="auto"/>
        <w:bottom w:val="none" w:sz="0" w:space="0" w:color="auto"/>
        <w:right w:val="none" w:sz="0" w:space="0" w:color="auto"/>
      </w:divBdr>
    </w:div>
    <w:div w:id="129327840">
      <w:bodyDiv w:val="1"/>
      <w:marLeft w:val="0"/>
      <w:marRight w:val="0"/>
      <w:marTop w:val="0"/>
      <w:marBottom w:val="0"/>
      <w:divBdr>
        <w:top w:val="none" w:sz="0" w:space="0" w:color="auto"/>
        <w:left w:val="none" w:sz="0" w:space="0" w:color="auto"/>
        <w:bottom w:val="none" w:sz="0" w:space="0" w:color="auto"/>
        <w:right w:val="none" w:sz="0" w:space="0" w:color="auto"/>
      </w:divBdr>
    </w:div>
    <w:div w:id="151333414">
      <w:bodyDiv w:val="1"/>
      <w:marLeft w:val="0"/>
      <w:marRight w:val="0"/>
      <w:marTop w:val="0"/>
      <w:marBottom w:val="0"/>
      <w:divBdr>
        <w:top w:val="none" w:sz="0" w:space="0" w:color="auto"/>
        <w:left w:val="none" w:sz="0" w:space="0" w:color="auto"/>
        <w:bottom w:val="none" w:sz="0" w:space="0" w:color="auto"/>
        <w:right w:val="none" w:sz="0" w:space="0" w:color="auto"/>
      </w:divBdr>
    </w:div>
    <w:div w:id="170607792">
      <w:bodyDiv w:val="1"/>
      <w:marLeft w:val="0"/>
      <w:marRight w:val="0"/>
      <w:marTop w:val="0"/>
      <w:marBottom w:val="0"/>
      <w:divBdr>
        <w:top w:val="none" w:sz="0" w:space="0" w:color="auto"/>
        <w:left w:val="none" w:sz="0" w:space="0" w:color="auto"/>
        <w:bottom w:val="none" w:sz="0" w:space="0" w:color="auto"/>
        <w:right w:val="none" w:sz="0" w:space="0" w:color="auto"/>
      </w:divBdr>
      <w:divsChild>
        <w:div w:id="950746437">
          <w:marLeft w:val="0"/>
          <w:marRight w:val="0"/>
          <w:marTop w:val="0"/>
          <w:marBottom w:val="0"/>
          <w:divBdr>
            <w:top w:val="none" w:sz="0" w:space="0" w:color="auto"/>
            <w:left w:val="none" w:sz="0" w:space="0" w:color="auto"/>
            <w:bottom w:val="none" w:sz="0" w:space="0" w:color="auto"/>
            <w:right w:val="none" w:sz="0" w:space="0" w:color="auto"/>
          </w:divBdr>
          <w:divsChild>
            <w:div w:id="14902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5655">
      <w:bodyDiv w:val="1"/>
      <w:marLeft w:val="0"/>
      <w:marRight w:val="0"/>
      <w:marTop w:val="0"/>
      <w:marBottom w:val="0"/>
      <w:divBdr>
        <w:top w:val="none" w:sz="0" w:space="0" w:color="auto"/>
        <w:left w:val="none" w:sz="0" w:space="0" w:color="auto"/>
        <w:bottom w:val="none" w:sz="0" w:space="0" w:color="auto"/>
        <w:right w:val="none" w:sz="0" w:space="0" w:color="auto"/>
      </w:divBdr>
    </w:div>
    <w:div w:id="236400953">
      <w:bodyDiv w:val="1"/>
      <w:marLeft w:val="0"/>
      <w:marRight w:val="0"/>
      <w:marTop w:val="0"/>
      <w:marBottom w:val="0"/>
      <w:divBdr>
        <w:top w:val="none" w:sz="0" w:space="0" w:color="auto"/>
        <w:left w:val="none" w:sz="0" w:space="0" w:color="auto"/>
        <w:bottom w:val="none" w:sz="0" w:space="0" w:color="auto"/>
        <w:right w:val="none" w:sz="0" w:space="0" w:color="auto"/>
      </w:divBdr>
    </w:div>
    <w:div w:id="243033022">
      <w:bodyDiv w:val="1"/>
      <w:marLeft w:val="0"/>
      <w:marRight w:val="0"/>
      <w:marTop w:val="0"/>
      <w:marBottom w:val="0"/>
      <w:divBdr>
        <w:top w:val="none" w:sz="0" w:space="0" w:color="auto"/>
        <w:left w:val="none" w:sz="0" w:space="0" w:color="auto"/>
        <w:bottom w:val="none" w:sz="0" w:space="0" w:color="auto"/>
        <w:right w:val="none" w:sz="0" w:space="0" w:color="auto"/>
      </w:divBdr>
    </w:div>
    <w:div w:id="252473638">
      <w:bodyDiv w:val="1"/>
      <w:marLeft w:val="0"/>
      <w:marRight w:val="0"/>
      <w:marTop w:val="0"/>
      <w:marBottom w:val="0"/>
      <w:divBdr>
        <w:top w:val="none" w:sz="0" w:space="0" w:color="auto"/>
        <w:left w:val="none" w:sz="0" w:space="0" w:color="auto"/>
        <w:bottom w:val="none" w:sz="0" w:space="0" w:color="auto"/>
        <w:right w:val="none" w:sz="0" w:space="0" w:color="auto"/>
      </w:divBdr>
    </w:div>
    <w:div w:id="308632223">
      <w:bodyDiv w:val="1"/>
      <w:marLeft w:val="0"/>
      <w:marRight w:val="0"/>
      <w:marTop w:val="0"/>
      <w:marBottom w:val="0"/>
      <w:divBdr>
        <w:top w:val="none" w:sz="0" w:space="0" w:color="auto"/>
        <w:left w:val="none" w:sz="0" w:space="0" w:color="auto"/>
        <w:bottom w:val="none" w:sz="0" w:space="0" w:color="auto"/>
        <w:right w:val="none" w:sz="0" w:space="0" w:color="auto"/>
      </w:divBdr>
    </w:div>
    <w:div w:id="310866775">
      <w:bodyDiv w:val="1"/>
      <w:marLeft w:val="0"/>
      <w:marRight w:val="0"/>
      <w:marTop w:val="0"/>
      <w:marBottom w:val="0"/>
      <w:divBdr>
        <w:top w:val="none" w:sz="0" w:space="0" w:color="auto"/>
        <w:left w:val="none" w:sz="0" w:space="0" w:color="auto"/>
        <w:bottom w:val="none" w:sz="0" w:space="0" w:color="auto"/>
        <w:right w:val="none" w:sz="0" w:space="0" w:color="auto"/>
      </w:divBdr>
    </w:div>
    <w:div w:id="312417431">
      <w:bodyDiv w:val="1"/>
      <w:marLeft w:val="0"/>
      <w:marRight w:val="0"/>
      <w:marTop w:val="0"/>
      <w:marBottom w:val="0"/>
      <w:divBdr>
        <w:top w:val="none" w:sz="0" w:space="0" w:color="auto"/>
        <w:left w:val="none" w:sz="0" w:space="0" w:color="auto"/>
        <w:bottom w:val="none" w:sz="0" w:space="0" w:color="auto"/>
        <w:right w:val="none" w:sz="0" w:space="0" w:color="auto"/>
      </w:divBdr>
    </w:div>
    <w:div w:id="319507712">
      <w:bodyDiv w:val="1"/>
      <w:marLeft w:val="0"/>
      <w:marRight w:val="0"/>
      <w:marTop w:val="0"/>
      <w:marBottom w:val="0"/>
      <w:divBdr>
        <w:top w:val="none" w:sz="0" w:space="0" w:color="auto"/>
        <w:left w:val="none" w:sz="0" w:space="0" w:color="auto"/>
        <w:bottom w:val="none" w:sz="0" w:space="0" w:color="auto"/>
        <w:right w:val="none" w:sz="0" w:space="0" w:color="auto"/>
      </w:divBdr>
    </w:div>
    <w:div w:id="331839747">
      <w:bodyDiv w:val="1"/>
      <w:marLeft w:val="0"/>
      <w:marRight w:val="0"/>
      <w:marTop w:val="0"/>
      <w:marBottom w:val="0"/>
      <w:divBdr>
        <w:top w:val="none" w:sz="0" w:space="0" w:color="auto"/>
        <w:left w:val="none" w:sz="0" w:space="0" w:color="auto"/>
        <w:bottom w:val="none" w:sz="0" w:space="0" w:color="auto"/>
        <w:right w:val="none" w:sz="0" w:space="0" w:color="auto"/>
      </w:divBdr>
    </w:div>
    <w:div w:id="367873082">
      <w:bodyDiv w:val="1"/>
      <w:marLeft w:val="0"/>
      <w:marRight w:val="0"/>
      <w:marTop w:val="0"/>
      <w:marBottom w:val="0"/>
      <w:divBdr>
        <w:top w:val="none" w:sz="0" w:space="0" w:color="auto"/>
        <w:left w:val="none" w:sz="0" w:space="0" w:color="auto"/>
        <w:bottom w:val="none" w:sz="0" w:space="0" w:color="auto"/>
        <w:right w:val="none" w:sz="0" w:space="0" w:color="auto"/>
      </w:divBdr>
    </w:div>
    <w:div w:id="380326780">
      <w:bodyDiv w:val="1"/>
      <w:marLeft w:val="0"/>
      <w:marRight w:val="0"/>
      <w:marTop w:val="0"/>
      <w:marBottom w:val="0"/>
      <w:divBdr>
        <w:top w:val="none" w:sz="0" w:space="0" w:color="auto"/>
        <w:left w:val="none" w:sz="0" w:space="0" w:color="auto"/>
        <w:bottom w:val="none" w:sz="0" w:space="0" w:color="auto"/>
        <w:right w:val="none" w:sz="0" w:space="0" w:color="auto"/>
      </w:divBdr>
    </w:div>
    <w:div w:id="399790567">
      <w:bodyDiv w:val="1"/>
      <w:marLeft w:val="0"/>
      <w:marRight w:val="0"/>
      <w:marTop w:val="0"/>
      <w:marBottom w:val="0"/>
      <w:divBdr>
        <w:top w:val="none" w:sz="0" w:space="0" w:color="auto"/>
        <w:left w:val="none" w:sz="0" w:space="0" w:color="auto"/>
        <w:bottom w:val="none" w:sz="0" w:space="0" w:color="auto"/>
        <w:right w:val="none" w:sz="0" w:space="0" w:color="auto"/>
      </w:divBdr>
    </w:div>
    <w:div w:id="440806236">
      <w:bodyDiv w:val="1"/>
      <w:marLeft w:val="0"/>
      <w:marRight w:val="0"/>
      <w:marTop w:val="0"/>
      <w:marBottom w:val="0"/>
      <w:divBdr>
        <w:top w:val="none" w:sz="0" w:space="0" w:color="auto"/>
        <w:left w:val="none" w:sz="0" w:space="0" w:color="auto"/>
        <w:bottom w:val="none" w:sz="0" w:space="0" w:color="auto"/>
        <w:right w:val="none" w:sz="0" w:space="0" w:color="auto"/>
      </w:divBdr>
    </w:div>
    <w:div w:id="498161192">
      <w:bodyDiv w:val="1"/>
      <w:marLeft w:val="0"/>
      <w:marRight w:val="0"/>
      <w:marTop w:val="0"/>
      <w:marBottom w:val="0"/>
      <w:divBdr>
        <w:top w:val="none" w:sz="0" w:space="0" w:color="auto"/>
        <w:left w:val="none" w:sz="0" w:space="0" w:color="auto"/>
        <w:bottom w:val="none" w:sz="0" w:space="0" w:color="auto"/>
        <w:right w:val="none" w:sz="0" w:space="0" w:color="auto"/>
      </w:divBdr>
    </w:div>
    <w:div w:id="531575859">
      <w:bodyDiv w:val="1"/>
      <w:marLeft w:val="0"/>
      <w:marRight w:val="0"/>
      <w:marTop w:val="0"/>
      <w:marBottom w:val="0"/>
      <w:divBdr>
        <w:top w:val="none" w:sz="0" w:space="0" w:color="auto"/>
        <w:left w:val="none" w:sz="0" w:space="0" w:color="auto"/>
        <w:bottom w:val="none" w:sz="0" w:space="0" w:color="auto"/>
        <w:right w:val="none" w:sz="0" w:space="0" w:color="auto"/>
      </w:divBdr>
    </w:div>
    <w:div w:id="574822850">
      <w:bodyDiv w:val="1"/>
      <w:marLeft w:val="0"/>
      <w:marRight w:val="0"/>
      <w:marTop w:val="0"/>
      <w:marBottom w:val="0"/>
      <w:divBdr>
        <w:top w:val="none" w:sz="0" w:space="0" w:color="auto"/>
        <w:left w:val="none" w:sz="0" w:space="0" w:color="auto"/>
        <w:bottom w:val="none" w:sz="0" w:space="0" w:color="auto"/>
        <w:right w:val="none" w:sz="0" w:space="0" w:color="auto"/>
      </w:divBdr>
    </w:div>
    <w:div w:id="650523601">
      <w:bodyDiv w:val="1"/>
      <w:marLeft w:val="0"/>
      <w:marRight w:val="0"/>
      <w:marTop w:val="0"/>
      <w:marBottom w:val="0"/>
      <w:divBdr>
        <w:top w:val="none" w:sz="0" w:space="0" w:color="auto"/>
        <w:left w:val="none" w:sz="0" w:space="0" w:color="auto"/>
        <w:bottom w:val="none" w:sz="0" w:space="0" w:color="auto"/>
        <w:right w:val="none" w:sz="0" w:space="0" w:color="auto"/>
      </w:divBdr>
    </w:div>
    <w:div w:id="797718663">
      <w:bodyDiv w:val="1"/>
      <w:marLeft w:val="0"/>
      <w:marRight w:val="0"/>
      <w:marTop w:val="0"/>
      <w:marBottom w:val="0"/>
      <w:divBdr>
        <w:top w:val="none" w:sz="0" w:space="0" w:color="auto"/>
        <w:left w:val="none" w:sz="0" w:space="0" w:color="auto"/>
        <w:bottom w:val="none" w:sz="0" w:space="0" w:color="auto"/>
        <w:right w:val="none" w:sz="0" w:space="0" w:color="auto"/>
      </w:divBdr>
    </w:div>
    <w:div w:id="815222452">
      <w:bodyDiv w:val="1"/>
      <w:marLeft w:val="0"/>
      <w:marRight w:val="0"/>
      <w:marTop w:val="0"/>
      <w:marBottom w:val="0"/>
      <w:divBdr>
        <w:top w:val="none" w:sz="0" w:space="0" w:color="auto"/>
        <w:left w:val="none" w:sz="0" w:space="0" w:color="auto"/>
        <w:bottom w:val="none" w:sz="0" w:space="0" w:color="auto"/>
        <w:right w:val="none" w:sz="0" w:space="0" w:color="auto"/>
      </w:divBdr>
    </w:div>
    <w:div w:id="843862689">
      <w:bodyDiv w:val="1"/>
      <w:marLeft w:val="0"/>
      <w:marRight w:val="0"/>
      <w:marTop w:val="0"/>
      <w:marBottom w:val="0"/>
      <w:divBdr>
        <w:top w:val="none" w:sz="0" w:space="0" w:color="auto"/>
        <w:left w:val="none" w:sz="0" w:space="0" w:color="auto"/>
        <w:bottom w:val="none" w:sz="0" w:space="0" w:color="auto"/>
        <w:right w:val="none" w:sz="0" w:space="0" w:color="auto"/>
      </w:divBdr>
    </w:div>
    <w:div w:id="856967355">
      <w:bodyDiv w:val="1"/>
      <w:marLeft w:val="0"/>
      <w:marRight w:val="0"/>
      <w:marTop w:val="0"/>
      <w:marBottom w:val="0"/>
      <w:divBdr>
        <w:top w:val="none" w:sz="0" w:space="0" w:color="auto"/>
        <w:left w:val="none" w:sz="0" w:space="0" w:color="auto"/>
        <w:bottom w:val="none" w:sz="0" w:space="0" w:color="auto"/>
        <w:right w:val="none" w:sz="0" w:space="0" w:color="auto"/>
      </w:divBdr>
    </w:div>
    <w:div w:id="945187137">
      <w:bodyDiv w:val="1"/>
      <w:marLeft w:val="0"/>
      <w:marRight w:val="0"/>
      <w:marTop w:val="0"/>
      <w:marBottom w:val="0"/>
      <w:divBdr>
        <w:top w:val="none" w:sz="0" w:space="0" w:color="auto"/>
        <w:left w:val="none" w:sz="0" w:space="0" w:color="auto"/>
        <w:bottom w:val="none" w:sz="0" w:space="0" w:color="auto"/>
        <w:right w:val="none" w:sz="0" w:space="0" w:color="auto"/>
      </w:divBdr>
    </w:div>
    <w:div w:id="982857445">
      <w:bodyDiv w:val="1"/>
      <w:marLeft w:val="0"/>
      <w:marRight w:val="0"/>
      <w:marTop w:val="0"/>
      <w:marBottom w:val="0"/>
      <w:divBdr>
        <w:top w:val="none" w:sz="0" w:space="0" w:color="auto"/>
        <w:left w:val="none" w:sz="0" w:space="0" w:color="auto"/>
        <w:bottom w:val="none" w:sz="0" w:space="0" w:color="auto"/>
        <w:right w:val="none" w:sz="0" w:space="0" w:color="auto"/>
      </w:divBdr>
    </w:div>
    <w:div w:id="1006446819">
      <w:bodyDiv w:val="1"/>
      <w:marLeft w:val="0"/>
      <w:marRight w:val="0"/>
      <w:marTop w:val="0"/>
      <w:marBottom w:val="0"/>
      <w:divBdr>
        <w:top w:val="none" w:sz="0" w:space="0" w:color="auto"/>
        <w:left w:val="none" w:sz="0" w:space="0" w:color="auto"/>
        <w:bottom w:val="none" w:sz="0" w:space="0" w:color="auto"/>
        <w:right w:val="none" w:sz="0" w:space="0" w:color="auto"/>
      </w:divBdr>
    </w:div>
    <w:div w:id="1006635735">
      <w:bodyDiv w:val="1"/>
      <w:marLeft w:val="0"/>
      <w:marRight w:val="0"/>
      <w:marTop w:val="0"/>
      <w:marBottom w:val="0"/>
      <w:divBdr>
        <w:top w:val="none" w:sz="0" w:space="0" w:color="auto"/>
        <w:left w:val="none" w:sz="0" w:space="0" w:color="auto"/>
        <w:bottom w:val="none" w:sz="0" w:space="0" w:color="auto"/>
        <w:right w:val="none" w:sz="0" w:space="0" w:color="auto"/>
      </w:divBdr>
    </w:div>
    <w:div w:id="1044907176">
      <w:bodyDiv w:val="1"/>
      <w:marLeft w:val="0"/>
      <w:marRight w:val="0"/>
      <w:marTop w:val="0"/>
      <w:marBottom w:val="0"/>
      <w:divBdr>
        <w:top w:val="none" w:sz="0" w:space="0" w:color="auto"/>
        <w:left w:val="none" w:sz="0" w:space="0" w:color="auto"/>
        <w:bottom w:val="none" w:sz="0" w:space="0" w:color="auto"/>
        <w:right w:val="none" w:sz="0" w:space="0" w:color="auto"/>
      </w:divBdr>
    </w:div>
    <w:div w:id="1079911678">
      <w:bodyDiv w:val="1"/>
      <w:marLeft w:val="0"/>
      <w:marRight w:val="0"/>
      <w:marTop w:val="0"/>
      <w:marBottom w:val="0"/>
      <w:divBdr>
        <w:top w:val="none" w:sz="0" w:space="0" w:color="auto"/>
        <w:left w:val="none" w:sz="0" w:space="0" w:color="auto"/>
        <w:bottom w:val="none" w:sz="0" w:space="0" w:color="auto"/>
        <w:right w:val="none" w:sz="0" w:space="0" w:color="auto"/>
      </w:divBdr>
    </w:div>
    <w:div w:id="1131678069">
      <w:bodyDiv w:val="1"/>
      <w:marLeft w:val="0"/>
      <w:marRight w:val="0"/>
      <w:marTop w:val="0"/>
      <w:marBottom w:val="0"/>
      <w:divBdr>
        <w:top w:val="none" w:sz="0" w:space="0" w:color="auto"/>
        <w:left w:val="none" w:sz="0" w:space="0" w:color="auto"/>
        <w:bottom w:val="none" w:sz="0" w:space="0" w:color="auto"/>
        <w:right w:val="none" w:sz="0" w:space="0" w:color="auto"/>
      </w:divBdr>
    </w:div>
    <w:div w:id="1154106348">
      <w:bodyDiv w:val="1"/>
      <w:marLeft w:val="0"/>
      <w:marRight w:val="0"/>
      <w:marTop w:val="0"/>
      <w:marBottom w:val="0"/>
      <w:divBdr>
        <w:top w:val="none" w:sz="0" w:space="0" w:color="auto"/>
        <w:left w:val="none" w:sz="0" w:space="0" w:color="auto"/>
        <w:bottom w:val="none" w:sz="0" w:space="0" w:color="auto"/>
        <w:right w:val="none" w:sz="0" w:space="0" w:color="auto"/>
      </w:divBdr>
    </w:div>
    <w:div w:id="1162239754">
      <w:bodyDiv w:val="1"/>
      <w:marLeft w:val="0"/>
      <w:marRight w:val="0"/>
      <w:marTop w:val="0"/>
      <w:marBottom w:val="0"/>
      <w:divBdr>
        <w:top w:val="none" w:sz="0" w:space="0" w:color="auto"/>
        <w:left w:val="none" w:sz="0" w:space="0" w:color="auto"/>
        <w:bottom w:val="none" w:sz="0" w:space="0" w:color="auto"/>
        <w:right w:val="none" w:sz="0" w:space="0" w:color="auto"/>
      </w:divBdr>
    </w:div>
    <w:div w:id="1196773252">
      <w:bodyDiv w:val="1"/>
      <w:marLeft w:val="0"/>
      <w:marRight w:val="0"/>
      <w:marTop w:val="0"/>
      <w:marBottom w:val="0"/>
      <w:divBdr>
        <w:top w:val="none" w:sz="0" w:space="0" w:color="auto"/>
        <w:left w:val="none" w:sz="0" w:space="0" w:color="auto"/>
        <w:bottom w:val="none" w:sz="0" w:space="0" w:color="auto"/>
        <w:right w:val="none" w:sz="0" w:space="0" w:color="auto"/>
      </w:divBdr>
    </w:div>
    <w:div w:id="1244997811">
      <w:bodyDiv w:val="1"/>
      <w:marLeft w:val="0"/>
      <w:marRight w:val="0"/>
      <w:marTop w:val="0"/>
      <w:marBottom w:val="0"/>
      <w:divBdr>
        <w:top w:val="none" w:sz="0" w:space="0" w:color="auto"/>
        <w:left w:val="none" w:sz="0" w:space="0" w:color="auto"/>
        <w:bottom w:val="none" w:sz="0" w:space="0" w:color="auto"/>
        <w:right w:val="none" w:sz="0" w:space="0" w:color="auto"/>
      </w:divBdr>
    </w:div>
    <w:div w:id="1293681165">
      <w:bodyDiv w:val="1"/>
      <w:marLeft w:val="0"/>
      <w:marRight w:val="0"/>
      <w:marTop w:val="0"/>
      <w:marBottom w:val="0"/>
      <w:divBdr>
        <w:top w:val="none" w:sz="0" w:space="0" w:color="auto"/>
        <w:left w:val="none" w:sz="0" w:space="0" w:color="auto"/>
        <w:bottom w:val="none" w:sz="0" w:space="0" w:color="auto"/>
        <w:right w:val="none" w:sz="0" w:space="0" w:color="auto"/>
      </w:divBdr>
    </w:div>
    <w:div w:id="1302346463">
      <w:bodyDiv w:val="1"/>
      <w:marLeft w:val="0"/>
      <w:marRight w:val="0"/>
      <w:marTop w:val="0"/>
      <w:marBottom w:val="0"/>
      <w:divBdr>
        <w:top w:val="none" w:sz="0" w:space="0" w:color="auto"/>
        <w:left w:val="none" w:sz="0" w:space="0" w:color="auto"/>
        <w:bottom w:val="none" w:sz="0" w:space="0" w:color="auto"/>
        <w:right w:val="none" w:sz="0" w:space="0" w:color="auto"/>
      </w:divBdr>
    </w:div>
    <w:div w:id="1409840271">
      <w:bodyDiv w:val="1"/>
      <w:marLeft w:val="0"/>
      <w:marRight w:val="0"/>
      <w:marTop w:val="0"/>
      <w:marBottom w:val="0"/>
      <w:divBdr>
        <w:top w:val="none" w:sz="0" w:space="0" w:color="auto"/>
        <w:left w:val="none" w:sz="0" w:space="0" w:color="auto"/>
        <w:bottom w:val="none" w:sz="0" w:space="0" w:color="auto"/>
        <w:right w:val="none" w:sz="0" w:space="0" w:color="auto"/>
      </w:divBdr>
    </w:div>
    <w:div w:id="1458179635">
      <w:bodyDiv w:val="1"/>
      <w:marLeft w:val="0"/>
      <w:marRight w:val="0"/>
      <w:marTop w:val="0"/>
      <w:marBottom w:val="0"/>
      <w:divBdr>
        <w:top w:val="none" w:sz="0" w:space="0" w:color="auto"/>
        <w:left w:val="none" w:sz="0" w:space="0" w:color="auto"/>
        <w:bottom w:val="none" w:sz="0" w:space="0" w:color="auto"/>
        <w:right w:val="none" w:sz="0" w:space="0" w:color="auto"/>
      </w:divBdr>
    </w:div>
    <w:div w:id="1464888099">
      <w:bodyDiv w:val="1"/>
      <w:marLeft w:val="0"/>
      <w:marRight w:val="0"/>
      <w:marTop w:val="0"/>
      <w:marBottom w:val="0"/>
      <w:divBdr>
        <w:top w:val="none" w:sz="0" w:space="0" w:color="auto"/>
        <w:left w:val="none" w:sz="0" w:space="0" w:color="auto"/>
        <w:bottom w:val="none" w:sz="0" w:space="0" w:color="auto"/>
        <w:right w:val="none" w:sz="0" w:space="0" w:color="auto"/>
      </w:divBdr>
    </w:div>
    <w:div w:id="1513258746">
      <w:bodyDiv w:val="1"/>
      <w:marLeft w:val="0"/>
      <w:marRight w:val="0"/>
      <w:marTop w:val="0"/>
      <w:marBottom w:val="0"/>
      <w:divBdr>
        <w:top w:val="none" w:sz="0" w:space="0" w:color="auto"/>
        <w:left w:val="none" w:sz="0" w:space="0" w:color="auto"/>
        <w:bottom w:val="none" w:sz="0" w:space="0" w:color="auto"/>
        <w:right w:val="none" w:sz="0" w:space="0" w:color="auto"/>
      </w:divBdr>
    </w:div>
    <w:div w:id="1571233805">
      <w:bodyDiv w:val="1"/>
      <w:marLeft w:val="0"/>
      <w:marRight w:val="0"/>
      <w:marTop w:val="0"/>
      <w:marBottom w:val="0"/>
      <w:divBdr>
        <w:top w:val="none" w:sz="0" w:space="0" w:color="auto"/>
        <w:left w:val="none" w:sz="0" w:space="0" w:color="auto"/>
        <w:bottom w:val="none" w:sz="0" w:space="0" w:color="auto"/>
        <w:right w:val="none" w:sz="0" w:space="0" w:color="auto"/>
      </w:divBdr>
    </w:div>
    <w:div w:id="1584753804">
      <w:bodyDiv w:val="1"/>
      <w:marLeft w:val="0"/>
      <w:marRight w:val="0"/>
      <w:marTop w:val="0"/>
      <w:marBottom w:val="0"/>
      <w:divBdr>
        <w:top w:val="none" w:sz="0" w:space="0" w:color="auto"/>
        <w:left w:val="none" w:sz="0" w:space="0" w:color="auto"/>
        <w:bottom w:val="none" w:sz="0" w:space="0" w:color="auto"/>
        <w:right w:val="none" w:sz="0" w:space="0" w:color="auto"/>
      </w:divBdr>
    </w:div>
    <w:div w:id="1623464108">
      <w:bodyDiv w:val="1"/>
      <w:marLeft w:val="0"/>
      <w:marRight w:val="0"/>
      <w:marTop w:val="0"/>
      <w:marBottom w:val="0"/>
      <w:divBdr>
        <w:top w:val="none" w:sz="0" w:space="0" w:color="auto"/>
        <w:left w:val="none" w:sz="0" w:space="0" w:color="auto"/>
        <w:bottom w:val="none" w:sz="0" w:space="0" w:color="auto"/>
        <w:right w:val="none" w:sz="0" w:space="0" w:color="auto"/>
      </w:divBdr>
    </w:div>
    <w:div w:id="1636792256">
      <w:bodyDiv w:val="1"/>
      <w:marLeft w:val="0"/>
      <w:marRight w:val="0"/>
      <w:marTop w:val="0"/>
      <w:marBottom w:val="0"/>
      <w:divBdr>
        <w:top w:val="none" w:sz="0" w:space="0" w:color="auto"/>
        <w:left w:val="none" w:sz="0" w:space="0" w:color="auto"/>
        <w:bottom w:val="none" w:sz="0" w:space="0" w:color="auto"/>
        <w:right w:val="none" w:sz="0" w:space="0" w:color="auto"/>
      </w:divBdr>
    </w:div>
    <w:div w:id="1659189277">
      <w:bodyDiv w:val="1"/>
      <w:marLeft w:val="0"/>
      <w:marRight w:val="0"/>
      <w:marTop w:val="0"/>
      <w:marBottom w:val="0"/>
      <w:divBdr>
        <w:top w:val="none" w:sz="0" w:space="0" w:color="auto"/>
        <w:left w:val="none" w:sz="0" w:space="0" w:color="auto"/>
        <w:bottom w:val="none" w:sz="0" w:space="0" w:color="auto"/>
        <w:right w:val="none" w:sz="0" w:space="0" w:color="auto"/>
      </w:divBdr>
      <w:divsChild>
        <w:div w:id="1793093374">
          <w:marLeft w:val="0"/>
          <w:marRight w:val="0"/>
          <w:marTop w:val="0"/>
          <w:marBottom w:val="0"/>
          <w:divBdr>
            <w:top w:val="none" w:sz="0" w:space="0" w:color="auto"/>
            <w:left w:val="none" w:sz="0" w:space="0" w:color="auto"/>
            <w:bottom w:val="none" w:sz="0" w:space="0" w:color="auto"/>
            <w:right w:val="none" w:sz="0" w:space="0" w:color="auto"/>
          </w:divBdr>
        </w:div>
        <w:div w:id="1084839591">
          <w:marLeft w:val="0"/>
          <w:marRight w:val="0"/>
          <w:marTop w:val="0"/>
          <w:marBottom w:val="0"/>
          <w:divBdr>
            <w:top w:val="none" w:sz="0" w:space="0" w:color="auto"/>
            <w:left w:val="none" w:sz="0" w:space="0" w:color="auto"/>
            <w:bottom w:val="none" w:sz="0" w:space="0" w:color="auto"/>
            <w:right w:val="none" w:sz="0" w:space="0" w:color="auto"/>
          </w:divBdr>
          <w:divsChild>
            <w:div w:id="1544249175">
              <w:marLeft w:val="0"/>
              <w:marRight w:val="0"/>
              <w:marTop w:val="0"/>
              <w:marBottom w:val="0"/>
              <w:divBdr>
                <w:top w:val="none" w:sz="0" w:space="0" w:color="auto"/>
                <w:left w:val="none" w:sz="0" w:space="0" w:color="auto"/>
                <w:bottom w:val="none" w:sz="0" w:space="0" w:color="auto"/>
                <w:right w:val="none" w:sz="0" w:space="0" w:color="auto"/>
              </w:divBdr>
              <w:divsChild>
                <w:div w:id="961768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1181069">
      <w:bodyDiv w:val="1"/>
      <w:marLeft w:val="0"/>
      <w:marRight w:val="0"/>
      <w:marTop w:val="0"/>
      <w:marBottom w:val="0"/>
      <w:divBdr>
        <w:top w:val="none" w:sz="0" w:space="0" w:color="auto"/>
        <w:left w:val="none" w:sz="0" w:space="0" w:color="auto"/>
        <w:bottom w:val="none" w:sz="0" w:space="0" w:color="auto"/>
        <w:right w:val="none" w:sz="0" w:space="0" w:color="auto"/>
      </w:divBdr>
    </w:div>
    <w:div w:id="1691298017">
      <w:bodyDiv w:val="1"/>
      <w:marLeft w:val="0"/>
      <w:marRight w:val="0"/>
      <w:marTop w:val="0"/>
      <w:marBottom w:val="0"/>
      <w:divBdr>
        <w:top w:val="none" w:sz="0" w:space="0" w:color="auto"/>
        <w:left w:val="none" w:sz="0" w:space="0" w:color="auto"/>
        <w:bottom w:val="none" w:sz="0" w:space="0" w:color="auto"/>
        <w:right w:val="none" w:sz="0" w:space="0" w:color="auto"/>
      </w:divBdr>
    </w:div>
    <w:div w:id="1692801733">
      <w:bodyDiv w:val="1"/>
      <w:marLeft w:val="0"/>
      <w:marRight w:val="0"/>
      <w:marTop w:val="0"/>
      <w:marBottom w:val="0"/>
      <w:divBdr>
        <w:top w:val="none" w:sz="0" w:space="0" w:color="auto"/>
        <w:left w:val="none" w:sz="0" w:space="0" w:color="auto"/>
        <w:bottom w:val="none" w:sz="0" w:space="0" w:color="auto"/>
        <w:right w:val="none" w:sz="0" w:space="0" w:color="auto"/>
      </w:divBdr>
    </w:div>
    <w:div w:id="1744600677">
      <w:bodyDiv w:val="1"/>
      <w:marLeft w:val="0"/>
      <w:marRight w:val="0"/>
      <w:marTop w:val="0"/>
      <w:marBottom w:val="0"/>
      <w:divBdr>
        <w:top w:val="none" w:sz="0" w:space="0" w:color="auto"/>
        <w:left w:val="none" w:sz="0" w:space="0" w:color="auto"/>
        <w:bottom w:val="none" w:sz="0" w:space="0" w:color="auto"/>
        <w:right w:val="none" w:sz="0" w:space="0" w:color="auto"/>
      </w:divBdr>
      <w:divsChild>
        <w:div w:id="355892429">
          <w:marLeft w:val="0"/>
          <w:marRight w:val="0"/>
          <w:marTop w:val="0"/>
          <w:marBottom w:val="0"/>
          <w:divBdr>
            <w:top w:val="none" w:sz="0" w:space="0" w:color="auto"/>
            <w:left w:val="none" w:sz="0" w:space="0" w:color="auto"/>
            <w:bottom w:val="none" w:sz="0" w:space="0" w:color="auto"/>
            <w:right w:val="none" w:sz="0" w:space="0" w:color="auto"/>
          </w:divBdr>
          <w:divsChild>
            <w:div w:id="11578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9681">
      <w:bodyDiv w:val="1"/>
      <w:marLeft w:val="0"/>
      <w:marRight w:val="0"/>
      <w:marTop w:val="0"/>
      <w:marBottom w:val="0"/>
      <w:divBdr>
        <w:top w:val="none" w:sz="0" w:space="0" w:color="auto"/>
        <w:left w:val="none" w:sz="0" w:space="0" w:color="auto"/>
        <w:bottom w:val="none" w:sz="0" w:space="0" w:color="auto"/>
        <w:right w:val="none" w:sz="0" w:space="0" w:color="auto"/>
      </w:divBdr>
      <w:divsChild>
        <w:div w:id="1741711620">
          <w:marLeft w:val="0"/>
          <w:marRight w:val="0"/>
          <w:marTop w:val="0"/>
          <w:marBottom w:val="0"/>
          <w:divBdr>
            <w:top w:val="none" w:sz="0" w:space="0" w:color="auto"/>
            <w:left w:val="none" w:sz="0" w:space="0" w:color="auto"/>
            <w:bottom w:val="none" w:sz="0" w:space="0" w:color="auto"/>
            <w:right w:val="none" w:sz="0" w:space="0" w:color="auto"/>
          </w:divBdr>
          <w:divsChild>
            <w:div w:id="4018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29895">
      <w:bodyDiv w:val="1"/>
      <w:marLeft w:val="0"/>
      <w:marRight w:val="0"/>
      <w:marTop w:val="0"/>
      <w:marBottom w:val="0"/>
      <w:divBdr>
        <w:top w:val="none" w:sz="0" w:space="0" w:color="auto"/>
        <w:left w:val="none" w:sz="0" w:space="0" w:color="auto"/>
        <w:bottom w:val="none" w:sz="0" w:space="0" w:color="auto"/>
        <w:right w:val="none" w:sz="0" w:space="0" w:color="auto"/>
      </w:divBdr>
    </w:div>
    <w:div w:id="1788811989">
      <w:bodyDiv w:val="1"/>
      <w:marLeft w:val="0"/>
      <w:marRight w:val="0"/>
      <w:marTop w:val="0"/>
      <w:marBottom w:val="0"/>
      <w:divBdr>
        <w:top w:val="none" w:sz="0" w:space="0" w:color="auto"/>
        <w:left w:val="none" w:sz="0" w:space="0" w:color="auto"/>
        <w:bottom w:val="none" w:sz="0" w:space="0" w:color="auto"/>
        <w:right w:val="none" w:sz="0" w:space="0" w:color="auto"/>
      </w:divBdr>
    </w:div>
    <w:div w:id="1834253386">
      <w:bodyDiv w:val="1"/>
      <w:marLeft w:val="0"/>
      <w:marRight w:val="0"/>
      <w:marTop w:val="0"/>
      <w:marBottom w:val="0"/>
      <w:divBdr>
        <w:top w:val="none" w:sz="0" w:space="0" w:color="auto"/>
        <w:left w:val="none" w:sz="0" w:space="0" w:color="auto"/>
        <w:bottom w:val="none" w:sz="0" w:space="0" w:color="auto"/>
        <w:right w:val="none" w:sz="0" w:space="0" w:color="auto"/>
      </w:divBdr>
      <w:divsChild>
        <w:div w:id="1371029321">
          <w:marLeft w:val="0"/>
          <w:marRight w:val="0"/>
          <w:marTop w:val="0"/>
          <w:marBottom w:val="0"/>
          <w:divBdr>
            <w:top w:val="none" w:sz="0" w:space="0" w:color="auto"/>
            <w:left w:val="none" w:sz="0" w:space="0" w:color="auto"/>
            <w:bottom w:val="none" w:sz="0" w:space="0" w:color="auto"/>
            <w:right w:val="none" w:sz="0" w:space="0" w:color="auto"/>
          </w:divBdr>
          <w:divsChild>
            <w:div w:id="1736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164">
      <w:bodyDiv w:val="1"/>
      <w:marLeft w:val="0"/>
      <w:marRight w:val="0"/>
      <w:marTop w:val="0"/>
      <w:marBottom w:val="0"/>
      <w:divBdr>
        <w:top w:val="none" w:sz="0" w:space="0" w:color="auto"/>
        <w:left w:val="none" w:sz="0" w:space="0" w:color="auto"/>
        <w:bottom w:val="none" w:sz="0" w:space="0" w:color="auto"/>
        <w:right w:val="none" w:sz="0" w:space="0" w:color="auto"/>
      </w:divBdr>
    </w:div>
    <w:div w:id="1861503195">
      <w:bodyDiv w:val="1"/>
      <w:marLeft w:val="0"/>
      <w:marRight w:val="0"/>
      <w:marTop w:val="0"/>
      <w:marBottom w:val="0"/>
      <w:divBdr>
        <w:top w:val="none" w:sz="0" w:space="0" w:color="auto"/>
        <w:left w:val="none" w:sz="0" w:space="0" w:color="auto"/>
        <w:bottom w:val="none" w:sz="0" w:space="0" w:color="auto"/>
        <w:right w:val="none" w:sz="0" w:space="0" w:color="auto"/>
      </w:divBdr>
    </w:div>
    <w:div w:id="1866165322">
      <w:bodyDiv w:val="1"/>
      <w:marLeft w:val="0"/>
      <w:marRight w:val="0"/>
      <w:marTop w:val="0"/>
      <w:marBottom w:val="0"/>
      <w:divBdr>
        <w:top w:val="none" w:sz="0" w:space="0" w:color="auto"/>
        <w:left w:val="none" w:sz="0" w:space="0" w:color="auto"/>
        <w:bottom w:val="none" w:sz="0" w:space="0" w:color="auto"/>
        <w:right w:val="none" w:sz="0" w:space="0" w:color="auto"/>
      </w:divBdr>
    </w:div>
    <w:div w:id="1885360735">
      <w:bodyDiv w:val="1"/>
      <w:marLeft w:val="0"/>
      <w:marRight w:val="0"/>
      <w:marTop w:val="0"/>
      <w:marBottom w:val="0"/>
      <w:divBdr>
        <w:top w:val="none" w:sz="0" w:space="0" w:color="auto"/>
        <w:left w:val="none" w:sz="0" w:space="0" w:color="auto"/>
        <w:bottom w:val="none" w:sz="0" w:space="0" w:color="auto"/>
        <w:right w:val="none" w:sz="0" w:space="0" w:color="auto"/>
      </w:divBdr>
    </w:div>
    <w:div w:id="1913193099">
      <w:bodyDiv w:val="1"/>
      <w:marLeft w:val="0"/>
      <w:marRight w:val="0"/>
      <w:marTop w:val="0"/>
      <w:marBottom w:val="0"/>
      <w:divBdr>
        <w:top w:val="none" w:sz="0" w:space="0" w:color="auto"/>
        <w:left w:val="none" w:sz="0" w:space="0" w:color="auto"/>
        <w:bottom w:val="none" w:sz="0" w:space="0" w:color="auto"/>
        <w:right w:val="none" w:sz="0" w:space="0" w:color="auto"/>
      </w:divBdr>
    </w:div>
    <w:div w:id="1938126912">
      <w:bodyDiv w:val="1"/>
      <w:marLeft w:val="0"/>
      <w:marRight w:val="0"/>
      <w:marTop w:val="0"/>
      <w:marBottom w:val="0"/>
      <w:divBdr>
        <w:top w:val="none" w:sz="0" w:space="0" w:color="auto"/>
        <w:left w:val="none" w:sz="0" w:space="0" w:color="auto"/>
        <w:bottom w:val="none" w:sz="0" w:space="0" w:color="auto"/>
        <w:right w:val="none" w:sz="0" w:space="0" w:color="auto"/>
      </w:divBdr>
    </w:div>
    <w:div w:id="1955281702">
      <w:bodyDiv w:val="1"/>
      <w:marLeft w:val="0"/>
      <w:marRight w:val="0"/>
      <w:marTop w:val="0"/>
      <w:marBottom w:val="0"/>
      <w:divBdr>
        <w:top w:val="none" w:sz="0" w:space="0" w:color="auto"/>
        <w:left w:val="none" w:sz="0" w:space="0" w:color="auto"/>
        <w:bottom w:val="none" w:sz="0" w:space="0" w:color="auto"/>
        <w:right w:val="none" w:sz="0" w:space="0" w:color="auto"/>
      </w:divBdr>
    </w:div>
    <w:div w:id="1961378647">
      <w:bodyDiv w:val="1"/>
      <w:marLeft w:val="0"/>
      <w:marRight w:val="0"/>
      <w:marTop w:val="0"/>
      <w:marBottom w:val="0"/>
      <w:divBdr>
        <w:top w:val="none" w:sz="0" w:space="0" w:color="auto"/>
        <w:left w:val="none" w:sz="0" w:space="0" w:color="auto"/>
        <w:bottom w:val="none" w:sz="0" w:space="0" w:color="auto"/>
        <w:right w:val="none" w:sz="0" w:space="0" w:color="auto"/>
      </w:divBdr>
    </w:div>
    <w:div w:id="1977101827">
      <w:bodyDiv w:val="1"/>
      <w:marLeft w:val="0"/>
      <w:marRight w:val="0"/>
      <w:marTop w:val="0"/>
      <w:marBottom w:val="0"/>
      <w:divBdr>
        <w:top w:val="none" w:sz="0" w:space="0" w:color="auto"/>
        <w:left w:val="none" w:sz="0" w:space="0" w:color="auto"/>
        <w:bottom w:val="none" w:sz="0" w:space="0" w:color="auto"/>
        <w:right w:val="none" w:sz="0" w:space="0" w:color="auto"/>
      </w:divBdr>
    </w:div>
    <w:div w:id="1989354567">
      <w:bodyDiv w:val="1"/>
      <w:marLeft w:val="0"/>
      <w:marRight w:val="0"/>
      <w:marTop w:val="0"/>
      <w:marBottom w:val="0"/>
      <w:divBdr>
        <w:top w:val="none" w:sz="0" w:space="0" w:color="auto"/>
        <w:left w:val="none" w:sz="0" w:space="0" w:color="auto"/>
        <w:bottom w:val="none" w:sz="0" w:space="0" w:color="auto"/>
        <w:right w:val="none" w:sz="0" w:space="0" w:color="auto"/>
      </w:divBdr>
    </w:div>
    <w:div w:id="1993949652">
      <w:bodyDiv w:val="1"/>
      <w:marLeft w:val="0"/>
      <w:marRight w:val="0"/>
      <w:marTop w:val="0"/>
      <w:marBottom w:val="0"/>
      <w:divBdr>
        <w:top w:val="none" w:sz="0" w:space="0" w:color="auto"/>
        <w:left w:val="none" w:sz="0" w:space="0" w:color="auto"/>
        <w:bottom w:val="none" w:sz="0" w:space="0" w:color="auto"/>
        <w:right w:val="none" w:sz="0" w:space="0" w:color="auto"/>
      </w:divBdr>
    </w:div>
    <w:div w:id="20210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neco.2024.1076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48550/arxiv.2502.18970" TargetMode="External"/><Relationship Id="rId17" Type="http://schemas.openxmlformats.org/officeDocument/2006/relationships/hyperlink" Target="https://doi.org/10.1111/1467-8268.125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350485003515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oem-04-2025-07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04/ijebr.2018.10016071" TargetMode="External"/><Relationship Id="rId23" Type="http://schemas.openxmlformats.org/officeDocument/2006/relationships/footer" Target="footer3.xml"/><Relationship Id="rId10" Type="http://schemas.openxmlformats.org/officeDocument/2006/relationships/hyperlink" Target="https://doi.org/10.21314/jntf.2019.05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0885/ejem.vol11.iss1.art1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27</Pages>
  <Words>7351</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soukat khan</dc:creator>
  <cp:keywords/>
  <dc:description/>
  <cp:lastModifiedBy>SDI PC New 16</cp:lastModifiedBy>
  <cp:revision>186</cp:revision>
  <dcterms:created xsi:type="dcterms:W3CDTF">2026-04-02T05:31:00Z</dcterms:created>
  <dcterms:modified xsi:type="dcterms:W3CDTF">2026-04-30T08:38:00Z</dcterms:modified>
</cp:coreProperties>
</file>