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70216">
      <w:pPr>
        <w:pStyle w:val="23"/>
        <w:spacing w:after="0"/>
        <w:jc w:val="both"/>
        <w:rPr>
          <w:rFonts w:ascii="Arial" w:hAnsi="Arial" w:cs="Arial"/>
        </w:rPr>
      </w:pPr>
      <w:bookmarkStart w:id="9" w:name="_GoBack"/>
      <w:bookmarkEnd w:id="9"/>
    </w:p>
    <w:p w14:paraId="7067FF39">
      <w:pPr>
        <w:pStyle w:val="24"/>
        <w:spacing w:line="240" w:lineRule="auto"/>
        <w:rPr>
          <w:rFonts w:ascii="Arial" w:hAnsi="Arial" w:cs="Arial"/>
          <w:bCs/>
          <w:iCs/>
          <w:kern w:val="28"/>
          <w:sz w:val="36"/>
        </w:rPr>
      </w:pPr>
      <w:r>
        <w:rPr>
          <w:rFonts w:ascii="Arial" w:hAnsi="Arial" w:cs="Arial"/>
          <w:bCs/>
          <w:iCs/>
          <w:kern w:val="28"/>
          <w:sz w:val="36"/>
        </w:rPr>
        <w:t xml:space="preserve">Nexus Between Monitoring and Evaluation Practices and Performance of Competency-Based Curriculum Infrastructure </w:t>
      </w:r>
      <w:bookmarkStart w:id="0" w:name="_Hlk227071775"/>
      <w:r>
        <w:rPr>
          <w:rFonts w:ascii="Arial" w:hAnsi="Arial" w:cs="Arial"/>
          <w:bCs/>
          <w:iCs/>
          <w:kern w:val="28"/>
          <w:sz w:val="36"/>
        </w:rPr>
        <w:t>Projects in Nairobi City County, Kenya</w:t>
      </w:r>
    </w:p>
    <w:bookmarkEnd w:id="0"/>
    <w:p w14:paraId="60B729DD">
      <w:pPr>
        <w:pStyle w:val="24"/>
        <w:spacing w:line="240" w:lineRule="auto"/>
        <w:jc w:val="both"/>
        <w:rPr>
          <w:rFonts w:ascii="Arial" w:hAnsi="Arial" w:cs="Arial"/>
          <w:sz w:val="36"/>
        </w:rPr>
      </w:pPr>
    </w:p>
    <w:p w14:paraId="5009E2FA">
      <w:pPr>
        <w:pStyle w:val="25"/>
        <w:spacing w:after="0" w:line="240" w:lineRule="auto"/>
        <w:rPr>
          <w:rFonts w:ascii="Arial" w:hAnsi="Arial" w:cs="Arial"/>
          <w:i/>
        </w:rPr>
      </w:pPr>
    </w:p>
    <w:p w14:paraId="70586B32">
      <w:pPr>
        <w:pStyle w:val="25"/>
        <w:spacing w:after="0" w:line="240" w:lineRule="auto"/>
        <w:jc w:val="both"/>
        <w:rPr>
          <w:rFonts w:ascii="Arial" w:hAnsi="Arial" w:cs="Arial"/>
        </w:rPr>
      </w:pPr>
    </w:p>
    <w:p w14:paraId="0B154C23">
      <w:pPr>
        <w:pStyle w:val="36"/>
        <w:spacing w:after="0" w:line="240" w:lineRule="auto"/>
        <w:jc w:val="both"/>
        <w:rPr>
          <w:rFonts w:ascii="Arial" w:hAnsi="Arial" w:cs="Arial"/>
        </w:rPr>
        <w:sectPr>
          <w:headerReference r:id="rId5" w:type="first"/>
          <w:footerReference r:id="rId6" w:type="first"/>
          <w:headerReference r:id="rId3" w:type="default"/>
          <w:headerReference r:id="rId4"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15240" t="15875" r="15240" b="12700"/>
                <wp:docPr id="815713336"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AWYMsW3QEAALs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4B168EA4">
      <w:pPr>
        <w:pStyle w:val="27"/>
        <w:spacing w:after="0"/>
        <w:jc w:val="both"/>
        <w:rPr>
          <w:rFonts w:ascii="Arial" w:hAnsi="Arial" w:cs="Arial"/>
        </w:rPr>
      </w:pPr>
      <w:r>
        <w:rPr>
          <w:rFonts w:ascii="Arial" w:hAnsi="Arial" w:cs="Arial"/>
        </w:rPr>
        <w:t xml:space="preserve">ABSTRACT </w:t>
      </w:r>
    </w:p>
    <w:p w14:paraId="3B6AFEB3">
      <w:pPr>
        <w:pStyle w:val="27"/>
        <w:spacing w:after="0"/>
        <w:jc w:val="both"/>
        <w:rPr>
          <w:rFonts w:ascii="Arial" w:hAnsi="Arial" w:cs="Arial"/>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7EE1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12B9D9B2">
            <w:pPr>
              <w:jc w:val="both"/>
              <w:rPr>
                <w:rFonts w:ascii="Arial" w:hAnsi="Arial" w:cs="Arial"/>
              </w:rPr>
            </w:pPr>
            <w:r>
              <w:rPr>
                <w:rFonts w:ascii="Arial" w:hAnsi="Arial" w:cs="Arial"/>
              </w:rPr>
              <w:t>This study investigated the impact of Monitoring and Evaluation (M&amp;E) practices on the performance of CBC infrastructure projects in Nairobi City County, Kenya. It specifically focused on M&amp;E planning, baseline studies, stakeholder engagement, and performance reviews. Grounded in Stakeholder Theory, Performance Theory, and Results-Based Management Theory, the research employed a descriptive design targeting 101 CBC classroom projects executed between 2022 and 2023. Data were gathered from school principals and Sub-County Education Directors through semi-structured questionnaires and interview schedules, with a pilot study conducted in Kiambu County to validate the research instruments. Quantitative data were analyzed using descriptive statistics, Pearson correlation, and multiple regression analysis, while qualitative data were examined thematically. The findings indicated that M&amp;E practices have a significant impact on project performance, collectively accounting for 78.8% of the variation in outcomes. In particular, M&amp;E planning (β</w:t>
            </w:r>
            <w:r>
              <w:rPr>
                <w:rFonts w:ascii="Arial" w:hAnsi="Arial" w:cs="Arial"/>
                <w:vertAlign w:val="subscript"/>
              </w:rPr>
              <w:t>1</w:t>
            </w:r>
            <w:r>
              <w:rPr>
                <w:rFonts w:ascii="Arial" w:hAnsi="Arial" w:cs="Arial"/>
              </w:rPr>
              <w:t xml:space="preserve"> = 0.345, p = 0.00), baseline studies (β</w:t>
            </w:r>
            <w:r>
              <w:rPr>
                <w:rFonts w:ascii="Arial" w:hAnsi="Arial" w:cs="Arial"/>
                <w:vertAlign w:val="subscript"/>
              </w:rPr>
              <w:t>2</w:t>
            </w:r>
            <w:r>
              <w:rPr>
                <w:rFonts w:ascii="Arial" w:hAnsi="Arial" w:cs="Arial"/>
              </w:rPr>
              <w:t xml:space="preserve"> = 0.226, p = 0.01), and stakeholder engagement (β</w:t>
            </w:r>
            <w:r>
              <w:rPr>
                <w:rFonts w:ascii="Arial" w:hAnsi="Arial" w:cs="Arial"/>
                <w:vertAlign w:val="subscript"/>
              </w:rPr>
              <w:t>3</w:t>
            </w:r>
            <w:r>
              <w:rPr>
                <w:rFonts w:ascii="Arial" w:hAnsi="Arial" w:cs="Arial"/>
              </w:rPr>
              <w:t xml:space="preserve"> = 0.361, p = 0.00) emerged as statistically significant predictors of enhanced cost efficiency, timeliness, and quality. </w:t>
            </w:r>
            <w:r>
              <w:rPr>
                <w:rFonts w:ascii="Arial" w:hAnsi="Arial" w:cs="Arial"/>
                <w:highlight w:val="yellow"/>
              </w:rPr>
              <w:t>However, the effect of M&amp;E performance reviews on project performance was not significant (β</w:t>
            </w:r>
            <w:r>
              <w:rPr>
                <w:rFonts w:ascii="Arial" w:hAnsi="Arial" w:cs="Arial"/>
                <w:highlight w:val="yellow"/>
                <w:vertAlign w:val="subscript"/>
              </w:rPr>
              <w:t>4</w:t>
            </w:r>
            <w:r>
              <w:rPr>
                <w:rFonts w:ascii="Arial" w:hAnsi="Arial" w:cs="Arial"/>
                <w:highlight w:val="yellow"/>
              </w:rPr>
              <w:t xml:space="preserve"> = 0.059, p = 0.57) suggesting a limited use of feedback in decision-making processes</w:t>
            </w:r>
            <w:r>
              <w:rPr>
                <w:rFonts w:ascii="Arial" w:hAnsi="Arial" w:cs="Arial"/>
              </w:rPr>
              <w:t>. The study concludes that effective M&amp;E planning, evidence-based baseline assessments, and inclusive stakeholder participation are critical determinants of successful CBC infrastructure delivery, while inadequate integration of performance review findings constrains adaptive management. It is recommended that education authorities strengthen institutional M&amp;E frameworks, standardise planning tools, enhance capacity building, institutionalise regular baseline assessments, and improve feedback utilization systems to promote accountability, efficiency, and sustainability in public school infrastructure projects.</w:t>
            </w:r>
          </w:p>
        </w:tc>
      </w:tr>
    </w:tbl>
    <w:p w14:paraId="1F5927EB">
      <w:pPr>
        <w:pStyle w:val="26"/>
        <w:spacing w:after="0"/>
        <w:rPr>
          <w:rFonts w:ascii="Arial" w:hAnsi="Arial" w:cs="Arial"/>
          <w:i/>
        </w:rPr>
      </w:pPr>
    </w:p>
    <w:p w14:paraId="22831BD5">
      <w:pPr>
        <w:rPr>
          <w:rFonts w:ascii="Arial" w:hAnsi="Arial" w:cs="Arial"/>
          <w:i/>
        </w:rPr>
      </w:pPr>
      <w:r>
        <w:rPr>
          <w:rFonts w:ascii="Arial" w:hAnsi="Arial" w:cs="Arial"/>
          <w:i/>
        </w:rPr>
        <w:t xml:space="preserve">Keywords: </w:t>
      </w:r>
      <w:r>
        <w:rPr>
          <w:rFonts w:ascii="Arial" w:hAnsi="Arial" w:cs="Arial"/>
          <w:i/>
          <w:highlight w:val="yellow"/>
        </w:rPr>
        <w:t>Baseline Studies, CBC Infrastructure, Monitoring and Evaluation, Performance Reviews, Project Performance, Stakeholder Engagement.</w:t>
      </w:r>
      <w:r>
        <w:rPr>
          <w:rFonts w:ascii="Arial" w:hAnsi="Arial" w:cs="Arial"/>
          <w:i/>
        </w:rPr>
        <w:t xml:space="preserve"> </w:t>
      </w:r>
    </w:p>
    <w:p w14:paraId="1ACF6DDB">
      <w:pPr>
        <w:pStyle w:val="27"/>
        <w:spacing w:after="0"/>
        <w:jc w:val="both"/>
        <w:rPr>
          <w:rFonts w:ascii="Arial" w:hAnsi="Arial" w:cs="Arial"/>
        </w:rPr>
      </w:pPr>
      <w:r>
        <w:rPr>
          <w:rFonts w:ascii="Arial" w:hAnsi="Arial" w:cs="Arial"/>
        </w:rPr>
        <w:t>1. INTRODUCTION</w:t>
      </w:r>
    </w:p>
    <w:p w14:paraId="22B63C3C">
      <w:pPr>
        <w:pStyle w:val="27"/>
        <w:spacing w:after="0"/>
        <w:jc w:val="both"/>
        <w:rPr>
          <w:rFonts w:ascii="Arial" w:hAnsi="Arial" w:cs="Arial"/>
        </w:rPr>
      </w:pPr>
    </w:p>
    <w:p w14:paraId="44317CD3">
      <w:pPr>
        <w:jc w:val="both"/>
        <w:rPr>
          <w:rFonts w:ascii="Arial" w:hAnsi="Arial" w:cs="Arial"/>
        </w:rPr>
      </w:pPr>
      <w:r>
        <w:rPr>
          <w:rFonts w:ascii="Arial" w:hAnsi="Arial" w:cs="Arial"/>
          <w:highlight w:val="yellow"/>
        </w:rPr>
        <w:t>Globally, the effectiveness of public infrastructure projects remains a significant challenge, as numerous initiatives continue to face cost overruns, delays, and quality issues despite substantial financial investments</w:t>
      </w:r>
      <w:r>
        <w:rPr>
          <w:rFonts w:ascii="Arial" w:hAnsi="Arial" w:cs="Arial"/>
        </w:rPr>
        <w:t xml:space="preserve">. These inefficiencies hinder the attainment of development goals and restrict the realization of socio-economic advantages linked to infrastructure development (Pereira et al., 2022). Evidence from both advanced and emerging economies shows that inadequate project oversight, poor coordination, and insufficient performance tracking systems play a crucial role in these outcomes. Specifically, shortcomings in Monitoring and Evaluation (M&amp;E) systems restrict project managers' capacity to identify deviations early, enforce accountability, and ensure that projects are completed within the defined scope, timeline, and budget (Aloyce et al., 2024). In Africa, the situation is even more </w:t>
      </w:r>
      <w:r>
        <w:rPr>
          <w:rFonts w:ascii="Arial" w:hAnsi="Arial" w:cs="Arial"/>
          <w:highlight w:val="yellow"/>
        </w:rPr>
        <w:t>difficult</w:t>
      </w:r>
      <w:r>
        <w:rPr>
          <w:rFonts w:ascii="Arial" w:hAnsi="Arial" w:cs="Arial"/>
        </w:rPr>
        <w:t xml:space="preserve">, with over 50% of public infrastructure projects historically failing to meet their intended goals due to inadequate planning, limited stakeholder engagement, and weak institutional frameworks (Elle, 2022). </w:t>
      </w:r>
      <w:r>
        <w:rPr>
          <w:rFonts w:ascii="Arial" w:hAnsi="Arial" w:cs="Arial"/>
          <w:highlight w:val="yellow"/>
        </w:rPr>
        <w:t>In Kenya, despite increased public spending on infrastructure, particularly in the education sector, projects continue to face delays, cost overruns, and quality issues.</w:t>
      </w:r>
      <w:r>
        <w:rPr>
          <w:rFonts w:ascii="Arial" w:hAnsi="Arial" w:cs="Arial"/>
        </w:rPr>
        <w:t xml:space="preserve"> The Competency-Based Curriculum (CBC) infrastructure initiative, which aimed to build classrooms to facilitate the transition to junior secondary education, has been criticized for poor construction quality, lack of cost standardization, and implementation inefficiencies as noted in audit reports (OAG, 2024). These challenges highlight systemic weaknesses in project management, especially regarding the effective application of M&amp;E practices.</w:t>
      </w:r>
    </w:p>
    <w:p w14:paraId="398E78E1">
      <w:pPr>
        <w:jc w:val="both"/>
        <w:rPr>
          <w:rFonts w:ascii="Arial" w:hAnsi="Arial" w:cs="Arial"/>
        </w:rPr>
      </w:pPr>
    </w:p>
    <w:p w14:paraId="29C01B7E">
      <w:pPr>
        <w:jc w:val="both"/>
        <w:rPr>
          <w:rFonts w:ascii="Arial" w:hAnsi="Arial" w:cs="Arial"/>
        </w:rPr>
      </w:pPr>
      <w:r>
        <w:rPr>
          <w:rFonts w:ascii="Arial" w:hAnsi="Arial" w:cs="Arial"/>
        </w:rPr>
        <w:t>While the existing literature acknowledges monitoring and evaluation (M&amp;E) as a vital factor influencing project performance, several deficiencies persist. Firstly, previous research has largely focused on individual aspects of M&amp;E practices such as stakeholder engagement, baseline assessments, or performance evaluations without synthesizing these components into a unified analytical framework</w:t>
      </w:r>
      <w:r>
        <w:rPr>
          <w:rFonts w:ascii="Arial" w:hAnsi="Arial" w:cs="Arial"/>
          <w:highlight w:val="yellow"/>
        </w:rPr>
        <w:t>. Secondly, numerous empirical investigations have focused on sectors such as transport and energy infrastructure, with scant attention paid to education infrastructure projects, especially those related to the CBC in Kenya. Moreover, although audit reports and sectoral evaluations have identified shortcomings in the performance of CBC infrastructure projects, particularly in timeliness, cost efficiency, and quality, there is a lack of empirical evidence linking these performance outcomes to specific M&amp;E practices within Nairobi City County</w:t>
      </w:r>
      <w:r>
        <w:rPr>
          <w:rFonts w:ascii="Arial" w:hAnsi="Arial" w:cs="Arial"/>
        </w:rPr>
        <w:t>. This results in both a contextual and empirical void in comprehending how integrated M&amp;E practices affect the performance of education infrastructure projects.</w:t>
      </w:r>
    </w:p>
    <w:p w14:paraId="49EB7CC0">
      <w:pPr>
        <w:jc w:val="both"/>
        <w:rPr>
          <w:rFonts w:ascii="Arial" w:hAnsi="Arial" w:cs="Arial"/>
        </w:rPr>
      </w:pPr>
    </w:p>
    <w:p w14:paraId="6A1DB2A1">
      <w:pPr>
        <w:jc w:val="both"/>
        <w:rPr>
          <w:rFonts w:ascii="Arial" w:hAnsi="Arial" w:cs="Arial"/>
        </w:rPr>
      </w:pPr>
      <w:r>
        <w:rPr>
          <w:rFonts w:ascii="Arial" w:hAnsi="Arial" w:cs="Arial"/>
          <w:highlight w:val="yellow"/>
        </w:rPr>
        <w:t>To address these deficiencies, this research examines the relationship between monitoring and evaluation practices and the performance of community-based construction (CBC) infrastructure projects in Nairobi City County, Kenya</w:t>
      </w:r>
      <w:r>
        <w:rPr>
          <w:rFonts w:ascii="Arial" w:hAnsi="Arial" w:cs="Arial"/>
        </w:rPr>
        <w:t xml:space="preserve">. The study specifically concentrates on essential M&amp;E elements: planning, baseline studies, stakeholder engagement, and performance reviews, and evaluates their impact on project performance, which is measured in terms of timeliness, cost efficiency, and beneficiary satisfaction. </w:t>
      </w:r>
      <w:r>
        <w:rPr>
          <w:rFonts w:ascii="Arial" w:hAnsi="Arial" w:cs="Arial"/>
          <w:highlight w:val="yellow"/>
        </w:rPr>
        <w:t>By implementing a more holistic and integrated approach to M&amp;E practices and employing methodological triangulation, this research aims to produce robust empirical evidence to guide policy decisions, enhance project management practices, and improve the effectiveness of future infrastructure initiatives in the education sector. Ultimately, this study contributes to improving accountability, efficiency, and sustainable outcomes in the development of public infrastructure.</w:t>
      </w:r>
    </w:p>
    <w:p w14:paraId="105AC560">
      <w:pPr>
        <w:jc w:val="both"/>
        <w:rPr>
          <w:rFonts w:ascii="Times New Roman" w:hAnsi="Times New Roman"/>
        </w:rPr>
      </w:pPr>
    </w:p>
    <w:p w14:paraId="0552A329">
      <w:pPr>
        <w:jc w:val="both"/>
        <w:rPr>
          <w:rFonts w:ascii="Times New Roman" w:hAnsi="Times New Roman"/>
          <w:b/>
          <w:bCs/>
        </w:rPr>
      </w:pPr>
      <w:r>
        <w:rPr>
          <w:rFonts w:ascii="Times New Roman" w:hAnsi="Times New Roman"/>
          <w:b/>
          <w:bCs/>
          <w:sz w:val="22"/>
          <w:szCs w:val="22"/>
        </w:rPr>
        <w:t>1.1 Research Objectives</w:t>
      </w:r>
    </w:p>
    <w:p w14:paraId="4E4A009C">
      <w:pPr>
        <w:numPr>
          <w:ilvl w:val="0"/>
          <w:numId w:val="2"/>
        </w:numPr>
        <w:spacing w:after="160" w:line="278" w:lineRule="auto"/>
        <w:jc w:val="both"/>
        <w:rPr>
          <w:rFonts w:ascii="Times New Roman" w:hAnsi="Times New Roman"/>
        </w:rPr>
      </w:pPr>
      <w:r>
        <w:rPr>
          <w:rFonts w:ascii="Times New Roman" w:hAnsi="Times New Roman"/>
        </w:rPr>
        <w:t>To analyse how M&amp;E planning influences the performance of CBC infrastructure projects in Nairobi City County, Kenya.</w:t>
      </w:r>
    </w:p>
    <w:p w14:paraId="08063AAA">
      <w:pPr>
        <w:numPr>
          <w:ilvl w:val="0"/>
          <w:numId w:val="2"/>
        </w:numPr>
        <w:spacing w:after="160" w:line="278" w:lineRule="auto"/>
        <w:jc w:val="both"/>
        <w:rPr>
          <w:rFonts w:ascii="Times New Roman" w:hAnsi="Times New Roman"/>
        </w:rPr>
      </w:pPr>
      <w:r>
        <w:rPr>
          <w:rFonts w:ascii="Times New Roman" w:hAnsi="Times New Roman"/>
        </w:rPr>
        <w:t>To evaluate the impact of M&amp;E baseline assessments on the performance of CBC infrastructure projects in Nairobi City County, Kenya.</w:t>
      </w:r>
    </w:p>
    <w:p w14:paraId="72054500">
      <w:pPr>
        <w:numPr>
          <w:ilvl w:val="0"/>
          <w:numId w:val="2"/>
        </w:numPr>
        <w:spacing w:after="160" w:line="278" w:lineRule="auto"/>
        <w:jc w:val="both"/>
        <w:rPr>
          <w:rFonts w:ascii="Times New Roman" w:hAnsi="Times New Roman"/>
        </w:rPr>
      </w:pPr>
      <w:r>
        <w:rPr>
          <w:rFonts w:ascii="Times New Roman" w:hAnsi="Times New Roman"/>
        </w:rPr>
        <w:t>To examine the role of stakeholder participation in M&amp;E in shaping the performance of CBC infrastructure projects in Nairobi City County, Kenya.</w:t>
      </w:r>
    </w:p>
    <w:p w14:paraId="4F350883">
      <w:pPr>
        <w:numPr>
          <w:ilvl w:val="0"/>
          <w:numId w:val="2"/>
        </w:numPr>
        <w:spacing w:after="160" w:line="278" w:lineRule="auto"/>
        <w:jc w:val="both"/>
        <w:rPr>
          <w:rFonts w:ascii="Times New Roman" w:hAnsi="Times New Roman"/>
        </w:rPr>
      </w:pPr>
      <w:r>
        <w:rPr>
          <w:rFonts w:ascii="Times New Roman" w:hAnsi="Times New Roman"/>
        </w:rPr>
        <w:t>To investigate the effect of M&amp;E performance review processes on the performance of CBC infrastructure projects in Nairobi City County, Kenya.</w:t>
      </w:r>
    </w:p>
    <w:p w14:paraId="409458A4">
      <w:pPr>
        <w:rPr>
          <w:rFonts w:ascii="Times New Roman" w:hAnsi="Times New Roman"/>
          <w:b/>
          <w:bCs/>
        </w:rPr>
      </w:pPr>
    </w:p>
    <w:p w14:paraId="16195742">
      <w:pPr>
        <w:pStyle w:val="27"/>
        <w:spacing w:after="0"/>
        <w:jc w:val="both"/>
        <w:rPr>
          <w:rFonts w:ascii="Arial" w:hAnsi="Arial" w:cs="Arial"/>
        </w:rPr>
      </w:pPr>
      <w:r>
        <w:rPr>
          <w:rFonts w:ascii="Arial" w:hAnsi="Arial" w:cs="Arial"/>
        </w:rPr>
        <w:t xml:space="preserve">2. LITERATURE REVIEW </w:t>
      </w:r>
    </w:p>
    <w:p w14:paraId="653543FC">
      <w:pPr>
        <w:pStyle w:val="27"/>
        <w:spacing w:after="0"/>
        <w:jc w:val="both"/>
        <w:rPr>
          <w:rFonts w:ascii="Arial" w:hAnsi="Arial" w:cs="Arial"/>
        </w:rPr>
      </w:pPr>
    </w:p>
    <w:p w14:paraId="477DFF8D">
      <w:pPr>
        <w:rPr>
          <w:rFonts w:ascii="Arial" w:hAnsi="Arial" w:cs="Arial"/>
          <w:b/>
          <w:bCs/>
          <w:sz w:val="22"/>
          <w:szCs w:val="22"/>
        </w:rPr>
      </w:pPr>
      <w:r>
        <w:rPr>
          <w:rFonts w:ascii="Arial" w:hAnsi="Arial" w:cs="Arial"/>
          <w:b/>
          <w:bCs/>
          <w:sz w:val="22"/>
          <w:szCs w:val="22"/>
        </w:rPr>
        <w:t>2.1 Theoretical Foundation</w:t>
      </w:r>
    </w:p>
    <w:p w14:paraId="5A4B36F9">
      <w:pPr>
        <w:jc w:val="both"/>
        <w:rPr>
          <w:rFonts w:ascii="Arial" w:hAnsi="Arial" w:cs="Arial"/>
        </w:rPr>
      </w:pPr>
      <w:r>
        <w:rPr>
          <w:rFonts w:ascii="Arial" w:hAnsi="Arial" w:cs="Arial"/>
        </w:rPr>
        <w:t xml:space="preserve">The connection between Monitoring and Evaluation (M&amp;E) practices and project performance is based on three interrelated theoretical frameworks: the Theory of Performance, Stakeholder Theory, and Results-Based Management (RBM) Theory. The Theory of Performance, proposed by Elger (2007), defines performance as the achievement of valued outcomes that arise from intentional actions. </w:t>
      </w:r>
      <w:r>
        <w:rPr>
          <w:rFonts w:ascii="Arial" w:hAnsi="Arial" w:cs="Arial"/>
          <w:highlight w:val="yellow"/>
        </w:rPr>
        <w:t>This theory asserts that performance develops incrementally and is shaped by factors such as knowledge, skills, context, and individual characteristics. It also indicates that performance can be assessed through indicators such as quality, efficiency, and goal achievement. In the context of projects, this viewpoint highlights that the effective use of resources, including M&amp;E systems, improves outcomes like timeliness, cost-effectiveness, and quality.</w:t>
      </w:r>
      <w:r>
        <w:rPr>
          <w:rFonts w:ascii="Arial" w:hAnsi="Arial" w:cs="Arial"/>
        </w:rPr>
        <w:t xml:space="preserve"> Therefore, this theory lays the groundwork for understanding project performance as a multifaceted concept. Stakeholder Theory, introduced by Freeman (1984), stresses that organizations must consider the interests of a wide range of stakeholders beyond just shareholders. </w:t>
      </w:r>
      <w:r>
        <w:rPr>
          <w:rFonts w:ascii="Arial" w:hAnsi="Arial" w:cs="Arial"/>
          <w:highlight w:val="yellow"/>
        </w:rPr>
        <w:t>It contends that stakeholders, including beneficiaries, government bodies, financiers, and communities,</w:t>
      </w:r>
      <w:r>
        <w:rPr>
          <w:rFonts w:ascii="Arial" w:hAnsi="Arial" w:cs="Arial"/>
        </w:rPr>
        <w:t xml:space="preserve"> are crucial in shaping project outcomes. Engaging stakeholders effectively through participatory M&amp;E fosters accountability, legitimacy, and sustainability. Nonetheless, the theory also recognizes the practical difficulties in reconciling conflicting stakeholder interests and implementing stakeholder priorities, as noted by Jensen in 2002. In this research, the theory guides the understanding of how stakeholder participation in M&amp;E processes influences project performance. The Results-Based Management (RBM) Theory, linked to scholars like Mayne (2007), focuses on achieving quantifiable outcomes through organized planning, monitoring, and evaluation. RBM shifts the emphasis from inputs and activities to outputs and outcomes, thereby encouraging accountability and decision-making based on evidence, as highlighted by UNDP (2011). Key principles include goal setting, performance measurement, continuous monitoring, and adaptive learning. Despite its strengths, RBM faces challenges </w:t>
      </w:r>
      <w:r>
        <w:rPr>
          <w:rFonts w:ascii="Arial" w:hAnsi="Arial" w:cs="Arial"/>
          <w:highlight w:val="yellow"/>
        </w:rPr>
        <w:t>including</w:t>
      </w:r>
      <w:r>
        <w:rPr>
          <w:rFonts w:ascii="Arial" w:hAnsi="Arial" w:cs="Arial"/>
        </w:rPr>
        <w:t xml:space="preserve"> over-reliance on quantifiable indicators and the need for robust data systems. </w:t>
      </w:r>
      <w:r>
        <w:rPr>
          <w:rFonts w:ascii="Arial" w:hAnsi="Arial" w:cs="Arial"/>
          <w:highlight w:val="yellow"/>
        </w:rPr>
        <w:t>In this study, RBM underpins M&amp;E planning, baseline studies, and performance reviews to enhance project outcomes.</w:t>
      </w:r>
    </w:p>
    <w:p w14:paraId="15CF273B">
      <w:pPr>
        <w:jc w:val="both"/>
        <w:rPr>
          <w:rFonts w:ascii="Arial" w:hAnsi="Arial" w:cs="Arial"/>
        </w:rPr>
      </w:pPr>
    </w:p>
    <w:p w14:paraId="68FF2750">
      <w:pPr>
        <w:jc w:val="both"/>
        <w:rPr>
          <w:rFonts w:ascii="Arial" w:hAnsi="Arial" w:cs="Arial"/>
        </w:rPr>
      </w:pPr>
    </w:p>
    <w:p w14:paraId="1F9407C0">
      <w:pPr>
        <w:jc w:val="both"/>
        <w:rPr>
          <w:rFonts w:ascii="Arial" w:hAnsi="Arial" w:cs="Arial"/>
          <w:b/>
          <w:bCs/>
          <w:sz w:val="22"/>
          <w:szCs w:val="22"/>
        </w:rPr>
      </w:pPr>
      <w:r>
        <w:rPr>
          <w:rFonts w:ascii="Arial" w:hAnsi="Arial" w:cs="Arial"/>
          <w:b/>
          <w:bCs/>
          <w:sz w:val="22"/>
          <w:szCs w:val="22"/>
        </w:rPr>
        <w:t xml:space="preserve">2.2 Empirical Review </w:t>
      </w:r>
    </w:p>
    <w:p w14:paraId="6E3ED9B7">
      <w:pPr>
        <w:jc w:val="both"/>
        <w:rPr>
          <w:rFonts w:ascii="Arial" w:hAnsi="Arial" w:cs="Arial"/>
        </w:rPr>
      </w:pPr>
      <w:r>
        <w:rPr>
          <w:rFonts w:ascii="Arial" w:hAnsi="Arial" w:cs="Arial"/>
        </w:rPr>
        <w:t xml:space="preserve">Empirical evidence consistently shows that M&amp;E planning has a significant impact on project performance. </w:t>
      </w:r>
      <w:r>
        <w:rPr>
          <w:rFonts w:ascii="Arial" w:hAnsi="Arial" w:cs="Arial"/>
          <w:highlight w:val="yellow"/>
        </w:rPr>
        <w:t>Research conducted in Kenya indicates that well-structured planning processes, such as indicator definition, resource allocation</w:t>
      </w:r>
      <w:r>
        <w:rPr>
          <w:rFonts w:ascii="Arial" w:hAnsi="Arial" w:cs="Arial"/>
        </w:rPr>
        <w:t xml:space="preserve">, and activity scheduling positively influence project outcomes (Kamau &amp; Muchelule, 2024). Comparable results have been observed in Uganda and Namibia, where M&amp;E planning was found to improve efficiency, timeliness, and cost management (Ayebare, 2019; Tarindwa, 2019). In Rwanda, Muhayimana and Kamuhanda (2020) demonstrated that planning, when paired with participatory methods and the dissemination of M&amp;E findings, enhances project timeliness and cost-effectiveness. </w:t>
      </w:r>
      <w:r>
        <w:rPr>
          <w:rFonts w:ascii="Arial" w:hAnsi="Arial" w:cs="Arial"/>
          <w:highlight w:val="yellow"/>
        </w:rPr>
        <w:t>Similarly, Olaremi et al. (2024) found that planning tools such as earned value management significantly improve construction project outcomes in Nigeria.</w:t>
      </w:r>
      <w:r>
        <w:rPr>
          <w:rFonts w:ascii="Arial" w:hAnsi="Arial" w:cs="Arial"/>
        </w:rPr>
        <w:t xml:space="preserve"> Despite these insights, significant gaps remain. Numerous studies concentrate on sectors outside of education, utilize small sample sizes, or employ descriptive methodologies that restrict causal inference. Furthermore, M&amp;E planning is frequently analyzed in a general manner without pinpointing its specific impact within education infrastructure projects, especially in the Kenyan context.Baseline studies are essential for establishing reference points to measure project progress. Empirical research presents mixed evidence regarding their effect on performance. In Kenya, Wambua and James (2019), Onyango and Pedo (2021), Njeru and Kirui (2022) found that baseline surveys considerably enhance education project outcomes by facilitating improved planning and performance assessment. Likewise, research in Ghana and Rwanda corroborates that thorough baseline evaluations boost adherence to timelines, cost efficiency, and user satisfaction (Kissi et al., 2019). However, other studies indicate weaker or inconsistent effects. For example, Gaibo and Mbugua (2019) reported that baseline studies had a limited impact on the execution of infrastructure projects in Marsabit County. Such inconsistencies may be attributed to differences in how baseline studies are operationalised or implemented. Further gaps include limited sectoral focus, reliance on cross-sectional designs, and insufficient exploration of baseline data quality. Most studies are also conducted outside the education infrastructure context, limiting their applicability to CBC projects in Kenya.</w:t>
      </w:r>
    </w:p>
    <w:p w14:paraId="7C332CED">
      <w:pPr>
        <w:jc w:val="both"/>
        <w:rPr>
          <w:rFonts w:ascii="Arial" w:hAnsi="Arial" w:cs="Arial"/>
        </w:rPr>
      </w:pPr>
    </w:p>
    <w:p w14:paraId="6C79AA05">
      <w:pPr>
        <w:jc w:val="both"/>
        <w:rPr>
          <w:rFonts w:ascii="Arial" w:hAnsi="Arial" w:cs="Arial"/>
          <w:highlight w:val="yellow"/>
        </w:rPr>
      </w:pPr>
      <w:r>
        <w:rPr>
          <w:rFonts w:ascii="Arial" w:hAnsi="Arial" w:cs="Arial"/>
        </w:rPr>
        <w:t xml:space="preserve">Stakeholder engagement is widely acknowledged as a crucial factor in determining project success. </w:t>
      </w:r>
      <w:r>
        <w:rPr>
          <w:rFonts w:ascii="Arial" w:hAnsi="Arial" w:cs="Arial"/>
          <w:highlight w:val="yellow"/>
        </w:rPr>
        <w:t>Emprical research across contexts</w:t>
      </w:r>
      <w:r>
        <w:rPr>
          <w:rFonts w:ascii="Arial" w:hAnsi="Arial" w:cs="Arial"/>
        </w:rPr>
        <w:t xml:space="preserve"> reveals that participatory M&amp;E improves project outcomes by enhancing transparency, accountability, and stakeholder ownership. In Kenya, research on the Constituency Development Fund (CDF) and infrastructure initiatives indicates that stakeholder involvement is a significant predictor of project performance (Abdi &amp; Kimutai, 2018; Mushori et al., 2020; Leariwala &amp; Kamau, 2021, Wanjohi &amp; Musembi, 2021). </w:t>
      </w:r>
      <w:r>
        <w:rPr>
          <w:rFonts w:ascii="Arial" w:hAnsi="Arial" w:cs="Arial"/>
          <w:highlight w:val="yellow"/>
        </w:rPr>
        <w:t xml:space="preserve">Further, </w:t>
      </w:r>
    </w:p>
    <w:p w14:paraId="5A213472">
      <w:pPr>
        <w:jc w:val="both"/>
        <w:rPr>
          <w:rFonts w:ascii="Arial" w:hAnsi="Arial" w:cs="Arial"/>
        </w:rPr>
      </w:pPr>
      <w:r>
        <w:rPr>
          <w:rFonts w:ascii="Arial" w:hAnsi="Arial" w:cs="Arial"/>
          <w:highlight w:val="yellow"/>
        </w:rPr>
        <w:t>Moegh (2023) on infrastructure projects in government-financed universities in Nairobi revealed that showing that project outcomes were explained strongly by participation of stakeholders.</w:t>
      </w:r>
      <w:r>
        <w:rPr>
          <w:rFonts w:ascii="Arial" w:hAnsi="Arial" w:cs="Arial"/>
        </w:rPr>
        <w:t xml:space="preserve"> The adoption of closed ended survey implied that additional qualitative data could not be sourced to support the quantitative data. Besides, the research was limited to projects in the context of public universities, and another study in public secondary schools would enhance generalisation.</w:t>
      </w:r>
    </w:p>
    <w:p w14:paraId="7B870388">
      <w:pPr>
        <w:jc w:val="both"/>
        <w:rPr>
          <w:rFonts w:ascii="Arial" w:hAnsi="Arial" w:cs="Arial"/>
        </w:rPr>
      </w:pPr>
    </w:p>
    <w:p w14:paraId="524F6C38">
      <w:pPr>
        <w:jc w:val="both"/>
        <w:rPr>
          <w:rFonts w:ascii="Arial" w:hAnsi="Arial" w:cs="Arial"/>
        </w:rPr>
      </w:pPr>
      <w:r>
        <w:rPr>
          <w:rFonts w:ascii="Arial" w:hAnsi="Arial" w:cs="Arial"/>
        </w:rPr>
        <w:t xml:space="preserve">Likewise, findings from Spain and Tanzania suggest that participatory M&amp;E promotes social learning, strengthens networks, and improves value-for-money results (Luján Soto et al., 2021; Mnyang’ali &amp; Mathia, 2026). Further studies in Kenya and Uganda corroborate that stakeholder participation enhances the timeliness, cost management, and sustainability of projects (Dakane &amp; Mutuku, 2023; Okullu et al., 2025). However, several limitations are apparent. Numerous studies utilize descriptive or cross-sectional methodologies, which restrict causal interpretations. </w:t>
      </w:r>
      <w:r>
        <w:rPr>
          <w:rFonts w:ascii="Arial" w:hAnsi="Arial" w:cs="Arial"/>
          <w:highlight w:val="yellow"/>
        </w:rPr>
        <w:t>Others view stakeholder participation as a broad concept, without distinguishing its specific dimensions related to M&amp;E. Additionally, most studies focus on sectors such as agriculture, transportation, or community development, with insufficient attention to education infrastructure projects.</w:t>
      </w:r>
    </w:p>
    <w:p w14:paraId="4BF77E61">
      <w:pPr>
        <w:jc w:val="both"/>
        <w:rPr>
          <w:rFonts w:ascii="Arial" w:hAnsi="Arial" w:cs="Arial"/>
        </w:rPr>
      </w:pPr>
    </w:p>
    <w:p w14:paraId="63D058A7">
      <w:pPr>
        <w:jc w:val="both"/>
        <w:rPr>
          <w:rFonts w:ascii="Arial" w:hAnsi="Arial" w:cs="Arial"/>
        </w:rPr>
      </w:pPr>
      <w:r>
        <w:rPr>
          <w:rFonts w:ascii="Arial" w:hAnsi="Arial" w:cs="Arial"/>
        </w:rPr>
        <w:t xml:space="preserve">Performance reviews serve as an essential feedback tool for enhancing project execution. Research indicates that consistent performance evaluations lead to improved project results by detecting discrepancies and facilitating corrective measures. Seng et al. (2019) discovered that regular evaluations enhance alignment with project goals and overall effectiveness. Likewise, research conducted in Kenya and Ghana demonstrates that performance evaluation </w:t>
      </w:r>
      <w:r>
        <w:rPr>
          <w:rFonts w:ascii="Arial" w:hAnsi="Arial" w:cs="Arial"/>
          <w:highlight w:val="yellow"/>
        </w:rPr>
        <w:t>processes positively affect timeliness,</w:t>
      </w:r>
      <w:r>
        <w:rPr>
          <w:rFonts w:ascii="Arial" w:hAnsi="Arial" w:cs="Arial"/>
        </w:rPr>
        <w:t xml:space="preserve"> stakeholder satisfaction, and decision-making (Koima &amp; Mukulu, 2020; Issifu &amp; Agyapong, 2023; Kirori &amp; Karanja, 2019). In the context of infrastructure projects, performance feedback mechanisms have been associated with better </w:t>
      </w:r>
      <w:r>
        <w:rPr>
          <w:rFonts w:ascii="Arial" w:hAnsi="Arial" w:cs="Arial"/>
          <w:highlight w:val="yellow"/>
        </w:rPr>
        <w:t>outcomes, driven by</w:t>
      </w:r>
      <w:r>
        <w:rPr>
          <w:rFonts w:ascii="Arial" w:hAnsi="Arial" w:cs="Arial"/>
        </w:rPr>
        <w:t xml:space="preserve"> increased accountability and adaptive management (Njoroge et al., 2021). </w:t>
      </w:r>
      <w:r>
        <w:rPr>
          <w:rFonts w:ascii="Arial" w:hAnsi="Arial" w:cs="Arial"/>
          <w:highlight w:val="yellow"/>
        </w:rPr>
        <w:t>Nevertheless, evidence suggests that performance evaluations are not always effectively implemented, especially in environments with limited resources</w:t>
      </w:r>
      <w:r>
        <w:rPr>
          <w:rFonts w:ascii="Arial" w:hAnsi="Arial" w:cs="Arial"/>
        </w:rPr>
        <w:t xml:space="preserve"> (Nyathi, 2021). Significant gaps exist, including a lack of longitudinal evidence regarding the lasting effects of performance evaluations and inadequate examination of contextual elements such as organizational culture and funding. </w:t>
      </w:r>
      <w:r>
        <w:rPr>
          <w:rFonts w:ascii="Arial" w:hAnsi="Arial" w:cs="Arial"/>
          <w:highlight w:val="yellow"/>
        </w:rPr>
        <w:t>Furthermore, most existing studies focus on sectors outside education, underscoring the need for research on CBC infrastructure projects.</w:t>
      </w:r>
    </w:p>
    <w:p w14:paraId="4AE5E1F3">
      <w:pPr>
        <w:pStyle w:val="27"/>
        <w:spacing w:after="0"/>
        <w:jc w:val="both"/>
        <w:rPr>
          <w:rFonts w:ascii="Arial" w:hAnsi="Arial" w:cs="Arial"/>
        </w:rPr>
      </w:pPr>
    </w:p>
    <w:p w14:paraId="7019F49A">
      <w:pPr>
        <w:pStyle w:val="27"/>
        <w:spacing w:after="0"/>
        <w:jc w:val="both"/>
        <w:rPr>
          <w:rFonts w:ascii="Arial" w:hAnsi="Arial" w:cs="Arial"/>
        </w:rPr>
      </w:pPr>
      <w:r>
        <w:rPr>
          <w:rFonts w:ascii="Arial" w:hAnsi="Arial" w:cs="Arial"/>
        </w:rPr>
        <w:t xml:space="preserve">3. methodology </w:t>
      </w:r>
    </w:p>
    <w:p w14:paraId="2EC9A32B">
      <w:pPr>
        <w:pStyle w:val="27"/>
        <w:spacing w:after="0"/>
        <w:jc w:val="both"/>
        <w:rPr>
          <w:rFonts w:ascii="Arial" w:hAnsi="Arial" w:cs="Arial"/>
        </w:rPr>
      </w:pPr>
    </w:p>
    <w:p w14:paraId="08857FC4">
      <w:pPr>
        <w:jc w:val="both"/>
        <w:rPr>
          <w:rFonts w:ascii="Arial" w:hAnsi="Arial" w:cs="Arial"/>
        </w:rPr>
      </w:pPr>
      <w:r>
        <w:rPr>
          <w:rFonts w:ascii="Arial" w:hAnsi="Arial" w:cs="Arial"/>
        </w:rPr>
        <w:t xml:space="preserve">This research utilized a descriptive research design. This design is suitable for detailing characteristics, behaviors, and phenomena as they occur in their natural environment (Crowther &amp; Lancaster, 2012). It allows for systematic observation and documentation of M&amp;E practices and project outcomes without altering any variables. The descriptive design is also appropriate when the researcher aims to evaluate relationships between variables (Kothari, 2004). </w:t>
      </w:r>
      <w:r>
        <w:rPr>
          <w:rFonts w:ascii="Arial" w:hAnsi="Arial" w:cs="Arial"/>
          <w:highlight w:val="yellow"/>
        </w:rPr>
        <w:t>This research investigated how M&amp;E practices correlate with the performance of Competency-Based Curriculum (CBC) infrastructure projects in Nairobi City County, Kenya, utilising indicators such as timeliness, cost efficiency, quality, and achievement of project objectives</w:t>
      </w:r>
      <w:r>
        <w:rPr>
          <w:rFonts w:ascii="Arial" w:hAnsi="Arial" w:cs="Arial"/>
        </w:rPr>
        <w:t>. The target population included all 101 CBC infrastructure projects executed in Nairobi City County from January 2021 to December 2023. These projects constituted the unit of analysis. The unit of observation comprised 101 public secondary school principals who managed the respective schools where the projects were carried out. These participants were deemed suitable due to their direct engagement in and understanding of M&amp;E processes and project implementation results.</w:t>
      </w:r>
    </w:p>
    <w:p w14:paraId="04833F33">
      <w:pPr>
        <w:jc w:val="both"/>
        <w:rPr>
          <w:rFonts w:ascii="Arial" w:hAnsi="Arial" w:cs="Arial"/>
        </w:rPr>
      </w:pPr>
    </w:p>
    <w:p w14:paraId="3A1C3576">
      <w:pPr>
        <w:jc w:val="both"/>
        <w:rPr>
          <w:rFonts w:ascii="Arial" w:hAnsi="Arial" w:cs="Arial"/>
        </w:rPr>
      </w:pPr>
      <w:r>
        <w:rPr>
          <w:rFonts w:ascii="Arial" w:hAnsi="Arial" w:cs="Arial"/>
          <w:highlight w:val="yellow"/>
        </w:rPr>
        <w:t>Given the relatively small and manageable population, a census approach was employed</w:t>
      </w:r>
      <w:r>
        <w:rPr>
          <w:rFonts w:ascii="Arial" w:hAnsi="Arial" w:cs="Arial"/>
        </w:rPr>
        <w:t>. All 101 CBC infrastructure projects and their associated school principals were incorporated into the study. This method is endorsed by Kothari (2004), who advocates for a census when the population size is small enough to permit complete coverage, thus eliminating sampling error and improving representativeness. Primary data were gathered through semi-structured questionnaires. The questionnaires were distributed to school principals and included both closed-ended and open-ended questions. The structured section utilized a 5-point Likert scale to assess M&amp;E practices and project performance, while open-ended questions allowed respondents to offer additional qualitative insights.</w:t>
      </w:r>
    </w:p>
    <w:p w14:paraId="673BB09A">
      <w:pPr>
        <w:jc w:val="both"/>
        <w:rPr>
          <w:rFonts w:ascii="Arial" w:hAnsi="Arial" w:cs="Arial"/>
        </w:rPr>
      </w:pPr>
    </w:p>
    <w:p w14:paraId="26C2E92F">
      <w:pPr>
        <w:jc w:val="both"/>
        <w:rPr>
          <w:rFonts w:ascii="Arial" w:hAnsi="Arial" w:cs="Arial"/>
        </w:rPr>
      </w:pPr>
      <w:r>
        <w:rPr>
          <w:rFonts w:ascii="Arial" w:hAnsi="Arial" w:cs="Arial"/>
        </w:rPr>
        <w:t xml:space="preserve">Validity was evaluated </w:t>
      </w:r>
      <w:r>
        <w:rPr>
          <w:rFonts w:ascii="Arial" w:hAnsi="Arial" w:cs="Arial"/>
          <w:highlight w:val="yellow"/>
        </w:rPr>
        <w:t>on the basis of</w:t>
      </w:r>
      <w:r>
        <w:rPr>
          <w:rFonts w:ascii="Arial" w:hAnsi="Arial" w:cs="Arial"/>
        </w:rPr>
        <w:t xml:space="preserve"> both face and content validity. Content validity ensured that the items in the questionnaire effectively captured the constructs being studied, while face validity examined the clarity and relevance of the items as assessed by experts and respondents (Cohen et al., 2017). Project management specialists reviewed the instruments, and insights from the pilot study were utilized to enhance the tools. Reliability was evaluated through internal consistency measures. </w:t>
      </w:r>
      <w:r>
        <w:rPr>
          <w:rFonts w:ascii="Arial" w:hAnsi="Arial" w:cs="Arial"/>
          <w:highlight w:val="yellow"/>
        </w:rPr>
        <w:t>Cronbach’s alpha was used to assess the consistency of questionnaire items measuring the same constructs, with a threshold of 0.70 deemed acceptable (Marvasti, 2018). Reliability ensured consistent measurement across repeated uses of the instrument.</w:t>
      </w:r>
    </w:p>
    <w:p w14:paraId="0DF42E5A">
      <w:pPr>
        <w:jc w:val="both"/>
        <w:rPr>
          <w:rFonts w:ascii="Arial" w:hAnsi="Arial" w:cs="Arial"/>
        </w:rPr>
      </w:pPr>
    </w:p>
    <w:p w14:paraId="7B3FA05B">
      <w:pPr>
        <w:jc w:val="both"/>
        <w:rPr>
          <w:rFonts w:ascii="Arial" w:hAnsi="Arial" w:cs="Arial"/>
        </w:rPr>
      </w:pPr>
      <w:r>
        <w:rPr>
          <w:rFonts w:ascii="Arial" w:hAnsi="Arial" w:cs="Arial"/>
          <w:highlight w:val="yellow"/>
        </w:rPr>
        <w:t>Data collection began after receiving authorization from the University Graduate School and  research permit from the National Commission for Science, Technology and Innovation (NACOSTI).</w:t>
      </w:r>
      <w:r>
        <w:rPr>
          <w:rFonts w:ascii="Arial" w:hAnsi="Arial" w:cs="Arial"/>
        </w:rPr>
        <w:t xml:space="preserve"> </w:t>
      </w:r>
      <w:r>
        <w:rPr>
          <w:rFonts w:ascii="Arial" w:hAnsi="Arial" w:cs="Arial"/>
          <w:highlight w:val="yellow"/>
        </w:rPr>
        <w:t>Moreover, the participation of the respondents was entirely voluntary, allowing them to withdraw from the study at any point without facing any consequences. The study upheld confidentiality by handling the data with the highest level of discretion it warrants. Furthermore, to maintain anonymity, personal details that could potentially identify an individual, such as names and identification numbers, were not collected. Schools were visited to inform respondents about the study's purpose and ethical considerations.</w:t>
      </w:r>
      <w:r>
        <w:rPr>
          <w:rFonts w:ascii="Arial" w:hAnsi="Arial" w:cs="Arial"/>
        </w:rPr>
        <w:t xml:space="preserve"> Questionnaires were distributed using a drop-and-pick-later method, allowing respondents five days to complete them. Follow-up was </w:t>
      </w:r>
      <w:r>
        <w:rPr>
          <w:rFonts w:ascii="Arial" w:hAnsi="Arial" w:cs="Arial"/>
          <w:highlight w:val="yellow"/>
        </w:rPr>
        <w:t>conducted by</w:t>
      </w:r>
      <w:r>
        <w:rPr>
          <w:rFonts w:ascii="Arial" w:hAnsi="Arial" w:cs="Arial"/>
        </w:rPr>
        <w:t xml:space="preserve"> telephone and email. Quantitative data were coded and analyzed using the </w:t>
      </w:r>
      <w:r>
        <w:rPr>
          <w:rFonts w:ascii="Arial" w:hAnsi="Arial" w:cs="Arial"/>
          <w:highlight w:val="yellow"/>
        </w:rPr>
        <w:t>Statistical Package for Social Sciences (SPSS) version 25.</w:t>
      </w:r>
      <w:r>
        <w:rPr>
          <w:rFonts w:ascii="Arial" w:hAnsi="Arial" w:cs="Arial"/>
        </w:rPr>
        <w:t xml:space="preserve"> Descriptive statistics, including frequencies, percentages, means, and standard deviations, were employed to summarize the data. </w:t>
      </w:r>
      <w:r>
        <w:rPr>
          <w:rFonts w:ascii="Arial" w:hAnsi="Arial" w:cs="Arial"/>
          <w:highlight w:val="yellow"/>
        </w:rPr>
        <w:t>Inferential analysis used Pearson's correlation and multiple regression to examine the relationship between M&amp;E practices and project performance.</w:t>
      </w:r>
      <w:r>
        <w:rPr>
          <w:rFonts w:ascii="Arial" w:hAnsi="Arial" w:cs="Arial"/>
        </w:rPr>
        <w:t xml:space="preserve"> The study employed a multiple linear regression model to examine the effect of M&amp;E practices on the performance of CBC infrastructure projects:</w:t>
      </w:r>
    </w:p>
    <w:p w14:paraId="52F7B998">
      <w:pPr>
        <w:rPr>
          <w:rFonts w:ascii="Arial" w:hAnsi="Arial" w:cs="Arial"/>
        </w:rPr>
      </w:pPr>
      <m:oMathPara>
        <m:oMath>
          <m:r>
            <m:rPr/>
            <w:rPr>
              <w:rFonts w:ascii="Cambria Math" w:hAnsi="Cambria Math" w:cs="Arial"/>
            </w:rPr>
            <m:t>Y=</m:t>
          </m:r>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0</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1</m:t>
              </m:r>
              <m:ctrlPr>
                <w:rPr>
                  <w:rFonts w:ascii="Cambria Math" w:hAnsi="Cambria Math" w:cs="Arial"/>
                </w:rPr>
              </m:ctrlPr>
            </m:sub>
          </m:sSub>
          <m:sSub>
            <m:sSubPr>
              <m:ctrlPr>
                <w:rPr>
                  <w:rFonts w:ascii="Cambria Math" w:hAnsi="Cambria Math" w:cs="Arial"/>
                </w:rPr>
              </m:ctrlPr>
            </m:sSubPr>
            <m:e>
              <m:r>
                <m:rPr/>
                <w:rPr>
                  <w:rFonts w:ascii="Cambria Math" w:hAnsi="Cambria Math" w:cs="Arial"/>
                </w:rPr>
                <m:t>X</m:t>
              </m:r>
              <m:ctrlPr>
                <w:rPr>
                  <w:rFonts w:ascii="Cambria Math" w:hAnsi="Cambria Math" w:cs="Arial"/>
                </w:rPr>
              </m:ctrlPr>
            </m:e>
            <m:sub>
              <m:r>
                <m:rPr/>
                <w:rPr>
                  <w:rFonts w:ascii="Cambria Math" w:hAnsi="Cambria Math" w:cs="Arial"/>
                </w:rPr>
                <m:t>1</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2</m:t>
              </m:r>
              <m:ctrlPr>
                <w:rPr>
                  <w:rFonts w:ascii="Cambria Math" w:hAnsi="Cambria Math" w:cs="Arial"/>
                </w:rPr>
              </m:ctrlPr>
            </m:sub>
          </m:sSub>
          <m:sSub>
            <m:sSubPr>
              <m:ctrlPr>
                <w:rPr>
                  <w:rFonts w:ascii="Cambria Math" w:hAnsi="Cambria Math" w:cs="Arial"/>
                </w:rPr>
              </m:ctrlPr>
            </m:sSubPr>
            <m:e>
              <m:r>
                <m:rPr/>
                <w:rPr>
                  <w:rFonts w:ascii="Cambria Math" w:hAnsi="Cambria Math" w:cs="Arial"/>
                </w:rPr>
                <m:t>X</m:t>
              </m:r>
              <m:ctrlPr>
                <w:rPr>
                  <w:rFonts w:ascii="Cambria Math" w:hAnsi="Cambria Math" w:cs="Arial"/>
                </w:rPr>
              </m:ctrlPr>
            </m:e>
            <m:sub>
              <m:r>
                <m:rPr/>
                <w:rPr>
                  <w:rFonts w:ascii="Cambria Math" w:hAnsi="Cambria Math" w:cs="Arial"/>
                </w:rPr>
                <m:t>2</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3</m:t>
              </m:r>
              <m:ctrlPr>
                <w:rPr>
                  <w:rFonts w:ascii="Cambria Math" w:hAnsi="Cambria Math" w:cs="Arial"/>
                </w:rPr>
              </m:ctrlPr>
            </m:sub>
          </m:sSub>
          <m:sSub>
            <m:sSubPr>
              <m:ctrlPr>
                <w:rPr>
                  <w:rFonts w:ascii="Cambria Math" w:hAnsi="Cambria Math" w:cs="Arial"/>
                </w:rPr>
              </m:ctrlPr>
            </m:sSubPr>
            <m:e>
              <m:r>
                <m:rPr/>
                <w:rPr>
                  <w:rFonts w:ascii="Cambria Math" w:hAnsi="Cambria Math" w:cs="Arial"/>
                </w:rPr>
                <m:t>X</m:t>
              </m:r>
              <m:ctrlPr>
                <w:rPr>
                  <w:rFonts w:ascii="Cambria Math" w:hAnsi="Cambria Math" w:cs="Arial"/>
                </w:rPr>
              </m:ctrlPr>
            </m:e>
            <m:sub>
              <m:r>
                <m:rPr/>
                <w:rPr>
                  <w:rFonts w:ascii="Cambria Math" w:hAnsi="Cambria Math" w:cs="Arial"/>
                </w:rPr>
                <m:t>3</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4</m:t>
              </m:r>
              <m:ctrlPr>
                <w:rPr>
                  <w:rFonts w:ascii="Cambria Math" w:hAnsi="Cambria Math" w:cs="Arial"/>
                </w:rPr>
              </m:ctrlPr>
            </m:sub>
          </m:sSub>
          <m:sSub>
            <m:sSubPr>
              <m:ctrlPr>
                <w:rPr>
                  <w:rFonts w:ascii="Cambria Math" w:hAnsi="Cambria Math" w:cs="Arial"/>
                </w:rPr>
              </m:ctrlPr>
            </m:sSubPr>
            <m:e>
              <m:r>
                <m:rPr/>
                <w:rPr>
                  <w:rFonts w:ascii="Cambria Math" w:hAnsi="Cambria Math" w:cs="Arial"/>
                </w:rPr>
                <m:t>X</m:t>
              </m:r>
              <m:ctrlPr>
                <w:rPr>
                  <w:rFonts w:ascii="Cambria Math" w:hAnsi="Cambria Math" w:cs="Arial"/>
                </w:rPr>
              </m:ctrlPr>
            </m:e>
            <m:sub>
              <m:r>
                <m:rPr/>
                <w:rPr>
                  <w:rFonts w:ascii="Cambria Math" w:hAnsi="Cambria Math" w:cs="Arial"/>
                </w:rPr>
                <m:t>4</m:t>
              </m:r>
              <m:ctrlPr>
                <w:rPr>
                  <w:rFonts w:ascii="Cambria Math" w:hAnsi="Cambria Math" w:cs="Arial"/>
                </w:rPr>
              </m:ctrlPr>
            </m:sub>
          </m:sSub>
          <m:r>
            <m:rPr/>
            <w:rPr>
              <w:rFonts w:ascii="Cambria Math" w:hAnsi="Cambria Math" w:cs="Arial"/>
            </w:rPr>
            <m:t>+ε</m:t>
          </m:r>
          <m:r>
            <m:rPr>
              <m:sty m:val="p"/>
            </m:rPr>
            <w:rPr>
              <w:rFonts w:ascii="Cambria Math" w:hAnsi="Cambria Math" w:cs="Arial"/>
            </w:rPr>
            <w:br w:type="textWrapping"/>
          </m:r>
        </m:oMath>
      </m:oMathPara>
    </w:p>
    <w:p w14:paraId="0497E3D9">
      <w:pPr>
        <w:jc w:val="both"/>
        <w:rPr>
          <w:rFonts w:ascii="Arial" w:hAnsi="Arial" w:cs="Arial"/>
        </w:rPr>
      </w:pPr>
      <w:r>
        <w:rPr>
          <w:rFonts w:ascii="Arial" w:hAnsi="Arial" w:cs="Arial"/>
          <w:highlight w:val="yellow"/>
        </w:rPr>
        <w:t xml:space="preserve">Where: </w:t>
      </w:r>
      <m:oMath>
        <m:r>
          <m:rPr/>
          <w:rPr>
            <w:rFonts w:ascii="Cambria Math" w:hAnsi="Cambria Math" w:cs="Arial"/>
            <w:highlight w:val="yellow"/>
          </w:rPr>
          <m:t>Y</m:t>
        </m:r>
      </m:oMath>
      <w:r>
        <w:rPr>
          <w:rFonts w:ascii="Arial" w:hAnsi="Arial" w:cs="Arial"/>
          <w:highlight w:val="yellow"/>
        </w:rPr>
        <w:t xml:space="preserve">= Performance of CBC infrastructure projects, </w:t>
      </w:r>
      <m:oMath>
        <m:sSub>
          <m:sSubPr>
            <m:ctrlPr>
              <w:rPr>
                <w:rFonts w:ascii="Cambria Math" w:hAnsi="Cambria Math" w:cs="Arial"/>
                <w:highlight w:val="yellow"/>
              </w:rPr>
            </m:ctrlPr>
          </m:sSubPr>
          <m:e>
            <m:r>
              <m:rPr/>
              <w:rPr>
                <w:rFonts w:ascii="Cambria Math" w:hAnsi="Cambria Math" w:cs="Arial"/>
                <w:highlight w:val="yellow"/>
              </w:rPr>
              <m:t>X</m:t>
            </m:r>
            <m:ctrlPr>
              <w:rPr>
                <w:rFonts w:ascii="Cambria Math" w:hAnsi="Cambria Math" w:cs="Arial"/>
                <w:highlight w:val="yellow"/>
              </w:rPr>
            </m:ctrlPr>
          </m:e>
          <m:sub>
            <m:r>
              <m:rPr/>
              <w:rPr>
                <w:rFonts w:ascii="Cambria Math" w:hAnsi="Cambria Math" w:cs="Arial"/>
                <w:highlight w:val="yellow"/>
              </w:rPr>
              <m:t>1</m:t>
            </m:r>
            <m:ctrlPr>
              <w:rPr>
                <w:rFonts w:ascii="Cambria Math" w:hAnsi="Cambria Math" w:cs="Arial"/>
                <w:highlight w:val="yellow"/>
              </w:rPr>
            </m:ctrlPr>
          </m:sub>
        </m:sSub>
      </m:oMath>
      <w:r>
        <w:rPr>
          <w:rFonts w:ascii="Arial" w:hAnsi="Arial" w:cs="Arial"/>
          <w:highlight w:val="yellow"/>
        </w:rPr>
        <w:t xml:space="preserve">= M&amp;E planning, </w:t>
      </w:r>
      <m:oMath>
        <m:sSub>
          <m:sSubPr>
            <m:ctrlPr>
              <w:rPr>
                <w:rFonts w:ascii="Cambria Math" w:hAnsi="Cambria Math" w:cs="Arial"/>
                <w:highlight w:val="yellow"/>
              </w:rPr>
            </m:ctrlPr>
          </m:sSubPr>
          <m:e>
            <m:r>
              <m:rPr/>
              <w:rPr>
                <w:rFonts w:ascii="Cambria Math" w:hAnsi="Cambria Math" w:cs="Arial"/>
                <w:highlight w:val="yellow"/>
              </w:rPr>
              <m:t>X</m:t>
            </m:r>
            <m:ctrlPr>
              <w:rPr>
                <w:rFonts w:ascii="Cambria Math" w:hAnsi="Cambria Math" w:cs="Arial"/>
                <w:highlight w:val="yellow"/>
              </w:rPr>
            </m:ctrlPr>
          </m:e>
          <m:sub>
            <m:r>
              <m:rPr/>
              <w:rPr>
                <w:rFonts w:ascii="Cambria Math" w:hAnsi="Cambria Math" w:cs="Arial"/>
                <w:highlight w:val="yellow"/>
              </w:rPr>
              <m:t>2</m:t>
            </m:r>
            <m:ctrlPr>
              <w:rPr>
                <w:rFonts w:ascii="Cambria Math" w:hAnsi="Cambria Math" w:cs="Arial"/>
                <w:highlight w:val="yellow"/>
              </w:rPr>
            </m:ctrlPr>
          </m:sub>
        </m:sSub>
      </m:oMath>
      <w:r>
        <w:rPr>
          <w:rFonts w:ascii="Arial" w:hAnsi="Arial" w:cs="Arial"/>
          <w:highlight w:val="yellow"/>
        </w:rPr>
        <w:t xml:space="preserve">= M&amp;E baseline studies, </w:t>
      </w:r>
      <m:oMath>
        <m:sSub>
          <m:sSubPr>
            <m:ctrlPr>
              <w:rPr>
                <w:rFonts w:ascii="Cambria Math" w:hAnsi="Cambria Math" w:cs="Arial"/>
                <w:highlight w:val="yellow"/>
              </w:rPr>
            </m:ctrlPr>
          </m:sSubPr>
          <m:e>
            <m:r>
              <m:rPr/>
              <w:rPr>
                <w:rFonts w:ascii="Cambria Math" w:hAnsi="Cambria Math" w:cs="Arial"/>
                <w:highlight w:val="yellow"/>
              </w:rPr>
              <m:t>X</m:t>
            </m:r>
            <m:ctrlPr>
              <w:rPr>
                <w:rFonts w:ascii="Cambria Math" w:hAnsi="Cambria Math" w:cs="Arial"/>
                <w:highlight w:val="yellow"/>
              </w:rPr>
            </m:ctrlPr>
          </m:e>
          <m:sub>
            <m:r>
              <m:rPr/>
              <w:rPr>
                <w:rFonts w:ascii="Cambria Math" w:hAnsi="Cambria Math" w:cs="Arial"/>
                <w:highlight w:val="yellow"/>
              </w:rPr>
              <m:t>3</m:t>
            </m:r>
            <m:ctrlPr>
              <w:rPr>
                <w:rFonts w:ascii="Cambria Math" w:hAnsi="Cambria Math" w:cs="Arial"/>
                <w:highlight w:val="yellow"/>
              </w:rPr>
            </m:ctrlPr>
          </m:sub>
        </m:sSub>
      </m:oMath>
      <w:r>
        <w:rPr>
          <w:rFonts w:ascii="Arial" w:hAnsi="Arial" w:cs="Arial"/>
          <w:highlight w:val="yellow"/>
        </w:rPr>
        <w:t xml:space="preserve">= Stakeholder participation in M&amp;E, </w:t>
      </w:r>
      <m:oMath>
        <m:sSub>
          <m:sSubPr>
            <m:ctrlPr>
              <w:rPr>
                <w:rFonts w:ascii="Cambria Math" w:hAnsi="Cambria Math" w:cs="Arial"/>
                <w:highlight w:val="yellow"/>
              </w:rPr>
            </m:ctrlPr>
          </m:sSubPr>
          <m:e>
            <m:r>
              <m:rPr/>
              <w:rPr>
                <w:rFonts w:ascii="Cambria Math" w:hAnsi="Cambria Math" w:cs="Arial"/>
                <w:highlight w:val="yellow"/>
              </w:rPr>
              <m:t>X</m:t>
            </m:r>
            <m:ctrlPr>
              <w:rPr>
                <w:rFonts w:ascii="Cambria Math" w:hAnsi="Cambria Math" w:cs="Arial"/>
                <w:highlight w:val="yellow"/>
              </w:rPr>
            </m:ctrlPr>
          </m:e>
          <m:sub>
            <m:r>
              <m:rPr/>
              <w:rPr>
                <w:rFonts w:ascii="Cambria Math" w:hAnsi="Cambria Math" w:cs="Arial"/>
                <w:highlight w:val="yellow"/>
              </w:rPr>
              <m:t>4</m:t>
            </m:r>
            <m:ctrlPr>
              <w:rPr>
                <w:rFonts w:ascii="Cambria Math" w:hAnsi="Cambria Math" w:cs="Arial"/>
                <w:highlight w:val="yellow"/>
              </w:rPr>
            </m:ctrlPr>
          </m:sub>
        </m:sSub>
      </m:oMath>
      <w:r>
        <w:rPr>
          <w:rFonts w:ascii="Arial" w:hAnsi="Arial" w:cs="Arial"/>
          <w:highlight w:val="yellow"/>
        </w:rPr>
        <w:t xml:space="preserve">= M&amp;E performance reviews, </w:t>
      </w:r>
      <m:oMath>
        <m:sSub>
          <m:sSubPr>
            <m:ctrlPr>
              <w:rPr>
                <w:rFonts w:ascii="Cambria Math" w:hAnsi="Cambria Math" w:cs="Arial"/>
                <w:highlight w:val="yellow"/>
              </w:rPr>
            </m:ctrlPr>
          </m:sSubPr>
          <m:e>
            <m:r>
              <m:rPr/>
              <w:rPr>
                <w:rFonts w:ascii="Cambria Math" w:hAnsi="Cambria Math" w:cs="Arial"/>
                <w:highlight w:val="yellow"/>
              </w:rPr>
              <m:t>β</m:t>
            </m:r>
            <m:ctrlPr>
              <w:rPr>
                <w:rFonts w:ascii="Cambria Math" w:hAnsi="Cambria Math" w:cs="Arial"/>
                <w:highlight w:val="yellow"/>
              </w:rPr>
            </m:ctrlPr>
          </m:e>
          <m:sub>
            <m:r>
              <m:rPr/>
              <w:rPr>
                <w:rFonts w:ascii="Cambria Math" w:hAnsi="Cambria Math" w:cs="Arial"/>
                <w:highlight w:val="yellow"/>
              </w:rPr>
              <m:t>0</m:t>
            </m:r>
            <m:ctrlPr>
              <w:rPr>
                <w:rFonts w:ascii="Cambria Math" w:hAnsi="Cambria Math" w:cs="Arial"/>
                <w:highlight w:val="yellow"/>
              </w:rPr>
            </m:ctrlPr>
          </m:sub>
        </m:sSub>
      </m:oMath>
      <w:r>
        <w:rPr>
          <w:rFonts w:ascii="Arial" w:hAnsi="Arial" w:cs="Arial"/>
          <w:highlight w:val="yellow"/>
        </w:rPr>
        <w:t xml:space="preserve">= Constant </w:t>
      </w:r>
      <m:oMath>
        <m:sSub>
          <m:sSubPr>
            <m:ctrlPr>
              <w:rPr>
                <w:rFonts w:ascii="Cambria Math" w:hAnsi="Cambria Math" w:cs="Arial"/>
                <w:highlight w:val="yellow"/>
              </w:rPr>
            </m:ctrlPr>
          </m:sSubPr>
          <m:e>
            <m:r>
              <m:rPr/>
              <w:rPr>
                <w:rFonts w:ascii="Cambria Math" w:hAnsi="Cambria Math" w:cs="Arial"/>
                <w:highlight w:val="yellow"/>
              </w:rPr>
              <m:t>β</m:t>
            </m:r>
            <m:ctrlPr>
              <w:rPr>
                <w:rFonts w:ascii="Cambria Math" w:hAnsi="Cambria Math" w:cs="Arial"/>
                <w:highlight w:val="yellow"/>
              </w:rPr>
            </m:ctrlPr>
          </m:e>
          <m:sub>
            <m:r>
              <m:rPr/>
              <w:rPr>
                <w:rFonts w:ascii="Cambria Math" w:hAnsi="Cambria Math" w:cs="Arial"/>
                <w:highlight w:val="yellow"/>
              </w:rPr>
              <m:t>1</m:t>
            </m:r>
            <m:ctrlPr>
              <w:rPr>
                <w:rFonts w:ascii="Cambria Math" w:hAnsi="Cambria Math" w:cs="Arial"/>
                <w:highlight w:val="yellow"/>
              </w:rPr>
            </m:ctrlPr>
          </m:sub>
        </m:sSub>
        <m:r>
          <m:rPr/>
          <w:rPr>
            <w:rFonts w:ascii="Cambria Math" w:hAnsi="Cambria Math" w:cs="Arial"/>
            <w:highlight w:val="yellow"/>
          </w:rPr>
          <m:t>−</m:t>
        </m:r>
        <m:sSub>
          <m:sSubPr>
            <m:ctrlPr>
              <w:rPr>
                <w:rFonts w:ascii="Cambria Math" w:hAnsi="Cambria Math" w:cs="Arial"/>
                <w:highlight w:val="yellow"/>
              </w:rPr>
            </m:ctrlPr>
          </m:sSubPr>
          <m:e>
            <m:r>
              <m:rPr/>
              <w:rPr>
                <w:rFonts w:ascii="Cambria Math" w:hAnsi="Cambria Math" w:cs="Arial"/>
                <w:highlight w:val="yellow"/>
              </w:rPr>
              <m:t>β</m:t>
            </m:r>
            <m:ctrlPr>
              <w:rPr>
                <w:rFonts w:ascii="Cambria Math" w:hAnsi="Cambria Math" w:cs="Arial"/>
                <w:highlight w:val="yellow"/>
              </w:rPr>
            </m:ctrlPr>
          </m:e>
          <m:sub>
            <m:r>
              <m:rPr/>
              <w:rPr>
                <w:rFonts w:ascii="Cambria Math" w:hAnsi="Cambria Math" w:cs="Arial"/>
                <w:highlight w:val="yellow"/>
              </w:rPr>
              <m:t>4</m:t>
            </m:r>
            <m:ctrlPr>
              <w:rPr>
                <w:rFonts w:ascii="Cambria Math" w:hAnsi="Cambria Math" w:cs="Arial"/>
                <w:highlight w:val="yellow"/>
              </w:rPr>
            </m:ctrlPr>
          </m:sub>
        </m:sSub>
      </m:oMath>
      <w:r>
        <w:rPr>
          <w:rFonts w:ascii="Arial" w:hAnsi="Arial" w:cs="Arial"/>
          <w:highlight w:val="yellow"/>
        </w:rPr>
        <w:t xml:space="preserve">= Regression coefficients and </w:t>
      </w:r>
      <m:oMath>
        <m:r>
          <m:rPr/>
          <w:rPr>
            <w:rFonts w:ascii="Cambria Math" w:hAnsi="Cambria Math" w:cs="Arial"/>
            <w:highlight w:val="yellow"/>
          </w:rPr>
          <m:t>ε</m:t>
        </m:r>
      </m:oMath>
      <w:r>
        <w:rPr>
          <w:rFonts w:ascii="Arial" w:hAnsi="Arial" w:cs="Arial"/>
          <w:highlight w:val="yellow"/>
        </w:rPr>
        <w:t>= Error term.</w:t>
      </w:r>
    </w:p>
    <w:p w14:paraId="520CB753">
      <w:pPr>
        <w:rPr>
          <w:rFonts w:ascii="Arial" w:hAnsi="Arial" w:cs="Arial"/>
        </w:rPr>
      </w:pPr>
    </w:p>
    <w:p w14:paraId="4CE1CD88">
      <w:pPr>
        <w:pStyle w:val="26"/>
        <w:spacing w:after="0"/>
        <w:rPr>
          <w:rFonts w:ascii="Arial" w:hAnsi="Arial" w:cs="Arial"/>
        </w:rPr>
      </w:pPr>
    </w:p>
    <w:p w14:paraId="0D96C735">
      <w:pPr>
        <w:pStyle w:val="38"/>
        <w:spacing w:after="0"/>
        <w:jc w:val="both"/>
        <w:rPr>
          <w:rFonts w:ascii="Arial" w:hAnsi="Arial" w:cs="Arial"/>
        </w:rPr>
      </w:pPr>
      <w:r>
        <w:rPr>
          <w:rFonts w:ascii="Arial" w:hAnsi="Arial" w:cs="Arial"/>
        </w:rPr>
        <w:t>4. results and discussion</w:t>
      </w:r>
    </w:p>
    <w:p w14:paraId="6C64E5D6">
      <w:pPr>
        <w:pStyle w:val="38"/>
        <w:spacing w:after="0"/>
        <w:jc w:val="both"/>
        <w:rPr>
          <w:rFonts w:ascii="Arial" w:hAnsi="Arial" w:cs="Arial"/>
        </w:rPr>
      </w:pPr>
    </w:p>
    <w:p w14:paraId="75D23BAC">
      <w:pPr>
        <w:rPr>
          <w:rFonts w:ascii="Arial" w:hAnsi="Arial" w:cs="Arial"/>
          <w:b/>
          <w:bCs/>
          <w:sz w:val="22"/>
          <w:szCs w:val="22"/>
        </w:rPr>
      </w:pPr>
      <w:r>
        <w:rPr>
          <w:rFonts w:ascii="Arial" w:hAnsi="Arial" w:cs="Arial"/>
          <w:b/>
          <w:bCs/>
          <w:sz w:val="22"/>
          <w:szCs w:val="22"/>
        </w:rPr>
        <w:t xml:space="preserve">4.1 Introduction </w:t>
      </w:r>
    </w:p>
    <w:p w14:paraId="500548AA">
      <w:pPr>
        <w:jc w:val="both"/>
        <w:rPr>
          <w:rFonts w:ascii="Arial" w:hAnsi="Arial" w:cs="Arial"/>
        </w:rPr>
      </w:pPr>
      <w:r>
        <w:rPr>
          <w:rFonts w:ascii="Arial" w:hAnsi="Arial" w:cs="Arial"/>
        </w:rPr>
        <w:t xml:space="preserve">The empirical study distributed 101 questionnaires to principals of various public secondary schools in Nairobi City County, where competency-based curriculum infrastructure projects were implemented. </w:t>
      </w:r>
      <w:r>
        <w:rPr>
          <w:rFonts w:ascii="Arial" w:hAnsi="Arial" w:cs="Arial"/>
          <w:highlight w:val="yellow"/>
        </w:rPr>
        <w:t>Of the total distributed, 79 were returned with complete responses, yielding a response rate of 78.2% (Table 1), surpassing the 70% threshold and ensuring the representativeness of the collected data (Mugenda &amp; Mugenda, 2003).</w:t>
      </w:r>
      <w:r>
        <w:rPr>
          <w:rFonts w:ascii="Arial" w:hAnsi="Arial" w:cs="Arial"/>
        </w:rPr>
        <w:t xml:space="preserve"> It was determined that the data were sufficient for analysis and reporting. Additionally, an interview was conducted with 8 sub-county directors of education in Nairobi County. This number was determined based on saturation, as further interviews did not provide new insights. </w:t>
      </w:r>
      <w:r>
        <w:rPr>
          <w:rFonts w:ascii="Arial" w:hAnsi="Arial" w:cs="Arial"/>
          <w:highlight w:val="yellow"/>
        </w:rPr>
        <w:t xml:space="preserve">Further, </w:t>
      </w:r>
      <w:r>
        <w:rPr>
          <w:highlight w:val="yellow"/>
        </w:rPr>
        <w:t>Cronbach's alpha was adopted to examine the internal consistency of the data sourcing tool, with the minimum set at 0.7 (Mugenda &amp; Mugenda, 2003). All the study constructs were reliable, given that the Cronbach alpha was greater than 0.7: M&amp;E planning (0.895), M&amp;E Baseline Studies (0.941), Stakeholder Participation in M&amp;E (0.895), M&amp;E performance reviews (0.885) and Project Performance (0.925).</w:t>
      </w:r>
      <w:r>
        <w:t xml:space="preserve"> </w:t>
      </w:r>
    </w:p>
    <w:p w14:paraId="75C17B38"/>
    <w:p w14:paraId="09B0EA50">
      <w:pPr>
        <w:jc w:val="both"/>
        <w:rPr>
          <w:rFonts w:ascii="Arial" w:hAnsi="Arial" w:cs="Arial"/>
          <w:b/>
          <w:bCs/>
          <w:sz w:val="22"/>
          <w:szCs w:val="22"/>
        </w:rPr>
      </w:pPr>
      <w:r>
        <w:rPr>
          <w:rFonts w:ascii="Arial" w:hAnsi="Arial" w:cs="Arial"/>
          <w:b/>
          <w:bCs/>
          <w:sz w:val="22"/>
          <w:szCs w:val="22"/>
        </w:rPr>
        <w:t xml:space="preserve">4.2 Descriptive Analysis </w:t>
      </w:r>
    </w:p>
    <w:p w14:paraId="6319C3EB">
      <w:pPr>
        <w:jc w:val="both"/>
        <w:rPr>
          <w:rFonts w:ascii="Arial" w:hAnsi="Arial" w:cs="Arial"/>
        </w:rPr>
      </w:pPr>
      <w:r>
        <w:rPr>
          <w:rFonts w:ascii="Arial" w:hAnsi="Arial" w:cs="Arial"/>
        </w:rPr>
        <w:t xml:space="preserve">Descriptive statistics were employed to analyse the distribution of the study variables. The descriptive statistical analysis utilised percentages, mean and standard deviation. The section has been organised by study variables. </w:t>
      </w:r>
      <w:r>
        <w:rPr>
          <w:rFonts w:ascii="Arial" w:hAnsi="Arial" w:cs="Arial"/>
          <w:highlight w:val="yellow"/>
        </w:rPr>
        <w:t>The study used a 5-point Likert scale to evaluate statements about M&amp;E practices. The analysis used µ and σ. The study then computed the overall mean and standard deviation for each construct, as presented in Table 1.</w:t>
      </w:r>
      <w:r>
        <w:rPr>
          <w:rFonts w:ascii="Arial" w:hAnsi="Arial" w:cs="Arial"/>
        </w:rPr>
        <w:t xml:space="preserve"> </w:t>
      </w:r>
    </w:p>
    <w:p w14:paraId="6E7E0BCC">
      <w:pPr>
        <w:jc w:val="both"/>
        <w:rPr>
          <w:rFonts w:ascii="Arial" w:hAnsi="Arial" w:cs="Arial"/>
        </w:rPr>
      </w:pPr>
    </w:p>
    <w:p w14:paraId="749793DB">
      <w:pPr>
        <w:jc w:val="both"/>
        <w:rPr>
          <w:rFonts w:ascii="Arial" w:hAnsi="Arial" w:cs="Arial"/>
          <w:b/>
          <w:bCs/>
        </w:rPr>
      </w:pPr>
      <w:r>
        <w:rPr>
          <w:rFonts w:ascii="Arial" w:hAnsi="Arial" w:cs="Arial"/>
          <w:b/>
          <w:bCs/>
        </w:rPr>
        <w:t xml:space="preserve">Table 1: Overall mean and standard deviation of the study constructs  </w:t>
      </w:r>
    </w:p>
    <w:tbl>
      <w:tblPr>
        <w:tblStyle w:val="2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65"/>
        <w:gridCol w:w="1554"/>
        <w:gridCol w:w="2705"/>
      </w:tblGrid>
      <w:tr w14:paraId="707B55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Borders>
              <w:top w:val="single" w:color="auto" w:sz="4" w:space="0"/>
              <w:bottom w:val="single" w:color="auto" w:sz="4" w:space="0"/>
            </w:tcBorders>
          </w:tcPr>
          <w:p w14:paraId="76103769">
            <w:pPr>
              <w:jc w:val="both"/>
              <w:rPr>
                <w:rFonts w:ascii="Arial" w:hAnsi="Arial" w:eastAsia="Calibri" w:cs="Arial"/>
                <w:sz w:val="20"/>
                <w:szCs w:val="20"/>
              </w:rPr>
            </w:pPr>
            <w:r>
              <w:rPr>
                <w:rFonts w:ascii="Arial" w:hAnsi="Arial" w:eastAsia="Calibri" w:cs="Arial"/>
                <w:sz w:val="20"/>
                <w:szCs w:val="20"/>
              </w:rPr>
              <w:t xml:space="preserve">Constructs </w:t>
            </w:r>
          </w:p>
        </w:tc>
        <w:tc>
          <w:tcPr>
            <w:tcW w:w="1710" w:type="dxa"/>
            <w:tcBorders>
              <w:top w:val="single" w:color="auto" w:sz="4" w:space="0"/>
              <w:bottom w:val="single" w:color="auto" w:sz="4" w:space="0"/>
            </w:tcBorders>
          </w:tcPr>
          <w:p w14:paraId="672AA4EA">
            <w:pPr>
              <w:jc w:val="both"/>
              <w:rPr>
                <w:rFonts w:ascii="Arial" w:hAnsi="Arial" w:eastAsia="Calibri" w:cs="Arial"/>
                <w:sz w:val="20"/>
                <w:szCs w:val="20"/>
              </w:rPr>
            </w:pPr>
            <w:r>
              <w:rPr>
                <w:rFonts w:ascii="Arial" w:hAnsi="Arial" w:eastAsia="Calibri" w:cs="Arial"/>
                <w:sz w:val="20"/>
                <w:szCs w:val="20"/>
              </w:rPr>
              <w:t xml:space="preserve">Overall Mean </w:t>
            </w:r>
          </w:p>
        </w:tc>
        <w:tc>
          <w:tcPr>
            <w:tcW w:w="3078" w:type="dxa"/>
            <w:tcBorders>
              <w:top w:val="single" w:color="auto" w:sz="4" w:space="0"/>
              <w:bottom w:val="single" w:color="auto" w:sz="4" w:space="0"/>
            </w:tcBorders>
          </w:tcPr>
          <w:p w14:paraId="6A0582E4">
            <w:pPr>
              <w:jc w:val="both"/>
              <w:rPr>
                <w:rFonts w:ascii="Arial" w:hAnsi="Arial" w:eastAsia="Calibri" w:cs="Arial"/>
                <w:sz w:val="20"/>
                <w:szCs w:val="20"/>
              </w:rPr>
            </w:pPr>
            <w:r>
              <w:rPr>
                <w:rFonts w:ascii="Arial" w:hAnsi="Arial" w:eastAsia="Calibri" w:cs="Arial"/>
                <w:sz w:val="20"/>
                <w:szCs w:val="20"/>
              </w:rPr>
              <w:t xml:space="preserve">Overall Standard deviation </w:t>
            </w:r>
          </w:p>
        </w:tc>
      </w:tr>
      <w:tr w14:paraId="11F046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Borders>
              <w:top w:val="single" w:color="auto" w:sz="4" w:space="0"/>
            </w:tcBorders>
          </w:tcPr>
          <w:p w14:paraId="468CB059">
            <w:pPr>
              <w:jc w:val="both"/>
              <w:rPr>
                <w:rFonts w:ascii="Arial" w:hAnsi="Arial" w:eastAsia="Calibri" w:cs="Arial"/>
                <w:sz w:val="20"/>
                <w:szCs w:val="20"/>
              </w:rPr>
            </w:pPr>
            <w:r>
              <w:rPr>
                <w:rFonts w:ascii="Arial" w:hAnsi="Arial" w:eastAsia="Calibri" w:cs="Arial"/>
                <w:sz w:val="20"/>
                <w:szCs w:val="20"/>
              </w:rPr>
              <w:t xml:space="preserve">M&amp;E Planning </w:t>
            </w:r>
          </w:p>
        </w:tc>
        <w:tc>
          <w:tcPr>
            <w:tcW w:w="1710" w:type="dxa"/>
            <w:tcBorders>
              <w:top w:val="single" w:color="auto" w:sz="4" w:space="0"/>
            </w:tcBorders>
          </w:tcPr>
          <w:p w14:paraId="1E5628DD">
            <w:pPr>
              <w:jc w:val="both"/>
              <w:rPr>
                <w:rFonts w:ascii="Arial" w:hAnsi="Arial" w:eastAsia="Calibri" w:cs="Arial"/>
                <w:sz w:val="20"/>
                <w:szCs w:val="20"/>
              </w:rPr>
            </w:pPr>
            <w:r>
              <w:rPr>
                <w:rFonts w:ascii="Arial" w:hAnsi="Arial" w:eastAsia="Calibri" w:cs="Arial"/>
                <w:sz w:val="20"/>
                <w:szCs w:val="20"/>
              </w:rPr>
              <w:t>3.80</w:t>
            </w:r>
          </w:p>
        </w:tc>
        <w:tc>
          <w:tcPr>
            <w:tcW w:w="3078" w:type="dxa"/>
            <w:tcBorders>
              <w:top w:val="single" w:color="auto" w:sz="4" w:space="0"/>
            </w:tcBorders>
          </w:tcPr>
          <w:p w14:paraId="6A6A7AA7">
            <w:pPr>
              <w:jc w:val="both"/>
              <w:rPr>
                <w:rFonts w:ascii="Arial" w:hAnsi="Arial" w:eastAsia="Calibri" w:cs="Arial"/>
                <w:sz w:val="20"/>
                <w:szCs w:val="20"/>
              </w:rPr>
            </w:pPr>
            <w:r>
              <w:rPr>
                <w:rFonts w:ascii="Arial" w:hAnsi="Arial" w:eastAsia="Calibri" w:cs="Arial"/>
                <w:sz w:val="20"/>
                <w:szCs w:val="20"/>
              </w:rPr>
              <w:t>1.09</w:t>
            </w:r>
          </w:p>
        </w:tc>
      </w:tr>
      <w:tr w14:paraId="28A2FE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49D693FB">
            <w:pPr>
              <w:jc w:val="both"/>
              <w:rPr>
                <w:rFonts w:ascii="Arial" w:hAnsi="Arial" w:eastAsia="Calibri" w:cs="Arial"/>
                <w:sz w:val="20"/>
                <w:szCs w:val="20"/>
              </w:rPr>
            </w:pPr>
            <w:r>
              <w:rPr>
                <w:rFonts w:ascii="Arial" w:hAnsi="Arial" w:eastAsia="Calibri" w:cs="Arial"/>
                <w:sz w:val="20"/>
                <w:szCs w:val="20"/>
              </w:rPr>
              <w:t xml:space="preserve">M&amp;E Baseline Studies </w:t>
            </w:r>
          </w:p>
        </w:tc>
        <w:tc>
          <w:tcPr>
            <w:tcW w:w="1710" w:type="dxa"/>
          </w:tcPr>
          <w:p w14:paraId="47F7DD6C">
            <w:pPr>
              <w:jc w:val="both"/>
              <w:rPr>
                <w:rFonts w:ascii="Arial" w:hAnsi="Arial" w:eastAsia="Calibri" w:cs="Arial"/>
                <w:sz w:val="20"/>
                <w:szCs w:val="20"/>
              </w:rPr>
            </w:pPr>
            <w:r>
              <w:rPr>
                <w:rFonts w:ascii="Arial" w:hAnsi="Arial" w:eastAsia="Calibri" w:cs="Arial"/>
                <w:color w:val="000000"/>
                <w:sz w:val="20"/>
                <w:szCs w:val="20"/>
              </w:rPr>
              <w:t>3.48</w:t>
            </w:r>
          </w:p>
        </w:tc>
        <w:tc>
          <w:tcPr>
            <w:tcW w:w="3078" w:type="dxa"/>
          </w:tcPr>
          <w:p w14:paraId="0AF65EE4">
            <w:pPr>
              <w:jc w:val="both"/>
              <w:rPr>
                <w:rFonts w:ascii="Arial" w:hAnsi="Arial" w:eastAsia="Calibri" w:cs="Arial"/>
                <w:sz w:val="20"/>
                <w:szCs w:val="20"/>
              </w:rPr>
            </w:pPr>
            <w:r>
              <w:rPr>
                <w:rFonts w:ascii="Arial" w:hAnsi="Arial" w:eastAsia="Calibri" w:cs="Arial"/>
                <w:color w:val="000000"/>
                <w:sz w:val="20"/>
                <w:szCs w:val="20"/>
              </w:rPr>
              <w:t>0.92</w:t>
            </w:r>
          </w:p>
        </w:tc>
      </w:tr>
      <w:tr w14:paraId="5FE495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1008C019">
            <w:pPr>
              <w:jc w:val="both"/>
              <w:rPr>
                <w:rFonts w:ascii="Arial" w:hAnsi="Arial" w:eastAsia="Calibri" w:cs="Arial"/>
                <w:sz w:val="20"/>
                <w:szCs w:val="20"/>
              </w:rPr>
            </w:pPr>
            <w:r>
              <w:rPr>
                <w:rFonts w:ascii="Arial" w:hAnsi="Arial" w:eastAsia="Calibri" w:cs="Arial"/>
                <w:sz w:val="20"/>
                <w:szCs w:val="20"/>
              </w:rPr>
              <w:t xml:space="preserve">Stakeholder Participation in M&amp;E </w:t>
            </w:r>
          </w:p>
        </w:tc>
        <w:tc>
          <w:tcPr>
            <w:tcW w:w="1710" w:type="dxa"/>
          </w:tcPr>
          <w:p w14:paraId="3ABE40A5">
            <w:pPr>
              <w:jc w:val="both"/>
              <w:rPr>
                <w:rFonts w:ascii="Arial" w:hAnsi="Arial" w:eastAsia="Calibri" w:cs="Arial"/>
                <w:sz w:val="20"/>
                <w:szCs w:val="20"/>
              </w:rPr>
            </w:pPr>
            <w:r>
              <w:rPr>
                <w:rFonts w:ascii="Arial" w:hAnsi="Arial" w:eastAsia="Calibri" w:cs="Arial"/>
                <w:color w:val="000000"/>
                <w:sz w:val="20"/>
                <w:szCs w:val="20"/>
              </w:rPr>
              <w:t>3.49</w:t>
            </w:r>
          </w:p>
        </w:tc>
        <w:tc>
          <w:tcPr>
            <w:tcW w:w="3078" w:type="dxa"/>
          </w:tcPr>
          <w:p w14:paraId="2FC2D14F">
            <w:pPr>
              <w:jc w:val="both"/>
              <w:rPr>
                <w:rFonts w:ascii="Arial" w:hAnsi="Arial" w:eastAsia="Calibri" w:cs="Arial"/>
                <w:sz w:val="20"/>
                <w:szCs w:val="20"/>
              </w:rPr>
            </w:pPr>
            <w:r>
              <w:rPr>
                <w:rFonts w:ascii="Arial" w:hAnsi="Arial" w:eastAsia="Calibri" w:cs="Arial"/>
                <w:color w:val="000000"/>
                <w:sz w:val="20"/>
                <w:szCs w:val="20"/>
              </w:rPr>
              <w:t>0.93</w:t>
            </w:r>
          </w:p>
        </w:tc>
      </w:tr>
      <w:tr w14:paraId="0D0245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5F4BD683">
            <w:pPr>
              <w:jc w:val="both"/>
              <w:rPr>
                <w:rFonts w:ascii="Arial" w:hAnsi="Arial" w:eastAsia="Calibri" w:cs="Arial"/>
                <w:sz w:val="20"/>
                <w:szCs w:val="20"/>
              </w:rPr>
            </w:pPr>
            <w:r>
              <w:rPr>
                <w:rFonts w:ascii="Arial" w:hAnsi="Arial" w:eastAsia="Calibri" w:cs="Arial"/>
                <w:sz w:val="20"/>
                <w:szCs w:val="20"/>
              </w:rPr>
              <w:t xml:space="preserve">M&amp;E Performance Reviews </w:t>
            </w:r>
          </w:p>
        </w:tc>
        <w:tc>
          <w:tcPr>
            <w:tcW w:w="1710" w:type="dxa"/>
          </w:tcPr>
          <w:p w14:paraId="7B7147D0">
            <w:pPr>
              <w:jc w:val="both"/>
              <w:rPr>
                <w:rFonts w:ascii="Arial" w:hAnsi="Arial" w:eastAsia="Calibri" w:cs="Arial"/>
                <w:sz w:val="20"/>
                <w:szCs w:val="20"/>
              </w:rPr>
            </w:pPr>
            <w:r>
              <w:rPr>
                <w:rFonts w:ascii="Arial" w:hAnsi="Arial" w:eastAsia="Calibri" w:cs="Arial"/>
                <w:color w:val="000000"/>
                <w:sz w:val="20"/>
                <w:szCs w:val="20"/>
              </w:rPr>
              <w:t>3.76</w:t>
            </w:r>
          </w:p>
        </w:tc>
        <w:tc>
          <w:tcPr>
            <w:tcW w:w="3078" w:type="dxa"/>
          </w:tcPr>
          <w:p w14:paraId="43DCE9CD">
            <w:pPr>
              <w:jc w:val="both"/>
              <w:rPr>
                <w:rFonts w:ascii="Arial" w:hAnsi="Arial" w:eastAsia="Calibri" w:cs="Arial"/>
                <w:sz w:val="20"/>
                <w:szCs w:val="20"/>
              </w:rPr>
            </w:pPr>
            <w:r>
              <w:rPr>
                <w:rFonts w:ascii="Arial" w:hAnsi="Arial" w:eastAsia="Calibri" w:cs="Arial"/>
                <w:color w:val="000000"/>
                <w:sz w:val="20"/>
                <w:szCs w:val="20"/>
              </w:rPr>
              <w:t>1.12</w:t>
            </w:r>
          </w:p>
        </w:tc>
      </w:tr>
      <w:tr w14:paraId="1382D0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2B2D316C">
            <w:pPr>
              <w:jc w:val="both"/>
              <w:rPr>
                <w:rFonts w:ascii="Arial" w:hAnsi="Arial" w:eastAsia="Calibri" w:cs="Arial"/>
                <w:sz w:val="20"/>
                <w:szCs w:val="20"/>
              </w:rPr>
            </w:pPr>
            <w:r>
              <w:rPr>
                <w:rFonts w:ascii="Arial" w:hAnsi="Arial" w:eastAsia="Calibri" w:cs="Arial"/>
                <w:sz w:val="20"/>
                <w:szCs w:val="20"/>
              </w:rPr>
              <w:t xml:space="preserve">Project Performance </w:t>
            </w:r>
          </w:p>
        </w:tc>
        <w:tc>
          <w:tcPr>
            <w:tcW w:w="1710" w:type="dxa"/>
          </w:tcPr>
          <w:p w14:paraId="7FCDCE21">
            <w:pPr>
              <w:jc w:val="both"/>
              <w:rPr>
                <w:rFonts w:ascii="Arial" w:hAnsi="Arial" w:eastAsia="Calibri" w:cs="Arial"/>
                <w:sz w:val="20"/>
                <w:szCs w:val="20"/>
              </w:rPr>
            </w:pPr>
            <w:r>
              <w:rPr>
                <w:rFonts w:ascii="Arial" w:hAnsi="Arial" w:eastAsia="Calibri" w:cs="Arial"/>
                <w:color w:val="000000"/>
                <w:sz w:val="20"/>
                <w:szCs w:val="20"/>
              </w:rPr>
              <w:t>3.83</w:t>
            </w:r>
          </w:p>
        </w:tc>
        <w:tc>
          <w:tcPr>
            <w:tcW w:w="3078" w:type="dxa"/>
          </w:tcPr>
          <w:p w14:paraId="1569B649">
            <w:pPr>
              <w:jc w:val="both"/>
              <w:rPr>
                <w:rFonts w:ascii="Arial" w:hAnsi="Arial" w:eastAsia="Calibri" w:cs="Arial"/>
                <w:sz w:val="20"/>
                <w:szCs w:val="20"/>
              </w:rPr>
            </w:pPr>
            <w:r>
              <w:rPr>
                <w:rFonts w:ascii="Arial" w:hAnsi="Arial" w:eastAsia="Calibri" w:cs="Arial"/>
                <w:color w:val="000000"/>
                <w:sz w:val="20"/>
                <w:szCs w:val="20"/>
              </w:rPr>
              <w:t>1.03</w:t>
            </w:r>
          </w:p>
        </w:tc>
      </w:tr>
    </w:tbl>
    <w:p w14:paraId="1C810C7B">
      <w:pPr>
        <w:jc w:val="both"/>
        <w:rPr>
          <w:rFonts w:ascii="Arial" w:hAnsi="Arial" w:cs="Arial"/>
        </w:rPr>
      </w:pPr>
    </w:p>
    <w:p w14:paraId="1DC88C19">
      <w:pPr>
        <w:jc w:val="both"/>
        <w:rPr>
          <w:rFonts w:ascii="Arial" w:hAnsi="Arial" w:cs="Arial"/>
        </w:rPr>
      </w:pPr>
      <w:r>
        <w:rPr>
          <w:rFonts w:ascii="Arial" w:hAnsi="Arial" w:cs="Arial"/>
          <w:highlight w:val="yellow"/>
        </w:rPr>
        <w:t>The results presented in Table 1 indicated that participants in the study agreed that some form of M&amp;E planning was implemented, as reflected in an aggregate mean of 3.80. The findings on stakeholder involvement showed a moderate average of 3.48 (SD = 0.92), indicating that stakeholder participation was below satisfactory and optimal. The analysis of M&amp;E baseline studies in the survey yielded µ = 3.49 and σ = 0.93, indicating moderate agreement that the baseline activities were performed. The survey-based performance reviews indicated moderate agreement among participants, with an average score of 3.76 and a standard deviation of 1.12.</w:t>
      </w:r>
      <w:r>
        <w:rPr>
          <w:rFonts w:ascii="Arial" w:hAnsi="Arial" w:cs="Arial"/>
        </w:rPr>
        <w:t xml:space="preserve"> The survey revealed that the project outcomes dimension achieved an average score of 3.83 (SD = 1.03), indicating moderate outcomes in cost management, timeliness, and stakeholder satisfaction.</w:t>
      </w:r>
    </w:p>
    <w:p w14:paraId="31B36483">
      <w:pPr>
        <w:jc w:val="both"/>
        <w:rPr>
          <w:rFonts w:ascii="Arial" w:hAnsi="Arial" w:cs="Arial"/>
        </w:rPr>
      </w:pPr>
    </w:p>
    <w:p w14:paraId="4A23CFBA">
      <w:pPr>
        <w:pStyle w:val="4"/>
        <w:rPr>
          <w:rFonts w:ascii="Arial" w:hAnsi="Arial" w:cs="Arial"/>
          <w:b/>
          <w:bCs/>
          <w:color w:val="000000" w:themeColor="text1"/>
          <w:sz w:val="20"/>
          <w:szCs w:val="20"/>
          <w14:textFill>
            <w14:solidFill>
              <w14:schemeClr w14:val="tx1"/>
            </w14:solidFill>
          </w14:textFill>
        </w:rPr>
      </w:pPr>
      <w:bookmarkStart w:id="1" w:name="_Toc225947932"/>
      <w:bookmarkStart w:id="2" w:name="_Toc226205889"/>
      <w:bookmarkStart w:id="3" w:name="_Toc219127035"/>
      <w:r>
        <w:rPr>
          <w:rFonts w:ascii="Arial" w:hAnsi="Arial" w:cs="Arial"/>
          <w:b/>
          <w:bCs/>
          <w:color w:val="000000" w:themeColor="text1"/>
          <w:sz w:val="20"/>
          <w:szCs w:val="20"/>
          <w14:textFill>
            <w14:solidFill>
              <w14:schemeClr w14:val="tx1"/>
            </w14:solidFill>
          </w14:textFill>
        </w:rPr>
        <w:t>4.3 Regression Analysis</w:t>
      </w:r>
      <w:bookmarkEnd w:id="1"/>
      <w:bookmarkEnd w:id="2"/>
      <w:bookmarkEnd w:id="3"/>
      <w:r>
        <w:rPr>
          <w:rFonts w:ascii="Arial" w:hAnsi="Arial" w:cs="Arial"/>
          <w:b/>
          <w:bCs/>
          <w:color w:val="000000" w:themeColor="text1"/>
          <w:sz w:val="20"/>
          <w:szCs w:val="20"/>
          <w14:textFill>
            <w14:solidFill>
              <w14:schemeClr w14:val="tx1"/>
            </w14:solidFill>
          </w14:textFill>
        </w:rPr>
        <w:t xml:space="preserve"> </w:t>
      </w:r>
    </w:p>
    <w:p w14:paraId="5AE5001D">
      <w:pPr>
        <w:jc w:val="both"/>
        <w:rPr>
          <w:rFonts w:ascii="Arial" w:hAnsi="Arial" w:cs="Arial"/>
        </w:rPr>
      </w:pPr>
      <w:r>
        <w:rPr>
          <w:rFonts w:ascii="Arial" w:hAnsi="Arial" w:cs="Arial"/>
          <w:highlight w:val="yellow"/>
        </w:rPr>
        <w:t>Regression analysis builds on correlation analysis by examining how independent variables predict variations in the outcome variable. This method allows examination of the impact each predictor has on the outcome variable. In this research, multiple regression analysis was deemed suitable because it allowed the concurrent evaluation of the effects of multiple predictors on project outcomes. The regression model yields coefficients indicating the sensitivity of the project outcome to variation in each aspect of M&amp;E practices, while controlling for other factors.</w:t>
      </w:r>
    </w:p>
    <w:p w14:paraId="72776AE9">
      <w:pPr>
        <w:jc w:val="both"/>
        <w:rPr>
          <w:rFonts w:ascii="Arial" w:hAnsi="Arial" w:cs="Arial"/>
        </w:rPr>
      </w:pPr>
    </w:p>
    <w:p w14:paraId="1E4247CE">
      <w:pPr>
        <w:pStyle w:val="10"/>
      </w:pPr>
      <w:bookmarkStart w:id="4" w:name="_Toc225940397"/>
      <w:r>
        <w:t>Table 2: Summary of the Model</w:t>
      </w:r>
      <w:bookmarkEnd w:id="4"/>
      <w:r>
        <w:t xml:space="preserve"> </w:t>
      </w:r>
    </w:p>
    <w:tbl>
      <w:tblPr>
        <w:tblStyle w:val="22"/>
        <w:tblW w:w="82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1153"/>
        <w:gridCol w:w="1223"/>
        <w:gridCol w:w="1655"/>
        <w:gridCol w:w="1655"/>
        <w:gridCol w:w="1663"/>
      </w:tblGrid>
      <w:tr w14:paraId="350DF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95" w:type="dxa"/>
            <w:tcBorders>
              <w:top w:val="single" w:color="auto" w:sz="4" w:space="0"/>
              <w:left w:val="nil"/>
              <w:bottom w:val="single" w:color="auto" w:sz="4" w:space="0"/>
              <w:right w:val="nil"/>
            </w:tcBorders>
          </w:tcPr>
          <w:p w14:paraId="6FC9798F">
            <w:pPr>
              <w:autoSpaceDE w:val="0"/>
              <w:autoSpaceDN w:val="0"/>
              <w:adjustRightInd w:val="0"/>
              <w:spacing w:line="320" w:lineRule="atLeast"/>
              <w:ind w:left="60" w:right="60"/>
              <w:rPr>
                <w:rFonts w:ascii="Arial" w:hAnsi="Arial" w:eastAsia="Calibri" w:cs="Arial"/>
                <w:color w:val="000000"/>
                <w:sz w:val="20"/>
                <w:szCs w:val="20"/>
                <w:lang w:eastAsia="en-GB"/>
              </w:rPr>
            </w:pPr>
            <w:r>
              <w:rPr>
                <w:rFonts w:ascii="Arial" w:hAnsi="Arial" w:eastAsia="Calibri" w:cs="Arial"/>
                <w:color w:val="000000"/>
                <w:sz w:val="20"/>
                <w:szCs w:val="20"/>
                <w:lang w:eastAsia="en-GB"/>
              </w:rPr>
              <w:t>Model</w:t>
            </w:r>
          </w:p>
        </w:tc>
        <w:tc>
          <w:tcPr>
            <w:tcW w:w="1153" w:type="dxa"/>
            <w:tcBorders>
              <w:top w:val="single" w:color="auto" w:sz="4" w:space="0"/>
              <w:left w:val="nil"/>
              <w:bottom w:val="single" w:color="auto" w:sz="4" w:space="0"/>
              <w:right w:val="nil"/>
            </w:tcBorders>
          </w:tcPr>
          <w:p w14:paraId="1F4946FB">
            <w:pPr>
              <w:autoSpaceDE w:val="0"/>
              <w:autoSpaceDN w:val="0"/>
              <w:adjustRightInd w:val="0"/>
              <w:spacing w:line="320" w:lineRule="atLeast"/>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R</w:t>
            </w:r>
          </w:p>
        </w:tc>
        <w:tc>
          <w:tcPr>
            <w:tcW w:w="1223" w:type="dxa"/>
            <w:tcBorders>
              <w:top w:val="single" w:color="auto" w:sz="4" w:space="0"/>
              <w:left w:val="nil"/>
              <w:bottom w:val="single" w:color="auto" w:sz="4" w:space="0"/>
              <w:right w:val="nil"/>
            </w:tcBorders>
          </w:tcPr>
          <w:p w14:paraId="5934D18A">
            <w:pPr>
              <w:autoSpaceDE w:val="0"/>
              <w:autoSpaceDN w:val="0"/>
              <w:adjustRightInd w:val="0"/>
              <w:spacing w:line="320" w:lineRule="atLeast"/>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R</w:t>
            </w:r>
            <w:r>
              <w:rPr>
                <w:rFonts w:ascii="Arial" w:hAnsi="Arial" w:eastAsia="Calibri" w:cs="Arial"/>
                <w:color w:val="000000"/>
                <w:sz w:val="20"/>
                <w:szCs w:val="20"/>
                <w:vertAlign w:val="superscript"/>
                <w:lang w:eastAsia="en-GB"/>
              </w:rPr>
              <w:t>2</w:t>
            </w:r>
            <w:r>
              <w:rPr>
                <w:rFonts w:ascii="Arial" w:hAnsi="Arial" w:eastAsia="Calibri" w:cs="Arial"/>
                <w:color w:val="000000"/>
                <w:sz w:val="20"/>
                <w:szCs w:val="20"/>
                <w:lang w:eastAsia="en-GB"/>
              </w:rPr>
              <w:t xml:space="preserve"> </w:t>
            </w:r>
          </w:p>
        </w:tc>
        <w:tc>
          <w:tcPr>
            <w:tcW w:w="1655" w:type="dxa"/>
            <w:tcBorders>
              <w:top w:val="single" w:color="auto" w:sz="4" w:space="0"/>
              <w:left w:val="nil"/>
              <w:bottom w:val="single" w:color="auto" w:sz="4" w:space="0"/>
              <w:right w:val="nil"/>
            </w:tcBorders>
          </w:tcPr>
          <w:p w14:paraId="5A578A7A">
            <w:pPr>
              <w:autoSpaceDE w:val="0"/>
              <w:autoSpaceDN w:val="0"/>
              <w:adjustRightInd w:val="0"/>
              <w:spacing w:line="320" w:lineRule="atLeast"/>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Adj. R</w:t>
            </w:r>
            <w:r>
              <w:rPr>
                <w:rFonts w:ascii="Arial" w:hAnsi="Arial" w:eastAsia="Calibri" w:cs="Arial"/>
                <w:color w:val="000000"/>
                <w:sz w:val="20"/>
                <w:szCs w:val="20"/>
                <w:vertAlign w:val="superscript"/>
                <w:lang w:eastAsia="en-GB"/>
              </w:rPr>
              <w:t>2</w:t>
            </w:r>
          </w:p>
        </w:tc>
        <w:tc>
          <w:tcPr>
            <w:tcW w:w="1655" w:type="dxa"/>
            <w:tcBorders>
              <w:top w:val="single" w:color="auto" w:sz="4" w:space="0"/>
              <w:left w:val="nil"/>
              <w:bottom w:val="single" w:color="auto" w:sz="4" w:space="0"/>
              <w:right w:val="nil"/>
            </w:tcBorders>
          </w:tcPr>
          <w:p w14:paraId="6B684103">
            <w:pPr>
              <w:autoSpaceDE w:val="0"/>
              <w:autoSpaceDN w:val="0"/>
              <w:adjustRightInd w:val="0"/>
              <w:spacing w:line="320" w:lineRule="atLeast"/>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S.E</w:t>
            </w:r>
          </w:p>
        </w:tc>
        <w:tc>
          <w:tcPr>
            <w:tcW w:w="1661" w:type="dxa"/>
            <w:tcBorders>
              <w:top w:val="single" w:color="auto" w:sz="4" w:space="0"/>
              <w:left w:val="nil"/>
              <w:bottom w:val="single" w:color="auto" w:sz="4" w:space="0"/>
              <w:right w:val="nil"/>
            </w:tcBorders>
          </w:tcPr>
          <w:p w14:paraId="1992F000">
            <w:pPr>
              <w:autoSpaceDE w:val="0"/>
              <w:autoSpaceDN w:val="0"/>
              <w:adjustRightInd w:val="0"/>
              <w:spacing w:line="320" w:lineRule="atLeast"/>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DW</w:t>
            </w:r>
          </w:p>
        </w:tc>
      </w:tr>
      <w:tr w14:paraId="5A944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 w:hRule="atLeast"/>
        </w:trPr>
        <w:tc>
          <w:tcPr>
            <w:tcW w:w="895" w:type="dxa"/>
            <w:tcBorders>
              <w:top w:val="single" w:color="auto" w:sz="4" w:space="0"/>
              <w:left w:val="nil"/>
              <w:bottom w:val="single" w:color="auto" w:sz="4" w:space="0"/>
              <w:right w:val="nil"/>
            </w:tcBorders>
          </w:tcPr>
          <w:p w14:paraId="73BC6FE2">
            <w:pPr>
              <w:autoSpaceDE w:val="0"/>
              <w:autoSpaceDN w:val="0"/>
              <w:adjustRightInd w:val="0"/>
              <w:spacing w:line="320" w:lineRule="atLeast"/>
              <w:ind w:left="60" w:right="60"/>
              <w:rPr>
                <w:rFonts w:ascii="Arial" w:hAnsi="Arial" w:eastAsia="Calibri" w:cs="Arial"/>
                <w:color w:val="000000"/>
                <w:sz w:val="20"/>
                <w:szCs w:val="20"/>
                <w:lang w:eastAsia="en-GB"/>
              </w:rPr>
            </w:pPr>
            <w:r>
              <w:rPr>
                <w:rFonts w:ascii="Arial" w:hAnsi="Arial" w:eastAsia="Calibri" w:cs="Arial"/>
                <w:color w:val="000000"/>
                <w:sz w:val="20"/>
                <w:szCs w:val="20"/>
                <w:lang w:eastAsia="en-GB"/>
              </w:rPr>
              <w:t>1</w:t>
            </w:r>
          </w:p>
        </w:tc>
        <w:tc>
          <w:tcPr>
            <w:tcW w:w="1153" w:type="dxa"/>
            <w:tcBorders>
              <w:top w:val="single" w:color="auto" w:sz="4" w:space="0"/>
              <w:left w:val="nil"/>
              <w:bottom w:val="single" w:color="auto" w:sz="4" w:space="0"/>
              <w:right w:val="nil"/>
            </w:tcBorders>
          </w:tcPr>
          <w:p w14:paraId="1F1D1DAD">
            <w:pPr>
              <w:autoSpaceDE w:val="0"/>
              <w:autoSpaceDN w:val="0"/>
              <w:adjustRightInd w:val="0"/>
              <w:spacing w:line="320" w:lineRule="atLeast"/>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.895</w:t>
            </w:r>
            <w:r>
              <w:rPr>
                <w:rFonts w:ascii="Arial" w:hAnsi="Arial" w:eastAsia="Calibri" w:cs="Arial"/>
                <w:color w:val="000000"/>
                <w:sz w:val="20"/>
                <w:szCs w:val="20"/>
                <w:vertAlign w:val="superscript"/>
                <w:lang w:eastAsia="en-GB"/>
              </w:rPr>
              <w:t>a</w:t>
            </w:r>
          </w:p>
        </w:tc>
        <w:tc>
          <w:tcPr>
            <w:tcW w:w="1223" w:type="dxa"/>
            <w:tcBorders>
              <w:top w:val="single" w:color="auto" w:sz="4" w:space="0"/>
              <w:left w:val="nil"/>
              <w:bottom w:val="single" w:color="auto" w:sz="4" w:space="0"/>
              <w:right w:val="nil"/>
            </w:tcBorders>
          </w:tcPr>
          <w:p w14:paraId="3B0830F7">
            <w:pPr>
              <w:autoSpaceDE w:val="0"/>
              <w:autoSpaceDN w:val="0"/>
              <w:adjustRightInd w:val="0"/>
              <w:spacing w:line="320" w:lineRule="atLeast"/>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.802</w:t>
            </w:r>
          </w:p>
        </w:tc>
        <w:tc>
          <w:tcPr>
            <w:tcW w:w="1655" w:type="dxa"/>
            <w:tcBorders>
              <w:top w:val="single" w:color="auto" w:sz="4" w:space="0"/>
              <w:left w:val="nil"/>
              <w:bottom w:val="single" w:color="auto" w:sz="4" w:space="0"/>
              <w:right w:val="nil"/>
            </w:tcBorders>
          </w:tcPr>
          <w:p w14:paraId="444B59A2">
            <w:pPr>
              <w:autoSpaceDE w:val="0"/>
              <w:autoSpaceDN w:val="0"/>
              <w:adjustRightInd w:val="0"/>
              <w:spacing w:line="320" w:lineRule="atLeast"/>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.788</w:t>
            </w:r>
          </w:p>
        </w:tc>
        <w:tc>
          <w:tcPr>
            <w:tcW w:w="1655" w:type="dxa"/>
            <w:tcBorders>
              <w:top w:val="single" w:color="auto" w:sz="4" w:space="0"/>
              <w:left w:val="nil"/>
              <w:bottom w:val="single" w:color="auto" w:sz="4" w:space="0"/>
              <w:right w:val="nil"/>
            </w:tcBorders>
          </w:tcPr>
          <w:p w14:paraId="19BA76E4">
            <w:pPr>
              <w:autoSpaceDE w:val="0"/>
              <w:autoSpaceDN w:val="0"/>
              <w:adjustRightInd w:val="0"/>
              <w:spacing w:line="320" w:lineRule="atLeast"/>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.40609</w:t>
            </w:r>
          </w:p>
        </w:tc>
        <w:tc>
          <w:tcPr>
            <w:tcW w:w="1661" w:type="dxa"/>
            <w:tcBorders>
              <w:top w:val="single" w:color="auto" w:sz="4" w:space="0"/>
              <w:left w:val="nil"/>
              <w:bottom w:val="single" w:color="auto" w:sz="4" w:space="0"/>
              <w:right w:val="nil"/>
            </w:tcBorders>
          </w:tcPr>
          <w:p w14:paraId="216FD6E8">
            <w:pPr>
              <w:autoSpaceDE w:val="0"/>
              <w:autoSpaceDN w:val="0"/>
              <w:adjustRightInd w:val="0"/>
              <w:spacing w:line="320" w:lineRule="atLeast"/>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2.005</w:t>
            </w:r>
          </w:p>
        </w:tc>
      </w:tr>
      <w:tr w14:paraId="37961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8244" w:type="dxa"/>
            <w:gridSpan w:val="6"/>
            <w:tcBorders>
              <w:top w:val="single" w:color="auto" w:sz="4" w:space="0"/>
              <w:left w:val="nil"/>
              <w:bottom w:val="nil"/>
              <w:right w:val="nil"/>
            </w:tcBorders>
          </w:tcPr>
          <w:p w14:paraId="046BD34E">
            <w:pPr>
              <w:autoSpaceDE w:val="0"/>
              <w:autoSpaceDN w:val="0"/>
              <w:adjustRightInd w:val="0"/>
              <w:ind w:left="60" w:right="60"/>
              <w:rPr>
                <w:rFonts w:ascii="Arial" w:hAnsi="Arial" w:eastAsia="Calibri" w:cs="Arial"/>
                <w:color w:val="000000"/>
                <w:sz w:val="18"/>
                <w:szCs w:val="18"/>
                <w:lang w:eastAsia="en-GB"/>
              </w:rPr>
            </w:pPr>
            <w:r>
              <w:rPr>
                <w:rFonts w:ascii="Arial" w:hAnsi="Arial" w:eastAsia="Calibri" w:cs="Arial"/>
                <w:color w:val="000000"/>
                <w:sz w:val="18"/>
                <w:szCs w:val="18"/>
                <w:lang w:eastAsia="en-GB"/>
              </w:rPr>
              <w:t>a. Predictors: (Constant</w:t>
            </w:r>
            <w:r>
              <w:rPr>
                <w:rFonts w:ascii="Arial" w:hAnsi="Arial" w:eastAsia="Calibri" w:cs="Arial"/>
                <w:sz w:val="18"/>
                <w:szCs w:val="18"/>
              </w:rPr>
              <w:t xml:space="preserve"> </w:t>
            </w:r>
            <w:r>
              <w:rPr>
                <w:rFonts w:ascii="Arial" w:hAnsi="Arial" w:eastAsia="Calibri" w:cs="Arial"/>
                <w:color w:val="000000"/>
                <w:sz w:val="18"/>
                <w:szCs w:val="18"/>
                <w:lang w:eastAsia="en-GB"/>
              </w:rPr>
              <w:t xml:space="preserve">X1= ), X1= M&amp;E planning, X2 = M&amp;E Baseline Studies, X3= Stakeholder Participation in M&amp;E, X4= M&amp;E performance reviews </w:t>
            </w:r>
          </w:p>
        </w:tc>
      </w:tr>
      <w:tr w14:paraId="63084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 w:hRule="atLeast"/>
        </w:trPr>
        <w:tc>
          <w:tcPr>
            <w:tcW w:w="8244" w:type="dxa"/>
            <w:gridSpan w:val="6"/>
            <w:tcBorders>
              <w:top w:val="nil"/>
              <w:left w:val="nil"/>
              <w:bottom w:val="nil"/>
              <w:right w:val="nil"/>
            </w:tcBorders>
          </w:tcPr>
          <w:p w14:paraId="131B1460">
            <w:pPr>
              <w:autoSpaceDE w:val="0"/>
              <w:autoSpaceDN w:val="0"/>
              <w:adjustRightInd w:val="0"/>
              <w:ind w:left="60" w:right="60"/>
              <w:rPr>
                <w:rFonts w:ascii="Arial" w:hAnsi="Arial" w:eastAsia="Calibri" w:cs="Arial"/>
                <w:color w:val="000000"/>
                <w:sz w:val="18"/>
                <w:szCs w:val="18"/>
                <w:lang w:eastAsia="en-GB"/>
              </w:rPr>
            </w:pPr>
            <w:r>
              <w:rPr>
                <w:rFonts w:ascii="Arial" w:hAnsi="Arial" w:eastAsia="Calibri" w:cs="Arial"/>
                <w:color w:val="000000"/>
                <w:sz w:val="18"/>
                <w:szCs w:val="18"/>
                <w:lang w:eastAsia="en-GB"/>
              </w:rPr>
              <w:t xml:space="preserve">b. Dependent Variable: Project performance </w:t>
            </w:r>
          </w:p>
          <w:p w14:paraId="10E95901">
            <w:pPr>
              <w:autoSpaceDE w:val="0"/>
              <w:autoSpaceDN w:val="0"/>
              <w:adjustRightInd w:val="0"/>
              <w:ind w:left="60" w:right="60"/>
              <w:rPr>
                <w:rFonts w:ascii="Arial" w:hAnsi="Arial" w:eastAsia="Calibri" w:cs="Arial"/>
                <w:color w:val="000000"/>
                <w:sz w:val="18"/>
                <w:szCs w:val="18"/>
                <w:lang w:eastAsia="en-GB"/>
              </w:rPr>
            </w:pPr>
            <w:r>
              <w:rPr>
                <w:rFonts w:ascii="Arial" w:hAnsi="Arial" w:eastAsia="Calibri" w:cs="Arial"/>
                <w:color w:val="000000"/>
                <w:sz w:val="18"/>
                <w:szCs w:val="18"/>
                <w:lang w:eastAsia="en-GB"/>
              </w:rPr>
              <w:t>c.</w:t>
            </w:r>
            <w:r>
              <w:rPr>
                <w:rFonts w:ascii="Arial" w:hAnsi="Arial" w:eastAsia="Calibri" w:cs="Arial"/>
                <w:sz w:val="18"/>
                <w:szCs w:val="18"/>
              </w:rPr>
              <w:t xml:space="preserve"> </w:t>
            </w:r>
            <w:r>
              <w:rPr>
                <w:rFonts w:ascii="Arial" w:hAnsi="Arial" w:eastAsia="Calibri" w:cs="Arial"/>
                <w:color w:val="000000"/>
                <w:sz w:val="18"/>
                <w:szCs w:val="18"/>
                <w:lang w:eastAsia="en-GB"/>
              </w:rPr>
              <w:t>S.E = Standard Errors, DW= Durbin–Watson statistic</w:t>
            </w:r>
          </w:p>
        </w:tc>
      </w:tr>
    </w:tbl>
    <w:p w14:paraId="4EF37D81">
      <w:pPr>
        <w:autoSpaceDE w:val="0"/>
        <w:autoSpaceDN w:val="0"/>
        <w:adjustRightInd w:val="0"/>
        <w:rPr>
          <w:rFonts w:ascii="Arial" w:hAnsi="Arial" w:cs="Arial"/>
          <w:lang w:eastAsia="en-GB"/>
        </w:rPr>
      </w:pPr>
    </w:p>
    <w:p w14:paraId="43222388">
      <w:pPr>
        <w:jc w:val="both"/>
        <w:rPr>
          <w:rFonts w:ascii="Arial" w:hAnsi="Arial" w:cs="Arial"/>
          <w:lang w:eastAsia="en-GB"/>
        </w:rPr>
      </w:pPr>
      <w:r>
        <w:rPr>
          <w:rFonts w:ascii="Arial" w:hAnsi="Arial" w:cs="Arial"/>
          <w:lang w:eastAsia="en-GB"/>
        </w:rPr>
        <w:t xml:space="preserve">In the model </w:t>
      </w:r>
      <w:r>
        <w:rPr>
          <w:rFonts w:ascii="Arial" w:hAnsi="Arial" w:cs="Arial"/>
          <w:highlight w:val="yellow"/>
          <w:lang w:eastAsia="en-GB"/>
        </w:rPr>
        <w:t>summary (Table 2),</w:t>
      </w:r>
      <w:r>
        <w:rPr>
          <w:rFonts w:ascii="Arial" w:hAnsi="Arial" w:cs="Arial"/>
          <w:lang w:eastAsia="en-GB"/>
        </w:rPr>
        <w:t xml:space="preserve"> the overall correlation coefficient (R = 0.895) depicts a strong link between project outcomes and M&amp;E practices. The Adjusted R Squared = 0.788 showed that 78.8% of the variation in the outcomes of the studied projects was explained by the combined effects of the M&amp;E components. </w:t>
      </w:r>
      <w:r>
        <w:rPr>
          <w:rFonts w:ascii="Arial" w:hAnsi="Arial" w:cs="Arial"/>
          <w:highlight w:val="yellow"/>
          <w:lang w:eastAsia="en-GB"/>
        </w:rPr>
        <w:t>Thus, it was noted that 21.2% of the variance in project outcomes is accounted for by unobserved variables.  In conclusion, the findings from the model summary indicate that the collection of M&amp;E variables incorporated into the regression analysis reliably and significantly predicts project performance, rendering the model both statistically robust and theoretically sound.</w:t>
      </w:r>
    </w:p>
    <w:p w14:paraId="0FB9FE16">
      <w:pPr>
        <w:autoSpaceDE w:val="0"/>
        <w:autoSpaceDN w:val="0"/>
        <w:adjustRightInd w:val="0"/>
        <w:rPr>
          <w:rFonts w:ascii="Arial" w:hAnsi="Arial" w:cs="Arial"/>
          <w:lang w:eastAsia="en-GB"/>
        </w:rPr>
      </w:pPr>
    </w:p>
    <w:p w14:paraId="3141E2EB">
      <w:pPr>
        <w:pStyle w:val="10"/>
      </w:pPr>
      <w:bookmarkStart w:id="5" w:name="_Toc225940398"/>
      <w:r>
        <w:t>Table 3: ANOVA</w:t>
      </w:r>
      <w:bookmarkEnd w:id="5"/>
    </w:p>
    <w:tbl>
      <w:tblPr>
        <w:tblStyle w:val="6"/>
        <w:tblW w:w="8194"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
        <w:gridCol w:w="1321"/>
        <w:gridCol w:w="1510"/>
        <w:gridCol w:w="1054"/>
        <w:gridCol w:w="1447"/>
        <w:gridCol w:w="1054"/>
        <w:gridCol w:w="1055"/>
      </w:tblGrid>
      <w:tr w14:paraId="63D57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3" w:hRule="atLeast"/>
        </w:trPr>
        <w:tc>
          <w:tcPr>
            <w:tcW w:w="2074" w:type="dxa"/>
            <w:gridSpan w:val="2"/>
            <w:tcBorders>
              <w:top w:val="single" w:color="auto" w:sz="4" w:space="0"/>
              <w:left w:val="nil"/>
              <w:bottom w:val="single" w:color="auto" w:sz="4" w:space="0"/>
              <w:right w:val="nil"/>
            </w:tcBorders>
            <w:shd w:val="clear" w:color="auto" w:fill="FFFFFF"/>
            <w:vAlign w:val="bottom"/>
          </w:tcPr>
          <w:p w14:paraId="1C80BA14">
            <w:pPr>
              <w:autoSpaceDE w:val="0"/>
              <w:autoSpaceDN w:val="0"/>
              <w:adjustRightInd w:val="0"/>
              <w:ind w:left="60" w:right="60"/>
              <w:rPr>
                <w:rFonts w:ascii="Arial" w:hAnsi="Arial" w:cs="Arial"/>
                <w:color w:val="000000"/>
                <w:sz w:val="18"/>
                <w:szCs w:val="18"/>
                <w:lang w:eastAsia="en-GB"/>
              </w:rPr>
            </w:pPr>
            <w:r>
              <w:rPr>
                <w:rFonts w:ascii="Arial" w:hAnsi="Arial" w:cs="Arial"/>
                <w:color w:val="000000"/>
                <w:sz w:val="18"/>
                <w:szCs w:val="18"/>
                <w:lang w:eastAsia="en-GB"/>
              </w:rPr>
              <w:t>Model</w:t>
            </w:r>
          </w:p>
        </w:tc>
        <w:tc>
          <w:tcPr>
            <w:tcW w:w="1510" w:type="dxa"/>
            <w:tcBorders>
              <w:top w:val="single" w:color="auto" w:sz="4" w:space="0"/>
              <w:left w:val="nil"/>
              <w:bottom w:val="single" w:color="auto" w:sz="4" w:space="0"/>
              <w:right w:val="nil"/>
            </w:tcBorders>
            <w:shd w:val="clear" w:color="auto" w:fill="FFFFFF"/>
            <w:vAlign w:val="bottom"/>
          </w:tcPr>
          <w:p w14:paraId="116F53CE">
            <w:pPr>
              <w:autoSpaceDE w:val="0"/>
              <w:autoSpaceDN w:val="0"/>
              <w:adjustRightInd w:val="0"/>
              <w:ind w:left="60" w:right="60"/>
              <w:jc w:val="center"/>
              <w:rPr>
                <w:rFonts w:ascii="Arial" w:hAnsi="Arial" w:cs="Arial"/>
                <w:color w:val="000000"/>
                <w:sz w:val="18"/>
                <w:szCs w:val="18"/>
                <w:lang w:eastAsia="en-GB"/>
              </w:rPr>
            </w:pPr>
            <w:r>
              <w:rPr>
                <w:rFonts w:ascii="Arial" w:hAnsi="Arial" w:cs="Arial"/>
                <w:color w:val="000000"/>
                <w:sz w:val="18"/>
                <w:szCs w:val="18"/>
                <w:lang w:eastAsia="en-GB"/>
              </w:rPr>
              <w:t>Sum of Squares</w:t>
            </w:r>
          </w:p>
        </w:tc>
        <w:tc>
          <w:tcPr>
            <w:tcW w:w="1054" w:type="dxa"/>
            <w:tcBorders>
              <w:top w:val="single" w:color="auto" w:sz="4" w:space="0"/>
              <w:left w:val="nil"/>
              <w:bottom w:val="single" w:color="auto" w:sz="4" w:space="0"/>
              <w:right w:val="nil"/>
            </w:tcBorders>
            <w:shd w:val="clear" w:color="auto" w:fill="FFFFFF"/>
            <w:vAlign w:val="bottom"/>
          </w:tcPr>
          <w:p w14:paraId="76EEC4B3">
            <w:pPr>
              <w:autoSpaceDE w:val="0"/>
              <w:autoSpaceDN w:val="0"/>
              <w:adjustRightInd w:val="0"/>
              <w:ind w:left="60" w:right="60"/>
              <w:jc w:val="center"/>
              <w:rPr>
                <w:rFonts w:ascii="Arial" w:hAnsi="Arial" w:cs="Arial"/>
                <w:color w:val="000000"/>
                <w:sz w:val="18"/>
                <w:szCs w:val="18"/>
                <w:lang w:eastAsia="en-GB"/>
              </w:rPr>
            </w:pPr>
            <w:r>
              <w:rPr>
                <w:rFonts w:ascii="Arial" w:hAnsi="Arial" w:cs="Arial"/>
                <w:color w:val="000000"/>
                <w:sz w:val="18"/>
                <w:szCs w:val="18"/>
                <w:lang w:eastAsia="en-GB"/>
              </w:rPr>
              <w:t>df</w:t>
            </w:r>
          </w:p>
        </w:tc>
        <w:tc>
          <w:tcPr>
            <w:tcW w:w="1447" w:type="dxa"/>
            <w:tcBorders>
              <w:top w:val="single" w:color="auto" w:sz="4" w:space="0"/>
              <w:left w:val="nil"/>
              <w:bottom w:val="single" w:color="auto" w:sz="4" w:space="0"/>
              <w:right w:val="nil"/>
            </w:tcBorders>
            <w:shd w:val="clear" w:color="auto" w:fill="FFFFFF"/>
            <w:vAlign w:val="bottom"/>
          </w:tcPr>
          <w:p w14:paraId="40FCF014">
            <w:pPr>
              <w:autoSpaceDE w:val="0"/>
              <w:autoSpaceDN w:val="0"/>
              <w:adjustRightInd w:val="0"/>
              <w:ind w:left="60" w:right="60"/>
              <w:jc w:val="center"/>
              <w:rPr>
                <w:rFonts w:ascii="Arial" w:hAnsi="Arial" w:cs="Arial"/>
                <w:color w:val="000000"/>
                <w:sz w:val="18"/>
                <w:szCs w:val="18"/>
                <w:lang w:eastAsia="en-GB"/>
              </w:rPr>
            </w:pPr>
            <w:r>
              <w:rPr>
                <w:rFonts w:ascii="Arial" w:hAnsi="Arial" w:cs="Arial"/>
                <w:color w:val="000000"/>
                <w:sz w:val="18"/>
                <w:szCs w:val="18"/>
                <w:lang w:eastAsia="en-GB"/>
              </w:rPr>
              <w:t>Mean Square</w:t>
            </w:r>
          </w:p>
        </w:tc>
        <w:tc>
          <w:tcPr>
            <w:tcW w:w="1054" w:type="dxa"/>
            <w:tcBorders>
              <w:top w:val="single" w:color="auto" w:sz="4" w:space="0"/>
              <w:left w:val="nil"/>
              <w:bottom w:val="single" w:color="auto" w:sz="4" w:space="0"/>
              <w:right w:val="nil"/>
            </w:tcBorders>
            <w:shd w:val="clear" w:color="auto" w:fill="FFFFFF"/>
            <w:vAlign w:val="bottom"/>
          </w:tcPr>
          <w:p w14:paraId="4292FC38">
            <w:pPr>
              <w:autoSpaceDE w:val="0"/>
              <w:autoSpaceDN w:val="0"/>
              <w:adjustRightInd w:val="0"/>
              <w:ind w:left="60" w:right="60"/>
              <w:jc w:val="center"/>
              <w:rPr>
                <w:rFonts w:ascii="Arial" w:hAnsi="Arial" w:cs="Arial"/>
                <w:color w:val="000000"/>
                <w:sz w:val="18"/>
                <w:szCs w:val="18"/>
                <w:lang w:eastAsia="en-GB"/>
              </w:rPr>
            </w:pPr>
            <w:r>
              <w:rPr>
                <w:rFonts w:ascii="Arial" w:hAnsi="Arial" w:cs="Arial"/>
                <w:color w:val="000000"/>
                <w:sz w:val="18"/>
                <w:szCs w:val="18"/>
                <w:lang w:eastAsia="en-GB"/>
              </w:rPr>
              <w:t>F</w:t>
            </w:r>
          </w:p>
        </w:tc>
        <w:tc>
          <w:tcPr>
            <w:tcW w:w="1054" w:type="dxa"/>
            <w:tcBorders>
              <w:top w:val="single" w:color="auto" w:sz="4" w:space="0"/>
              <w:left w:val="nil"/>
              <w:bottom w:val="single" w:color="auto" w:sz="4" w:space="0"/>
              <w:right w:val="nil"/>
            </w:tcBorders>
            <w:shd w:val="clear" w:color="auto" w:fill="FFFFFF"/>
            <w:vAlign w:val="bottom"/>
          </w:tcPr>
          <w:p w14:paraId="1BE2B8BA">
            <w:pPr>
              <w:autoSpaceDE w:val="0"/>
              <w:autoSpaceDN w:val="0"/>
              <w:adjustRightInd w:val="0"/>
              <w:ind w:left="60" w:right="60"/>
              <w:jc w:val="center"/>
              <w:rPr>
                <w:rFonts w:ascii="Arial" w:hAnsi="Arial" w:cs="Arial"/>
                <w:color w:val="000000"/>
                <w:sz w:val="18"/>
                <w:szCs w:val="18"/>
                <w:lang w:eastAsia="en-GB"/>
              </w:rPr>
            </w:pPr>
            <w:r>
              <w:rPr>
                <w:rFonts w:ascii="Arial" w:hAnsi="Arial" w:cs="Arial"/>
                <w:color w:val="000000"/>
                <w:sz w:val="18"/>
                <w:szCs w:val="18"/>
                <w:lang w:eastAsia="en-GB"/>
              </w:rPr>
              <w:t>Sig.</w:t>
            </w:r>
          </w:p>
        </w:tc>
      </w:tr>
      <w:tr w14:paraId="1B1ED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5" w:hRule="atLeast"/>
        </w:trPr>
        <w:tc>
          <w:tcPr>
            <w:tcW w:w="753" w:type="dxa"/>
            <w:vMerge w:val="restart"/>
            <w:tcBorders>
              <w:top w:val="single" w:color="auto" w:sz="4" w:space="0"/>
              <w:left w:val="nil"/>
              <w:bottom w:val="nil"/>
              <w:right w:val="nil"/>
            </w:tcBorders>
            <w:shd w:val="clear" w:color="auto" w:fill="FFFFFF"/>
          </w:tcPr>
          <w:p w14:paraId="10249E41">
            <w:pPr>
              <w:autoSpaceDE w:val="0"/>
              <w:autoSpaceDN w:val="0"/>
              <w:adjustRightInd w:val="0"/>
              <w:spacing w:line="320" w:lineRule="atLeast"/>
              <w:ind w:left="60" w:right="60"/>
              <w:rPr>
                <w:rFonts w:ascii="Arial" w:hAnsi="Arial" w:cs="Arial"/>
                <w:color w:val="000000"/>
                <w:sz w:val="18"/>
                <w:szCs w:val="18"/>
                <w:lang w:eastAsia="en-GB"/>
              </w:rPr>
            </w:pPr>
            <w:r>
              <w:rPr>
                <w:rFonts w:ascii="Arial" w:hAnsi="Arial" w:cs="Arial"/>
                <w:color w:val="000000"/>
                <w:sz w:val="18"/>
                <w:szCs w:val="18"/>
                <w:lang w:eastAsia="en-GB"/>
              </w:rPr>
              <w:t>1</w:t>
            </w:r>
          </w:p>
        </w:tc>
        <w:tc>
          <w:tcPr>
            <w:tcW w:w="1320" w:type="dxa"/>
            <w:tcBorders>
              <w:top w:val="single" w:color="auto" w:sz="4" w:space="0"/>
              <w:left w:val="nil"/>
              <w:bottom w:val="nil"/>
              <w:right w:val="nil"/>
            </w:tcBorders>
            <w:shd w:val="clear" w:color="auto" w:fill="FFFFFF"/>
          </w:tcPr>
          <w:p w14:paraId="67D7E745">
            <w:pPr>
              <w:autoSpaceDE w:val="0"/>
              <w:autoSpaceDN w:val="0"/>
              <w:adjustRightInd w:val="0"/>
              <w:ind w:left="60" w:right="60"/>
              <w:rPr>
                <w:rFonts w:ascii="Arial" w:hAnsi="Arial" w:cs="Arial"/>
                <w:color w:val="000000"/>
                <w:sz w:val="18"/>
                <w:szCs w:val="18"/>
                <w:lang w:eastAsia="en-GB"/>
              </w:rPr>
            </w:pPr>
            <w:r>
              <w:rPr>
                <w:rFonts w:ascii="Arial" w:hAnsi="Arial" w:cs="Arial"/>
                <w:color w:val="000000"/>
                <w:sz w:val="18"/>
                <w:szCs w:val="18"/>
                <w:lang w:eastAsia="en-GB"/>
              </w:rPr>
              <w:t>Regression</w:t>
            </w:r>
          </w:p>
        </w:tc>
        <w:tc>
          <w:tcPr>
            <w:tcW w:w="1510" w:type="dxa"/>
            <w:tcBorders>
              <w:top w:val="single" w:color="auto" w:sz="4" w:space="0"/>
              <w:left w:val="nil"/>
              <w:bottom w:val="nil"/>
              <w:right w:val="nil"/>
            </w:tcBorders>
            <w:shd w:val="clear" w:color="auto" w:fill="FFFFFF"/>
            <w:vAlign w:val="center"/>
          </w:tcPr>
          <w:p w14:paraId="60D04317">
            <w:pPr>
              <w:autoSpaceDE w:val="0"/>
              <w:autoSpaceDN w:val="0"/>
              <w:adjustRightInd w:val="0"/>
              <w:ind w:left="60" w:right="60"/>
              <w:jc w:val="right"/>
              <w:rPr>
                <w:rFonts w:ascii="Arial" w:hAnsi="Arial" w:cs="Arial"/>
                <w:color w:val="000000"/>
                <w:sz w:val="18"/>
                <w:szCs w:val="18"/>
                <w:lang w:eastAsia="en-GB"/>
              </w:rPr>
            </w:pPr>
            <w:r>
              <w:rPr>
                <w:rFonts w:ascii="Arial" w:hAnsi="Arial" w:cs="Arial"/>
                <w:color w:val="000000"/>
                <w:sz w:val="18"/>
                <w:szCs w:val="18"/>
                <w:lang w:eastAsia="en-GB"/>
              </w:rPr>
              <w:t>48.597</w:t>
            </w:r>
          </w:p>
        </w:tc>
        <w:tc>
          <w:tcPr>
            <w:tcW w:w="1054" w:type="dxa"/>
            <w:tcBorders>
              <w:top w:val="single" w:color="auto" w:sz="4" w:space="0"/>
              <w:left w:val="nil"/>
              <w:bottom w:val="nil"/>
              <w:right w:val="nil"/>
            </w:tcBorders>
            <w:shd w:val="clear" w:color="auto" w:fill="FFFFFF"/>
            <w:vAlign w:val="center"/>
          </w:tcPr>
          <w:p w14:paraId="30AAC151">
            <w:pPr>
              <w:autoSpaceDE w:val="0"/>
              <w:autoSpaceDN w:val="0"/>
              <w:adjustRightInd w:val="0"/>
              <w:ind w:left="60" w:right="60"/>
              <w:jc w:val="right"/>
              <w:rPr>
                <w:rFonts w:ascii="Arial" w:hAnsi="Arial" w:cs="Arial"/>
                <w:color w:val="000000"/>
                <w:sz w:val="18"/>
                <w:szCs w:val="18"/>
                <w:lang w:eastAsia="en-GB"/>
              </w:rPr>
            </w:pPr>
            <w:r>
              <w:rPr>
                <w:rFonts w:ascii="Arial" w:hAnsi="Arial" w:cs="Arial"/>
                <w:color w:val="000000"/>
                <w:sz w:val="18"/>
                <w:szCs w:val="18"/>
                <w:lang w:eastAsia="en-GB"/>
              </w:rPr>
              <w:t>4</w:t>
            </w:r>
          </w:p>
        </w:tc>
        <w:tc>
          <w:tcPr>
            <w:tcW w:w="1447" w:type="dxa"/>
            <w:tcBorders>
              <w:top w:val="single" w:color="auto" w:sz="4" w:space="0"/>
              <w:left w:val="nil"/>
              <w:bottom w:val="nil"/>
              <w:right w:val="nil"/>
            </w:tcBorders>
            <w:shd w:val="clear" w:color="auto" w:fill="FFFFFF"/>
            <w:vAlign w:val="center"/>
          </w:tcPr>
          <w:p w14:paraId="21C712D9">
            <w:pPr>
              <w:autoSpaceDE w:val="0"/>
              <w:autoSpaceDN w:val="0"/>
              <w:adjustRightInd w:val="0"/>
              <w:ind w:left="60" w:right="60"/>
              <w:jc w:val="right"/>
              <w:rPr>
                <w:rFonts w:ascii="Arial" w:hAnsi="Arial" w:cs="Arial"/>
                <w:color w:val="000000"/>
                <w:sz w:val="18"/>
                <w:szCs w:val="18"/>
                <w:lang w:eastAsia="en-GB"/>
              </w:rPr>
            </w:pPr>
            <w:r>
              <w:rPr>
                <w:rFonts w:ascii="Arial" w:hAnsi="Arial" w:cs="Arial"/>
                <w:color w:val="000000"/>
                <w:sz w:val="18"/>
                <w:szCs w:val="18"/>
                <w:lang w:eastAsia="en-GB"/>
              </w:rPr>
              <w:t>12.149</w:t>
            </w:r>
          </w:p>
        </w:tc>
        <w:tc>
          <w:tcPr>
            <w:tcW w:w="1054" w:type="dxa"/>
            <w:tcBorders>
              <w:top w:val="single" w:color="auto" w:sz="4" w:space="0"/>
              <w:left w:val="nil"/>
              <w:bottom w:val="nil"/>
              <w:right w:val="nil"/>
            </w:tcBorders>
            <w:shd w:val="clear" w:color="auto" w:fill="FFFFFF"/>
            <w:vAlign w:val="center"/>
          </w:tcPr>
          <w:p w14:paraId="6D2AE12D">
            <w:pPr>
              <w:autoSpaceDE w:val="0"/>
              <w:autoSpaceDN w:val="0"/>
              <w:adjustRightInd w:val="0"/>
              <w:ind w:left="60" w:right="60"/>
              <w:jc w:val="right"/>
              <w:rPr>
                <w:rFonts w:ascii="Arial" w:hAnsi="Arial" w:cs="Arial"/>
                <w:color w:val="000000"/>
                <w:sz w:val="18"/>
                <w:szCs w:val="18"/>
                <w:lang w:eastAsia="en-GB"/>
              </w:rPr>
            </w:pPr>
            <w:r>
              <w:rPr>
                <w:rFonts w:ascii="Arial" w:hAnsi="Arial" w:cs="Arial"/>
                <w:color w:val="000000"/>
                <w:sz w:val="18"/>
                <w:szCs w:val="18"/>
                <w:lang w:eastAsia="en-GB"/>
              </w:rPr>
              <w:t>74.491</w:t>
            </w:r>
          </w:p>
        </w:tc>
        <w:tc>
          <w:tcPr>
            <w:tcW w:w="1054" w:type="dxa"/>
            <w:tcBorders>
              <w:top w:val="single" w:color="auto" w:sz="4" w:space="0"/>
              <w:left w:val="nil"/>
              <w:bottom w:val="nil"/>
              <w:right w:val="nil"/>
            </w:tcBorders>
            <w:shd w:val="clear" w:color="auto" w:fill="FFFFFF"/>
            <w:vAlign w:val="center"/>
          </w:tcPr>
          <w:p w14:paraId="210D6D17">
            <w:pPr>
              <w:autoSpaceDE w:val="0"/>
              <w:autoSpaceDN w:val="0"/>
              <w:adjustRightInd w:val="0"/>
              <w:ind w:left="60" w:right="60"/>
              <w:jc w:val="right"/>
              <w:rPr>
                <w:rFonts w:ascii="Arial" w:hAnsi="Arial" w:cs="Arial"/>
                <w:color w:val="000000"/>
                <w:sz w:val="18"/>
                <w:szCs w:val="18"/>
                <w:lang w:eastAsia="en-GB"/>
              </w:rPr>
            </w:pPr>
            <w:r>
              <w:rPr>
                <w:rFonts w:ascii="Arial" w:hAnsi="Arial" w:cs="Arial"/>
                <w:color w:val="000000"/>
                <w:sz w:val="18"/>
                <w:szCs w:val="18"/>
                <w:lang w:eastAsia="en-GB"/>
              </w:rPr>
              <w:t>.000</w:t>
            </w:r>
            <w:r>
              <w:rPr>
                <w:rFonts w:ascii="Arial" w:hAnsi="Arial" w:cs="Arial"/>
                <w:color w:val="000000"/>
                <w:sz w:val="18"/>
                <w:szCs w:val="18"/>
                <w:vertAlign w:val="superscript"/>
                <w:lang w:eastAsia="en-GB"/>
              </w:rPr>
              <w:t>b</w:t>
            </w:r>
          </w:p>
        </w:tc>
      </w:tr>
      <w:tr w14:paraId="781B8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trPr>
        <w:tc>
          <w:tcPr>
            <w:tcW w:w="753" w:type="dxa"/>
            <w:vMerge w:val="continue"/>
            <w:tcBorders>
              <w:top w:val="nil"/>
              <w:left w:val="nil"/>
              <w:bottom w:val="nil"/>
              <w:right w:val="nil"/>
            </w:tcBorders>
            <w:shd w:val="clear" w:color="auto" w:fill="FFFFFF"/>
          </w:tcPr>
          <w:p w14:paraId="09C4926E">
            <w:pPr>
              <w:autoSpaceDE w:val="0"/>
              <w:autoSpaceDN w:val="0"/>
              <w:adjustRightInd w:val="0"/>
              <w:rPr>
                <w:rFonts w:ascii="Arial" w:hAnsi="Arial" w:cs="Arial"/>
                <w:color w:val="000000"/>
                <w:sz w:val="18"/>
                <w:szCs w:val="18"/>
                <w:lang w:eastAsia="en-GB"/>
              </w:rPr>
            </w:pPr>
          </w:p>
        </w:tc>
        <w:tc>
          <w:tcPr>
            <w:tcW w:w="1320" w:type="dxa"/>
            <w:tcBorders>
              <w:top w:val="nil"/>
              <w:left w:val="nil"/>
              <w:bottom w:val="nil"/>
              <w:right w:val="nil"/>
            </w:tcBorders>
            <w:shd w:val="clear" w:color="auto" w:fill="FFFFFF"/>
          </w:tcPr>
          <w:p w14:paraId="55322A00">
            <w:pPr>
              <w:autoSpaceDE w:val="0"/>
              <w:autoSpaceDN w:val="0"/>
              <w:adjustRightInd w:val="0"/>
              <w:ind w:left="60" w:right="60"/>
              <w:rPr>
                <w:rFonts w:ascii="Arial" w:hAnsi="Arial" w:cs="Arial"/>
                <w:color w:val="000000"/>
                <w:sz w:val="18"/>
                <w:szCs w:val="18"/>
                <w:lang w:eastAsia="en-GB"/>
              </w:rPr>
            </w:pPr>
            <w:r>
              <w:rPr>
                <w:rFonts w:ascii="Arial" w:hAnsi="Arial" w:cs="Arial"/>
                <w:color w:val="000000"/>
                <w:sz w:val="18"/>
                <w:szCs w:val="18"/>
                <w:lang w:eastAsia="en-GB"/>
              </w:rPr>
              <w:t>Residual</w:t>
            </w:r>
          </w:p>
        </w:tc>
        <w:tc>
          <w:tcPr>
            <w:tcW w:w="1510" w:type="dxa"/>
            <w:tcBorders>
              <w:top w:val="nil"/>
              <w:left w:val="nil"/>
              <w:bottom w:val="nil"/>
              <w:right w:val="nil"/>
            </w:tcBorders>
            <w:shd w:val="clear" w:color="auto" w:fill="FFFFFF"/>
            <w:vAlign w:val="center"/>
          </w:tcPr>
          <w:p w14:paraId="00822A01">
            <w:pPr>
              <w:autoSpaceDE w:val="0"/>
              <w:autoSpaceDN w:val="0"/>
              <w:adjustRightInd w:val="0"/>
              <w:ind w:left="60" w:right="60"/>
              <w:jc w:val="right"/>
              <w:rPr>
                <w:rFonts w:ascii="Arial" w:hAnsi="Arial" w:cs="Arial"/>
                <w:color w:val="000000"/>
                <w:sz w:val="18"/>
                <w:szCs w:val="18"/>
                <w:lang w:eastAsia="en-GB"/>
              </w:rPr>
            </w:pPr>
            <w:r>
              <w:rPr>
                <w:rFonts w:ascii="Arial" w:hAnsi="Arial" w:cs="Arial"/>
                <w:color w:val="000000"/>
                <w:sz w:val="18"/>
                <w:szCs w:val="18"/>
                <w:lang w:eastAsia="en-GB"/>
              </w:rPr>
              <w:t>12.069</w:t>
            </w:r>
          </w:p>
        </w:tc>
        <w:tc>
          <w:tcPr>
            <w:tcW w:w="1054" w:type="dxa"/>
            <w:tcBorders>
              <w:top w:val="nil"/>
              <w:left w:val="nil"/>
              <w:bottom w:val="nil"/>
              <w:right w:val="nil"/>
            </w:tcBorders>
            <w:shd w:val="clear" w:color="auto" w:fill="FFFFFF"/>
            <w:vAlign w:val="center"/>
          </w:tcPr>
          <w:p w14:paraId="1C922056">
            <w:pPr>
              <w:autoSpaceDE w:val="0"/>
              <w:autoSpaceDN w:val="0"/>
              <w:adjustRightInd w:val="0"/>
              <w:ind w:left="60" w:right="60"/>
              <w:jc w:val="right"/>
              <w:rPr>
                <w:rFonts w:ascii="Arial" w:hAnsi="Arial" w:cs="Arial"/>
                <w:color w:val="000000"/>
                <w:sz w:val="18"/>
                <w:szCs w:val="18"/>
                <w:lang w:eastAsia="en-GB"/>
              </w:rPr>
            </w:pPr>
            <w:r>
              <w:rPr>
                <w:rFonts w:ascii="Arial" w:hAnsi="Arial" w:cs="Arial"/>
                <w:color w:val="000000"/>
                <w:sz w:val="18"/>
                <w:szCs w:val="18"/>
                <w:lang w:eastAsia="en-GB"/>
              </w:rPr>
              <w:t>74</w:t>
            </w:r>
          </w:p>
        </w:tc>
        <w:tc>
          <w:tcPr>
            <w:tcW w:w="1447" w:type="dxa"/>
            <w:tcBorders>
              <w:top w:val="nil"/>
              <w:left w:val="nil"/>
              <w:bottom w:val="nil"/>
              <w:right w:val="nil"/>
            </w:tcBorders>
            <w:shd w:val="clear" w:color="auto" w:fill="FFFFFF"/>
            <w:vAlign w:val="center"/>
          </w:tcPr>
          <w:p w14:paraId="2CEF5105">
            <w:pPr>
              <w:autoSpaceDE w:val="0"/>
              <w:autoSpaceDN w:val="0"/>
              <w:adjustRightInd w:val="0"/>
              <w:ind w:left="60" w:right="60"/>
              <w:jc w:val="right"/>
              <w:rPr>
                <w:rFonts w:ascii="Arial" w:hAnsi="Arial" w:cs="Arial"/>
                <w:color w:val="000000"/>
                <w:sz w:val="18"/>
                <w:szCs w:val="18"/>
                <w:lang w:eastAsia="en-GB"/>
              </w:rPr>
            </w:pPr>
            <w:r>
              <w:rPr>
                <w:rFonts w:ascii="Arial" w:hAnsi="Arial" w:cs="Arial"/>
                <w:color w:val="000000"/>
                <w:sz w:val="18"/>
                <w:szCs w:val="18"/>
                <w:lang w:eastAsia="en-GB"/>
              </w:rPr>
              <w:t>.163</w:t>
            </w:r>
          </w:p>
        </w:tc>
        <w:tc>
          <w:tcPr>
            <w:tcW w:w="1054" w:type="dxa"/>
            <w:tcBorders>
              <w:top w:val="nil"/>
              <w:left w:val="nil"/>
              <w:bottom w:val="nil"/>
              <w:right w:val="nil"/>
            </w:tcBorders>
            <w:shd w:val="clear" w:color="auto" w:fill="FFFFFF"/>
            <w:vAlign w:val="center"/>
          </w:tcPr>
          <w:p w14:paraId="7404009F">
            <w:pPr>
              <w:autoSpaceDE w:val="0"/>
              <w:autoSpaceDN w:val="0"/>
              <w:adjustRightInd w:val="0"/>
              <w:rPr>
                <w:rFonts w:ascii="Times New Roman" w:hAnsi="Times New Roman"/>
                <w:sz w:val="24"/>
                <w:szCs w:val="24"/>
                <w:lang w:eastAsia="en-GB"/>
              </w:rPr>
            </w:pPr>
          </w:p>
        </w:tc>
        <w:tc>
          <w:tcPr>
            <w:tcW w:w="1054" w:type="dxa"/>
            <w:tcBorders>
              <w:top w:val="nil"/>
              <w:left w:val="nil"/>
              <w:bottom w:val="nil"/>
              <w:right w:val="nil"/>
            </w:tcBorders>
            <w:shd w:val="clear" w:color="auto" w:fill="FFFFFF"/>
            <w:vAlign w:val="center"/>
          </w:tcPr>
          <w:p w14:paraId="5898C71D">
            <w:pPr>
              <w:autoSpaceDE w:val="0"/>
              <w:autoSpaceDN w:val="0"/>
              <w:adjustRightInd w:val="0"/>
              <w:rPr>
                <w:rFonts w:ascii="Times New Roman" w:hAnsi="Times New Roman"/>
                <w:sz w:val="24"/>
                <w:szCs w:val="24"/>
                <w:lang w:eastAsia="en-GB"/>
              </w:rPr>
            </w:pPr>
          </w:p>
        </w:tc>
      </w:tr>
      <w:tr w14:paraId="01806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0" w:hRule="atLeast"/>
        </w:trPr>
        <w:tc>
          <w:tcPr>
            <w:tcW w:w="753" w:type="dxa"/>
            <w:vMerge w:val="continue"/>
            <w:tcBorders>
              <w:top w:val="nil"/>
              <w:left w:val="nil"/>
              <w:bottom w:val="single" w:color="auto" w:sz="4" w:space="0"/>
              <w:right w:val="nil"/>
            </w:tcBorders>
            <w:shd w:val="clear" w:color="auto" w:fill="FFFFFF"/>
          </w:tcPr>
          <w:p w14:paraId="526ED47E">
            <w:pPr>
              <w:autoSpaceDE w:val="0"/>
              <w:autoSpaceDN w:val="0"/>
              <w:adjustRightInd w:val="0"/>
              <w:rPr>
                <w:rFonts w:ascii="Times New Roman" w:hAnsi="Times New Roman"/>
                <w:sz w:val="24"/>
                <w:szCs w:val="24"/>
                <w:lang w:eastAsia="en-GB"/>
              </w:rPr>
            </w:pPr>
          </w:p>
        </w:tc>
        <w:tc>
          <w:tcPr>
            <w:tcW w:w="1320" w:type="dxa"/>
            <w:tcBorders>
              <w:top w:val="nil"/>
              <w:left w:val="nil"/>
              <w:bottom w:val="single" w:color="auto" w:sz="4" w:space="0"/>
              <w:right w:val="nil"/>
            </w:tcBorders>
            <w:shd w:val="clear" w:color="auto" w:fill="FFFFFF"/>
          </w:tcPr>
          <w:p w14:paraId="00DAD199">
            <w:pPr>
              <w:autoSpaceDE w:val="0"/>
              <w:autoSpaceDN w:val="0"/>
              <w:adjustRightInd w:val="0"/>
              <w:ind w:left="60" w:right="60"/>
              <w:rPr>
                <w:rFonts w:ascii="Arial" w:hAnsi="Arial" w:cs="Arial"/>
                <w:color w:val="000000"/>
                <w:sz w:val="18"/>
                <w:szCs w:val="18"/>
                <w:lang w:eastAsia="en-GB"/>
              </w:rPr>
            </w:pPr>
            <w:r>
              <w:rPr>
                <w:rFonts w:ascii="Arial" w:hAnsi="Arial" w:cs="Arial"/>
                <w:color w:val="000000"/>
                <w:sz w:val="18"/>
                <w:szCs w:val="18"/>
                <w:lang w:eastAsia="en-GB"/>
              </w:rPr>
              <w:t>Total</w:t>
            </w:r>
          </w:p>
        </w:tc>
        <w:tc>
          <w:tcPr>
            <w:tcW w:w="1510" w:type="dxa"/>
            <w:tcBorders>
              <w:top w:val="nil"/>
              <w:left w:val="nil"/>
              <w:bottom w:val="single" w:color="auto" w:sz="4" w:space="0"/>
              <w:right w:val="nil"/>
            </w:tcBorders>
            <w:shd w:val="clear" w:color="auto" w:fill="FFFFFF"/>
            <w:vAlign w:val="center"/>
          </w:tcPr>
          <w:p w14:paraId="65A79CAB">
            <w:pPr>
              <w:autoSpaceDE w:val="0"/>
              <w:autoSpaceDN w:val="0"/>
              <w:adjustRightInd w:val="0"/>
              <w:ind w:left="60" w:right="60"/>
              <w:jc w:val="right"/>
              <w:rPr>
                <w:rFonts w:ascii="Arial" w:hAnsi="Arial" w:cs="Arial"/>
                <w:color w:val="000000"/>
                <w:sz w:val="18"/>
                <w:szCs w:val="18"/>
                <w:lang w:eastAsia="en-GB"/>
              </w:rPr>
            </w:pPr>
            <w:r>
              <w:rPr>
                <w:rFonts w:ascii="Arial" w:hAnsi="Arial" w:cs="Arial"/>
                <w:color w:val="000000"/>
                <w:sz w:val="18"/>
                <w:szCs w:val="18"/>
                <w:lang w:eastAsia="en-GB"/>
              </w:rPr>
              <w:t>60.667</w:t>
            </w:r>
          </w:p>
        </w:tc>
        <w:tc>
          <w:tcPr>
            <w:tcW w:w="1054" w:type="dxa"/>
            <w:tcBorders>
              <w:top w:val="nil"/>
              <w:left w:val="nil"/>
              <w:bottom w:val="single" w:color="auto" w:sz="4" w:space="0"/>
              <w:right w:val="nil"/>
            </w:tcBorders>
            <w:shd w:val="clear" w:color="auto" w:fill="FFFFFF"/>
            <w:vAlign w:val="center"/>
          </w:tcPr>
          <w:p w14:paraId="6A322DE7">
            <w:pPr>
              <w:autoSpaceDE w:val="0"/>
              <w:autoSpaceDN w:val="0"/>
              <w:adjustRightInd w:val="0"/>
              <w:ind w:left="60" w:right="60"/>
              <w:jc w:val="right"/>
              <w:rPr>
                <w:rFonts w:ascii="Arial" w:hAnsi="Arial" w:cs="Arial"/>
                <w:color w:val="000000"/>
                <w:sz w:val="18"/>
                <w:szCs w:val="18"/>
                <w:lang w:eastAsia="en-GB"/>
              </w:rPr>
            </w:pPr>
            <w:r>
              <w:rPr>
                <w:rFonts w:ascii="Arial" w:hAnsi="Arial" w:cs="Arial"/>
                <w:color w:val="000000"/>
                <w:sz w:val="18"/>
                <w:szCs w:val="18"/>
                <w:lang w:eastAsia="en-GB"/>
              </w:rPr>
              <w:t>78</w:t>
            </w:r>
          </w:p>
        </w:tc>
        <w:tc>
          <w:tcPr>
            <w:tcW w:w="1447" w:type="dxa"/>
            <w:tcBorders>
              <w:top w:val="nil"/>
              <w:left w:val="nil"/>
              <w:bottom w:val="single" w:color="auto" w:sz="4" w:space="0"/>
              <w:right w:val="nil"/>
            </w:tcBorders>
            <w:shd w:val="clear" w:color="auto" w:fill="FFFFFF"/>
            <w:vAlign w:val="center"/>
          </w:tcPr>
          <w:p w14:paraId="2217DDCC">
            <w:pPr>
              <w:autoSpaceDE w:val="0"/>
              <w:autoSpaceDN w:val="0"/>
              <w:adjustRightInd w:val="0"/>
              <w:rPr>
                <w:rFonts w:ascii="Times New Roman" w:hAnsi="Times New Roman"/>
                <w:sz w:val="24"/>
                <w:szCs w:val="24"/>
                <w:lang w:eastAsia="en-GB"/>
              </w:rPr>
            </w:pPr>
          </w:p>
        </w:tc>
        <w:tc>
          <w:tcPr>
            <w:tcW w:w="1054" w:type="dxa"/>
            <w:tcBorders>
              <w:top w:val="nil"/>
              <w:left w:val="nil"/>
              <w:bottom w:val="single" w:color="auto" w:sz="4" w:space="0"/>
              <w:right w:val="nil"/>
            </w:tcBorders>
            <w:shd w:val="clear" w:color="auto" w:fill="FFFFFF"/>
            <w:vAlign w:val="center"/>
          </w:tcPr>
          <w:p w14:paraId="08A49DA6">
            <w:pPr>
              <w:autoSpaceDE w:val="0"/>
              <w:autoSpaceDN w:val="0"/>
              <w:adjustRightInd w:val="0"/>
              <w:rPr>
                <w:rFonts w:ascii="Times New Roman" w:hAnsi="Times New Roman"/>
                <w:sz w:val="24"/>
                <w:szCs w:val="24"/>
                <w:lang w:eastAsia="en-GB"/>
              </w:rPr>
            </w:pPr>
          </w:p>
        </w:tc>
        <w:tc>
          <w:tcPr>
            <w:tcW w:w="1054" w:type="dxa"/>
            <w:tcBorders>
              <w:top w:val="nil"/>
              <w:left w:val="nil"/>
              <w:bottom w:val="single" w:color="auto" w:sz="4" w:space="0"/>
              <w:right w:val="nil"/>
            </w:tcBorders>
            <w:shd w:val="clear" w:color="auto" w:fill="FFFFFF"/>
            <w:vAlign w:val="center"/>
          </w:tcPr>
          <w:p w14:paraId="2E40A82C">
            <w:pPr>
              <w:autoSpaceDE w:val="0"/>
              <w:autoSpaceDN w:val="0"/>
              <w:adjustRightInd w:val="0"/>
              <w:rPr>
                <w:rFonts w:ascii="Times New Roman" w:hAnsi="Times New Roman"/>
                <w:sz w:val="24"/>
                <w:szCs w:val="24"/>
                <w:lang w:eastAsia="en-GB"/>
              </w:rPr>
            </w:pPr>
          </w:p>
        </w:tc>
      </w:tr>
      <w:tr w14:paraId="46142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3" w:hRule="atLeast"/>
        </w:trPr>
        <w:tc>
          <w:tcPr>
            <w:tcW w:w="8194" w:type="dxa"/>
            <w:gridSpan w:val="7"/>
            <w:tcBorders>
              <w:top w:val="single" w:color="auto" w:sz="4" w:space="0"/>
              <w:left w:val="nil"/>
              <w:bottom w:val="nil"/>
              <w:right w:val="nil"/>
            </w:tcBorders>
            <w:shd w:val="clear" w:color="auto" w:fill="FFFFFF"/>
          </w:tcPr>
          <w:p w14:paraId="35562D49">
            <w:pPr>
              <w:autoSpaceDE w:val="0"/>
              <w:autoSpaceDN w:val="0"/>
              <w:adjustRightInd w:val="0"/>
              <w:ind w:left="60" w:right="60"/>
              <w:rPr>
                <w:rFonts w:ascii="Arial" w:hAnsi="Arial" w:cs="Arial"/>
                <w:color w:val="000000"/>
                <w:sz w:val="18"/>
                <w:szCs w:val="18"/>
                <w:lang w:eastAsia="en-GB"/>
              </w:rPr>
            </w:pPr>
            <w:r>
              <w:rPr>
                <w:rFonts w:ascii="Arial" w:hAnsi="Arial" w:cs="Arial"/>
                <w:color w:val="000000"/>
                <w:sz w:val="18"/>
                <w:szCs w:val="18"/>
                <w:lang w:eastAsia="en-GB"/>
              </w:rPr>
              <w:t>a. Dependent Variable: project performance</w:t>
            </w:r>
          </w:p>
        </w:tc>
      </w:tr>
      <w:tr w14:paraId="78B0F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27" w:hRule="atLeast"/>
        </w:trPr>
        <w:tc>
          <w:tcPr>
            <w:tcW w:w="8194" w:type="dxa"/>
            <w:gridSpan w:val="7"/>
            <w:tcBorders>
              <w:top w:val="nil"/>
              <w:left w:val="nil"/>
              <w:bottom w:val="nil"/>
              <w:right w:val="nil"/>
            </w:tcBorders>
            <w:shd w:val="clear" w:color="auto" w:fill="FFFFFF"/>
          </w:tcPr>
          <w:p w14:paraId="0EA8B192">
            <w:pPr>
              <w:autoSpaceDE w:val="0"/>
              <w:autoSpaceDN w:val="0"/>
              <w:adjustRightInd w:val="0"/>
              <w:ind w:left="60" w:right="60"/>
              <w:rPr>
                <w:rFonts w:ascii="Arial" w:hAnsi="Arial" w:cs="Arial"/>
                <w:color w:val="000000"/>
                <w:sz w:val="18"/>
                <w:szCs w:val="18"/>
                <w:lang w:eastAsia="en-GB"/>
              </w:rPr>
            </w:pPr>
            <w:r>
              <w:rPr>
                <w:rFonts w:ascii="Arial" w:hAnsi="Arial" w:cs="Arial"/>
                <w:color w:val="000000"/>
                <w:sz w:val="18"/>
                <w:szCs w:val="18"/>
                <w:lang w:eastAsia="en-GB"/>
              </w:rPr>
              <w:t>b. Predictors: (Constant), X1= M&amp;E planning, X2 = M&amp;E Baseline Studies, X3= Stakeholder Participation in M&amp;E, X4= M&amp;E performance reviews</w:t>
            </w:r>
          </w:p>
        </w:tc>
      </w:tr>
    </w:tbl>
    <w:p w14:paraId="51F04CDC">
      <w:pPr>
        <w:autoSpaceDE w:val="0"/>
        <w:autoSpaceDN w:val="0"/>
        <w:adjustRightInd w:val="0"/>
        <w:rPr>
          <w:rFonts w:ascii="Arial" w:hAnsi="Arial" w:cs="Arial"/>
          <w:lang w:eastAsia="en-GB"/>
        </w:rPr>
      </w:pPr>
    </w:p>
    <w:p w14:paraId="0AC176E8">
      <w:pPr>
        <w:pStyle w:val="10"/>
      </w:pPr>
      <w:bookmarkStart w:id="6" w:name="_Toc225940399"/>
      <w:r>
        <w:rPr>
          <w:highlight w:val="yellow"/>
        </w:rPr>
        <w:t>Table 3 reports an F-statistic of 74.491 and a p-value of 0.00, indicating that the model is statistically significant</w:t>
      </w:r>
      <w:r>
        <w:t xml:space="preserve">. This indicates that the M&amp;E variables, when considered together, possess considerable predictive power regarding project performance. In other terms, the probability that this relationship arose by chance is exceedingly low. </w:t>
      </w:r>
      <w:r>
        <w:rPr>
          <w:highlight w:val="yellow"/>
        </w:rPr>
        <w:t>Consequently, the ANOVA results indicate that the synergistic effect of M&amp;E planning, baseline studies, stakeholder engagement, and performance evaluations significantly explains variations in project outcomes. Thus, the ANOVA results confirm that the M&amp;E dimensions collectively, were powerful predictors of a successful project.</w:t>
      </w:r>
    </w:p>
    <w:p w14:paraId="3AFB53BC">
      <w:pPr>
        <w:rPr>
          <w:rFonts w:ascii="Arial" w:hAnsi="Arial" w:cs="Arial"/>
          <w:lang w:eastAsia="en-GB"/>
        </w:rPr>
      </w:pPr>
    </w:p>
    <w:p w14:paraId="56C828A4">
      <w:pPr>
        <w:pStyle w:val="10"/>
      </w:pPr>
      <w:r>
        <w:t>Table 4: Regression Coefficients</w:t>
      </w:r>
      <w:bookmarkEnd w:id="6"/>
      <w:r>
        <w:t xml:space="preserve"> </w:t>
      </w:r>
    </w:p>
    <w:tbl>
      <w:tblPr>
        <w:tblStyle w:val="22"/>
        <w:tblW w:w="8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
        <w:gridCol w:w="1476"/>
        <w:gridCol w:w="1342"/>
        <w:gridCol w:w="1345"/>
        <w:gridCol w:w="1482"/>
        <w:gridCol w:w="1034"/>
        <w:gridCol w:w="1038"/>
      </w:tblGrid>
      <w:tr w14:paraId="4860B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929" w:type="dxa"/>
            <w:gridSpan w:val="2"/>
            <w:vMerge w:val="restart"/>
            <w:tcBorders>
              <w:top w:val="single" w:color="auto" w:sz="4" w:space="0"/>
              <w:left w:val="nil"/>
              <w:bottom w:val="single" w:color="auto" w:sz="4" w:space="0"/>
              <w:right w:val="nil"/>
            </w:tcBorders>
          </w:tcPr>
          <w:p w14:paraId="57CBF125">
            <w:pPr>
              <w:autoSpaceDE w:val="0"/>
              <w:autoSpaceDN w:val="0"/>
              <w:adjustRightInd w:val="0"/>
              <w:ind w:left="60" w:right="60"/>
              <w:rPr>
                <w:rFonts w:ascii="Arial" w:hAnsi="Arial" w:eastAsia="Calibri" w:cs="Arial"/>
                <w:color w:val="000000"/>
                <w:sz w:val="20"/>
                <w:szCs w:val="20"/>
                <w:lang w:eastAsia="en-GB"/>
              </w:rPr>
            </w:pPr>
            <w:r>
              <w:rPr>
                <w:rFonts w:ascii="Arial" w:hAnsi="Arial" w:eastAsia="Calibri" w:cs="Arial"/>
                <w:color w:val="000000"/>
                <w:sz w:val="20"/>
                <w:szCs w:val="20"/>
                <w:lang w:eastAsia="en-GB"/>
              </w:rPr>
              <w:t>Model</w:t>
            </w:r>
          </w:p>
        </w:tc>
        <w:tc>
          <w:tcPr>
            <w:tcW w:w="2687" w:type="dxa"/>
            <w:gridSpan w:val="2"/>
            <w:tcBorders>
              <w:top w:val="single" w:color="auto" w:sz="4" w:space="0"/>
              <w:left w:val="nil"/>
              <w:bottom w:val="single" w:color="auto" w:sz="4" w:space="0"/>
              <w:right w:val="nil"/>
            </w:tcBorders>
          </w:tcPr>
          <w:p w14:paraId="45EF02EA">
            <w:pPr>
              <w:autoSpaceDE w:val="0"/>
              <w:autoSpaceDN w:val="0"/>
              <w:adjustRightInd w:val="0"/>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Unstandardized Coefficients</w:t>
            </w:r>
          </w:p>
        </w:tc>
        <w:tc>
          <w:tcPr>
            <w:tcW w:w="1482" w:type="dxa"/>
            <w:tcBorders>
              <w:top w:val="single" w:color="auto" w:sz="4" w:space="0"/>
              <w:left w:val="nil"/>
              <w:bottom w:val="single" w:color="auto" w:sz="4" w:space="0"/>
              <w:right w:val="nil"/>
            </w:tcBorders>
          </w:tcPr>
          <w:p w14:paraId="7D4FA91D">
            <w:pPr>
              <w:autoSpaceDE w:val="0"/>
              <w:autoSpaceDN w:val="0"/>
              <w:adjustRightInd w:val="0"/>
              <w:ind w:right="60"/>
              <w:rPr>
                <w:rFonts w:ascii="Arial" w:hAnsi="Arial" w:eastAsia="Calibri" w:cs="Arial"/>
                <w:color w:val="000000"/>
                <w:sz w:val="20"/>
                <w:szCs w:val="20"/>
                <w:lang w:eastAsia="en-GB"/>
              </w:rPr>
            </w:pPr>
            <w:r>
              <w:rPr>
                <w:rFonts w:ascii="Arial" w:hAnsi="Arial" w:eastAsia="Calibri" w:cs="Arial"/>
                <w:color w:val="000000"/>
                <w:sz w:val="20"/>
                <w:szCs w:val="20"/>
                <w:lang w:eastAsia="en-GB"/>
              </w:rPr>
              <w:t>Standardized Coefficients</w:t>
            </w:r>
          </w:p>
        </w:tc>
        <w:tc>
          <w:tcPr>
            <w:tcW w:w="1034" w:type="dxa"/>
            <w:vMerge w:val="restart"/>
            <w:tcBorders>
              <w:top w:val="single" w:color="auto" w:sz="4" w:space="0"/>
              <w:left w:val="nil"/>
              <w:bottom w:val="single" w:color="auto" w:sz="4" w:space="0"/>
              <w:right w:val="nil"/>
            </w:tcBorders>
          </w:tcPr>
          <w:p w14:paraId="7417C321">
            <w:pPr>
              <w:autoSpaceDE w:val="0"/>
              <w:autoSpaceDN w:val="0"/>
              <w:adjustRightInd w:val="0"/>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t</w:t>
            </w:r>
          </w:p>
        </w:tc>
        <w:tc>
          <w:tcPr>
            <w:tcW w:w="1037" w:type="dxa"/>
            <w:vMerge w:val="restart"/>
            <w:tcBorders>
              <w:top w:val="single" w:color="auto" w:sz="4" w:space="0"/>
              <w:left w:val="nil"/>
              <w:bottom w:val="single" w:color="auto" w:sz="4" w:space="0"/>
              <w:right w:val="nil"/>
            </w:tcBorders>
          </w:tcPr>
          <w:p w14:paraId="4EA5C418">
            <w:pPr>
              <w:autoSpaceDE w:val="0"/>
              <w:autoSpaceDN w:val="0"/>
              <w:adjustRightInd w:val="0"/>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Sig.</w:t>
            </w:r>
          </w:p>
        </w:tc>
      </w:tr>
      <w:tr w14:paraId="797B4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1929" w:type="dxa"/>
            <w:gridSpan w:val="2"/>
            <w:vMerge w:val="continue"/>
            <w:tcBorders>
              <w:top w:val="single" w:color="auto" w:sz="4" w:space="0"/>
              <w:left w:val="nil"/>
              <w:bottom w:val="single" w:color="auto" w:sz="4" w:space="0"/>
              <w:right w:val="nil"/>
            </w:tcBorders>
          </w:tcPr>
          <w:p w14:paraId="416670A7">
            <w:pPr>
              <w:autoSpaceDE w:val="0"/>
              <w:autoSpaceDN w:val="0"/>
              <w:adjustRightInd w:val="0"/>
              <w:rPr>
                <w:rFonts w:ascii="Arial" w:hAnsi="Arial" w:eastAsia="Calibri" w:cs="Arial"/>
                <w:color w:val="000000"/>
                <w:sz w:val="20"/>
                <w:szCs w:val="20"/>
                <w:lang w:eastAsia="en-GB"/>
              </w:rPr>
            </w:pPr>
          </w:p>
        </w:tc>
        <w:tc>
          <w:tcPr>
            <w:tcW w:w="1342" w:type="dxa"/>
            <w:tcBorders>
              <w:top w:val="single" w:color="auto" w:sz="4" w:space="0"/>
              <w:left w:val="nil"/>
              <w:bottom w:val="single" w:color="auto" w:sz="4" w:space="0"/>
              <w:right w:val="nil"/>
            </w:tcBorders>
          </w:tcPr>
          <w:p w14:paraId="11FC8DAA">
            <w:pPr>
              <w:autoSpaceDE w:val="0"/>
              <w:autoSpaceDN w:val="0"/>
              <w:adjustRightInd w:val="0"/>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B</w:t>
            </w:r>
          </w:p>
        </w:tc>
        <w:tc>
          <w:tcPr>
            <w:tcW w:w="1344" w:type="dxa"/>
            <w:tcBorders>
              <w:top w:val="single" w:color="auto" w:sz="4" w:space="0"/>
              <w:left w:val="nil"/>
              <w:bottom w:val="single" w:color="auto" w:sz="4" w:space="0"/>
              <w:right w:val="nil"/>
            </w:tcBorders>
          </w:tcPr>
          <w:p w14:paraId="20D361D1">
            <w:pPr>
              <w:autoSpaceDE w:val="0"/>
              <w:autoSpaceDN w:val="0"/>
              <w:adjustRightInd w:val="0"/>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Std. Error</w:t>
            </w:r>
          </w:p>
        </w:tc>
        <w:tc>
          <w:tcPr>
            <w:tcW w:w="1482" w:type="dxa"/>
            <w:tcBorders>
              <w:top w:val="single" w:color="auto" w:sz="4" w:space="0"/>
              <w:left w:val="nil"/>
              <w:bottom w:val="single" w:color="auto" w:sz="4" w:space="0"/>
              <w:right w:val="nil"/>
            </w:tcBorders>
          </w:tcPr>
          <w:p w14:paraId="685C4519">
            <w:pPr>
              <w:autoSpaceDE w:val="0"/>
              <w:autoSpaceDN w:val="0"/>
              <w:adjustRightInd w:val="0"/>
              <w:ind w:left="60" w:right="60"/>
              <w:jc w:val="center"/>
              <w:rPr>
                <w:rFonts w:ascii="Arial" w:hAnsi="Arial" w:eastAsia="Calibri" w:cs="Arial"/>
                <w:color w:val="000000"/>
                <w:sz w:val="20"/>
                <w:szCs w:val="20"/>
                <w:lang w:eastAsia="en-GB"/>
              </w:rPr>
            </w:pPr>
            <w:r>
              <w:rPr>
                <w:rFonts w:ascii="Arial" w:hAnsi="Arial" w:eastAsia="Calibri" w:cs="Arial"/>
                <w:color w:val="000000"/>
                <w:sz w:val="20"/>
                <w:szCs w:val="20"/>
                <w:lang w:eastAsia="en-GB"/>
              </w:rPr>
              <w:t>Beta</w:t>
            </w:r>
          </w:p>
        </w:tc>
        <w:tc>
          <w:tcPr>
            <w:tcW w:w="1034" w:type="dxa"/>
            <w:vMerge w:val="continue"/>
            <w:tcBorders>
              <w:top w:val="single" w:color="auto" w:sz="4" w:space="0"/>
              <w:left w:val="nil"/>
              <w:bottom w:val="single" w:color="auto" w:sz="4" w:space="0"/>
              <w:right w:val="nil"/>
            </w:tcBorders>
          </w:tcPr>
          <w:p w14:paraId="36D3B66F">
            <w:pPr>
              <w:autoSpaceDE w:val="0"/>
              <w:autoSpaceDN w:val="0"/>
              <w:adjustRightInd w:val="0"/>
              <w:rPr>
                <w:rFonts w:ascii="Arial" w:hAnsi="Arial" w:eastAsia="Calibri" w:cs="Arial"/>
                <w:color w:val="000000"/>
                <w:sz w:val="20"/>
                <w:szCs w:val="20"/>
                <w:lang w:eastAsia="en-GB"/>
              </w:rPr>
            </w:pPr>
          </w:p>
        </w:tc>
        <w:tc>
          <w:tcPr>
            <w:tcW w:w="1037" w:type="dxa"/>
            <w:vMerge w:val="continue"/>
            <w:tcBorders>
              <w:top w:val="single" w:color="auto" w:sz="4" w:space="0"/>
              <w:left w:val="nil"/>
              <w:bottom w:val="single" w:color="auto" w:sz="4" w:space="0"/>
              <w:right w:val="nil"/>
            </w:tcBorders>
          </w:tcPr>
          <w:p w14:paraId="730A9ECE">
            <w:pPr>
              <w:autoSpaceDE w:val="0"/>
              <w:autoSpaceDN w:val="0"/>
              <w:adjustRightInd w:val="0"/>
              <w:rPr>
                <w:rFonts w:ascii="Arial" w:hAnsi="Arial" w:eastAsia="Calibri" w:cs="Arial"/>
                <w:color w:val="000000"/>
                <w:sz w:val="20"/>
                <w:szCs w:val="20"/>
                <w:lang w:eastAsia="en-GB"/>
              </w:rPr>
            </w:pPr>
          </w:p>
        </w:tc>
      </w:tr>
      <w:tr w14:paraId="6972D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53" w:type="dxa"/>
            <w:vMerge w:val="restart"/>
            <w:tcBorders>
              <w:top w:val="single" w:color="auto" w:sz="4" w:space="0"/>
              <w:left w:val="nil"/>
              <w:bottom w:val="nil"/>
              <w:right w:val="nil"/>
            </w:tcBorders>
          </w:tcPr>
          <w:p w14:paraId="095C3F13">
            <w:pPr>
              <w:autoSpaceDE w:val="0"/>
              <w:autoSpaceDN w:val="0"/>
              <w:adjustRightInd w:val="0"/>
              <w:ind w:left="60" w:right="60"/>
              <w:rPr>
                <w:rFonts w:ascii="Arial" w:hAnsi="Arial" w:eastAsia="Calibri" w:cs="Arial"/>
                <w:color w:val="000000"/>
                <w:sz w:val="20"/>
                <w:szCs w:val="20"/>
                <w:lang w:eastAsia="en-GB"/>
              </w:rPr>
            </w:pPr>
            <w:r>
              <w:rPr>
                <w:rFonts w:ascii="Arial" w:hAnsi="Arial" w:eastAsia="Calibri" w:cs="Arial"/>
                <w:color w:val="000000"/>
                <w:sz w:val="20"/>
                <w:szCs w:val="20"/>
                <w:lang w:eastAsia="en-GB"/>
              </w:rPr>
              <w:t>1</w:t>
            </w:r>
          </w:p>
        </w:tc>
        <w:tc>
          <w:tcPr>
            <w:tcW w:w="1475" w:type="dxa"/>
            <w:tcBorders>
              <w:top w:val="single" w:color="auto" w:sz="4" w:space="0"/>
              <w:left w:val="nil"/>
              <w:bottom w:val="nil"/>
              <w:right w:val="nil"/>
            </w:tcBorders>
          </w:tcPr>
          <w:p w14:paraId="32EC7B11">
            <w:pPr>
              <w:autoSpaceDE w:val="0"/>
              <w:autoSpaceDN w:val="0"/>
              <w:adjustRightInd w:val="0"/>
              <w:ind w:left="60" w:right="60"/>
              <w:rPr>
                <w:rFonts w:ascii="Arial" w:hAnsi="Arial" w:eastAsia="Calibri" w:cs="Arial"/>
                <w:color w:val="000000"/>
                <w:sz w:val="20"/>
                <w:szCs w:val="20"/>
                <w:lang w:eastAsia="en-GB"/>
              </w:rPr>
            </w:pPr>
            <w:r>
              <w:rPr>
                <w:rFonts w:ascii="Arial" w:hAnsi="Arial" w:eastAsia="Calibri" w:cs="Arial"/>
                <w:color w:val="000000"/>
                <w:sz w:val="20"/>
                <w:szCs w:val="20"/>
                <w:lang w:eastAsia="en-GB"/>
              </w:rPr>
              <w:t>(Constant)</w:t>
            </w:r>
          </w:p>
        </w:tc>
        <w:tc>
          <w:tcPr>
            <w:tcW w:w="1342" w:type="dxa"/>
            <w:tcBorders>
              <w:top w:val="single" w:color="auto" w:sz="4" w:space="0"/>
              <w:left w:val="nil"/>
              <w:bottom w:val="nil"/>
              <w:right w:val="nil"/>
            </w:tcBorders>
          </w:tcPr>
          <w:p w14:paraId="353A19BC">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3.642</w:t>
            </w:r>
          </w:p>
        </w:tc>
        <w:tc>
          <w:tcPr>
            <w:tcW w:w="1344" w:type="dxa"/>
            <w:tcBorders>
              <w:top w:val="single" w:color="auto" w:sz="4" w:space="0"/>
              <w:left w:val="nil"/>
              <w:bottom w:val="nil"/>
              <w:right w:val="nil"/>
            </w:tcBorders>
          </w:tcPr>
          <w:p w14:paraId="10FA23FB">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.156</w:t>
            </w:r>
          </w:p>
        </w:tc>
        <w:tc>
          <w:tcPr>
            <w:tcW w:w="1482" w:type="dxa"/>
            <w:tcBorders>
              <w:top w:val="single" w:color="auto" w:sz="4" w:space="0"/>
              <w:left w:val="nil"/>
              <w:bottom w:val="nil"/>
              <w:right w:val="nil"/>
            </w:tcBorders>
          </w:tcPr>
          <w:p w14:paraId="67431020">
            <w:pPr>
              <w:autoSpaceDE w:val="0"/>
              <w:autoSpaceDN w:val="0"/>
              <w:adjustRightInd w:val="0"/>
              <w:rPr>
                <w:rFonts w:ascii="Arial" w:hAnsi="Arial" w:eastAsia="Calibri" w:cs="Arial"/>
                <w:sz w:val="20"/>
                <w:szCs w:val="20"/>
                <w:lang w:eastAsia="en-GB"/>
              </w:rPr>
            </w:pPr>
          </w:p>
        </w:tc>
        <w:tc>
          <w:tcPr>
            <w:tcW w:w="1034" w:type="dxa"/>
            <w:tcBorders>
              <w:top w:val="single" w:color="auto" w:sz="4" w:space="0"/>
              <w:left w:val="nil"/>
              <w:bottom w:val="nil"/>
              <w:right w:val="nil"/>
            </w:tcBorders>
          </w:tcPr>
          <w:p w14:paraId="12CE8175">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23.271</w:t>
            </w:r>
          </w:p>
        </w:tc>
        <w:tc>
          <w:tcPr>
            <w:tcW w:w="1037" w:type="dxa"/>
            <w:tcBorders>
              <w:top w:val="single" w:color="auto" w:sz="4" w:space="0"/>
              <w:left w:val="nil"/>
              <w:bottom w:val="nil"/>
              <w:right w:val="nil"/>
            </w:tcBorders>
          </w:tcPr>
          <w:p w14:paraId="17491337">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.000</w:t>
            </w:r>
          </w:p>
        </w:tc>
      </w:tr>
      <w:tr w14:paraId="24F75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453" w:type="dxa"/>
            <w:vMerge w:val="continue"/>
            <w:tcBorders>
              <w:top w:val="nil"/>
              <w:left w:val="nil"/>
              <w:bottom w:val="nil"/>
              <w:right w:val="nil"/>
            </w:tcBorders>
          </w:tcPr>
          <w:p w14:paraId="74C19F5D">
            <w:pPr>
              <w:autoSpaceDE w:val="0"/>
              <w:autoSpaceDN w:val="0"/>
              <w:adjustRightInd w:val="0"/>
              <w:rPr>
                <w:rFonts w:ascii="Arial" w:hAnsi="Arial" w:eastAsia="Calibri" w:cs="Arial"/>
                <w:color w:val="000000"/>
                <w:sz w:val="20"/>
                <w:szCs w:val="20"/>
                <w:lang w:eastAsia="en-GB"/>
              </w:rPr>
            </w:pPr>
          </w:p>
        </w:tc>
        <w:tc>
          <w:tcPr>
            <w:tcW w:w="1475" w:type="dxa"/>
            <w:tcBorders>
              <w:top w:val="nil"/>
              <w:left w:val="nil"/>
              <w:bottom w:val="nil"/>
              <w:right w:val="nil"/>
            </w:tcBorders>
          </w:tcPr>
          <w:p w14:paraId="430BB0E4">
            <w:pPr>
              <w:autoSpaceDE w:val="0"/>
              <w:autoSpaceDN w:val="0"/>
              <w:adjustRightInd w:val="0"/>
              <w:ind w:left="60" w:right="60"/>
              <w:rPr>
                <w:rFonts w:ascii="Arial" w:hAnsi="Arial" w:eastAsia="Calibri" w:cs="Arial"/>
                <w:color w:val="000000"/>
                <w:sz w:val="20"/>
                <w:szCs w:val="20"/>
                <w:lang w:eastAsia="en-GB"/>
              </w:rPr>
            </w:pPr>
            <w:r>
              <w:rPr>
                <w:rFonts w:ascii="Arial" w:hAnsi="Arial" w:eastAsia="Calibri" w:cs="Arial"/>
                <w:color w:val="000000"/>
                <w:sz w:val="20"/>
                <w:szCs w:val="20"/>
                <w:lang w:eastAsia="en-GB"/>
              </w:rPr>
              <w:t>X</w:t>
            </w:r>
            <w:r>
              <w:rPr>
                <w:rFonts w:ascii="Arial" w:hAnsi="Arial" w:eastAsia="Calibri" w:cs="Arial"/>
                <w:color w:val="000000"/>
                <w:sz w:val="20"/>
                <w:szCs w:val="20"/>
                <w:vertAlign w:val="subscript"/>
                <w:lang w:eastAsia="en-GB"/>
              </w:rPr>
              <w:t>1</w:t>
            </w:r>
          </w:p>
        </w:tc>
        <w:tc>
          <w:tcPr>
            <w:tcW w:w="1342" w:type="dxa"/>
            <w:tcBorders>
              <w:top w:val="nil"/>
              <w:left w:val="nil"/>
              <w:bottom w:val="nil"/>
              <w:right w:val="nil"/>
            </w:tcBorders>
          </w:tcPr>
          <w:p w14:paraId="328DE947">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.341</w:t>
            </w:r>
          </w:p>
        </w:tc>
        <w:tc>
          <w:tcPr>
            <w:tcW w:w="1344" w:type="dxa"/>
            <w:tcBorders>
              <w:top w:val="nil"/>
              <w:left w:val="nil"/>
              <w:bottom w:val="nil"/>
              <w:right w:val="nil"/>
            </w:tcBorders>
          </w:tcPr>
          <w:p w14:paraId="093B2974">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.093</w:t>
            </w:r>
          </w:p>
        </w:tc>
        <w:tc>
          <w:tcPr>
            <w:tcW w:w="1482" w:type="dxa"/>
            <w:tcBorders>
              <w:top w:val="nil"/>
              <w:left w:val="nil"/>
              <w:bottom w:val="nil"/>
              <w:right w:val="nil"/>
            </w:tcBorders>
          </w:tcPr>
          <w:p w14:paraId="3DB206C1">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.345</w:t>
            </w:r>
          </w:p>
        </w:tc>
        <w:tc>
          <w:tcPr>
            <w:tcW w:w="1034" w:type="dxa"/>
            <w:tcBorders>
              <w:top w:val="nil"/>
              <w:left w:val="nil"/>
              <w:bottom w:val="nil"/>
              <w:right w:val="nil"/>
            </w:tcBorders>
          </w:tcPr>
          <w:p w14:paraId="71B9FC1E">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3.672</w:t>
            </w:r>
          </w:p>
        </w:tc>
        <w:tc>
          <w:tcPr>
            <w:tcW w:w="1037" w:type="dxa"/>
            <w:tcBorders>
              <w:top w:val="nil"/>
              <w:left w:val="nil"/>
              <w:bottom w:val="nil"/>
              <w:right w:val="nil"/>
            </w:tcBorders>
          </w:tcPr>
          <w:p w14:paraId="0709FB38">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.000</w:t>
            </w:r>
          </w:p>
        </w:tc>
      </w:tr>
      <w:tr w14:paraId="6F1F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453" w:type="dxa"/>
            <w:vMerge w:val="continue"/>
            <w:tcBorders>
              <w:top w:val="nil"/>
              <w:left w:val="nil"/>
              <w:bottom w:val="nil"/>
              <w:right w:val="nil"/>
            </w:tcBorders>
          </w:tcPr>
          <w:p w14:paraId="3F02A557">
            <w:pPr>
              <w:autoSpaceDE w:val="0"/>
              <w:autoSpaceDN w:val="0"/>
              <w:adjustRightInd w:val="0"/>
              <w:rPr>
                <w:rFonts w:ascii="Arial" w:hAnsi="Arial" w:eastAsia="Calibri" w:cs="Arial"/>
                <w:color w:val="000000"/>
                <w:sz w:val="20"/>
                <w:szCs w:val="20"/>
                <w:lang w:eastAsia="en-GB"/>
              </w:rPr>
            </w:pPr>
          </w:p>
        </w:tc>
        <w:tc>
          <w:tcPr>
            <w:tcW w:w="1475" w:type="dxa"/>
            <w:tcBorders>
              <w:top w:val="nil"/>
              <w:left w:val="nil"/>
              <w:bottom w:val="nil"/>
              <w:right w:val="nil"/>
            </w:tcBorders>
          </w:tcPr>
          <w:p w14:paraId="638DC203">
            <w:pPr>
              <w:autoSpaceDE w:val="0"/>
              <w:autoSpaceDN w:val="0"/>
              <w:adjustRightInd w:val="0"/>
              <w:ind w:left="60" w:right="60"/>
              <w:rPr>
                <w:rFonts w:ascii="Arial" w:hAnsi="Arial" w:eastAsia="Calibri" w:cs="Arial"/>
                <w:color w:val="000000"/>
                <w:sz w:val="20"/>
                <w:szCs w:val="20"/>
                <w:lang w:eastAsia="en-GB"/>
              </w:rPr>
            </w:pPr>
            <w:r>
              <w:rPr>
                <w:rFonts w:ascii="Arial" w:hAnsi="Arial" w:eastAsia="Calibri" w:cs="Arial"/>
                <w:color w:val="000000"/>
                <w:sz w:val="20"/>
                <w:szCs w:val="20"/>
                <w:lang w:eastAsia="en-GB"/>
              </w:rPr>
              <w:t>X</w:t>
            </w:r>
            <w:r>
              <w:rPr>
                <w:rFonts w:ascii="Arial" w:hAnsi="Arial" w:eastAsia="Calibri" w:cs="Arial"/>
                <w:color w:val="000000"/>
                <w:sz w:val="20"/>
                <w:szCs w:val="20"/>
                <w:vertAlign w:val="subscript"/>
                <w:lang w:eastAsia="en-GB"/>
              </w:rPr>
              <w:t>2</w:t>
            </w:r>
          </w:p>
        </w:tc>
        <w:tc>
          <w:tcPr>
            <w:tcW w:w="1342" w:type="dxa"/>
            <w:tcBorders>
              <w:top w:val="nil"/>
              <w:left w:val="nil"/>
              <w:bottom w:val="nil"/>
              <w:right w:val="nil"/>
            </w:tcBorders>
          </w:tcPr>
          <w:p w14:paraId="5058CAE6">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.265</w:t>
            </w:r>
          </w:p>
        </w:tc>
        <w:tc>
          <w:tcPr>
            <w:tcW w:w="1344" w:type="dxa"/>
            <w:tcBorders>
              <w:top w:val="nil"/>
              <w:left w:val="nil"/>
              <w:bottom w:val="nil"/>
              <w:right w:val="nil"/>
            </w:tcBorders>
          </w:tcPr>
          <w:p w14:paraId="796CC346">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.102</w:t>
            </w:r>
          </w:p>
        </w:tc>
        <w:tc>
          <w:tcPr>
            <w:tcW w:w="1482" w:type="dxa"/>
            <w:tcBorders>
              <w:top w:val="nil"/>
              <w:left w:val="nil"/>
              <w:bottom w:val="nil"/>
              <w:right w:val="nil"/>
            </w:tcBorders>
          </w:tcPr>
          <w:p w14:paraId="5C8C5FF2">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.226</w:t>
            </w:r>
          </w:p>
        </w:tc>
        <w:tc>
          <w:tcPr>
            <w:tcW w:w="1034" w:type="dxa"/>
            <w:tcBorders>
              <w:top w:val="nil"/>
              <w:left w:val="nil"/>
              <w:bottom w:val="nil"/>
              <w:right w:val="nil"/>
            </w:tcBorders>
          </w:tcPr>
          <w:p w14:paraId="1049A926">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2.594</w:t>
            </w:r>
          </w:p>
        </w:tc>
        <w:tc>
          <w:tcPr>
            <w:tcW w:w="1037" w:type="dxa"/>
            <w:tcBorders>
              <w:top w:val="nil"/>
              <w:left w:val="nil"/>
              <w:bottom w:val="nil"/>
              <w:right w:val="nil"/>
            </w:tcBorders>
          </w:tcPr>
          <w:p w14:paraId="74EACF4C">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.011</w:t>
            </w:r>
          </w:p>
        </w:tc>
      </w:tr>
      <w:tr w14:paraId="3924F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453" w:type="dxa"/>
            <w:vMerge w:val="continue"/>
            <w:tcBorders>
              <w:top w:val="nil"/>
              <w:left w:val="nil"/>
              <w:bottom w:val="nil"/>
              <w:right w:val="nil"/>
            </w:tcBorders>
          </w:tcPr>
          <w:p w14:paraId="29AA3E28">
            <w:pPr>
              <w:autoSpaceDE w:val="0"/>
              <w:autoSpaceDN w:val="0"/>
              <w:adjustRightInd w:val="0"/>
              <w:rPr>
                <w:rFonts w:ascii="Arial" w:hAnsi="Arial" w:eastAsia="Calibri" w:cs="Arial"/>
                <w:color w:val="000000"/>
                <w:sz w:val="20"/>
                <w:szCs w:val="20"/>
                <w:lang w:eastAsia="en-GB"/>
              </w:rPr>
            </w:pPr>
          </w:p>
        </w:tc>
        <w:tc>
          <w:tcPr>
            <w:tcW w:w="1475" w:type="dxa"/>
            <w:tcBorders>
              <w:top w:val="nil"/>
              <w:left w:val="nil"/>
              <w:bottom w:val="nil"/>
              <w:right w:val="nil"/>
            </w:tcBorders>
          </w:tcPr>
          <w:p w14:paraId="031F4C8B">
            <w:pPr>
              <w:autoSpaceDE w:val="0"/>
              <w:autoSpaceDN w:val="0"/>
              <w:adjustRightInd w:val="0"/>
              <w:ind w:left="60" w:right="60"/>
              <w:rPr>
                <w:rFonts w:ascii="Arial" w:hAnsi="Arial" w:eastAsia="Calibri" w:cs="Arial"/>
                <w:color w:val="000000"/>
                <w:sz w:val="20"/>
                <w:szCs w:val="20"/>
                <w:lang w:eastAsia="en-GB"/>
              </w:rPr>
            </w:pPr>
            <w:r>
              <w:rPr>
                <w:rFonts w:ascii="Arial" w:hAnsi="Arial" w:eastAsia="Calibri" w:cs="Arial"/>
                <w:color w:val="000000"/>
                <w:sz w:val="20"/>
                <w:szCs w:val="20"/>
                <w:lang w:eastAsia="en-GB"/>
              </w:rPr>
              <w:t>X</w:t>
            </w:r>
            <w:r>
              <w:rPr>
                <w:rFonts w:ascii="Arial" w:hAnsi="Arial" w:eastAsia="Calibri" w:cs="Arial"/>
                <w:color w:val="000000"/>
                <w:sz w:val="20"/>
                <w:szCs w:val="20"/>
                <w:vertAlign w:val="subscript"/>
                <w:lang w:eastAsia="en-GB"/>
              </w:rPr>
              <w:t>3</w:t>
            </w:r>
          </w:p>
        </w:tc>
        <w:tc>
          <w:tcPr>
            <w:tcW w:w="1342" w:type="dxa"/>
            <w:tcBorders>
              <w:top w:val="nil"/>
              <w:left w:val="nil"/>
              <w:bottom w:val="nil"/>
              <w:right w:val="nil"/>
            </w:tcBorders>
          </w:tcPr>
          <w:p w14:paraId="62C812F6">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.363</w:t>
            </w:r>
          </w:p>
        </w:tc>
        <w:tc>
          <w:tcPr>
            <w:tcW w:w="1344" w:type="dxa"/>
            <w:tcBorders>
              <w:top w:val="nil"/>
              <w:left w:val="nil"/>
              <w:bottom w:val="nil"/>
              <w:right w:val="nil"/>
            </w:tcBorders>
          </w:tcPr>
          <w:p w14:paraId="308C567D">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.098</w:t>
            </w:r>
          </w:p>
        </w:tc>
        <w:tc>
          <w:tcPr>
            <w:tcW w:w="1482" w:type="dxa"/>
            <w:tcBorders>
              <w:top w:val="nil"/>
              <w:left w:val="nil"/>
              <w:bottom w:val="nil"/>
              <w:right w:val="nil"/>
            </w:tcBorders>
          </w:tcPr>
          <w:p w14:paraId="12DED234">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.361</w:t>
            </w:r>
          </w:p>
        </w:tc>
        <w:tc>
          <w:tcPr>
            <w:tcW w:w="1034" w:type="dxa"/>
            <w:tcBorders>
              <w:top w:val="nil"/>
              <w:left w:val="nil"/>
              <w:bottom w:val="nil"/>
              <w:right w:val="nil"/>
            </w:tcBorders>
          </w:tcPr>
          <w:p w14:paraId="0932D1BC">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3.702</w:t>
            </w:r>
          </w:p>
        </w:tc>
        <w:tc>
          <w:tcPr>
            <w:tcW w:w="1037" w:type="dxa"/>
            <w:tcBorders>
              <w:top w:val="nil"/>
              <w:left w:val="nil"/>
              <w:bottom w:val="nil"/>
              <w:right w:val="nil"/>
            </w:tcBorders>
          </w:tcPr>
          <w:p w14:paraId="7DA4DFA7">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.000</w:t>
            </w:r>
          </w:p>
        </w:tc>
      </w:tr>
      <w:tr w14:paraId="28F0E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453" w:type="dxa"/>
            <w:vMerge w:val="continue"/>
            <w:tcBorders>
              <w:top w:val="nil"/>
              <w:left w:val="nil"/>
              <w:bottom w:val="single" w:color="auto" w:sz="4" w:space="0"/>
              <w:right w:val="nil"/>
            </w:tcBorders>
          </w:tcPr>
          <w:p w14:paraId="5A71BEEE">
            <w:pPr>
              <w:autoSpaceDE w:val="0"/>
              <w:autoSpaceDN w:val="0"/>
              <w:adjustRightInd w:val="0"/>
              <w:rPr>
                <w:rFonts w:ascii="Arial" w:hAnsi="Arial" w:eastAsia="Calibri" w:cs="Arial"/>
                <w:color w:val="000000"/>
                <w:sz w:val="20"/>
                <w:szCs w:val="20"/>
                <w:lang w:eastAsia="en-GB"/>
              </w:rPr>
            </w:pPr>
          </w:p>
        </w:tc>
        <w:tc>
          <w:tcPr>
            <w:tcW w:w="1475" w:type="dxa"/>
            <w:tcBorders>
              <w:top w:val="nil"/>
              <w:left w:val="nil"/>
              <w:bottom w:val="single" w:color="auto" w:sz="4" w:space="0"/>
              <w:right w:val="nil"/>
            </w:tcBorders>
          </w:tcPr>
          <w:p w14:paraId="58B69E4E">
            <w:pPr>
              <w:autoSpaceDE w:val="0"/>
              <w:autoSpaceDN w:val="0"/>
              <w:adjustRightInd w:val="0"/>
              <w:ind w:left="60" w:right="60"/>
              <w:rPr>
                <w:rFonts w:ascii="Arial" w:hAnsi="Arial" w:eastAsia="Calibri" w:cs="Arial"/>
                <w:color w:val="000000"/>
                <w:sz w:val="20"/>
                <w:szCs w:val="20"/>
                <w:lang w:eastAsia="en-GB"/>
              </w:rPr>
            </w:pPr>
            <w:r>
              <w:rPr>
                <w:rFonts w:ascii="Arial" w:hAnsi="Arial" w:eastAsia="Calibri" w:cs="Arial"/>
                <w:color w:val="000000"/>
                <w:sz w:val="20"/>
                <w:szCs w:val="20"/>
                <w:lang w:eastAsia="en-GB"/>
              </w:rPr>
              <w:t>X</w:t>
            </w:r>
            <w:r>
              <w:rPr>
                <w:rFonts w:ascii="Arial" w:hAnsi="Arial" w:eastAsia="Calibri" w:cs="Arial"/>
                <w:color w:val="000000"/>
                <w:sz w:val="20"/>
                <w:szCs w:val="20"/>
                <w:vertAlign w:val="subscript"/>
                <w:lang w:eastAsia="en-GB"/>
              </w:rPr>
              <w:t>4</w:t>
            </w:r>
          </w:p>
        </w:tc>
        <w:tc>
          <w:tcPr>
            <w:tcW w:w="1342" w:type="dxa"/>
            <w:tcBorders>
              <w:top w:val="nil"/>
              <w:left w:val="nil"/>
              <w:bottom w:val="single" w:color="auto" w:sz="4" w:space="0"/>
              <w:right w:val="nil"/>
            </w:tcBorders>
          </w:tcPr>
          <w:p w14:paraId="70E3FB1D">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.058</w:t>
            </w:r>
          </w:p>
        </w:tc>
        <w:tc>
          <w:tcPr>
            <w:tcW w:w="1344" w:type="dxa"/>
            <w:tcBorders>
              <w:top w:val="nil"/>
              <w:left w:val="nil"/>
              <w:bottom w:val="single" w:color="auto" w:sz="4" w:space="0"/>
              <w:right w:val="nil"/>
            </w:tcBorders>
          </w:tcPr>
          <w:p w14:paraId="75256D23">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.103</w:t>
            </w:r>
          </w:p>
        </w:tc>
        <w:tc>
          <w:tcPr>
            <w:tcW w:w="1482" w:type="dxa"/>
            <w:tcBorders>
              <w:top w:val="nil"/>
              <w:left w:val="nil"/>
              <w:bottom w:val="single" w:color="auto" w:sz="4" w:space="0"/>
              <w:right w:val="nil"/>
            </w:tcBorders>
          </w:tcPr>
          <w:p w14:paraId="37D8BD3E">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.059</w:t>
            </w:r>
          </w:p>
        </w:tc>
        <w:tc>
          <w:tcPr>
            <w:tcW w:w="1034" w:type="dxa"/>
            <w:tcBorders>
              <w:top w:val="nil"/>
              <w:left w:val="nil"/>
              <w:bottom w:val="single" w:color="auto" w:sz="4" w:space="0"/>
              <w:right w:val="nil"/>
            </w:tcBorders>
          </w:tcPr>
          <w:p w14:paraId="10E0D229">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.562</w:t>
            </w:r>
          </w:p>
        </w:tc>
        <w:tc>
          <w:tcPr>
            <w:tcW w:w="1037" w:type="dxa"/>
            <w:tcBorders>
              <w:top w:val="nil"/>
              <w:left w:val="nil"/>
              <w:bottom w:val="single" w:color="auto" w:sz="4" w:space="0"/>
              <w:right w:val="nil"/>
            </w:tcBorders>
          </w:tcPr>
          <w:p w14:paraId="1BEB322F">
            <w:pPr>
              <w:autoSpaceDE w:val="0"/>
              <w:autoSpaceDN w:val="0"/>
              <w:adjustRightInd w:val="0"/>
              <w:ind w:left="60" w:right="60"/>
              <w:jc w:val="right"/>
              <w:rPr>
                <w:rFonts w:ascii="Arial" w:hAnsi="Arial" w:eastAsia="Calibri" w:cs="Arial"/>
                <w:color w:val="000000"/>
                <w:sz w:val="20"/>
                <w:szCs w:val="20"/>
                <w:lang w:eastAsia="en-GB"/>
              </w:rPr>
            </w:pPr>
            <w:r>
              <w:rPr>
                <w:rFonts w:ascii="Arial" w:hAnsi="Arial" w:eastAsia="Calibri" w:cs="Arial"/>
                <w:color w:val="000000"/>
                <w:sz w:val="20"/>
                <w:szCs w:val="20"/>
                <w:lang w:eastAsia="en-GB"/>
              </w:rPr>
              <w:t>.576</w:t>
            </w:r>
          </w:p>
        </w:tc>
      </w:tr>
      <w:tr w14:paraId="60111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170" w:type="dxa"/>
            <w:gridSpan w:val="7"/>
            <w:tcBorders>
              <w:top w:val="single" w:color="auto" w:sz="4" w:space="0"/>
              <w:left w:val="nil"/>
              <w:bottom w:val="nil"/>
              <w:right w:val="nil"/>
            </w:tcBorders>
          </w:tcPr>
          <w:p w14:paraId="3DBCF365">
            <w:pPr>
              <w:pStyle w:val="69"/>
              <w:numPr>
                <w:ilvl w:val="1"/>
                <w:numId w:val="3"/>
              </w:numPr>
              <w:autoSpaceDE w:val="0"/>
              <w:autoSpaceDN w:val="0"/>
              <w:adjustRightInd w:val="0"/>
              <w:spacing w:after="0" w:line="240" w:lineRule="auto"/>
              <w:ind w:right="60"/>
              <w:rPr>
                <w:rFonts w:ascii="Arial" w:hAnsi="Arial" w:cs="Arial"/>
                <w:color w:val="000000"/>
                <w:kern w:val="0"/>
                <w:sz w:val="18"/>
                <w:szCs w:val="18"/>
                <w:lang w:eastAsia="en-GB"/>
              </w:rPr>
            </w:pPr>
            <w:r>
              <w:rPr>
                <w:rFonts w:ascii="Arial" w:hAnsi="Arial" w:cs="Arial"/>
                <w:color w:val="000000"/>
                <w:kern w:val="0"/>
                <w:sz w:val="18"/>
                <w:szCs w:val="18"/>
                <w:lang w:eastAsia="en-GB"/>
              </w:rPr>
              <w:t xml:space="preserve">Dependent Variable: Project performance </w:t>
            </w:r>
          </w:p>
          <w:p w14:paraId="14D23A3E">
            <w:pPr>
              <w:pStyle w:val="69"/>
              <w:numPr>
                <w:ilvl w:val="1"/>
                <w:numId w:val="3"/>
              </w:numPr>
              <w:autoSpaceDE w:val="0"/>
              <w:autoSpaceDN w:val="0"/>
              <w:adjustRightInd w:val="0"/>
              <w:spacing w:after="0" w:line="240" w:lineRule="auto"/>
              <w:ind w:right="60"/>
              <w:rPr>
                <w:rFonts w:ascii="Arial" w:hAnsi="Arial" w:cs="Arial"/>
                <w:color w:val="000000"/>
                <w:kern w:val="0"/>
                <w:sz w:val="20"/>
                <w:szCs w:val="20"/>
                <w:lang w:eastAsia="en-GB"/>
              </w:rPr>
            </w:pPr>
            <w:r>
              <w:rPr>
                <w:rFonts w:ascii="Arial" w:hAnsi="Arial" w:cs="Arial"/>
                <w:color w:val="000000"/>
                <w:kern w:val="0"/>
                <w:sz w:val="18"/>
                <w:szCs w:val="18"/>
                <w:lang w:eastAsia="en-GB"/>
              </w:rPr>
              <w:t>X1= M&amp;E planning, X2 = M&amp;E Baseline Studies, X3= Stakeholder Participation in M&amp;E , X4= M&amp;E performance reviews,</w:t>
            </w:r>
          </w:p>
        </w:tc>
      </w:tr>
    </w:tbl>
    <w:p w14:paraId="0B23B037">
      <w:pPr>
        <w:pStyle w:val="19"/>
        <w:spacing w:after="0" w:afterAutospacing="0"/>
        <w:jc w:val="both"/>
        <w:rPr>
          <w:rFonts w:ascii="Arial" w:hAnsi="Arial" w:cs="Arial"/>
          <w:sz w:val="20"/>
          <w:szCs w:val="20"/>
          <w:lang w:val="en-GB"/>
        </w:rPr>
      </w:pPr>
      <w:r>
        <w:rPr>
          <w:rFonts w:ascii="Arial" w:hAnsi="Arial" w:cs="Arial"/>
          <w:sz w:val="20"/>
          <w:szCs w:val="20"/>
          <w:highlight w:val="yellow"/>
          <w:lang w:val="en-GB"/>
        </w:rPr>
        <w:t>The parameter estimates in Table 4 demonstrate how each independent variable affects project outcomes, holding the others constant</w:t>
      </w:r>
      <w:r>
        <w:rPr>
          <w:rFonts w:ascii="Arial" w:hAnsi="Arial" w:cs="Arial"/>
          <w:sz w:val="20"/>
          <w:szCs w:val="20"/>
          <w:lang w:val="en-GB"/>
        </w:rPr>
        <w:t xml:space="preserve">. The intercept term (3.642) signifies the project outcomes level when predictor variables are at a constant level. The individual betas, along with their significance levels, illustrate the relative contribution of each M&amp;E dimension. </w:t>
      </w:r>
    </w:p>
    <w:p w14:paraId="732BF41C">
      <w:pPr>
        <w:pStyle w:val="19"/>
        <w:rPr>
          <w:rFonts w:ascii="Arial" w:hAnsi="Arial" w:cs="Arial"/>
          <w:sz w:val="20"/>
          <w:szCs w:val="20"/>
        </w:rPr>
      </w:pPr>
      <w:r>
        <w:rPr>
          <w:rStyle w:val="21"/>
          <w:rFonts w:ascii="Arial" w:hAnsi="Arial" w:cs="Arial"/>
          <w:sz w:val="20"/>
          <w:szCs w:val="20"/>
        </w:rPr>
        <w:t>Project Performance = 3.645 + 0.345 M&amp;E Planning+ 0.226 M&amp;E Baseline studies+ 0.361Stakeholder participation in M&amp;E + 0.059 M&amp;E performnce reviews+</w:t>
      </w:r>
      <m:oMath>
        <m:r>
          <m:rPr/>
          <w:rPr>
            <w:rFonts w:ascii="Cambria Math" w:hAnsi="Cambria Math" w:cs="Arial"/>
            <w:sz w:val="20"/>
            <w:szCs w:val="20"/>
          </w:rPr>
          <m:t>ε</m:t>
        </m:r>
      </m:oMath>
    </w:p>
    <w:p w14:paraId="7840D6F8">
      <w:pPr>
        <w:rPr>
          <w:rFonts w:ascii="Arial" w:hAnsi="Arial" w:cs="Arial"/>
          <w:b/>
          <w:bCs/>
          <w:sz w:val="22"/>
          <w:szCs w:val="22"/>
        </w:rPr>
      </w:pPr>
      <w:r>
        <w:rPr>
          <w:rFonts w:ascii="Arial" w:hAnsi="Arial" w:cs="Arial"/>
          <w:b/>
          <w:bCs/>
          <w:sz w:val="22"/>
          <w:szCs w:val="22"/>
        </w:rPr>
        <w:t xml:space="preserve">4.4 Discussion of Findings </w:t>
      </w:r>
    </w:p>
    <w:p w14:paraId="62D7ED51">
      <w:pPr>
        <w:pStyle w:val="19"/>
        <w:spacing w:after="0" w:afterAutospacing="0"/>
        <w:jc w:val="both"/>
        <w:rPr>
          <w:rFonts w:ascii="Arial" w:hAnsi="Arial" w:cs="Arial"/>
          <w:sz w:val="20"/>
          <w:szCs w:val="20"/>
        </w:rPr>
      </w:pPr>
      <w:r>
        <w:rPr>
          <w:rFonts w:ascii="Arial" w:hAnsi="Arial" w:cs="Arial"/>
          <w:sz w:val="20"/>
          <w:szCs w:val="20"/>
          <w:highlight w:val="yellow"/>
          <w:lang w:val="en-GB"/>
        </w:rPr>
        <w:t>Planning exhibited a beta of 0.345 with a p-value of 0.00, indicating a strong positive effect on project outcomes. The finding shows that an enhancement in M&amp;E planning led to improved project outcomes</w:t>
      </w:r>
      <w:r>
        <w:rPr>
          <w:rFonts w:ascii="Arial" w:hAnsi="Arial" w:cs="Arial"/>
          <w:sz w:val="20"/>
          <w:szCs w:val="20"/>
          <w:highlight w:val="yellow"/>
        </w:rPr>
        <w:t>.</w:t>
      </w:r>
      <w:r>
        <w:rPr>
          <w:rFonts w:ascii="Arial" w:hAnsi="Arial" w:cs="Arial"/>
          <w:sz w:val="20"/>
          <w:szCs w:val="20"/>
        </w:rPr>
        <w:t xml:space="preserve"> This finding highlights the significance of well-defined planning frameworks, clearly outlined roles, and timely M&amp;E schedules in facilitating project success. </w:t>
      </w:r>
      <w:r>
        <w:rPr>
          <w:rFonts w:ascii="Arial" w:hAnsi="Arial" w:cs="Arial"/>
          <w:sz w:val="20"/>
          <w:szCs w:val="20"/>
          <w:highlight w:val="yellow"/>
        </w:rPr>
        <w:t>in agreement with Muhayimana and Kamuhanda (2020), who noted that planning strongly enhanced project outcomes. Similarly, Olaremi et al. (2024) indicated that structured M&amp;E planning tools, such as earned value management and benchmarking, significantly improve project outcomes.  M&amp;E Baseline Studies revealed a strong enhancing effect (B2 = 0.226, p = 0.01). This indicates that projects grounded in thorough baseline assessments tend to perform better, as such studies furnish essential data that guide design, resource allocation, and implementation strategies. The finding was consistent with Onyango and Pedo (2021) in road construction projects in Nairobi, who found that baseline studies had a strong positive effect on project outcomes. Additionally, Njeru and Kirui (2022) in construction projects by KeNHA depicted that baseline surveys were central in confirming project scope, thereby aiding in the setting of pragmatic project outcomes, including time, cost, and quality. However, the findings were contrary to those of Gaibo and Mbugua (2019), who indicated that baseline studies did not adequately explain successful implementation</w:t>
      </w:r>
      <w:r>
        <w:rPr>
          <w:rFonts w:ascii="Arial" w:hAnsi="Arial" w:cs="Arial"/>
          <w:sz w:val="20"/>
          <w:szCs w:val="20"/>
        </w:rPr>
        <w:t xml:space="preserve">. </w:t>
      </w:r>
    </w:p>
    <w:p w14:paraId="219FF8FE">
      <w:pPr>
        <w:pStyle w:val="19"/>
        <w:spacing w:after="0" w:afterAutospacing="0"/>
        <w:jc w:val="both"/>
        <w:rPr>
          <w:rFonts w:ascii="Arial" w:hAnsi="Arial" w:cs="Arial"/>
          <w:sz w:val="20"/>
          <w:szCs w:val="20"/>
        </w:rPr>
      </w:pPr>
    </w:p>
    <w:p w14:paraId="10B836DD">
      <w:pPr>
        <w:jc w:val="both"/>
        <w:rPr>
          <w:rFonts w:ascii="Arial" w:hAnsi="Arial" w:cs="Arial"/>
          <w:b/>
          <w:bCs/>
        </w:rPr>
      </w:pPr>
      <w:r>
        <w:rPr>
          <w:rFonts w:ascii="Arial" w:hAnsi="Arial" w:cs="Arial"/>
        </w:rPr>
        <w:t>Stakeholder Participation emerged as another robust predictor of project outcomes (B</w:t>
      </w:r>
      <w:r>
        <w:rPr>
          <w:rFonts w:ascii="Arial" w:hAnsi="Arial" w:cs="Arial"/>
          <w:vertAlign w:val="subscript"/>
        </w:rPr>
        <w:t>3</w:t>
      </w:r>
      <w:r>
        <w:rPr>
          <w:rFonts w:ascii="Arial" w:hAnsi="Arial" w:cs="Arial"/>
        </w:rPr>
        <w:t xml:space="preserve"> = 0.361, p = 0.00). </w:t>
      </w:r>
      <w:r>
        <w:rPr>
          <w:rFonts w:ascii="Arial" w:hAnsi="Arial" w:cs="Arial"/>
          <w:highlight w:val="yellow"/>
        </w:rPr>
        <w:t>This indicates that stakeholder involvement in the M &amp; E process leads to improved project outcomes. When beneficiaries, contractors, and oversight bodies actively participate in M&amp;E activities, accountability and ownership are strengthened, thereby enhancing the quality and sustainability of project deliverables.  The finding was in agreement with Leariwala and Kamau (2021) in NG-CDF projects, who found that participatory M&amp;E predicted project outcomes. Similarly, Wanjohi and Musembi (2021) found that stakeholder participation in road infrastructure projects in Kiambu strongly explained project performance. Finally, Moegh (2023) noted that stakeholder participation in infrastructure projects at public universities in Nairobi strongly enhanced project outcomes. The M&amp;E Performance Reviews showed a weak direct effect (B4 = 0.058, p = 0.57).</w:t>
      </w:r>
      <w:r>
        <w:rPr>
          <w:rFonts w:ascii="Arial" w:hAnsi="Arial" w:cs="Arial"/>
        </w:rPr>
        <w:t xml:space="preserve"> The result is evidence that, although performance reviews have a slight contribution to project success, their execution in the sampled projects may not have been adequately consistent or timely to produce a quantifiable impact. </w:t>
      </w:r>
      <w:r>
        <w:rPr>
          <w:rFonts w:ascii="Arial" w:hAnsi="Arial" w:cs="Arial"/>
          <w:highlight w:val="yellow"/>
        </w:rPr>
        <w:t>It indicates that, while review mechanisms are in place, they may not be effectively linked to corrective actions or decision-making processes. The finding was in agreement with Nyathi (2021), who found that, even though respondents understood the value of performance reviews, they were rarely conducted. However, the finding conflicts with Kirori and Karanja (2019), who showed a linear relationship between M&amp;E reporting, dissemination and project outcomes. Similarly, Njoroge et al. (2021) found that in public-sector infrastructure projects, when project teams receive regular feedback from performance reviews, they tend to perform better, achieving desired results more efficiently</w:t>
      </w:r>
      <w:r>
        <w:rPr>
          <w:rFonts w:ascii="Arial" w:hAnsi="Arial" w:cs="Arial"/>
          <w:b/>
          <w:bCs/>
          <w:highlight w:val="yellow"/>
        </w:rPr>
        <w:t>.</w:t>
      </w:r>
      <w:r>
        <w:rPr>
          <w:rFonts w:ascii="Arial" w:hAnsi="Arial" w:cs="Arial"/>
          <w:b/>
          <w:bCs/>
        </w:rPr>
        <w:t xml:space="preserve"> </w:t>
      </w:r>
    </w:p>
    <w:p w14:paraId="061D681F">
      <w:pPr>
        <w:pStyle w:val="26"/>
        <w:spacing w:after="0"/>
        <w:rPr>
          <w:rFonts w:ascii="Arial" w:hAnsi="Arial" w:cs="Arial"/>
        </w:rPr>
      </w:pPr>
    </w:p>
    <w:p w14:paraId="31302AB4">
      <w:pPr>
        <w:pStyle w:val="31"/>
        <w:spacing w:after="0"/>
        <w:jc w:val="both"/>
        <w:rPr>
          <w:rFonts w:ascii="Arial" w:hAnsi="Arial" w:cs="Arial"/>
        </w:rPr>
      </w:pPr>
      <w:r>
        <w:rPr>
          <w:rFonts w:ascii="Arial" w:hAnsi="Arial" w:cs="Arial"/>
        </w:rPr>
        <w:t>5. Conclusion</w:t>
      </w:r>
    </w:p>
    <w:p w14:paraId="1FE31322">
      <w:pPr>
        <w:pStyle w:val="31"/>
        <w:spacing w:after="0"/>
        <w:jc w:val="both"/>
        <w:rPr>
          <w:rFonts w:ascii="Arial" w:hAnsi="Arial" w:cs="Arial"/>
        </w:rPr>
      </w:pPr>
    </w:p>
    <w:p w14:paraId="6561CDB9">
      <w:pPr>
        <w:jc w:val="both"/>
        <w:rPr>
          <w:rFonts w:ascii="Arial" w:hAnsi="Arial" w:cs="Arial"/>
        </w:rPr>
      </w:pPr>
      <w:r>
        <w:rPr>
          <w:rFonts w:ascii="Arial" w:hAnsi="Arial" w:cs="Arial"/>
        </w:rPr>
        <w:t xml:space="preserve">This research investigated the impact of Monitoring and Evaluation practices on the effectiveness </w:t>
      </w:r>
      <w:r>
        <w:rPr>
          <w:rFonts w:ascii="Arial" w:hAnsi="Arial" w:cs="Arial"/>
          <w:highlight w:val="yellow"/>
        </w:rPr>
        <w:t>of CBC</w:t>
      </w:r>
      <w:r>
        <w:rPr>
          <w:rFonts w:ascii="Arial" w:hAnsi="Arial" w:cs="Arial"/>
        </w:rPr>
        <w:t xml:space="preserve"> infrastructure projects in Nairobi City County, Kenya. Utilizing descriptive statistics, correlation analysis, and multiple regression modelling, the results indicate that M&amp;E practices are a vital factor influencing project performance, especially concerning cost efficiency, timeliness, quality compliance, and stakeholder satisfaction. </w:t>
      </w:r>
      <w:r>
        <w:rPr>
          <w:rFonts w:ascii="Arial" w:hAnsi="Arial" w:cs="Arial"/>
          <w:highlight w:val="yellow"/>
        </w:rPr>
        <w:t>The findings reveal that M&amp;E planning is a fundamental driver of successful project outcomes.</w:t>
      </w:r>
      <w:r>
        <w:rPr>
          <w:rFonts w:ascii="Arial" w:hAnsi="Arial" w:cs="Arial"/>
        </w:rPr>
        <w:t xml:space="preserve"> Projects that feature organized planning frameworks, well-defined responsibilities, and systematic implementation schedules consistently demonstrate enhanced performance outcomes. </w:t>
      </w:r>
      <w:r>
        <w:rPr>
          <w:rFonts w:ascii="Arial" w:hAnsi="Arial" w:cs="Arial"/>
          <w:highlight w:val="yellow"/>
        </w:rPr>
        <w:t>This highlights the need to integrate M&amp;E planning into the initial phases of project design to improve coordination, accountability, and decision-making throughout the project lifecycle</w:t>
      </w:r>
      <w:r>
        <w:rPr>
          <w:rFonts w:ascii="Arial" w:hAnsi="Arial" w:cs="Arial"/>
        </w:rPr>
        <w:t>. Additionally, baseline studies were shown to have a significant positive effect on project performance. Projects that were preceded by thorough needs assessments achieved better alignment between resource allocation and actual infrastructural needs. This affirms that data-driven planning improves the accuracy of budgeting, design, and implementation processes, thus minimizing inefficiencies, delays, and resource misallocation.</w:t>
      </w:r>
    </w:p>
    <w:p w14:paraId="741E3242">
      <w:pPr>
        <w:jc w:val="both"/>
        <w:rPr>
          <w:rFonts w:ascii="Arial" w:hAnsi="Arial" w:cs="Arial"/>
        </w:rPr>
      </w:pPr>
    </w:p>
    <w:p w14:paraId="457AF813">
      <w:pPr>
        <w:jc w:val="both"/>
        <w:rPr>
          <w:rFonts w:ascii="Arial" w:hAnsi="Arial" w:cs="Arial"/>
        </w:rPr>
      </w:pPr>
      <w:r>
        <w:rPr>
          <w:rFonts w:ascii="Arial" w:hAnsi="Arial" w:cs="Arial"/>
        </w:rPr>
        <w:t xml:space="preserve">Stakeholder participation has emerged as a crucial </w:t>
      </w:r>
      <w:r>
        <w:rPr>
          <w:rFonts w:ascii="Arial" w:hAnsi="Arial" w:cs="Arial"/>
          <w:highlight w:val="yellow"/>
        </w:rPr>
        <w:t>factor in enhancing project outcomes</w:t>
      </w:r>
      <w:r>
        <w:rPr>
          <w:rFonts w:ascii="Arial" w:hAnsi="Arial" w:cs="Arial"/>
        </w:rPr>
        <w:t>. The inclusive engagement of school leadership, parents, teachers, and local education stakeholders has improved transparency, ownership, and responsiveness during project implementation. Nevertheless, stakeholder involvement was more evident during the implementation phase than in the initial planning stage, which limited its potential to influence project design and priorities. Conversely, M&amp;E performance reviews, although positively correlated with project outcomes, did not demonstrate a statistically significant predictive effect. This indicates that the current review mechanisms are primarily compliance-focused and inadequately integrated into corrective actions and adaptive management processes. The limited use of feedback from performance reviews diminishes their effectiveness in fostering continuous improvement within CBC infrastructure projects.</w:t>
      </w:r>
    </w:p>
    <w:p w14:paraId="198BD289">
      <w:pPr>
        <w:jc w:val="both"/>
        <w:rPr>
          <w:rFonts w:ascii="Arial" w:hAnsi="Arial" w:cs="Arial"/>
        </w:rPr>
      </w:pPr>
    </w:p>
    <w:p w14:paraId="24189F3F">
      <w:pPr>
        <w:jc w:val="both"/>
        <w:rPr>
          <w:rFonts w:ascii="Arial" w:hAnsi="Arial" w:cs="Arial"/>
        </w:rPr>
      </w:pPr>
      <w:r>
        <w:rPr>
          <w:rFonts w:ascii="Arial" w:hAnsi="Arial" w:cs="Arial"/>
          <w:highlight w:val="yellow"/>
        </w:rPr>
        <w:t>The study concludes that M&amp;E practices, especially planning, baseline studies, and stakeholder engagement, are vital in enhancing the performance of CBC infrastructure projects in Nairobi City County</w:t>
      </w:r>
      <w:r>
        <w:rPr>
          <w:rFonts w:ascii="Arial" w:hAnsi="Arial" w:cs="Arial"/>
        </w:rPr>
        <w:t xml:space="preserve">. However, deficiencies in capacity development and the underutilization of performance review findings hinder the overall effectiveness of the M&amp;E system. Therefore, it is essential to strengthen institutional capacity, standardize M&amp;E frameworks, and improve feedback utilization mechanisms to enhance project efficiency, accountability, and sustainability in public school infrastructure development. </w:t>
      </w:r>
      <w:r>
        <w:rPr>
          <w:rFonts w:ascii="Arial" w:hAnsi="Arial" w:cs="Arial"/>
          <w:highlight w:val="yellow"/>
        </w:rPr>
        <w:t>To enhance project outcomes, it is recommended that schools institutionalise structured M&amp;E planning at the project initiation stage, conduct systematic baseline studies prior to implementation, and ensure early and inclusive stakeholder engagement throughout all project phases</w:t>
      </w:r>
      <w:r>
        <w:rPr>
          <w:rFonts w:ascii="Arial" w:hAnsi="Arial" w:cs="Arial"/>
        </w:rPr>
        <w:t>. Additionally, strengthening capacity-building for school managers and education officers, standardising M&amp;E frameworks, and improving the use of performance review feedback for corrective action are critical for improving efficiency, accountability, and sustainability in CBC infrastructure development.</w:t>
      </w:r>
    </w:p>
    <w:p w14:paraId="5FA206AE">
      <w:pPr>
        <w:pStyle w:val="26"/>
        <w:spacing w:after="0"/>
        <w:rPr>
          <w:rFonts w:ascii="Arial" w:hAnsi="Arial" w:cs="Arial"/>
        </w:rPr>
      </w:pPr>
    </w:p>
    <w:p w14:paraId="65E73666">
      <w:pPr>
        <w:pStyle w:val="33"/>
        <w:spacing w:after="0"/>
        <w:jc w:val="both"/>
        <w:rPr>
          <w:rFonts w:ascii="Arial" w:hAnsi="Arial" w:cs="Arial"/>
          <w:bCs/>
        </w:rPr>
      </w:pPr>
      <w:r>
        <w:rPr>
          <w:rFonts w:ascii="Arial" w:hAnsi="Arial" w:cs="Arial"/>
          <w:bCs/>
        </w:rPr>
        <w:t>Competing interests</w:t>
      </w:r>
    </w:p>
    <w:p w14:paraId="721EC430">
      <w:pPr>
        <w:pStyle w:val="33"/>
        <w:spacing w:after="0"/>
        <w:jc w:val="both"/>
        <w:rPr>
          <w:rFonts w:ascii="Arial" w:hAnsi="Arial" w:cs="Arial"/>
        </w:rPr>
      </w:pPr>
    </w:p>
    <w:p w14:paraId="21595D2D">
      <w:pPr>
        <w:pStyle w:val="33"/>
        <w:spacing w:after="0"/>
        <w:jc w:val="both"/>
        <w:rPr>
          <w:rFonts w:ascii="Arial" w:hAnsi="Arial" w:cs="Arial"/>
          <w:b w:val="0"/>
          <w:caps w:val="0"/>
          <w:sz w:val="20"/>
        </w:rPr>
      </w:pPr>
      <w:r>
        <w:rPr>
          <w:rFonts w:ascii="Arial" w:hAnsi="Arial" w:cs="Arial"/>
          <w:b w:val="0"/>
          <w:caps w:val="0"/>
          <w:sz w:val="20"/>
          <w:u w:val="single"/>
        </w:rPr>
        <w:t>Authors have declared that no competing interests exist.</w:t>
      </w:r>
    </w:p>
    <w:p w14:paraId="325DC4D3">
      <w:pPr>
        <w:pStyle w:val="33"/>
        <w:spacing w:after="0"/>
        <w:jc w:val="both"/>
        <w:rPr>
          <w:rFonts w:ascii="Arial" w:hAnsi="Arial" w:cs="Arial"/>
          <w:b w:val="0"/>
          <w:caps w:val="0"/>
          <w:sz w:val="20"/>
        </w:rPr>
      </w:pPr>
    </w:p>
    <w:p w14:paraId="745B72DA">
      <w:pPr>
        <w:rPr>
          <w:rFonts w:ascii="Arial" w:hAnsi="Arial" w:cs="Arial" w:eastAsiaTheme="minorEastAsia"/>
        </w:rPr>
      </w:pPr>
      <w:bookmarkStart w:id="7" w:name="_Hlk223955456"/>
    </w:p>
    <w:p w14:paraId="7352019D">
      <w:pPr>
        <w:pStyle w:val="71"/>
        <w:rPr>
          <w:rFonts w:ascii="Arial" w:hAnsi="Arial" w:cs="Arial"/>
          <w:sz w:val="20"/>
          <w:szCs w:val="20"/>
          <w:highlight w:val="yellow"/>
        </w:rPr>
      </w:pPr>
      <w:bookmarkStart w:id="8" w:name="_Hlk198031404"/>
      <w:r>
        <w:rPr>
          <w:rFonts w:ascii="Arial" w:hAnsi="Arial" w:cs="Arial"/>
          <w:sz w:val="20"/>
          <w:szCs w:val="20"/>
          <w:highlight w:val="yellow"/>
        </w:rPr>
        <w:t>Disclaimer (Artificial intelligence)</w:t>
      </w:r>
    </w:p>
    <w:p w14:paraId="2C14DDF2">
      <w:pPr>
        <w:pStyle w:val="71"/>
        <w:rPr>
          <w:rFonts w:ascii="Arial" w:hAnsi="Arial" w:cs="Arial"/>
          <w:highlight w:val="yellow"/>
        </w:rPr>
      </w:pPr>
    </w:p>
    <w:p w14:paraId="379354C5">
      <w:pPr>
        <w:pStyle w:val="71"/>
        <w:jc w:val="both"/>
        <w:rPr>
          <w:rFonts w:ascii="Arial" w:hAnsi="Arial" w:cs="Arial"/>
          <w:sz w:val="20"/>
          <w:szCs w:val="20"/>
          <w:highlight w:val="yellow"/>
        </w:rPr>
      </w:pPr>
      <w:r>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bookmarkEnd w:id="7"/>
    <w:bookmarkEnd w:id="8"/>
    <w:p w14:paraId="50700422">
      <w:pPr>
        <w:pStyle w:val="33"/>
        <w:spacing w:after="0"/>
        <w:jc w:val="both"/>
        <w:rPr>
          <w:rFonts w:ascii="Arial" w:hAnsi="Arial" w:cs="Arial"/>
          <w:b w:val="0"/>
          <w:caps w:val="0"/>
          <w:sz w:val="20"/>
        </w:rPr>
      </w:pPr>
    </w:p>
    <w:p w14:paraId="5254950A">
      <w:pPr>
        <w:pStyle w:val="33"/>
        <w:spacing w:after="0"/>
        <w:jc w:val="both"/>
        <w:rPr>
          <w:rFonts w:ascii="Arial" w:hAnsi="Arial" w:cs="Arial"/>
        </w:rPr>
      </w:pPr>
      <w:r>
        <w:rPr>
          <w:rFonts w:ascii="Arial" w:hAnsi="Arial" w:cs="Arial"/>
        </w:rPr>
        <w:t>References</w:t>
      </w:r>
    </w:p>
    <w:p w14:paraId="11E677ED">
      <w:pPr>
        <w:pStyle w:val="33"/>
        <w:spacing w:after="0"/>
        <w:jc w:val="both"/>
        <w:rPr>
          <w:rFonts w:ascii="Arial" w:hAnsi="Arial" w:cs="Arial"/>
        </w:rPr>
      </w:pPr>
    </w:p>
    <w:p w14:paraId="51938A06">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Abdi, A. H., &amp; Kimutai, G. (2018). Monitoring and evaluation, and performance of constituency development fund projects in Garissa County, Kenya. </w:t>
      </w:r>
      <w:r>
        <w:rPr>
          <w:rFonts w:ascii="Arial" w:hAnsi="Arial" w:cs="Arial"/>
          <w:i/>
          <w:iCs/>
          <w:sz w:val="20"/>
          <w:szCs w:val="20"/>
        </w:rPr>
        <w:t>International Academic Journal of Information Sciences and Project Management, 3</w:t>
      </w:r>
      <w:r>
        <w:rPr>
          <w:rFonts w:ascii="Arial" w:hAnsi="Arial" w:cs="Arial"/>
          <w:sz w:val="20"/>
          <w:szCs w:val="20"/>
        </w:rPr>
        <w:t>(2), 418 - 445.</w:t>
      </w:r>
    </w:p>
    <w:p w14:paraId="2422FA99">
      <w:pPr>
        <w:jc w:val="both"/>
        <w:rPr>
          <w:rFonts w:ascii="Arial" w:hAnsi="Arial" w:cs="Arial"/>
        </w:rPr>
      </w:pPr>
    </w:p>
    <w:p w14:paraId="6CF48111">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Aloyce, D., Monko, R. J., &amp; Luvara, V. G. (2024). Critical audit indicators for assessing construction projects' performance (CPP) at the pre-contract stage in Tanzania. </w:t>
      </w:r>
      <w:r>
        <w:rPr>
          <w:rFonts w:ascii="Arial" w:hAnsi="Arial" w:cs="Arial"/>
          <w:i/>
          <w:iCs/>
          <w:sz w:val="20"/>
          <w:szCs w:val="20"/>
        </w:rPr>
        <w:t>International Journal of Construction Management, 24</w:t>
      </w:r>
      <w:r>
        <w:rPr>
          <w:rFonts w:ascii="Arial" w:hAnsi="Arial" w:cs="Arial"/>
          <w:sz w:val="20"/>
          <w:szCs w:val="20"/>
        </w:rPr>
        <w:t>(5), 530-539.</w:t>
      </w:r>
    </w:p>
    <w:p w14:paraId="7B085FEF">
      <w:pPr>
        <w:jc w:val="both"/>
        <w:rPr>
          <w:rFonts w:ascii="Arial" w:hAnsi="Arial" w:cs="Arial"/>
        </w:rPr>
      </w:pPr>
    </w:p>
    <w:p w14:paraId="0B555049">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Ayebare, A. (2019). </w:t>
      </w:r>
      <w:r>
        <w:rPr>
          <w:rFonts w:ascii="Arial" w:hAnsi="Arial" w:cs="Arial"/>
          <w:i/>
          <w:iCs/>
          <w:sz w:val="20"/>
          <w:szCs w:val="20"/>
        </w:rPr>
        <w:t>Monitoring and Evaluation Practices and Performance of Road Infrastructure Projects in Uganda: a Case of Uganda National Roads Authority UNRA.</w:t>
      </w:r>
      <w:r>
        <w:rPr>
          <w:rFonts w:ascii="Arial" w:hAnsi="Arial" w:cs="Arial"/>
          <w:sz w:val="20"/>
          <w:szCs w:val="20"/>
        </w:rPr>
        <w:t xml:space="preserve"> Uganda Christian University. Uganda Christian University.</w:t>
      </w:r>
    </w:p>
    <w:p w14:paraId="62F5A8C1">
      <w:pPr>
        <w:jc w:val="both"/>
        <w:rPr>
          <w:rFonts w:ascii="Arial" w:hAnsi="Arial" w:cs="Arial"/>
        </w:rPr>
      </w:pPr>
    </w:p>
    <w:p w14:paraId="0557E2B6">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Cohen, L., Manion, L., &amp; Morrison, K. (2017). Validity and reliability. In </w:t>
      </w:r>
      <w:r>
        <w:rPr>
          <w:rFonts w:ascii="Arial" w:hAnsi="Arial" w:cs="Arial"/>
          <w:i/>
          <w:iCs/>
          <w:sz w:val="20"/>
          <w:szCs w:val="20"/>
        </w:rPr>
        <w:t>Research methods in education</w:t>
      </w:r>
      <w:r>
        <w:rPr>
          <w:rFonts w:ascii="Arial" w:hAnsi="Arial" w:cs="Arial"/>
          <w:sz w:val="20"/>
          <w:szCs w:val="20"/>
        </w:rPr>
        <w:t xml:space="preserve"> (pp. 245-284). Routledge.</w:t>
      </w:r>
    </w:p>
    <w:p w14:paraId="17A1177E">
      <w:pPr>
        <w:jc w:val="both"/>
        <w:rPr>
          <w:rFonts w:ascii="Arial" w:hAnsi="Arial" w:cs="Arial"/>
        </w:rPr>
      </w:pPr>
    </w:p>
    <w:p w14:paraId="1A0EF92B">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Crowther, D., &amp; Lancaster, G. (2012). </w:t>
      </w:r>
      <w:r>
        <w:rPr>
          <w:rFonts w:ascii="Arial" w:hAnsi="Arial" w:cs="Arial"/>
          <w:i/>
          <w:iCs/>
          <w:sz w:val="20"/>
          <w:szCs w:val="20"/>
        </w:rPr>
        <w:t>Research methods.</w:t>
      </w:r>
      <w:r>
        <w:rPr>
          <w:rFonts w:ascii="Arial" w:hAnsi="Arial" w:cs="Arial"/>
          <w:sz w:val="20"/>
          <w:szCs w:val="20"/>
        </w:rPr>
        <w:t xml:space="preserve"> Routledge.</w:t>
      </w:r>
    </w:p>
    <w:p w14:paraId="4B79A988">
      <w:pPr>
        <w:pStyle w:val="69"/>
        <w:numPr>
          <w:ilvl w:val="0"/>
          <w:numId w:val="4"/>
        </w:numPr>
        <w:spacing w:before="100" w:beforeAutospacing="1" w:after="0" w:line="240" w:lineRule="auto"/>
        <w:jc w:val="both"/>
        <w:rPr>
          <w:rFonts w:ascii="Arial" w:hAnsi="Arial" w:eastAsia="Times New Roman" w:cs="Arial"/>
          <w:kern w:val="0"/>
          <w:sz w:val="20"/>
          <w:szCs w:val="20"/>
          <w:lang w:val="en-US"/>
        </w:rPr>
      </w:pPr>
      <w:r>
        <w:rPr>
          <w:rFonts w:ascii="Arial" w:hAnsi="Arial" w:eastAsia="Times New Roman" w:cs="Arial"/>
          <w:kern w:val="0"/>
          <w:sz w:val="20"/>
          <w:szCs w:val="20"/>
          <w:lang w:val="en-US"/>
        </w:rPr>
        <w:t xml:space="preserve">Dakane, M., &amp; Mutuku, M. (2023). Stakeholder participation and performance of irrigation projects in Kenya. </w:t>
      </w:r>
      <w:r>
        <w:rPr>
          <w:rFonts w:ascii="Arial" w:hAnsi="Arial" w:eastAsia="Times New Roman" w:cs="Arial"/>
          <w:i/>
          <w:iCs/>
          <w:kern w:val="0"/>
          <w:sz w:val="20"/>
          <w:szCs w:val="20"/>
          <w:lang w:val="en-US"/>
        </w:rPr>
        <w:t>Strategic Journal of Business &amp; Change</w:t>
      </w:r>
      <w:r>
        <w:rPr>
          <w:rFonts w:ascii="Arial" w:hAnsi="Arial" w:eastAsia="Times New Roman" w:cs="Arial"/>
          <w:i/>
          <w:iCs/>
          <w:kern w:val="0"/>
          <w:sz w:val="20"/>
          <w:szCs w:val="20"/>
          <w:lang w:val="en-US"/>
        </w:rPr>
        <w:tab/>
      </w:r>
      <w:r>
        <w:rPr>
          <w:rFonts w:ascii="Arial" w:hAnsi="Arial" w:eastAsia="Times New Roman" w:cs="Arial"/>
          <w:i/>
          <w:iCs/>
          <w:kern w:val="0"/>
          <w:sz w:val="20"/>
          <w:szCs w:val="20"/>
          <w:lang w:val="en-US"/>
        </w:rPr>
        <w:t>Management, 10</w:t>
      </w:r>
      <w:r>
        <w:rPr>
          <w:rFonts w:ascii="Arial" w:hAnsi="Arial" w:eastAsia="Times New Roman" w:cs="Arial"/>
          <w:kern w:val="0"/>
          <w:sz w:val="20"/>
          <w:szCs w:val="20"/>
          <w:lang w:val="en-US"/>
        </w:rPr>
        <w:t xml:space="preserve">(4), 1-15. </w:t>
      </w:r>
      <w:r>
        <w:fldChar w:fldCharType="begin"/>
      </w:r>
      <w:r>
        <w:instrText xml:space="preserve"> HYPERLINK "https://doi.org/10.61426/sjbcm.v10i4.2818" </w:instrText>
      </w:r>
      <w:r>
        <w:fldChar w:fldCharType="separate"/>
      </w:r>
      <w:r>
        <w:rPr>
          <w:rStyle w:val="17"/>
          <w:rFonts w:ascii="Arial" w:hAnsi="Arial" w:eastAsia="Times New Roman" w:cs="Arial"/>
          <w:kern w:val="0"/>
          <w:sz w:val="20"/>
          <w:szCs w:val="20"/>
          <w:lang w:val="en-US"/>
        </w:rPr>
        <w:t>https://doi.org/10.61426/sjbcm.v10i4.2818</w:t>
      </w:r>
      <w:r>
        <w:rPr>
          <w:rStyle w:val="17"/>
          <w:rFonts w:ascii="Arial" w:hAnsi="Arial" w:eastAsia="Times New Roman" w:cs="Arial"/>
          <w:kern w:val="0"/>
          <w:sz w:val="20"/>
          <w:szCs w:val="20"/>
          <w:lang w:val="en-US"/>
        </w:rPr>
        <w:fldChar w:fldCharType="end"/>
      </w:r>
    </w:p>
    <w:p w14:paraId="1569A81E">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Elger, D. (2007). </w:t>
      </w:r>
      <w:r>
        <w:rPr>
          <w:rFonts w:ascii="Arial" w:hAnsi="Arial" w:cs="Arial"/>
          <w:i/>
          <w:iCs/>
          <w:sz w:val="20"/>
          <w:szCs w:val="20"/>
        </w:rPr>
        <w:t>Theory of performance. Faculty guidebook: A comprehensive tool for improving faculty performance</w:t>
      </w:r>
      <w:r>
        <w:rPr>
          <w:rFonts w:ascii="Arial" w:hAnsi="Arial" w:cs="Arial"/>
          <w:sz w:val="20"/>
          <w:szCs w:val="20"/>
        </w:rPr>
        <w:t xml:space="preserve"> (Vol. 1).</w:t>
      </w:r>
    </w:p>
    <w:p w14:paraId="116334FC">
      <w:pPr>
        <w:jc w:val="both"/>
        <w:rPr>
          <w:rFonts w:ascii="Arial" w:hAnsi="Arial" w:cs="Arial"/>
        </w:rPr>
      </w:pPr>
    </w:p>
    <w:p w14:paraId="25F44FDC">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Elle, S. M. (2022). The role of corporate governance in the management of physical public infrastructures in some selected Sub-Saharan African countries. 6(1), . </w:t>
      </w:r>
      <w:r>
        <w:rPr>
          <w:rFonts w:ascii="Arial" w:hAnsi="Arial" w:cs="Arial"/>
          <w:i/>
          <w:iCs/>
          <w:sz w:val="20"/>
          <w:szCs w:val="20"/>
        </w:rPr>
        <w:t>Journal of Infrastructure, Policy and Development, 6</w:t>
      </w:r>
      <w:r>
        <w:rPr>
          <w:rFonts w:ascii="Arial" w:hAnsi="Arial" w:cs="Arial"/>
          <w:sz w:val="20"/>
          <w:szCs w:val="20"/>
        </w:rPr>
        <w:t>(1), 1382- 1397.</w:t>
      </w:r>
    </w:p>
    <w:p w14:paraId="28A87A1F">
      <w:pPr>
        <w:jc w:val="both"/>
        <w:rPr>
          <w:rFonts w:ascii="Arial" w:hAnsi="Arial" w:cs="Arial"/>
        </w:rPr>
      </w:pPr>
    </w:p>
    <w:p w14:paraId="6261D0E0">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Freeman, R. E. (1984). </w:t>
      </w:r>
      <w:r>
        <w:rPr>
          <w:rFonts w:ascii="Arial" w:hAnsi="Arial" w:cs="Arial"/>
          <w:i/>
          <w:iCs/>
          <w:sz w:val="20"/>
          <w:szCs w:val="20"/>
        </w:rPr>
        <w:t>Strategic management: A stakeholder approach</w:t>
      </w:r>
      <w:r>
        <w:rPr>
          <w:rFonts w:ascii="Arial" w:hAnsi="Arial" w:cs="Arial"/>
          <w:sz w:val="20"/>
          <w:szCs w:val="20"/>
        </w:rPr>
        <w:t>. Boston:Pitman.</w:t>
      </w:r>
    </w:p>
    <w:p w14:paraId="5D970481">
      <w:pPr>
        <w:jc w:val="both"/>
        <w:rPr>
          <w:rFonts w:ascii="Arial" w:hAnsi="Arial" w:cs="Arial"/>
        </w:rPr>
      </w:pPr>
    </w:p>
    <w:p w14:paraId="0594AE9F">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Gaibo, G. S., &amp; Mbugua, J. (2019). Influence of monitoring and evaluation practices on the implementation of county governments’ infrastructural development projects in Marsabit County, Kenya. </w:t>
      </w:r>
      <w:r>
        <w:rPr>
          <w:rFonts w:ascii="Arial" w:hAnsi="Arial" w:cs="Arial"/>
          <w:i/>
          <w:iCs/>
          <w:sz w:val="20"/>
          <w:szCs w:val="20"/>
        </w:rPr>
        <w:t>International Academic Journal of Information Sciences and Project Management, 3</w:t>
      </w:r>
      <w:r>
        <w:rPr>
          <w:rFonts w:ascii="Arial" w:hAnsi="Arial" w:cs="Arial"/>
          <w:sz w:val="20"/>
          <w:szCs w:val="20"/>
        </w:rPr>
        <w:t>(5), 184-217.</w:t>
      </w:r>
    </w:p>
    <w:p w14:paraId="33FBB080">
      <w:pPr>
        <w:jc w:val="both"/>
        <w:rPr>
          <w:rFonts w:ascii="Arial" w:hAnsi="Arial" w:cs="Arial"/>
        </w:rPr>
      </w:pPr>
    </w:p>
    <w:p w14:paraId="59AEF4D1">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Issifu, I., &amp; Agyapong, A. (2023). The influence of monitoring and evaluation practices on technology start-up performance in Ghana. </w:t>
      </w:r>
      <w:r>
        <w:rPr>
          <w:rFonts w:ascii="Arial" w:hAnsi="Arial" w:cs="Arial"/>
          <w:i/>
          <w:iCs/>
          <w:sz w:val="20"/>
          <w:szCs w:val="20"/>
        </w:rPr>
        <w:t>Journal of Innovation and Entrepreneurship, 12</w:t>
      </w:r>
      <w:r>
        <w:rPr>
          <w:rFonts w:ascii="Arial" w:hAnsi="Arial" w:cs="Arial"/>
          <w:sz w:val="20"/>
          <w:szCs w:val="20"/>
        </w:rPr>
        <w:t xml:space="preserve">(3), 45–61. </w:t>
      </w:r>
      <w:r>
        <w:fldChar w:fldCharType="begin"/>
      </w:r>
      <w:r>
        <w:instrText xml:space="preserve"> HYPERLINK "https://doi.org/10.1186/s13731-023-00245-7" </w:instrText>
      </w:r>
      <w:r>
        <w:fldChar w:fldCharType="separate"/>
      </w:r>
      <w:r>
        <w:rPr>
          <w:rStyle w:val="17"/>
          <w:rFonts w:ascii="Arial" w:hAnsi="Arial" w:cs="Arial"/>
          <w:sz w:val="20"/>
          <w:szCs w:val="20"/>
        </w:rPr>
        <w:t>https://doi.org/10.1186/s13731-023-00245-7</w:t>
      </w:r>
      <w:r>
        <w:rPr>
          <w:rStyle w:val="17"/>
          <w:rFonts w:ascii="Arial" w:hAnsi="Arial" w:cs="Arial"/>
          <w:sz w:val="20"/>
          <w:szCs w:val="20"/>
        </w:rPr>
        <w:fldChar w:fldCharType="end"/>
      </w:r>
    </w:p>
    <w:p w14:paraId="70C58AB8">
      <w:pPr>
        <w:pStyle w:val="69"/>
        <w:rPr>
          <w:rFonts w:ascii="Arial" w:hAnsi="Arial" w:cs="Arial"/>
          <w:sz w:val="20"/>
          <w:szCs w:val="20"/>
        </w:rPr>
      </w:pPr>
    </w:p>
    <w:p w14:paraId="4FCFC501">
      <w:pPr>
        <w:pStyle w:val="69"/>
        <w:numPr>
          <w:ilvl w:val="0"/>
          <w:numId w:val="4"/>
        </w:numPr>
        <w:spacing w:after="0" w:line="240" w:lineRule="auto"/>
        <w:ind w:left="360" w:firstLine="0"/>
        <w:jc w:val="both"/>
        <w:rPr>
          <w:rFonts w:ascii="Arial" w:hAnsi="Arial" w:cs="Arial"/>
          <w:sz w:val="20"/>
          <w:szCs w:val="20"/>
          <w:highlight w:val="yellow"/>
        </w:rPr>
      </w:pPr>
      <w:r>
        <w:rPr>
          <w:rFonts w:ascii="Arial" w:hAnsi="Arial" w:cs="Arial"/>
          <w:sz w:val="20"/>
          <w:szCs w:val="20"/>
          <w:highlight w:val="yellow"/>
        </w:rPr>
        <w:t>Jensen, M. C. (2002). Value maximization, stakeholder theory, and the corporate</w:t>
      </w:r>
      <w:r>
        <w:rPr>
          <w:rFonts w:ascii="Arial" w:hAnsi="Arial" w:cs="Arial"/>
          <w:sz w:val="20"/>
          <w:szCs w:val="20"/>
          <w:highlight w:val="yellow"/>
        </w:rPr>
        <w:tab/>
      </w:r>
      <w:r>
        <w:rPr>
          <w:rFonts w:ascii="Arial" w:hAnsi="Arial" w:cs="Arial"/>
          <w:sz w:val="20"/>
          <w:szCs w:val="20"/>
          <w:highlight w:val="yellow"/>
        </w:rPr>
        <w:t>objective function. Business Ethics Quarterly, 12(2), 235–256.</w:t>
      </w:r>
    </w:p>
    <w:p w14:paraId="714E53C4">
      <w:pPr>
        <w:jc w:val="both"/>
        <w:rPr>
          <w:rFonts w:ascii="Arial" w:hAnsi="Arial" w:cs="Arial"/>
        </w:rPr>
      </w:pPr>
    </w:p>
    <w:p w14:paraId="64F08461">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Kihuha, P. (2018). </w:t>
      </w:r>
      <w:r>
        <w:rPr>
          <w:rFonts w:ascii="Arial" w:hAnsi="Arial" w:cs="Arial"/>
          <w:i/>
          <w:iCs/>
          <w:sz w:val="20"/>
          <w:szCs w:val="20"/>
        </w:rPr>
        <w:t>Monitoring and Evaluation Practices and Performance of Global Environment Facility Projects in Kenya, a Case of United Nations Environment Programme.</w:t>
      </w:r>
      <w:r>
        <w:rPr>
          <w:rFonts w:ascii="Arial" w:hAnsi="Arial" w:cs="Arial"/>
          <w:sz w:val="20"/>
          <w:szCs w:val="20"/>
        </w:rPr>
        <w:t xml:space="preserve"> Master's Thesis, Kenyatta University.</w:t>
      </w:r>
    </w:p>
    <w:p w14:paraId="7A1378F1">
      <w:pPr>
        <w:jc w:val="both"/>
        <w:rPr>
          <w:rFonts w:ascii="Arial" w:hAnsi="Arial" w:cs="Arial"/>
        </w:rPr>
      </w:pPr>
    </w:p>
    <w:p w14:paraId="5813B17B">
      <w:pPr>
        <w:pStyle w:val="69"/>
        <w:numPr>
          <w:ilvl w:val="0"/>
          <w:numId w:val="4"/>
        </w:numPr>
        <w:spacing w:after="0" w:line="240" w:lineRule="auto"/>
        <w:jc w:val="both"/>
        <w:rPr>
          <w:rFonts w:ascii="Arial" w:hAnsi="Arial" w:cs="Arial"/>
          <w:sz w:val="20"/>
          <w:szCs w:val="20"/>
          <w:highlight w:val="yellow"/>
        </w:rPr>
      </w:pPr>
      <w:r>
        <w:rPr>
          <w:rFonts w:ascii="Arial" w:hAnsi="Arial" w:cs="Arial"/>
          <w:sz w:val="20"/>
          <w:szCs w:val="20"/>
          <w:highlight w:val="yellow"/>
        </w:rPr>
        <w:t xml:space="preserve">Kirori, G. M., &amp; Karanja, D. N. (2019). </w:t>
      </w:r>
      <w:r>
        <w:rPr>
          <w:rFonts w:ascii="Arial" w:hAnsi="Arial" w:cs="Arial"/>
          <w:i/>
          <w:iCs/>
          <w:sz w:val="20"/>
          <w:szCs w:val="20"/>
          <w:highlight w:val="yellow"/>
        </w:rPr>
        <w:t>Monitoring and evaluation practices and performance of youth projects in non-governmental organisations in Kenya.</w:t>
      </w:r>
      <w:r>
        <w:rPr>
          <w:rFonts w:ascii="Arial" w:hAnsi="Arial" w:cs="Arial"/>
          <w:sz w:val="20"/>
          <w:szCs w:val="20"/>
          <w:highlight w:val="yellow"/>
        </w:rPr>
        <w:t xml:space="preserve"> International Journal of Novel Research in Humanity and Social Sciences, 6(2), 89-95. </w:t>
      </w:r>
    </w:p>
    <w:p w14:paraId="068CA64F">
      <w:pPr>
        <w:jc w:val="both"/>
        <w:rPr>
          <w:rFonts w:ascii="Arial" w:hAnsi="Arial" w:cs="Arial"/>
        </w:rPr>
      </w:pPr>
    </w:p>
    <w:p w14:paraId="5CD4EA62">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Kissi, E., Agyekum, K., Baiden, B. K., Tannor, R. A., Asamoah, G. E., &amp; Andam, E. T. (2019). Impact of project monitoring and evaluation practices on construction project success criteria in Ghana. </w:t>
      </w:r>
      <w:r>
        <w:rPr>
          <w:rFonts w:ascii="Arial" w:hAnsi="Arial" w:cs="Arial"/>
          <w:i/>
          <w:iCs/>
          <w:sz w:val="20"/>
          <w:szCs w:val="20"/>
        </w:rPr>
        <w:t>Built Environment Project and Asset Management, 9</w:t>
      </w:r>
      <w:r>
        <w:rPr>
          <w:rFonts w:ascii="Arial" w:hAnsi="Arial" w:cs="Arial"/>
          <w:sz w:val="20"/>
          <w:szCs w:val="20"/>
        </w:rPr>
        <w:t>(3), 364 -374.</w:t>
      </w:r>
    </w:p>
    <w:p w14:paraId="6F308897">
      <w:pPr>
        <w:pStyle w:val="69"/>
        <w:numPr>
          <w:ilvl w:val="0"/>
          <w:numId w:val="4"/>
        </w:numPr>
        <w:spacing w:after="0" w:line="240" w:lineRule="auto"/>
        <w:jc w:val="both"/>
        <w:rPr>
          <w:rFonts w:ascii="Arial" w:hAnsi="Arial" w:cs="Arial"/>
          <w:sz w:val="20"/>
          <w:szCs w:val="20"/>
        </w:rPr>
      </w:pPr>
      <w:r>
        <w:rPr>
          <w:rFonts w:ascii="Arial" w:hAnsi="Arial" w:cs="Arial"/>
          <w:sz w:val="20"/>
          <w:szCs w:val="20"/>
        </w:rPr>
        <w:t>Koima, D., &amp; Mukulu, E. (2020). Effect of monitoring and evaluation systems on agricultural research project performance under KALRO, Kenya. Journal of</w:t>
      </w:r>
      <w:r>
        <w:rPr>
          <w:rFonts w:ascii="Arial" w:hAnsi="Arial" w:cs="Arial"/>
          <w:sz w:val="20"/>
          <w:szCs w:val="20"/>
        </w:rPr>
        <w:tab/>
      </w:r>
      <w:r>
        <w:rPr>
          <w:rFonts w:ascii="Arial" w:hAnsi="Arial" w:cs="Arial"/>
          <w:sz w:val="20"/>
          <w:szCs w:val="20"/>
        </w:rPr>
        <w:t xml:space="preserve">Agricultural Extension and Research, 28(4), 55–70. </w:t>
      </w:r>
      <w:r>
        <w:fldChar w:fldCharType="begin"/>
      </w:r>
      <w:r>
        <w:instrText xml:space="preserve"> HYPERLINK "https://doi.org/10.4314/jaer.v28i4.4" </w:instrText>
      </w:r>
      <w:r>
        <w:fldChar w:fldCharType="separate"/>
      </w:r>
      <w:r>
        <w:rPr>
          <w:rStyle w:val="17"/>
          <w:rFonts w:ascii="Arial" w:hAnsi="Arial" w:cs="Arial"/>
          <w:sz w:val="20"/>
          <w:szCs w:val="20"/>
        </w:rPr>
        <w:t>https://doi.org/10.4314/jaer.v28i4.4</w:t>
      </w:r>
      <w:r>
        <w:rPr>
          <w:rStyle w:val="17"/>
          <w:rFonts w:ascii="Arial" w:hAnsi="Arial" w:cs="Arial"/>
          <w:sz w:val="20"/>
          <w:szCs w:val="20"/>
        </w:rPr>
        <w:fldChar w:fldCharType="end"/>
      </w:r>
    </w:p>
    <w:p w14:paraId="33F504A3">
      <w:pPr>
        <w:jc w:val="both"/>
        <w:rPr>
          <w:rFonts w:ascii="Arial" w:hAnsi="Arial" w:cs="Arial"/>
        </w:rPr>
      </w:pPr>
    </w:p>
    <w:p w14:paraId="59BFBDC0">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Kothari, C. R. (2004). </w:t>
      </w:r>
      <w:r>
        <w:rPr>
          <w:rFonts w:ascii="Arial" w:hAnsi="Arial" w:cs="Arial"/>
          <w:i/>
          <w:iCs/>
          <w:sz w:val="20"/>
          <w:szCs w:val="20"/>
        </w:rPr>
        <w:t>Research methodology: Methods and techniques.</w:t>
      </w:r>
      <w:r>
        <w:rPr>
          <w:rFonts w:ascii="Arial" w:hAnsi="Arial" w:cs="Arial"/>
          <w:sz w:val="20"/>
          <w:szCs w:val="20"/>
        </w:rPr>
        <w:t xml:space="preserve"> New Delhi: New Age International.</w:t>
      </w:r>
    </w:p>
    <w:p w14:paraId="2BDF551B">
      <w:pPr>
        <w:jc w:val="both"/>
        <w:rPr>
          <w:rFonts w:ascii="Arial" w:hAnsi="Arial" w:cs="Arial"/>
        </w:rPr>
      </w:pPr>
    </w:p>
    <w:p w14:paraId="31D0A4EE">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Leariwala, J. L., &amp; Kamau, L. N. (2021). </w:t>
      </w:r>
      <w:r>
        <w:rPr>
          <w:rFonts w:ascii="Arial" w:hAnsi="Arial" w:cs="Arial"/>
          <w:i/>
          <w:iCs/>
          <w:sz w:val="20"/>
          <w:szCs w:val="20"/>
        </w:rPr>
        <w:t>Participatory monitoring and evaluation practices and performance of selected national government constituency development fund projects in Samburu County, Kenya.</w:t>
      </w:r>
      <w:r>
        <w:rPr>
          <w:rFonts w:ascii="Arial" w:hAnsi="Arial" w:cs="Arial"/>
          <w:sz w:val="20"/>
          <w:szCs w:val="20"/>
        </w:rPr>
        <w:t xml:space="preserve"> Unpublished Master's Thesis, Kenyatta University.</w:t>
      </w:r>
    </w:p>
    <w:p w14:paraId="2C541A2D">
      <w:pPr>
        <w:jc w:val="both"/>
        <w:rPr>
          <w:rFonts w:ascii="Arial" w:hAnsi="Arial" w:cs="Arial"/>
        </w:rPr>
      </w:pPr>
    </w:p>
    <w:p w14:paraId="317CF06A">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Luján Soto, R., Cuéllar-Padilla, M., Rivera Méndez, M., Pinto-Correia, T., Boix-Fayos, C., &amp; de Vente, J. (2021). Participatory monitoring and evaluation to enable social learning, adoption, and out-scaling of regenerative agriculture. </w:t>
      </w:r>
      <w:r>
        <w:rPr>
          <w:rFonts w:ascii="Arial" w:hAnsi="Arial" w:cs="Arial"/>
          <w:i/>
          <w:iCs/>
          <w:sz w:val="20"/>
          <w:szCs w:val="20"/>
        </w:rPr>
        <w:t>Ecology and Society, 26</w:t>
      </w:r>
      <w:r>
        <w:rPr>
          <w:rFonts w:ascii="Arial" w:hAnsi="Arial" w:cs="Arial"/>
          <w:sz w:val="20"/>
          <w:szCs w:val="20"/>
        </w:rPr>
        <w:t>(4), 29.</w:t>
      </w:r>
    </w:p>
    <w:p w14:paraId="211FD19A">
      <w:pPr>
        <w:pStyle w:val="69"/>
        <w:numPr>
          <w:ilvl w:val="0"/>
          <w:numId w:val="4"/>
        </w:numPr>
        <w:spacing w:before="100" w:beforeAutospacing="1" w:after="0" w:line="240" w:lineRule="auto"/>
        <w:jc w:val="both"/>
        <w:rPr>
          <w:rFonts w:ascii="Arial" w:hAnsi="Arial" w:eastAsia="Times New Roman" w:cs="Arial"/>
          <w:kern w:val="0"/>
          <w:sz w:val="20"/>
          <w:szCs w:val="20"/>
          <w:lang w:val="en-US"/>
        </w:rPr>
      </w:pPr>
      <w:r>
        <w:rPr>
          <w:rFonts w:ascii="Arial" w:hAnsi="Arial" w:eastAsia="Times New Roman" w:cs="Arial"/>
          <w:kern w:val="0"/>
          <w:sz w:val="20"/>
          <w:szCs w:val="20"/>
          <w:lang w:val="en-US"/>
        </w:rPr>
        <w:t>Mnyang’ali, E., &amp; Mathia, J. (2026). Stakeholder participation in monitoring and evaluation systems and value for money in local government projects in</w:t>
      </w:r>
      <w:r>
        <w:rPr>
          <w:rFonts w:ascii="Arial" w:hAnsi="Arial" w:eastAsia="Times New Roman" w:cs="Arial"/>
          <w:kern w:val="0"/>
          <w:sz w:val="20"/>
          <w:szCs w:val="20"/>
          <w:lang w:val="en-US"/>
        </w:rPr>
        <w:tab/>
      </w:r>
      <w:r>
        <w:rPr>
          <w:rFonts w:ascii="Arial" w:hAnsi="Arial" w:eastAsia="Times New Roman" w:cs="Arial"/>
          <w:kern w:val="0"/>
          <w:sz w:val="20"/>
          <w:szCs w:val="20"/>
          <w:lang w:val="en-US"/>
        </w:rPr>
        <w:t xml:space="preserve">Tanzania. </w:t>
      </w:r>
      <w:r>
        <w:rPr>
          <w:rFonts w:ascii="Arial" w:hAnsi="Arial" w:eastAsia="Times New Roman" w:cs="Arial"/>
          <w:i/>
          <w:iCs/>
          <w:kern w:val="0"/>
          <w:sz w:val="20"/>
          <w:szCs w:val="20"/>
          <w:lang w:val="en-US"/>
        </w:rPr>
        <w:t>African Journal of Empirical Research, 7</w:t>
      </w:r>
      <w:r>
        <w:rPr>
          <w:rFonts w:ascii="Arial" w:hAnsi="Arial" w:eastAsia="Times New Roman" w:cs="Arial"/>
          <w:kern w:val="0"/>
          <w:sz w:val="20"/>
          <w:szCs w:val="20"/>
          <w:lang w:val="en-US"/>
        </w:rPr>
        <w:t xml:space="preserve">(1), 1-15 </w:t>
      </w:r>
      <w:r>
        <w:fldChar w:fldCharType="begin"/>
      </w:r>
      <w:r>
        <w:instrText xml:space="preserve"> HYPERLINK "https://doi.org/10.51867/ajernet.7.1.100" </w:instrText>
      </w:r>
      <w:r>
        <w:fldChar w:fldCharType="separate"/>
      </w:r>
      <w:r>
        <w:rPr>
          <w:rStyle w:val="17"/>
          <w:rFonts w:ascii="Arial" w:hAnsi="Arial" w:eastAsia="Times New Roman" w:cs="Arial"/>
          <w:kern w:val="0"/>
          <w:sz w:val="20"/>
          <w:szCs w:val="20"/>
          <w:lang w:val="en-US"/>
        </w:rPr>
        <w:t>https://doi.org/10.51867/ajernet.7.1.100</w:t>
      </w:r>
      <w:r>
        <w:rPr>
          <w:rStyle w:val="17"/>
          <w:rFonts w:ascii="Arial" w:hAnsi="Arial" w:eastAsia="Times New Roman" w:cs="Arial"/>
          <w:kern w:val="0"/>
          <w:sz w:val="20"/>
          <w:szCs w:val="20"/>
          <w:lang w:val="en-US"/>
        </w:rPr>
        <w:fldChar w:fldCharType="end"/>
      </w:r>
    </w:p>
    <w:p w14:paraId="5CB8B22C">
      <w:pPr>
        <w:pStyle w:val="69"/>
        <w:numPr>
          <w:ilvl w:val="0"/>
          <w:numId w:val="4"/>
        </w:numPr>
        <w:spacing w:after="0" w:line="240" w:lineRule="auto"/>
        <w:jc w:val="both"/>
        <w:rPr>
          <w:rFonts w:ascii="Arial" w:hAnsi="Arial" w:cs="Arial"/>
          <w:sz w:val="20"/>
          <w:szCs w:val="20"/>
        </w:rPr>
      </w:pPr>
      <w:r>
        <w:rPr>
          <w:rFonts w:ascii="Arial" w:hAnsi="Arial" w:cs="Arial"/>
          <w:sz w:val="20"/>
          <w:szCs w:val="20"/>
        </w:rPr>
        <w:t>Marvasti, A. (2018). Research methods. The Cambridge handbook of social problems,1(3), 23-37.</w:t>
      </w:r>
    </w:p>
    <w:p w14:paraId="349828C9">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Mayne, J. (2007). Challenges and Lessons in Implementing Results-Based Management. </w:t>
      </w:r>
      <w:r>
        <w:rPr>
          <w:rFonts w:ascii="Arial" w:hAnsi="Arial" w:cs="Arial"/>
          <w:i/>
          <w:iCs/>
          <w:sz w:val="20"/>
          <w:szCs w:val="20"/>
        </w:rPr>
        <w:t>Evaluation, 13</w:t>
      </w:r>
      <w:r>
        <w:rPr>
          <w:rFonts w:ascii="Arial" w:hAnsi="Arial" w:cs="Arial"/>
          <w:sz w:val="20"/>
          <w:szCs w:val="20"/>
        </w:rPr>
        <w:t>(1), 87-109.</w:t>
      </w:r>
    </w:p>
    <w:p w14:paraId="4C6188F3">
      <w:pPr>
        <w:jc w:val="both"/>
        <w:rPr>
          <w:rFonts w:ascii="Arial" w:hAnsi="Arial" w:cs="Arial"/>
        </w:rPr>
      </w:pPr>
    </w:p>
    <w:p w14:paraId="54CFBBA0">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Moegh, F. K. (2023). </w:t>
      </w:r>
      <w:r>
        <w:rPr>
          <w:rFonts w:ascii="Arial" w:hAnsi="Arial" w:cs="Arial"/>
          <w:i/>
          <w:iCs/>
          <w:sz w:val="20"/>
          <w:szCs w:val="20"/>
        </w:rPr>
        <w:t>Stakeholder involvement and performance of construction projects in public universities in Nairobi City County, Kenya.</w:t>
      </w:r>
      <w:r>
        <w:rPr>
          <w:rFonts w:ascii="Arial" w:hAnsi="Arial" w:cs="Arial"/>
          <w:sz w:val="20"/>
          <w:szCs w:val="20"/>
        </w:rPr>
        <w:t xml:space="preserve"> Master's Thesis, Kenyatta University, Nairobi.</w:t>
      </w:r>
    </w:p>
    <w:p w14:paraId="405DD1CD">
      <w:pPr>
        <w:jc w:val="both"/>
        <w:rPr>
          <w:rFonts w:ascii="Arial" w:hAnsi="Arial" w:cs="Arial"/>
        </w:rPr>
      </w:pPr>
    </w:p>
    <w:p w14:paraId="6A4675CB">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Mugenda, O. M., &amp; Mugenda, A. G. (2003). </w:t>
      </w:r>
      <w:r>
        <w:rPr>
          <w:rFonts w:ascii="Arial" w:hAnsi="Arial" w:cs="Arial"/>
          <w:i/>
          <w:iCs/>
          <w:sz w:val="20"/>
          <w:szCs w:val="20"/>
        </w:rPr>
        <w:t>Research methods: Quantitative &amp; qualitative approaches.</w:t>
      </w:r>
      <w:r>
        <w:rPr>
          <w:rFonts w:ascii="Arial" w:hAnsi="Arial" w:cs="Arial"/>
          <w:sz w:val="20"/>
          <w:szCs w:val="20"/>
        </w:rPr>
        <w:t xml:space="preserve"> Nairobi: Acts Press.</w:t>
      </w:r>
    </w:p>
    <w:p w14:paraId="2C21E229">
      <w:pPr>
        <w:jc w:val="both"/>
        <w:rPr>
          <w:rFonts w:ascii="Arial" w:hAnsi="Arial" w:cs="Arial"/>
        </w:rPr>
      </w:pPr>
    </w:p>
    <w:p w14:paraId="2AEE0A93">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Muhayimana, O., &amp; Kamuhanda, J. K. (2020). The relationship between Monitoring and Evaluation practices and public projects performance in Rwanda with reference to Science and Technology Skills. </w:t>
      </w:r>
      <w:r>
        <w:rPr>
          <w:rFonts w:ascii="Arial" w:hAnsi="Arial" w:cs="Arial"/>
          <w:i/>
          <w:iCs/>
          <w:sz w:val="20"/>
          <w:szCs w:val="20"/>
        </w:rPr>
        <w:t>International Journal of Advanced Scientific Research, 5</w:t>
      </w:r>
      <w:r>
        <w:rPr>
          <w:rFonts w:ascii="Arial" w:hAnsi="Arial" w:cs="Arial"/>
          <w:sz w:val="20"/>
          <w:szCs w:val="20"/>
        </w:rPr>
        <w:t>(9), 98 - 110.</w:t>
      </w:r>
    </w:p>
    <w:p w14:paraId="09186E6A">
      <w:pPr>
        <w:jc w:val="both"/>
        <w:rPr>
          <w:rFonts w:ascii="Arial" w:hAnsi="Arial" w:cs="Arial"/>
        </w:rPr>
      </w:pPr>
    </w:p>
    <w:p w14:paraId="09509727">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Mushori, J., Machira, F. A., &amp; Matu, J. (2020). Determinants of Effective Monitoring and Evaluation: Pre-requisite for County Government Funded Infrastructural Development Projects. </w:t>
      </w:r>
      <w:r>
        <w:rPr>
          <w:rFonts w:ascii="Arial" w:hAnsi="Arial" w:cs="Arial"/>
          <w:i/>
          <w:iCs/>
          <w:sz w:val="20"/>
          <w:szCs w:val="20"/>
        </w:rPr>
        <w:t>International Journal of Innovative Research &amp; Development, 9</w:t>
      </w:r>
      <w:r>
        <w:rPr>
          <w:rFonts w:ascii="Arial" w:hAnsi="Arial" w:cs="Arial"/>
          <w:sz w:val="20"/>
          <w:szCs w:val="20"/>
        </w:rPr>
        <w:t>(4), 311-325.</w:t>
      </w:r>
    </w:p>
    <w:p w14:paraId="73C360F2">
      <w:pPr>
        <w:jc w:val="both"/>
        <w:rPr>
          <w:rFonts w:ascii="Arial" w:hAnsi="Arial" w:cs="Arial"/>
        </w:rPr>
      </w:pPr>
    </w:p>
    <w:p w14:paraId="296B2372">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Njeru, C. M., &amp; Kirui, C. (2022). Monitoring and Evaluation Practices and Performance of Kenya National Highway Authority Road Construction Projects in Nairobi City County, Kenya. </w:t>
      </w:r>
      <w:r>
        <w:rPr>
          <w:rFonts w:ascii="Arial" w:hAnsi="Arial" w:cs="Arial"/>
          <w:i/>
          <w:iCs/>
          <w:sz w:val="20"/>
          <w:szCs w:val="20"/>
        </w:rPr>
        <w:t>Journal of Entrepreneurship &amp; Project Management, 2</w:t>
      </w:r>
      <w:r>
        <w:rPr>
          <w:rFonts w:ascii="Arial" w:hAnsi="Arial" w:cs="Arial"/>
          <w:sz w:val="20"/>
          <w:szCs w:val="20"/>
        </w:rPr>
        <w:t>(1), 11-27.</w:t>
      </w:r>
    </w:p>
    <w:p w14:paraId="0E3B85E3">
      <w:pPr>
        <w:jc w:val="both"/>
        <w:rPr>
          <w:rFonts w:ascii="Arial" w:hAnsi="Arial" w:cs="Arial"/>
        </w:rPr>
      </w:pPr>
    </w:p>
    <w:p w14:paraId="1C8C1528">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Njoroge, M. O., Nyang'au, S. P., &amp; Nyamwaro, L. K. (2021). Monitoring, Evaluation and Performance of Kenya National Highways Authority Projects in Nairobi, Kenya. </w:t>
      </w:r>
      <w:r>
        <w:rPr>
          <w:rFonts w:ascii="Arial" w:hAnsi="Arial" w:cs="Arial"/>
          <w:i/>
          <w:iCs/>
          <w:sz w:val="20"/>
          <w:szCs w:val="20"/>
        </w:rPr>
        <w:t>International Journal of Social Sciences Management and Entrepreneurship, 6</w:t>
      </w:r>
      <w:r>
        <w:rPr>
          <w:rFonts w:ascii="Arial" w:hAnsi="Arial" w:cs="Arial"/>
          <w:sz w:val="20"/>
          <w:szCs w:val="20"/>
        </w:rPr>
        <w:t>(5), 22-34.</w:t>
      </w:r>
    </w:p>
    <w:p w14:paraId="45146224">
      <w:pPr>
        <w:jc w:val="both"/>
        <w:rPr>
          <w:rFonts w:ascii="Arial" w:hAnsi="Arial" w:cs="Arial"/>
        </w:rPr>
      </w:pPr>
    </w:p>
    <w:p w14:paraId="3A05EB46">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Nyathi, L. (2021). </w:t>
      </w:r>
      <w:r>
        <w:rPr>
          <w:rFonts w:ascii="Arial" w:hAnsi="Arial" w:cs="Arial"/>
          <w:i/>
          <w:iCs/>
          <w:sz w:val="20"/>
          <w:szCs w:val="20"/>
        </w:rPr>
        <w:t>Influence of monitoring and evaluation practices on rural district councils’ project performance. A case of the Bubi district council project in Zimbabwe.</w:t>
      </w:r>
      <w:r>
        <w:rPr>
          <w:rFonts w:ascii="Arial" w:hAnsi="Arial" w:cs="Arial"/>
          <w:sz w:val="20"/>
          <w:szCs w:val="20"/>
        </w:rPr>
        <w:t xml:space="preserve"> Harare: Unpublished Master's Thesis, Africa Nazarene University.</w:t>
      </w:r>
    </w:p>
    <w:p w14:paraId="101FC15D">
      <w:pPr>
        <w:jc w:val="both"/>
        <w:rPr>
          <w:rFonts w:ascii="Arial" w:hAnsi="Arial" w:cs="Arial"/>
        </w:rPr>
      </w:pPr>
    </w:p>
    <w:p w14:paraId="2D49B399">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Office of the Auditor General. ([OAG], 2024). </w:t>
      </w:r>
      <w:r>
        <w:rPr>
          <w:rFonts w:ascii="Arial" w:hAnsi="Arial" w:cs="Arial"/>
          <w:i/>
          <w:iCs/>
          <w:sz w:val="20"/>
          <w:szCs w:val="20"/>
        </w:rPr>
        <w:t>Auditor Generals Report on National Government 2022/2023.</w:t>
      </w:r>
      <w:r>
        <w:rPr>
          <w:rFonts w:ascii="Arial" w:hAnsi="Arial" w:cs="Arial"/>
          <w:sz w:val="20"/>
          <w:szCs w:val="20"/>
        </w:rPr>
        <w:t xml:space="preserve"> Office of the Auditor General.</w:t>
      </w:r>
    </w:p>
    <w:p w14:paraId="7F7BD1DD">
      <w:pPr>
        <w:pStyle w:val="69"/>
        <w:numPr>
          <w:ilvl w:val="0"/>
          <w:numId w:val="4"/>
        </w:numPr>
        <w:spacing w:before="100" w:beforeAutospacing="1" w:after="0" w:line="240" w:lineRule="auto"/>
        <w:jc w:val="both"/>
        <w:rPr>
          <w:rFonts w:ascii="Arial" w:hAnsi="Arial" w:eastAsia="Times New Roman" w:cs="Arial"/>
          <w:kern w:val="0"/>
          <w:sz w:val="20"/>
          <w:szCs w:val="20"/>
          <w:lang w:val="en-US"/>
        </w:rPr>
      </w:pPr>
      <w:r>
        <w:rPr>
          <w:rFonts w:ascii="Arial" w:hAnsi="Arial" w:eastAsia="Times New Roman" w:cs="Arial"/>
          <w:kern w:val="0"/>
          <w:sz w:val="20"/>
          <w:szCs w:val="20"/>
          <w:lang w:val="en-US"/>
        </w:rPr>
        <w:t>Okullu, P., Karimi, P., &amp; Wamalwa, F. (2025). Stakeholder engagement in monitoring and evaluation and performance of the Parish Development Model in Uganda.</w:t>
      </w:r>
      <w:r>
        <w:rPr>
          <w:rFonts w:ascii="Arial" w:hAnsi="Arial" w:eastAsia="Times New Roman" w:cs="Arial"/>
          <w:kern w:val="0"/>
          <w:sz w:val="20"/>
          <w:szCs w:val="20"/>
          <w:lang w:val="en-US"/>
        </w:rPr>
        <w:tab/>
      </w:r>
      <w:r>
        <w:rPr>
          <w:rFonts w:ascii="Arial" w:hAnsi="Arial" w:eastAsia="Times New Roman" w:cs="Arial"/>
          <w:i/>
          <w:iCs/>
          <w:kern w:val="0"/>
          <w:sz w:val="20"/>
          <w:szCs w:val="20"/>
          <w:lang w:val="en-US"/>
        </w:rPr>
        <w:t>International Journal of Sustainable Development and Construction</w:t>
      </w:r>
      <w:r>
        <w:rPr>
          <w:rFonts w:ascii="Arial" w:hAnsi="Arial" w:eastAsia="Times New Roman" w:cs="Arial"/>
          <w:kern w:val="0"/>
          <w:sz w:val="20"/>
          <w:szCs w:val="20"/>
          <w:lang w:val="en-US"/>
        </w:rPr>
        <w:t>.2(8),1-15https://ijsdc.org/storage/xq6TzRAqpbBh89kGqBR6Odqmkoo5ilfWpezYWd</w:t>
      </w:r>
      <w:r>
        <w:rPr>
          <w:rFonts w:ascii="Arial" w:hAnsi="Arial" w:eastAsia="Times New Roman" w:cs="Arial"/>
          <w:kern w:val="0"/>
          <w:sz w:val="20"/>
          <w:szCs w:val="20"/>
          <w:lang w:val="en-US"/>
        </w:rPr>
        <w:tab/>
      </w:r>
      <w:r>
        <w:rPr>
          <w:rFonts w:ascii="Arial" w:hAnsi="Arial" w:eastAsia="Times New Roman" w:cs="Arial"/>
          <w:kern w:val="0"/>
          <w:sz w:val="20"/>
          <w:szCs w:val="20"/>
          <w:lang w:val="en-US"/>
        </w:rPr>
        <w:t>n.pdf</w:t>
      </w:r>
    </w:p>
    <w:p w14:paraId="6E749FAC">
      <w:pPr>
        <w:pStyle w:val="69"/>
        <w:numPr>
          <w:ilvl w:val="0"/>
          <w:numId w:val="4"/>
        </w:numPr>
        <w:spacing w:after="0" w:line="240" w:lineRule="auto"/>
        <w:jc w:val="both"/>
        <w:rPr>
          <w:rFonts w:ascii="Arial" w:hAnsi="Arial" w:cs="Arial"/>
          <w:sz w:val="16"/>
          <w:szCs w:val="16"/>
        </w:rPr>
      </w:pPr>
      <w:r>
        <w:rPr>
          <w:rFonts w:ascii="Arial" w:hAnsi="Arial" w:cs="Arial"/>
          <w:sz w:val="20"/>
          <w:szCs w:val="20"/>
        </w:rPr>
        <w:t>Olaremi, S. O., Dada, A. D., Lawal, A. F., Adisa, E., Ojefia, E. F., &amp; Garbati, A. A. (2024). Monitoring and Evaluation Practices on Building Construction Project Delivery among Tertiary Institutions of Ondo State, Nigeria. Journal of Applied Sciences and Environmental Management, 28(12), 4007-4017.</w:t>
      </w:r>
    </w:p>
    <w:p w14:paraId="44AA62A4">
      <w:pPr>
        <w:jc w:val="both"/>
        <w:rPr>
          <w:rFonts w:ascii="Arial" w:hAnsi="Arial" w:cs="Arial"/>
          <w:sz w:val="16"/>
          <w:szCs w:val="16"/>
        </w:rPr>
      </w:pPr>
    </w:p>
    <w:p w14:paraId="57970D09">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Onyango, W. A., &amp; Pedo, M. (2021). Monitoring and Evaluation Practices and Performance of Road Projects in Nairobi City County, Kenya. </w:t>
      </w:r>
      <w:r>
        <w:rPr>
          <w:rFonts w:ascii="Arial" w:hAnsi="Arial" w:cs="Arial"/>
          <w:i/>
          <w:iCs/>
          <w:sz w:val="20"/>
          <w:szCs w:val="20"/>
        </w:rPr>
        <w:t>International Journal of Social Sciences Management and Entrepreneurship, 6</w:t>
      </w:r>
      <w:r>
        <w:rPr>
          <w:rFonts w:ascii="Arial" w:hAnsi="Arial" w:cs="Arial"/>
          <w:sz w:val="20"/>
          <w:szCs w:val="20"/>
        </w:rPr>
        <w:t>(7), 3-21.</w:t>
      </w:r>
    </w:p>
    <w:p w14:paraId="58DBFBD8">
      <w:pPr>
        <w:pStyle w:val="69"/>
        <w:numPr>
          <w:ilvl w:val="0"/>
          <w:numId w:val="4"/>
        </w:numPr>
        <w:spacing w:after="0" w:line="240" w:lineRule="auto"/>
        <w:jc w:val="both"/>
        <w:rPr>
          <w:rFonts w:ascii="Arial" w:hAnsi="Arial" w:cs="Arial"/>
          <w:sz w:val="20"/>
          <w:szCs w:val="20"/>
          <w:highlight w:val="yellow"/>
        </w:rPr>
      </w:pPr>
      <w:r>
        <w:rPr>
          <w:rFonts w:ascii="Arial" w:hAnsi="Arial" w:cs="Arial"/>
          <w:sz w:val="20"/>
          <w:szCs w:val="20"/>
          <w:highlight w:val="yellow"/>
        </w:rPr>
        <w:t xml:space="preserve">Pereira, L., Dias, Á., Costa, R. L., &amp; Gonçalves, R. (2022). How to improve performance in public investment projects. </w:t>
      </w:r>
      <w:r>
        <w:rPr>
          <w:rFonts w:ascii="Arial" w:hAnsi="Arial" w:cs="Arial"/>
          <w:i/>
          <w:iCs/>
          <w:sz w:val="20"/>
          <w:szCs w:val="20"/>
          <w:highlight w:val="yellow"/>
        </w:rPr>
        <w:t>International Journal of Procurement Management, 15</w:t>
      </w:r>
      <w:r>
        <w:rPr>
          <w:rFonts w:ascii="Arial" w:hAnsi="Arial" w:cs="Arial"/>
          <w:sz w:val="20"/>
          <w:szCs w:val="20"/>
          <w:highlight w:val="yellow"/>
        </w:rPr>
        <w:t>(2), 219-235.</w:t>
      </w:r>
    </w:p>
    <w:p w14:paraId="0A5964B0">
      <w:pPr>
        <w:jc w:val="both"/>
        <w:rPr>
          <w:rFonts w:ascii="Arial" w:hAnsi="Arial" w:cs="Arial"/>
        </w:rPr>
      </w:pPr>
    </w:p>
    <w:p w14:paraId="227877E6">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Seng, T., Chan, S., &amp; Kumar, R. (2019). The role of performance reviews in enhancing project management success. </w:t>
      </w:r>
      <w:r>
        <w:rPr>
          <w:rFonts w:ascii="Arial" w:hAnsi="Arial" w:cs="Arial"/>
          <w:i/>
          <w:iCs/>
          <w:sz w:val="20"/>
          <w:szCs w:val="20"/>
        </w:rPr>
        <w:t>Journal of Project Management, 15</w:t>
      </w:r>
      <w:r>
        <w:rPr>
          <w:rFonts w:ascii="Arial" w:hAnsi="Arial" w:cs="Arial"/>
          <w:sz w:val="20"/>
          <w:szCs w:val="20"/>
        </w:rPr>
        <w:t>(2), 45-58.</w:t>
      </w:r>
    </w:p>
    <w:p w14:paraId="029C82BB">
      <w:pPr>
        <w:jc w:val="both"/>
        <w:rPr>
          <w:rFonts w:ascii="Arial" w:hAnsi="Arial" w:cs="Arial"/>
        </w:rPr>
      </w:pPr>
    </w:p>
    <w:p w14:paraId="4950010C">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Tarindwa, H. H. (2019). </w:t>
      </w:r>
      <w:r>
        <w:rPr>
          <w:rFonts w:ascii="Arial" w:hAnsi="Arial" w:cs="Arial"/>
          <w:i/>
          <w:iCs/>
          <w:sz w:val="20"/>
          <w:szCs w:val="20"/>
        </w:rPr>
        <w:t>Influence of monitoring and evaluation practices on the performance of government sponsord arts projects in Namibia: A case of national arts council on Namibia.</w:t>
      </w:r>
      <w:r>
        <w:rPr>
          <w:rFonts w:ascii="Arial" w:hAnsi="Arial" w:cs="Arial"/>
          <w:sz w:val="20"/>
          <w:szCs w:val="20"/>
        </w:rPr>
        <w:t xml:space="preserve"> Africa Nazarene University. Africa Nazarene University.</w:t>
      </w:r>
    </w:p>
    <w:p w14:paraId="1D44FD49">
      <w:pPr>
        <w:jc w:val="both"/>
        <w:rPr>
          <w:rFonts w:ascii="Arial" w:hAnsi="Arial" w:cs="Arial"/>
        </w:rPr>
      </w:pPr>
    </w:p>
    <w:p w14:paraId="7AB58E6A">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UNDP. (2011). </w:t>
      </w:r>
      <w:r>
        <w:rPr>
          <w:rFonts w:ascii="Arial" w:hAnsi="Arial" w:cs="Arial"/>
          <w:i/>
          <w:iCs/>
          <w:sz w:val="20"/>
          <w:szCs w:val="20"/>
        </w:rPr>
        <w:t>Handbook on Planning, Monitoring and Evaluating for Development Results.</w:t>
      </w:r>
      <w:r>
        <w:rPr>
          <w:rFonts w:ascii="Arial" w:hAnsi="Arial" w:cs="Arial"/>
          <w:sz w:val="20"/>
          <w:szCs w:val="20"/>
        </w:rPr>
        <w:t xml:space="preserve"> United Nations Development Programme.</w:t>
      </w:r>
    </w:p>
    <w:p w14:paraId="222581DB">
      <w:pPr>
        <w:jc w:val="both"/>
        <w:rPr>
          <w:rFonts w:ascii="Arial" w:hAnsi="Arial" w:cs="Arial"/>
        </w:rPr>
      </w:pPr>
    </w:p>
    <w:p w14:paraId="13F36017">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Wambua, C. M., &amp; James, R. (2019). </w:t>
      </w:r>
      <w:r>
        <w:rPr>
          <w:rFonts w:ascii="Arial" w:hAnsi="Arial" w:cs="Arial"/>
          <w:i/>
          <w:iCs/>
          <w:sz w:val="20"/>
          <w:szCs w:val="20"/>
        </w:rPr>
        <w:t>Monitoring And Evaluation Practices And Performance Of County Funded Education Projects In Makueni County, Kenya.</w:t>
      </w:r>
      <w:r>
        <w:rPr>
          <w:rFonts w:ascii="Arial" w:hAnsi="Arial" w:cs="Arial"/>
          <w:sz w:val="20"/>
          <w:szCs w:val="20"/>
        </w:rPr>
        <w:t xml:space="preserve"> Kenyatta University.</w:t>
      </w:r>
    </w:p>
    <w:p w14:paraId="7ABA084D">
      <w:pPr>
        <w:jc w:val="both"/>
        <w:rPr>
          <w:rFonts w:ascii="Arial" w:hAnsi="Arial" w:cs="Arial"/>
        </w:rPr>
      </w:pPr>
    </w:p>
    <w:p w14:paraId="4DDD69C8">
      <w:pPr>
        <w:pStyle w:val="69"/>
        <w:numPr>
          <w:ilvl w:val="0"/>
          <w:numId w:val="4"/>
        </w:numPr>
        <w:spacing w:after="0" w:line="240" w:lineRule="auto"/>
        <w:jc w:val="both"/>
        <w:rPr>
          <w:rFonts w:ascii="Arial" w:hAnsi="Arial" w:cs="Arial"/>
          <w:sz w:val="20"/>
          <w:szCs w:val="20"/>
        </w:rPr>
      </w:pPr>
      <w:r>
        <w:rPr>
          <w:rFonts w:ascii="Arial" w:hAnsi="Arial" w:cs="Arial"/>
          <w:sz w:val="20"/>
          <w:szCs w:val="20"/>
        </w:rPr>
        <w:t xml:space="preserve">Wanjohi, N. M., &amp; Musembi, A. (2021). Project Monitoring and Evaluation Practices and Performance of Road Infrastructural Projects in Kiambu County, Kenya. </w:t>
      </w:r>
      <w:r>
        <w:rPr>
          <w:rFonts w:ascii="Arial" w:hAnsi="Arial" w:cs="Arial"/>
          <w:i/>
          <w:iCs/>
          <w:sz w:val="20"/>
          <w:szCs w:val="20"/>
        </w:rPr>
        <w:t>International Journal of Social Sciences Management and Entrepreneurship, 8</w:t>
      </w:r>
      <w:r>
        <w:rPr>
          <w:rFonts w:ascii="Arial" w:hAnsi="Arial" w:cs="Arial"/>
          <w:sz w:val="20"/>
          <w:szCs w:val="20"/>
        </w:rPr>
        <w:t>(3), 3-17.</w:t>
      </w:r>
    </w:p>
    <w:sectPr>
      <w:type w:val="continuous"/>
      <w:pgSz w:w="12240" w:h="15840"/>
      <w:pgMar w:top="1440" w:right="2016" w:bottom="2016" w:left="2016" w:header="720" w:footer="1123"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4C29">
    <w:pPr>
      <w:pStyle w:val="15"/>
      <w:rPr>
        <w:rFonts w:ascii="Arial" w:hAnsi="Arial" w:cs="Arial"/>
        <w:sz w:val="16"/>
      </w:rPr>
    </w:pPr>
  </w:p>
  <w:p w14:paraId="7C7299FB">
    <w:pPr>
      <w:pStyle w:val="15"/>
      <w:jc w:val="center"/>
      <w:rPr>
        <w:rFonts w:ascii="Arial" w:hAnsi="Arial" w:cs="Arial"/>
        <w:sz w:val="16"/>
      </w:rPr>
    </w:pPr>
    <w:r>
      <w:rPr>
        <w:rFonts w:ascii="Arial" w:hAnsi="Arial" w:cs="Arial"/>
        <w:sz w:val="16"/>
      </w:rPr>
      <w:t>____________________________________________________________________________________________</w:t>
    </w:r>
  </w:p>
  <w:p w14:paraId="538A3143">
    <w:pPr>
      <w:pStyle w:val="15"/>
      <w:rPr>
        <w:rFonts w:ascii="Arial" w:hAnsi="Arial" w:cs="Arial"/>
        <w:sz w:val="16"/>
      </w:rPr>
    </w:pPr>
  </w:p>
  <w:p w14:paraId="7790B393">
    <w:pPr>
      <w:pStyle w:val="15"/>
      <w:rPr>
        <w:rFonts w:ascii="Arial" w:hAnsi="Arial" w:cs="Arial"/>
        <w:i/>
        <w:sz w:val="16"/>
      </w:rPr>
    </w:pPr>
    <w:r>
      <w:rPr>
        <w:rFonts w:ascii="Arial" w:hAnsi="Arial" w:cs="Arial"/>
        <w:i/>
        <w:sz w:val="16"/>
      </w:rPr>
      <w:t>*Corresponding author: Email: XYZ@ABC.COM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4DC32">
    <w:pPr>
      <w:pStyle w:val="16"/>
    </w:pPr>
    <w:r>
      <w:pict>
        <v:shape id="PowerPlusWaterMarkObject86770908" o:spid="_x0000_s1027"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DCC4">
    <w:pPr>
      <w:pStyle w:val="16"/>
    </w:pPr>
    <w:r>
      <w:pict>
        <v:shape id="PowerPlusWaterMarkObject86770907" o:spid="_x0000_s1026"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CF9EE">
    <w:pPr>
      <w:ind w:left="2160"/>
      <w:jc w:val="center"/>
      <w:rPr>
        <w:rFonts w:ascii="Times New Roman" w:hAnsi="Times New Roman" w:eastAsia="Calibri"/>
        <w:i/>
        <w:sz w:val="18"/>
        <w:szCs w:val="22"/>
      </w:rPr>
    </w:pPr>
    <w:r>
      <w:pict>
        <v:shape id="PowerPlusWaterMarkObject86770906" o:spid="_x0000_s1025"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6CFCE54B">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CF5532D">
    <w:pPr>
      <w:jc w:val="center"/>
      <w:rPr>
        <w:rFonts w:ascii="Times New Roman" w:hAnsi="Times New Roman" w:eastAsia="Calibri"/>
        <w:i/>
        <w:sz w:val="18"/>
        <w:szCs w:val="22"/>
      </w:rPr>
    </w:pPr>
    <w:r>
      <w:rPr>
        <w:rFonts w:ascii="Times New Roman" w:hAnsi="Times New Roman" w:eastAsia="Calibri"/>
        <w:i/>
        <w:sz w:val="18"/>
        <w:szCs w:val="22"/>
      </w:rPr>
      <w:t>.</w:t>
    </w:r>
  </w:p>
  <w:p w14:paraId="2A84B29A">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3FC47BD6">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6FCF9BED">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0A9DD57A">
    <w:pPr>
      <w:pStyle w:val="16"/>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E58A6"/>
    <w:multiLevelType w:val="multilevel"/>
    <w:tmpl w:val="349E58A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B2D5C24"/>
    <w:multiLevelType w:val="multilevel"/>
    <w:tmpl w:val="6B2D5C2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1604DCD"/>
    <w:multiLevelType w:val="singleLevel"/>
    <w:tmpl w:val="71604DCD"/>
    <w:lvl w:ilvl="0" w:tentative="0">
      <w:start w:val="1"/>
      <w:numFmt w:val="decimal"/>
      <w:pStyle w:val="37"/>
      <w:lvlText w:val="%1."/>
      <w:lvlJc w:val="left"/>
      <w:pPr>
        <w:tabs>
          <w:tab w:val="left" w:pos="360"/>
        </w:tabs>
        <w:ind w:left="360" w:hanging="360"/>
      </w:pPr>
    </w:lvl>
  </w:abstractNum>
  <w:abstractNum w:abstractNumId="3">
    <w:nsid w:val="7A6F4BC3"/>
    <w:multiLevelType w:val="multilevel"/>
    <w:tmpl w:val="7A6F4B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A1MzQytTS2MDEytDBU0lEKTi0uzszPAykwqgUAxEJnoywAAAA="/>
  </w:docVars>
  <w:rsids>
    <w:rsidRoot w:val="00AA6219"/>
    <w:rsid w:val="00000F8F"/>
    <w:rsid w:val="00030174"/>
    <w:rsid w:val="00031D72"/>
    <w:rsid w:val="0004579C"/>
    <w:rsid w:val="00061BD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1272"/>
    <w:rsid w:val="001A29D8"/>
    <w:rsid w:val="001A5CAA"/>
    <w:rsid w:val="001B0427"/>
    <w:rsid w:val="001D3A51"/>
    <w:rsid w:val="001E10D2"/>
    <w:rsid w:val="001E25B4"/>
    <w:rsid w:val="001E44FE"/>
    <w:rsid w:val="00200595"/>
    <w:rsid w:val="00204835"/>
    <w:rsid w:val="002121BC"/>
    <w:rsid w:val="00231920"/>
    <w:rsid w:val="0023195C"/>
    <w:rsid w:val="0024282C"/>
    <w:rsid w:val="002460DC"/>
    <w:rsid w:val="00250985"/>
    <w:rsid w:val="002556F6"/>
    <w:rsid w:val="00276ED5"/>
    <w:rsid w:val="00283105"/>
    <w:rsid w:val="00284C4C"/>
    <w:rsid w:val="00287E68"/>
    <w:rsid w:val="00290FCD"/>
    <w:rsid w:val="00296529"/>
    <w:rsid w:val="002B27FB"/>
    <w:rsid w:val="002B685A"/>
    <w:rsid w:val="002C4295"/>
    <w:rsid w:val="002C57D2"/>
    <w:rsid w:val="002D212D"/>
    <w:rsid w:val="002E0D56"/>
    <w:rsid w:val="00315186"/>
    <w:rsid w:val="0033343E"/>
    <w:rsid w:val="003512C2"/>
    <w:rsid w:val="00371FB6"/>
    <w:rsid w:val="003763C1"/>
    <w:rsid w:val="00376BBE"/>
    <w:rsid w:val="0039224F"/>
    <w:rsid w:val="003923FF"/>
    <w:rsid w:val="003A2627"/>
    <w:rsid w:val="003A43A4"/>
    <w:rsid w:val="003A7E18"/>
    <w:rsid w:val="003C4C86"/>
    <w:rsid w:val="003C6258"/>
    <w:rsid w:val="003E2904"/>
    <w:rsid w:val="00401927"/>
    <w:rsid w:val="0041027F"/>
    <w:rsid w:val="00410A9A"/>
    <w:rsid w:val="00412475"/>
    <w:rsid w:val="00415D97"/>
    <w:rsid w:val="00423789"/>
    <w:rsid w:val="00440F43"/>
    <w:rsid w:val="00441B6F"/>
    <w:rsid w:val="00446221"/>
    <w:rsid w:val="00450E62"/>
    <w:rsid w:val="004539DB"/>
    <w:rsid w:val="00471A80"/>
    <w:rsid w:val="004B0614"/>
    <w:rsid w:val="004B601E"/>
    <w:rsid w:val="004C1C5A"/>
    <w:rsid w:val="004D305E"/>
    <w:rsid w:val="004D4277"/>
    <w:rsid w:val="00502516"/>
    <w:rsid w:val="00505F06"/>
    <w:rsid w:val="00506828"/>
    <w:rsid w:val="0053056E"/>
    <w:rsid w:val="00554FDA"/>
    <w:rsid w:val="005B4A2B"/>
    <w:rsid w:val="005C784C"/>
    <w:rsid w:val="005D17F6"/>
    <w:rsid w:val="005E5539"/>
    <w:rsid w:val="00602BF5"/>
    <w:rsid w:val="00617FDD"/>
    <w:rsid w:val="00633614"/>
    <w:rsid w:val="00633F68"/>
    <w:rsid w:val="00636EB2"/>
    <w:rsid w:val="006375B8"/>
    <w:rsid w:val="0066510A"/>
    <w:rsid w:val="00673F9F"/>
    <w:rsid w:val="006807A2"/>
    <w:rsid w:val="00686953"/>
    <w:rsid w:val="00687DEA"/>
    <w:rsid w:val="00687E67"/>
    <w:rsid w:val="006967F7"/>
    <w:rsid w:val="006A250C"/>
    <w:rsid w:val="006B21D3"/>
    <w:rsid w:val="006B57D0"/>
    <w:rsid w:val="006D30FF"/>
    <w:rsid w:val="006D6940"/>
    <w:rsid w:val="006F11EC"/>
    <w:rsid w:val="0070082C"/>
    <w:rsid w:val="007369E6"/>
    <w:rsid w:val="00745AC7"/>
    <w:rsid w:val="00746E59"/>
    <w:rsid w:val="00754C9A"/>
    <w:rsid w:val="0075599A"/>
    <w:rsid w:val="00761D52"/>
    <w:rsid w:val="0077749E"/>
    <w:rsid w:val="00790ADA"/>
    <w:rsid w:val="007C5616"/>
    <w:rsid w:val="007D2288"/>
    <w:rsid w:val="007E088F"/>
    <w:rsid w:val="007F7B32"/>
    <w:rsid w:val="00804BC2"/>
    <w:rsid w:val="008069A7"/>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2785"/>
    <w:rsid w:val="00983040"/>
    <w:rsid w:val="009B23A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D3B"/>
    <w:rsid w:val="00A94063"/>
    <w:rsid w:val="00AA2E70"/>
    <w:rsid w:val="00AA3998"/>
    <w:rsid w:val="00AA6219"/>
    <w:rsid w:val="00AA74E0"/>
    <w:rsid w:val="00AB703F"/>
    <w:rsid w:val="00AC6BB8"/>
    <w:rsid w:val="00AE008F"/>
    <w:rsid w:val="00AF21B1"/>
    <w:rsid w:val="00B01FCD"/>
    <w:rsid w:val="00B1776C"/>
    <w:rsid w:val="00B50E5C"/>
    <w:rsid w:val="00B52583"/>
    <w:rsid w:val="00B52896"/>
    <w:rsid w:val="00B95236"/>
    <w:rsid w:val="00B96BD9"/>
    <w:rsid w:val="00BA1B01"/>
    <w:rsid w:val="00BA2641"/>
    <w:rsid w:val="00BB37AA"/>
    <w:rsid w:val="00BC53A0"/>
    <w:rsid w:val="00BD29A0"/>
    <w:rsid w:val="00BE62AD"/>
    <w:rsid w:val="00BF121F"/>
    <w:rsid w:val="00BF1F80"/>
    <w:rsid w:val="00C166EF"/>
    <w:rsid w:val="00C17EB0"/>
    <w:rsid w:val="00C27F5F"/>
    <w:rsid w:val="00C30A0F"/>
    <w:rsid w:val="00C36CD8"/>
    <w:rsid w:val="00C37E61"/>
    <w:rsid w:val="00C63F5C"/>
    <w:rsid w:val="00C70F1B"/>
    <w:rsid w:val="00C71A47"/>
    <w:rsid w:val="00C7464C"/>
    <w:rsid w:val="00C85588"/>
    <w:rsid w:val="00CA156C"/>
    <w:rsid w:val="00CD6755"/>
    <w:rsid w:val="00CD6856"/>
    <w:rsid w:val="00CE0089"/>
    <w:rsid w:val="00CE793C"/>
    <w:rsid w:val="00CF193C"/>
    <w:rsid w:val="00D03639"/>
    <w:rsid w:val="00D173F1"/>
    <w:rsid w:val="00D74CB0"/>
    <w:rsid w:val="00D8295D"/>
    <w:rsid w:val="00D90FC5"/>
    <w:rsid w:val="00DC2A65"/>
    <w:rsid w:val="00DE15F0"/>
    <w:rsid w:val="00DE5663"/>
    <w:rsid w:val="00DE78AA"/>
    <w:rsid w:val="00E053D0"/>
    <w:rsid w:val="00E15994"/>
    <w:rsid w:val="00E3114E"/>
    <w:rsid w:val="00E31A70"/>
    <w:rsid w:val="00E35B02"/>
    <w:rsid w:val="00E66496"/>
    <w:rsid w:val="00E66B35"/>
    <w:rsid w:val="00E66E10"/>
    <w:rsid w:val="00E769F6"/>
    <w:rsid w:val="00E81388"/>
    <w:rsid w:val="00E8407C"/>
    <w:rsid w:val="00E84F3C"/>
    <w:rsid w:val="00EA012C"/>
    <w:rsid w:val="00EC6A55"/>
    <w:rsid w:val="00ED0288"/>
    <w:rsid w:val="00ED0E8C"/>
    <w:rsid w:val="00EE52CB"/>
    <w:rsid w:val="00EF2F86"/>
    <w:rsid w:val="00EF457C"/>
    <w:rsid w:val="00EF581D"/>
    <w:rsid w:val="00EF7FD8"/>
    <w:rsid w:val="00F06F59"/>
    <w:rsid w:val="00F17988"/>
    <w:rsid w:val="00F469F0"/>
    <w:rsid w:val="00F53273"/>
    <w:rsid w:val="00F6722B"/>
    <w:rsid w:val="00F755E4"/>
    <w:rsid w:val="00F77D02"/>
    <w:rsid w:val="00FB3A86"/>
    <w:rsid w:val="00FD36C8"/>
    <w:rsid w:val="00FF2CB9"/>
    <w:rsid w:val="09BB2645"/>
    <w:rsid w:val="1A20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link w:val="72"/>
    <w:semiHidden/>
    <w:unhideWhenUsed/>
    <w:qFormat/>
    <w:uiPriority w:val="0"/>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68"/>
    <w:semiHidden/>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65"/>
    <w:qFormat/>
    <w:uiPriority w:val="0"/>
    <w:rPr>
      <w:rFonts w:ascii="Tahoma" w:hAnsi="Tahoma" w:cs="Tahoma"/>
      <w:sz w:val="16"/>
      <w:szCs w:val="16"/>
    </w:rPr>
  </w:style>
  <w:style w:type="paragraph" w:styleId="8">
    <w:name w:val="Body Text 2"/>
    <w:basedOn w:val="1"/>
    <w:link w:val="63"/>
    <w:qFormat/>
    <w:uiPriority w:val="0"/>
    <w:pPr>
      <w:spacing w:after="120" w:line="480" w:lineRule="auto"/>
    </w:pPr>
  </w:style>
  <w:style w:type="paragraph" w:styleId="9">
    <w:name w:val="Body Text 3"/>
    <w:basedOn w:val="1"/>
    <w:link w:val="66"/>
    <w:qFormat/>
    <w:uiPriority w:val="0"/>
    <w:pPr>
      <w:spacing w:after="120"/>
    </w:pPr>
    <w:rPr>
      <w:sz w:val="16"/>
      <w:szCs w:val="16"/>
    </w:rPr>
  </w:style>
  <w:style w:type="paragraph" w:styleId="10">
    <w:name w:val="caption"/>
    <w:basedOn w:val="1"/>
    <w:next w:val="1"/>
    <w:autoRedefine/>
    <w:qFormat/>
    <w:uiPriority w:val="35"/>
    <w:pPr>
      <w:jc w:val="both"/>
    </w:pPr>
    <w:rPr>
      <w:rFonts w:ascii="Arial" w:hAnsi="Arial" w:eastAsia="Calibri" w:cs="Arial"/>
      <w:b/>
      <w:bCs/>
      <w:lang w:eastAsia="en-GB"/>
    </w:rPr>
  </w:style>
  <w:style w:type="character" w:styleId="11">
    <w:name w:val="annotation reference"/>
    <w:basedOn w:val="5"/>
    <w:unhideWhenUsed/>
    <w:qFormat/>
    <w:uiPriority w:val="99"/>
    <w:rPr>
      <w:sz w:val="16"/>
      <w:szCs w:val="16"/>
    </w:rPr>
  </w:style>
  <w:style w:type="paragraph" w:styleId="12">
    <w:name w:val="annotation text"/>
    <w:basedOn w:val="1"/>
    <w:link w:val="64"/>
    <w:unhideWhenUsed/>
    <w:qFormat/>
    <w:uiPriority w:val="99"/>
    <w:rPr>
      <w:rFonts w:ascii="Times New Roman" w:hAnsi="Times New Roman"/>
      <w:lang w:val="nb-NO" w:eastAsia="nb-NO"/>
    </w:rPr>
  </w:style>
  <w:style w:type="character" w:styleId="13">
    <w:name w:val="Emphasis"/>
    <w:basedOn w:val="5"/>
    <w:qFormat/>
    <w:uiPriority w:val="20"/>
    <w:rPr>
      <w:i/>
      <w:iCs/>
    </w:rPr>
  </w:style>
  <w:style w:type="character" w:styleId="14">
    <w:name w:val="FollowedHyperlink"/>
    <w:basedOn w:val="5"/>
    <w:qFormat/>
    <w:uiPriority w:val="0"/>
    <w:rPr>
      <w:color w:val="800080"/>
      <w:u w:val="single"/>
    </w:rPr>
  </w:style>
  <w:style w:type="paragraph" w:styleId="15">
    <w:name w:val="footer"/>
    <w:basedOn w:val="1"/>
    <w:qFormat/>
    <w:uiPriority w:val="0"/>
    <w:pPr>
      <w:tabs>
        <w:tab w:val="center" w:pos="4320"/>
        <w:tab w:val="right" w:pos="8640"/>
      </w:tabs>
    </w:pPr>
  </w:style>
  <w:style w:type="paragraph" w:styleId="16">
    <w:name w:val="header"/>
    <w:basedOn w:val="1"/>
    <w:qFormat/>
    <w:uiPriority w:val="0"/>
    <w:pPr>
      <w:tabs>
        <w:tab w:val="center" w:pos="4320"/>
        <w:tab w:val="right" w:pos="8640"/>
      </w:tabs>
    </w:pPr>
  </w:style>
  <w:style w:type="character" w:styleId="17">
    <w:name w:val="Hyperlink"/>
    <w:basedOn w:val="5"/>
    <w:qFormat/>
    <w:uiPriority w:val="0"/>
    <w:rPr>
      <w:color w:val="FF0080"/>
      <w:u w:val="single"/>
    </w:rPr>
  </w:style>
  <w:style w:type="character" w:styleId="18">
    <w:name w:val="line number"/>
    <w:basedOn w:val="5"/>
    <w:qFormat/>
    <w:uiPriority w:val="0"/>
  </w:style>
  <w:style w:type="paragraph" w:styleId="19">
    <w:name w:val="Normal (Web)"/>
    <w:basedOn w:val="1"/>
    <w:unhideWhenUsed/>
    <w:qFormat/>
    <w:uiPriority w:val="99"/>
    <w:pPr>
      <w:spacing w:before="100" w:beforeAutospacing="1" w:after="100" w:afterAutospacing="1"/>
    </w:pPr>
    <w:rPr>
      <w:rFonts w:ascii="Times New Roman" w:hAnsi="Times New Roman"/>
      <w:sz w:val="24"/>
      <w:szCs w:val="24"/>
    </w:rPr>
  </w:style>
  <w:style w:type="paragraph" w:styleId="20">
    <w:name w:val="Signature"/>
    <w:basedOn w:val="1"/>
    <w:qFormat/>
    <w:uiPriority w:val="0"/>
    <w:pPr>
      <w:ind w:left="4320"/>
    </w:pPr>
  </w:style>
  <w:style w:type="character" w:styleId="21">
    <w:name w:val="Strong"/>
    <w:qFormat/>
    <w:uiPriority w:val="22"/>
    <w:rPr>
      <w:b/>
      <w:bCs/>
    </w:rPr>
  </w:style>
  <w:style w:type="table" w:styleId="22">
    <w:name w:val="Table Grid"/>
    <w:basedOn w:val="6"/>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3">
    <w:name w:val="Title"/>
    <w:basedOn w:val="1"/>
    <w:qFormat/>
    <w:uiPriority w:val="0"/>
    <w:pPr>
      <w:spacing w:after="360"/>
      <w:jc w:val="right"/>
    </w:pPr>
    <w:rPr>
      <w:b/>
      <w:kern w:val="28"/>
      <w:sz w:val="36"/>
    </w:rPr>
  </w:style>
  <w:style w:type="paragraph" w:customStyle="1" w:styleId="24">
    <w:name w:val="Author"/>
    <w:basedOn w:val="1"/>
    <w:uiPriority w:val="0"/>
    <w:pPr>
      <w:spacing w:line="280" w:lineRule="exact"/>
      <w:jc w:val="right"/>
    </w:pPr>
    <w:rPr>
      <w:b/>
      <w:sz w:val="24"/>
    </w:rPr>
  </w:style>
  <w:style w:type="paragraph" w:customStyle="1" w:styleId="25">
    <w:name w:val="Affiliation"/>
    <w:basedOn w:val="1"/>
    <w:qFormat/>
    <w:uiPriority w:val="0"/>
    <w:pPr>
      <w:spacing w:after="240" w:line="240" w:lineRule="exact"/>
      <w:jc w:val="right"/>
    </w:pPr>
  </w:style>
  <w:style w:type="paragraph" w:customStyle="1" w:styleId="26">
    <w:name w:val="Body"/>
    <w:basedOn w:val="1"/>
    <w:qFormat/>
    <w:uiPriority w:val="0"/>
    <w:pPr>
      <w:spacing w:after="240"/>
      <w:jc w:val="both"/>
    </w:pPr>
  </w:style>
  <w:style w:type="paragraph" w:customStyle="1" w:styleId="27">
    <w:name w:val="Abst Head"/>
    <w:basedOn w:val="28"/>
    <w:qFormat/>
    <w:uiPriority w:val="0"/>
    <w:rPr>
      <w:sz w:val="22"/>
    </w:rPr>
  </w:style>
  <w:style w:type="paragraph" w:customStyle="1" w:styleId="28">
    <w:name w:val="Main Head"/>
    <w:basedOn w:val="1"/>
    <w:qFormat/>
    <w:uiPriority w:val="0"/>
    <w:pPr>
      <w:keepNext/>
      <w:spacing w:after="240"/>
    </w:pPr>
    <w:rPr>
      <w:b/>
      <w:caps/>
    </w:rPr>
  </w:style>
  <w:style w:type="paragraph" w:customStyle="1" w:styleId="29">
    <w:name w:val="Intro Head"/>
    <w:basedOn w:val="28"/>
    <w:qFormat/>
    <w:uiPriority w:val="0"/>
    <w:rPr>
      <w:sz w:val="22"/>
    </w:rPr>
  </w:style>
  <w:style w:type="paragraph" w:customStyle="1" w:styleId="30">
    <w:name w:val="Paper Number"/>
    <w:basedOn w:val="1"/>
    <w:qFormat/>
    <w:uiPriority w:val="0"/>
    <w:pPr>
      <w:spacing w:after="280" w:line="280" w:lineRule="exact"/>
      <w:jc w:val="right"/>
    </w:pPr>
    <w:rPr>
      <w:b/>
      <w:sz w:val="28"/>
    </w:rPr>
  </w:style>
  <w:style w:type="paragraph" w:customStyle="1" w:styleId="31">
    <w:name w:val="Conc Head"/>
    <w:basedOn w:val="28"/>
    <w:qFormat/>
    <w:uiPriority w:val="0"/>
    <w:rPr>
      <w:sz w:val="22"/>
    </w:rPr>
  </w:style>
  <w:style w:type="paragraph" w:customStyle="1" w:styleId="32">
    <w:name w:val="Ackn Head"/>
    <w:basedOn w:val="28"/>
    <w:qFormat/>
    <w:uiPriority w:val="0"/>
    <w:rPr>
      <w:sz w:val="22"/>
    </w:rPr>
  </w:style>
  <w:style w:type="paragraph" w:customStyle="1" w:styleId="33">
    <w:name w:val="Refer Head"/>
    <w:basedOn w:val="28"/>
    <w:qFormat/>
    <w:uiPriority w:val="0"/>
    <w:rPr>
      <w:sz w:val="22"/>
    </w:rPr>
  </w:style>
  <w:style w:type="paragraph" w:customStyle="1" w:styleId="34">
    <w:name w:val="AddSrc Head"/>
    <w:basedOn w:val="28"/>
    <w:qFormat/>
    <w:uiPriority w:val="0"/>
    <w:rPr>
      <w:sz w:val="22"/>
    </w:rPr>
  </w:style>
  <w:style w:type="paragraph" w:customStyle="1" w:styleId="35">
    <w:name w:val="DefAcrHead"/>
    <w:basedOn w:val="28"/>
    <w:qFormat/>
    <w:uiPriority w:val="0"/>
    <w:rPr>
      <w:sz w:val="22"/>
    </w:rPr>
  </w:style>
  <w:style w:type="paragraph" w:customStyle="1" w:styleId="36">
    <w:name w:val="Copyright"/>
    <w:basedOn w:val="1"/>
    <w:qFormat/>
    <w:uiPriority w:val="0"/>
    <w:pPr>
      <w:spacing w:after="960" w:line="200" w:lineRule="exact"/>
    </w:pPr>
    <w:rPr>
      <w:sz w:val="16"/>
    </w:rPr>
  </w:style>
  <w:style w:type="paragraph" w:customStyle="1" w:styleId="37">
    <w:name w:val="Reference"/>
    <w:basedOn w:val="26"/>
    <w:qFormat/>
    <w:uiPriority w:val="0"/>
    <w:pPr>
      <w:numPr>
        <w:ilvl w:val="0"/>
        <w:numId w:val="1"/>
      </w:numPr>
      <w:spacing w:after="0" w:line="240" w:lineRule="exact"/>
    </w:pPr>
  </w:style>
  <w:style w:type="paragraph" w:customStyle="1" w:styleId="38">
    <w:name w:val="Head1"/>
    <w:basedOn w:val="28"/>
    <w:qFormat/>
    <w:uiPriority w:val="0"/>
    <w:rPr>
      <w:sz w:val="22"/>
    </w:rPr>
  </w:style>
  <w:style w:type="paragraph" w:customStyle="1" w:styleId="39">
    <w:name w:val="Contact Head"/>
    <w:basedOn w:val="28"/>
    <w:qFormat/>
    <w:uiPriority w:val="0"/>
    <w:rPr>
      <w:sz w:val="22"/>
    </w:rPr>
  </w:style>
  <w:style w:type="paragraph" w:customStyle="1" w:styleId="40">
    <w:name w:val="Head3"/>
    <w:basedOn w:val="41"/>
    <w:qFormat/>
    <w:uiPriority w:val="0"/>
    <w:rPr>
      <w:caps w:val="0"/>
      <w:u w:val="single"/>
    </w:rPr>
  </w:style>
  <w:style w:type="paragraph" w:customStyle="1" w:styleId="41">
    <w:name w:val="Head2"/>
    <w:basedOn w:val="1"/>
    <w:next w:val="26"/>
    <w:qFormat/>
    <w:uiPriority w:val="0"/>
    <w:pPr>
      <w:keepNext/>
      <w:spacing w:after="240"/>
    </w:pPr>
    <w:rPr>
      <w:caps/>
    </w:rPr>
  </w:style>
  <w:style w:type="paragraph" w:customStyle="1" w:styleId="42">
    <w:name w:val="Head4"/>
    <w:basedOn w:val="40"/>
    <w:qFormat/>
    <w:uiPriority w:val="0"/>
    <w:rPr>
      <w:u w:val="none"/>
    </w:rPr>
  </w:style>
  <w:style w:type="paragraph" w:customStyle="1" w:styleId="43">
    <w:name w:val="Unord List"/>
    <w:basedOn w:val="26"/>
    <w:qFormat/>
    <w:uiPriority w:val="0"/>
    <w:pPr>
      <w:spacing w:after="0"/>
      <w:ind w:left="360" w:hanging="360"/>
    </w:pPr>
  </w:style>
  <w:style w:type="paragraph" w:customStyle="1" w:styleId="44">
    <w:name w:val="Ord List"/>
    <w:basedOn w:val="43"/>
    <w:qFormat/>
    <w:uiPriority w:val="0"/>
    <w:pPr>
      <w:jc w:val="left"/>
    </w:pPr>
  </w:style>
  <w:style w:type="paragraph" w:customStyle="1" w:styleId="45">
    <w:name w:val="Appendix"/>
    <w:basedOn w:val="28"/>
    <w:qFormat/>
    <w:uiPriority w:val="0"/>
    <w:rPr>
      <w:sz w:val="22"/>
    </w:rPr>
  </w:style>
  <w:style w:type="paragraph" w:customStyle="1" w:styleId="46">
    <w:name w:val="Term"/>
    <w:basedOn w:val="26"/>
    <w:qFormat/>
    <w:uiPriority w:val="0"/>
    <w:pPr>
      <w:spacing w:after="0"/>
    </w:pPr>
    <w:rPr>
      <w:b/>
    </w:rPr>
  </w:style>
  <w:style w:type="paragraph" w:customStyle="1" w:styleId="47">
    <w:name w:val="Definition"/>
    <w:basedOn w:val="26"/>
    <w:qFormat/>
    <w:uiPriority w:val="0"/>
  </w:style>
  <w:style w:type="character" w:customStyle="1" w:styleId="48">
    <w:name w:val="Bold"/>
    <w:qFormat/>
    <w:uiPriority w:val="0"/>
    <w:rPr>
      <w:b/>
    </w:rPr>
  </w:style>
  <w:style w:type="character" w:customStyle="1" w:styleId="49">
    <w:name w:val="Italic"/>
    <w:qFormat/>
    <w:uiPriority w:val="0"/>
    <w:rPr>
      <w:i/>
    </w:rPr>
  </w:style>
  <w:style w:type="character" w:customStyle="1" w:styleId="50">
    <w:name w:val="Underline"/>
    <w:qFormat/>
    <w:uiPriority w:val="0"/>
    <w:rPr>
      <w:u w:val="single"/>
    </w:rPr>
  </w:style>
  <w:style w:type="paragraph" w:customStyle="1" w:styleId="51">
    <w:name w:val="Equation"/>
    <w:basedOn w:val="26"/>
    <w:qFormat/>
    <w:uiPriority w:val="0"/>
  </w:style>
  <w:style w:type="paragraph" w:customStyle="1" w:styleId="52">
    <w:name w:val="Figure"/>
    <w:basedOn w:val="36"/>
    <w:qFormat/>
    <w:uiPriority w:val="0"/>
    <w:pPr>
      <w:spacing w:after="240"/>
    </w:pPr>
    <w:rPr>
      <w:sz w:val="20"/>
    </w:rPr>
  </w:style>
  <w:style w:type="paragraph" w:customStyle="1" w:styleId="53">
    <w:name w:val="Head 4"/>
    <w:basedOn w:val="40"/>
    <w:qFormat/>
    <w:uiPriority w:val="0"/>
    <w:rPr>
      <w:u w:val="none"/>
    </w:rPr>
  </w:style>
  <w:style w:type="paragraph" w:customStyle="1" w:styleId="54">
    <w:name w:val="Paper"/>
    <w:basedOn w:val="1"/>
    <w:qFormat/>
    <w:uiPriority w:val="0"/>
    <w:pPr>
      <w:spacing w:after="360" w:line="440" w:lineRule="exact"/>
      <w:jc w:val="right"/>
    </w:pPr>
    <w:rPr>
      <w:b/>
      <w:sz w:val="36"/>
    </w:rPr>
  </w:style>
  <w:style w:type="character" w:customStyle="1" w:styleId="55">
    <w:name w:val="Subscript"/>
    <w:qFormat/>
    <w:uiPriority w:val="0"/>
    <w:rPr>
      <w:vertAlign w:val="subscript"/>
    </w:rPr>
  </w:style>
  <w:style w:type="character" w:customStyle="1" w:styleId="56">
    <w:name w:val="Superscript"/>
    <w:qFormat/>
    <w:uiPriority w:val="0"/>
    <w:rPr>
      <w:vertAlign w:val="superscript"/>
    </w:rPr>
  </w:style>
  <w:style w:type="character" w:customStyle="1" w:styleId="57">
    <w:name w:val="Symbol"/>
    <w:qFormat/>
    <w:uiPriority w:val="0"/>
    <w:rPr>
      <w:rFonts w:ascii="Symbol" w:hAnsi="Symbol"/>
    </w:rPr>
  </w:style>
  <w:style w:type="paragraph" w:customStyle="1" w:styleId="58">
    <w:name w:val="Symbol P"/>
    <w:basedOn w:val="26"/>
    <w:qFormat/>
    <w:uiPriority w:val="0"/>
    <w:pPr>
      <w:tabs>
        <w:tab w:val="left" w:pos="720"/>
        <w:tab w:val="left" w:pos="3780"/>
      </w:tabs>
      <w:spacing w:after="0"/>
    </w:pPr>
    <w:rPr>
      <w:sz w:val="24"/>
    </w:rPr>
  </w:style>
  <w:style w:type="character" w:customStyle="1" w:styleId="59">
    <w:name w:val="BoldItal"/>
    <w:basedOn w:val="5"/>
    <w:qFormat/>
    <w:uiPriority w:val="0"/>
    <w:rPr>
      <w:b/>
      <w:i/>
    </w:rPr>
  </w:style>
  <w:style w:type="character" w:customStyle="1" w:styleId="60">
    <w:name w:val="SubItal"/>
    <w:qFormat/>
    <w:uiPriority w:val="0"/>
    <w:rPr>
      <w:i/>
      <w:vertAlign w:val="subscript"/>
    </w:rPr>
  </w:style>
  <w:style w:type="character" w:customStyle="1" w:styleId="61">
    <w:name w:val="SuperItal"/>
    <w:qFormat/>
    <w:uiPriority w:val="0"/>
    <w:rPr>
      <w:i/>
      <w:vertAlign w:val="superscript"/>
    </w:rPr>
  </w:style>
  <w:style w:type="character" w:customStyle="1" w:styleId="62">
    <w:name w:val="SymItal"/>
    <w:qFormat/>
    <w:uiPriority w:val="0"/>
    <w:rPr>
      <w:rFonts w:ascii="Symbol" w:hAnsi="Symbol"/>
      <w:i/>
    </w:rPr>
  </w:style>
  <w:style w:type="character" w:customStyle="1" w:styleId="63">
    <w:name w:val="Body Text 2 Char"/>
    <w:basedOn w:val="5"/>
    <w:link w:val="8"/>
    <w:qFormat/>
    <w:uiPriority w:val="0"/>
    <w:rPr>
      <w:rFonts w:ascii="Helvetica" w:hAnsi="Helvetica"/>
    </w:rPr>
  </w:style>
  <w:style w:type="character" w:customStyle="1" w:styleId="64">
    <w:name w:val="Comment Text Char"/>
    <w:basedOn w:val="5"/>
    <w:link w:val="12"/>
    <w:qFormat/>
    <w:uiPriority w:val="99"/>
    <w:rPr>
      <w:lang w:val="nb-NO" w:eastAsia="nb-NO"/>
    </w:rPr>
  </w:style>
  <w:style w:type="character" w:customStyle="1" w:styleId="65">
    <w:name w:val="Balloon Text Char"/>
    <w:basedOn w:val="5"/>
    <w:link w:val="7"/>
    <w:qFormat/>
    <w:uiPriority w:val="0"/>
    <w:rPr>
      <w:rFonts w:ascii="Tahoma" w:hAnsi="Tahoma" w:cs="Tahoma"/>
      <w:sz w:val="16"/>
      <w:szCs w:val="16"/>
    </w:rPr>
  </w:style>
  <w:style w:type="character" w:customStyle="1" w:styleId="66">
    <w:name w:val="Body Text 3 Char"/>
    <w:basedOn w:val="5"/>
    <w:link w:val="9"/>
    <w:qFormat/>
    <w:uiPriority w:val="0"/>
    <w:rPr>
      <w:rFonts w:ascii="Helvetica" w:hAnsi="Helvetica"/>
      <w:sz w:val="16"/>
      <w:szCs w:val="16"/>
    </w:rPr>
  </w:style>
  <w:style w:type="character" w:customStyle="1" w:styleId="67">
    <w:name w:val="Unresolved Mention1"/>
    <w:basedOn w:val="5"/>
    <w:semiHidden/>
    <w:unhideWhenUsed/>
    <w:qFormat/>
    <w:uiPriority w:val="99"/>
    <w:rPr>
      <w:color w:val="605E5C"/>
      <w:shd w:val="clear" w:color="auto" w:fill="E1DFDD"/>
    </w:rPr>
  </w:style>
  <w:style w:type="character" w:customStyle="1" w:styleId="68">
    <w:name w:val="Heading 3 Char"/>
    <w:basedOn w:val="5"/>
    <w:link w:val="4"/>
    <w:semiHidden/>
    <w:qFormat/>
    <w:uiPriority w:val="0"/>
    <w:rPr>
      <w:rFonts w:asciiTheme="majorHAnsi" w:hAnsiTheme="majorHAnsi" w:eastAsiaTheme="majorEastAsia" w:cstheme="majorBidi"/>
      <w:color w:val="254061" w:themeColor="accent1" w:themeShade="80"/>
      <w:sz w:val="24"/>
      <w:szCs w:val="24"/>
    </w:rPr>
  </w:style>
  <w:style w:type="paragraph" w:styleId="69">
    <w:name w:val="List Paragraph"/>
    <w:basedOn w:val="1"/>
    <w:qFormat/>
    <w:uiPriority w:val="34"/>
    <w:pPr>
      <w:spacing w:after="160" w:line="278" w:lineRule="auto"/>
      <w:ind w:left="720"/>
      <w:contextualSpacing/>
    </w:pPr>
    <w:rPr>
      <w:rFonts w:ascii="Calibri" w:hAnsi="Calibri" w:eastAsia="Calibri"/>
      <w:kern w:val="2"/>
      <w:sz w:val="24"/>
      <w:szCs w:val="24"/>
      <w:lang w:val="en-GB"/>
    </w:rPr>
  </w:style>
  <w:style w:type="character" w:customStyle="1" w:styleId="70">
    <w:name w:val="Unresolved Mention"/>
    <w:basedOn w:val="5"/>
    <w:semiHidden/>
    <w:unhideWhenUsed/>
    <w:uiPriority w:val="99"/>
    <w:rPr>
      <w:color w:val="605E5C"/>
      <w:shd w:val="clear" w:color="auto" w:fill="E1DFDD"/>
    </w:rPr>
  </w:style>
  <w:style w:type="paragraph" w:styleId="71">
    <w:name w:val="No Spacing"/>
    <w:qFormat/>
    <w:uiPriority w:val="1"/>
    <w:rPr>
      <w:rFonts w:asciiTheme="minorHAnsi" w:hAnsiTheme="minorHAnsi" w:eastAsiaTheme="minorHAnsi" w:cstheme="minorBidi"/>
      <w:sz w:val="22"/>
      <w:szCs w:val="22"/>
      <w:lang w:val="en-GB" w:eastAsia="en-US" w:bidi="ar-SA"/>
    </w:rPr>
  </w:style>
  <w:style w:type="character" w:customStyle="1" w:styleId="72">
    <w:name w:val="Heading 2 Char"/>
    <w:basedOn w:val="5"/>
    <w:link w:val="3"/>
    <w:semiHidden/>
    <w:uiPriority w:val="0"/>
    <w:rPr>
      <w:rFonts w:asciiTheme="majorHAnsi" w:hAnsiTheme="majorHAnsi" w:eastAsiaTheme="majorEastAsia" w:cstheme="majorBidi"/>
      <w:color w:val="376092" w:themeColor="accent1" w:themeShade="BF"/>
      <w:sz w:val="26"/>
      <w:szCs w:val="26"/>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A5D30-DC12-4603-9EFD-1826CA2EB266}">
  <ds:schemaRefs/>
</ds:datastoreItem>
</file>

<file path=docProps/app.xml><?xml version="1.0" encoding="utf-8"?>
<Properties xmlns="http://schemas.openxmlformats.org/officeDocument/2006/extended-properties" xmlns:vt="http://schemas.openxmlformats.org/officeDocument/2006/docPropsVTypes">
  <Template>2007 paper template.dot</Template>
  <Company>aaaa</Company>
  <Pages>13</Pages>
  <Words>2490</Words>
  <Characters>16559</Characters>
  <Lines>291</Lines>
  <Paragraphs>82</Paragraphs>
  <TotalTime>1</TotalTime>
  <ScaleCrop>false</ScaleCrop>
  <LinksUpToDate>false</LinksUpToDate>
  <CharactersWithSpaces>19028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2026-04-21T09:44:00Z</dcterms:created>
  <dc:creator>SDI</dc:creator>
  <cp:lastModifiedBy>Peninnah</cp:lastModifiedBy>
  <cp:lastPrinted>1999-07-06T11:00:00Z</cp:lastPrinted>
  <dcterms:modified xsi:type="dcterms:W3CDTF">2026-04-21T14:47:15Z</dcterms:modified>
  <dc:title>Paper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eyJoZGlkIjoiOTM0ODJmMjQ2MjcxYTBhMDYzMDQ3YmZmNTUxZGRmMTQiLCJ1c2VySWQiOiIxNDk5ODY2MTM5Mzk1MiJ9</vt:lpwstr>
  </property>
  <property fmtid="{D5CDD505-2E9C-101B-9397-08002B2CF9AE}" pid="3" name="KSOProductBuildVer">
    <vt:lpwstr>1033-12.1.0.25242</vt:lpwstr>
  </property>
  <property fmtid="{D5CDD505-2E9C-101B-9397-08002B2CF9AE}" pid="4" name="ICV">
    <vt:lpwstr>3EEE9053A9934A35AF9C084DBC26BA0C_13</vt:lpwstr>
  </property>
</Properties>
</file>