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BAF63" w14:textId="77777777" w:rsidR="00C72795"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Study of Agglomeration Methods of Limestone Water </w:t>
      </w:r>
    </w:p>
    <w:p w14:paraId="33142E20" w14:textId="77777777" w:rsidR="00C72795" w:rsidRDefault="00C72795">
      <w:pPr>
        <w:spacing w:after="0" w:line="240" w:lineRule="auto"/>
        <w:jc w:val="center"/>
        <w:rPr>
          <w:rFonts w:ascii="Times New Roman" w:hAnsi="Times New Roman" w:cs="Times New Roman"/>
          <w:b/>
          <w:bCs/>
          <w:sz w:val="24"/>
          <w:szCs w:val="24"/>
        </w:rPr>
      </w:pPr>
    </w:p>
    <w:p w14:paraId="283A4E34" w14:textId="77777777" w:rsidR="00C72795" w:rsidRDefault="00C72795">
      <w:pPr>
        <w:spacing w:after="0" w:line="240" w:lineRule="auto"/>
        <w:jc w:val="center"/>
        <w:rPr>
          <w:rFonts w:ascii="Times New Roman" w:hAnsi="Times New Roman" w:cs="Times New Roman"/>
          <w:sz w:val="24"/>
          <w:szCs w:val="24"/>
          <w:lang w:val="en-IN"/>
        </w:rPr>
      </w:pPr>
    </w:p>
    <w:p w14:paraId="5FD6ECCB" w14:textId="77777777" w:rsidR="00C72795" w:rsidRDefault="00C72795">
      <w:pPr>
        <w:spacing w:after="0" w:line="240" w:lineRule="auto"/>
        <w:jc w:val="center"/>
        <w:rPr>
          <w:rFonts w:ascii="Times New Roman" w:hAnsi="Times New Roman" w:cs="Times New Roman"/>
          <w:sz w:val="24"/>
          <w:szCs w:val="24"/>
        </w:rPr>
      </w:pPr>
    </w:p>
    <w:p w14:paraId="534701A9" w14:textId="77777777" w:rsidR="00C72795" w:rsidRDefault="00000000">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ABSTRACT</w:t>
      </w:r>
    </w:p>
    <w:p w14:paraId="66178908" w14:textId="77777777" w:rsidR="00C72795" w:rsidRDefault="0000000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p>
    <w:p w14:paraId="549B3D5E" w14:textId="77777777" w:rsidR="00791106" w:rsidRDefault="00000000">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rPr>
        <w:t xml:space="preserve">Agglomeration is a widely used process that plays a key role in de-dusting, controlling particle size and shape, controlling density and the overall performance of bulk solid products. </w:t>
      </w:r>
      <w:r w:rsidR="00791106" w:rsidRPr="00791106">
        <w:rPr>
          <w:rFonts w:ascii="Times New Roman" w:hAnsi="Times New Roman" w:cs="Times New Roman"/>
          <w:i/>
          <w:sz w:val="24"/>
          <w:szCs w:val="24"/>
        </w:rPr>
        <w:t>The description here aims to provide various information regarding limestone agglomeration.</w:t>
      </w:r>
      <w:r w:rsidR="00791106">
        <w:rPr>
          <w:rFonts w:ascii="Times New Roman" w:hAnsi="Times New Roman" w:cs="Times New Roman"/>
          <w:i/>
          <w:sz w:val="24"/>
          <w:szCs w:val="24"/>
          <w:lang w:val="en-US"/>
        </w:rPr>
        <w:t xml:space="preserve">. </w:t>
      </w:r>
      <w:r w:rsidR="00966F02" w:rsidRPr="00966F02">
        <w:rPr>
          <w:rFonts w:ascii="Times New Roman" w:hAnsi="Times New Roman" w:cs="Times New Roman"/>
          <w:i/>
          <w:sz w:val="24"/>
          <w:szCs w:val="24"/>
          <w:lang w:val="en-ID"/>
        </w:rPr>
        <w:t>Limestone agglomeration efforts are based on work intended to process granulated limestone for the purpose of producing aggregates for inclusion in concrete.</w:t>
      </w:r>
      <w:r>
        <w:rPr>
          <w:rFonts w:ascii="Times New Roman" w:hAnsi="Times New Roman" w:cs="Times New Roman"/>
          <w:i/>
          <w:sz w:val="24"/>
          <w:szCs w:val="24"/>
        </w:rPr>
        <w:t xml:space="preserve"> </w:t>
      </w:r>
      <w:r w:rsidR="00791106" w:rsidRPr="00791106">
        <w:rPr>
          <w:rFonts w:ascii="Times New Roman" w:hAnsi="Times New Roman" w:cs="Times New Roman"/>
          <w:i/>
          <w:sz w:val="24"/>
          <w:szCs w:val="24"/>
          <w:lang w:val="en-US"/>
        </w:rPr>
        <w:t>Agglomeration, or particle size enlargement, transforms powdered bulk solids into larger materials, either with random or controlled shapes, and with different performance characteristics. The performance of agglomerated products is determined by their composition, structure, and formation process. The specific objectives achieved during this study were to determine the process and results of the agglomeration process for granulating limestone-based materials as filter media for metal adsorption. This allows for the estimation of important properties of the agglomerated products.</w:t>
      </w:r>
    </w:p>
    <w:p w14:paraId="49BBC3BB" w14:textId="3B3AAA12" w:rsidR="00C72795" w:rsidRDefault="00000000">
      <w:pPr>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Keywords: </w:t>
      </w:r>
      <w:r>
        <w:rPr>
          <w:rFonts w:ascii="Times New Roman" w:hAnsi="Times New Roman" w:cs="Times New Roman"/>
          <w:i/>
          <w:sz w:val="24"/>
          <w:szCs w:val="24"/>
        </w:rPr>
        <w:t>agglomeration, coal, granulation, dust, limestone water, reserves</w:t>
      </w:r>
    </w:p>
    <w:p w14:paraId="4350CB87" w14:textId="77777777" w:rsidR="00C72795"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D9CD7C8" w14:textId="77777777"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Agglomeration is the process of smaller particles clumping together to form larger masses. It happens naturally when fine powders, dust, or microscopic particles stick to one another through physical or chemical forces, and it can also be deliberately engineered in industries ranging from pharmaceuticals to food manufacturing. The same basic principle appears in contexts as different as nano</w:t>
      </w:r>
      <w:r>
        <w:rPr>
          <w:rFonts w:ascii="Times New Roman" w:hAnsi="Times New Roman" w:cs="Times New Roman"/>
          <w:sz w:val="24"/>
          <w:szCs w:val="24"/>
          <w:lang w:val="en-US"/>
        </w:rPr>
        <w:t xml:space="preserve"> </w:t>
      </w:r>
      <w:r>
        <w:rPr>
          <w:rFonts w:ascii="Times New Roman" w:hAnsi="Times New Roman" w:cs="Times New Roman"/>
          <w:sz w:val="24"/>
          <w:szCs w:val="24"/>
        </w:rPr>
        <w:t>particle research, water treatment, and even urban economics (1).</w:t>
      </w:r>
    </w:p>
    <w:p w14:paraId="550ED00C" w14:textId="77777777" w:rsidR="00C72795"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Agglomeration is the process of particle size enlargement, commonly used to enhance material fines into a usable granular form while providing benefits such as dust reduction, improved handling, and economic efficiency. Understanding particle agglomeration and aggregation and the mechanisms that cause such assemblies is important in a wide range of processes and applications. Aggregation and agglomeration are two terms that are used to describe the assemblage of particles in a sample</w:t>
      </w:r>
      <w:r>
        <w:rPr>
          <w:rFonts w:ascii="Times New Roman" w:hAnsi="Times New Roman" w:cs="Times New Roman"/>
          <w:sz w:val="24"/>
          <w:szCs w:val="24"/>
          <w:lang w:val="en-US"/>
        </w:rPr>
        <w:t xml:space="preserve"> (1,2)</w:t>
      </w:r>
      <w:r>
        <w:rPr>
          <w:rFonts w:ascii="Times New Roman" w:hAnsi="Times New Roman" w:cs="Times New Roman"/>
          <w:sz w:val="24"/>
          <w:szCs w:val="24"/>
        </w:rPr>
        <w:t xml:space="preserve">. </w:t>
      </w:r>
    </w:p>
    <w:p w14:paraId="345045A2" w14:textId="2688E677"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Limestone water comes from the natural processes that dissolve limestone rock. It’s like nature’s very own mineral-infused elixir, formed when rainwater seeps through limestone deposits, picking up calcium carbonate along the way. This water contains mineral content that can range from 50 to 500 milligrams per liter. It frequently boasts a distinct taste that many enthusiasts rave about. Research shows that calcium, which you’ll find plenty of in limestone water, plays a critical role in </w:t>
      </w:r>
      <w:r>
        <w:rPr>
          <w:rFonts w:ascii="Times New Roman" w:hAnsi="Times New Roman" w:cs="Times New Roman"/>
          <w:sz w:val="24"/>
          <w:szCs w:val="24"/>
          <w:lang w:val="en-US"/>
        </w:rPr>
        <w:t>agglomeration.</w:t>
      </w:r>
      <w:r>
        <w:rPr>
          <w:rFonts w:ascii="Times New Roman" w:hAnsi="Times New Roman" w:cs="Times New Roman"/>
          <w:sz w:val="24"/>
          <w:szCs w:val="24"/>
        </w:rPr>
        <w:t xml:space="preserve"> Although these two terms have distinct meanings, they have been used interchangeably, leading to a universal confusion (</w:t>
      </w:r>
      <w:r>
        <w:rPr>
          <w:rFonts w:ascii="Times New Roman" w:hAnsi="Times New Roman" w:cs="Times New Roman"/>
          <w:sz w:val="24"/>
          <w:szCs w:val="24"/>
          <w:lang w:val="en-US"/>
        </w:rPr>
        <w:t>3</w:t>
      </w:r>
      <w:r w:rsidR="0014717E">
        <w:rPr>
          <w:rFonts w:ascii="Times New Roman" w:hAnsi="Times New Roman" w:cs="Times New Roman"/>
          <w:sz w:val="24"/>
          <w:szCs w:val="24"/>
          <w:lang w:val="en-US"/>
        </w:rPr>
        <w:t>, 4</w:t>
      </w:r>
      <w:r>
        <w:rPr>
          <w:rFonts w:ascii="Times New Roman" w:hAnsi="Times New Roman" w:cs="Times New Roman"/>
          <w:sz w:val="24"/>
          <w:szCs w:val="24"/>
        </w:rPr>
        <w:t xml:space="preserve">). </w:t>
      </w:r>
    </w:p>
    <w:p w14:paraId="068C3990" w14:textId="08B58158"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second approach of agglomeration by compression, or compaction, a powder blend is fed to a compression device that promotes agglomeration due to large, applied compaction pressures. Continuous sheets of solid material are produced, as in roll pressing, or some solid form is made, such as a briquette or tablet. Continuous sheets or strands may either break down in subsequent handling to form a granulated material, or the material may be further processed through a variety of chopping, spheronizing or forced screening methods. Carrier fluids may be added or induced by melting, in which case the product is wet extruded. Compaction processes range from confined compression devices, such as tabletting, briquetting machines and ram extrusion to unconfined devices, such as roll presses and a variety of pellet mills (</w:t>
      </w:r>
      <w:r w:rsidR="0014717E">
        <w:rPr>
          <w:rFonts w:ascii="Times New Roman" w:hAnsi="Times New Roman" w:cs="Times New Roman"/>
          <w:sz w:val="24"/>
          <w:szCs w:val="24"/>
          <w:lang w:val="en-US"/>
        </w:rPr>
        <w:t>1,</w:t>
      </w:r>
      <w:r>
        <w:rPr>
          <w:rFonts w:ascii="Times New Roman" w:hAnsi="Times New Roman" w:cs="Times New Roman"/>
          <w:sz w:val="24"/>
          <w:szCs w:val="24"/>
        </w:rPr>
        <w:t>4</w:t>
      </w:r>
      <w:r w:rsidR="0014717E">
        <w:rPr>
          <w:rFonts w:ascii="Times New Roman" w:hAnsi="Times New Roman" w:cs="Times New Roman"/>
          <w:sz w:val="24"/>
          <w:szCs w:val="24"/>
          <w:lang w:val="en-US"/>
        </w:rPr>
        <w:t>,5</w:t>
      </w:r>
      <w:r>
        <w:rPr>
          <w:rFonts w:ascii="Times New Roman" w:hAnsi="Times New Roman" w:cs="Times New Roman"/>
          <w:sz w:val="24"/>
          <w:szCs w:val="24"/>
        </w:rPr>
        <w:t>),</w:t>
      </w:r>
    </w:p>
    <w:p w14:paraId="4C88F765" w14:textId="60A06AF7"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 CPI plant, an agglomeration process involves several peripheral unit operations, such as milling, blending, drying or cooling and classification, referred to generically as an </w:t>
      </w:r>
      <w:r>
        <w:rPr>
          <w:rFonts w:ascii="Times New Roman" w:hAnsi="Times New Roman" w:cs="Times New Roman"/>
          <w:sz w:val="24"/>
          <w:szCs w:val="24"/>
        </w:rPr>
        <w:lastRenderedPageBreak/>
        <w:t>agglomeration circuit. In addition, more than one agglomeration step may be present as in the case of pharmaceutical or detergent processes. In troubleshooting process upsets or product quality deviations, it is important to consider the high degree of interaction between all unit operations involved in solids processing facilities (</w:t>
      </w:r>
      <w:r w:rsidR="0014717E">
        <w:rPr>
          <w:rFonts w:ascii="Times New Roman" w:hAnsi="Times New Roman" w:cs="Times New Roman"/>
          <w:sz w:val="24"/>
          <w:szCs w:val="24"/>
          <w:lang w:val="en-US"/>
        </w:rPr>
        <w:t>6</w:t>
      </w:r>
      <w:r>
        <w:rPr>
          <w:rFonts w:ascii="Times New Roman" w:hAnsi="Times New Roman" w:cs="Times New Roman"/>
          <w:sz w:val="24"/>
          <w:szCs w:val="24"/>
        </w:rPr>
        <w:t>).</w:t>
      </w:r>
    </w:p>
    <w:p w14:paraId="3D87AC5E" w14:textId="4679A7BE"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Agglomeration is typically used to create flee-flowing, non-segregating, uniform blends of key ingredients, with agglomerates of controlled strength that can be reproducibly metered in subsequent operations. The desired attributes of the agglomerate clearly depend on the application at hand. Still, it is important to appreciate the generic impact of agglomerate size distribution and porosity, both of which impact final product appearance. Agglomeration is used to achieve numerous benefits. For example, a proper size distribution of granules improves solids flow, deaeration and compaction behaviour, but minimizes segregation. Granule porosity controls strength, attrition resistance and dissolution rate, impacts capsule and tablet behaviour, and controls surface-to-volume ratios of catalyst applications. The generic agglomeration mechanisms of granulation and compaction are addressed in the following sections (1,</w:t>
      </w:r>
      <w:r>
        <w:rPr>
          <w:rFonts w:ascii="Times New Roman" w:hAnsi="Times New Roman" w:cs="Times New Roman"/>
          <w:sz w:val="24"/>
          <w:szCs w:val="24"/>
          <w:lang w:val="en-US"/>
        </w:rPr>
        <w:t xml:space="preserve">3, </w:t>
      </w:r>
      <w:r w:rsidR="0014717E">
        <w:rPr>
          <w:rFonts w:ascii="Times New Roman" w:hAnsi="Times New Roman" w:cs="Times New Roman"/>
          <w:sz w:val="24"/>
          <w:szCs w:val="24"/>
          <w:lang w:val="en-US"/>
        </w:rPr>
        <w:t>7</w:t>
      </w:r>
      <w:r>
        <w:rPr>
          <w:rFonts w:ascii="Times New Roman" w:hAnsi="Times New Roman" w:cs="Times New Roman"/>
          <w:sz w:val="24"/>
          <w:szCs w:val="24"/>
        </w:rPr>
        <w:t>).</w:t>
      </w:r>
    </w:p>
    <w:p w14:paraId="18EC615A" w14:textId="77777777" w:rsidR="00C72795"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3F5F6CF2" w14:textId="3767E111" w:rsidR="00C72795" w:rsidRDefault="00791106">
      <w:pPr>
        <w:spacing w:after="0" w:line="240" w:lineRule="auto"/>
        <w:jc w:val="both"/>
        <w:rPr>
          <w:rFonts w:ascii="Times New Roman" w:hAnsi="Times New Roman" w:cs="Times New Roman"/>
          <w:sz w:val="24"/>
          <w:szCs w:val="24"/>
        </w:rPr>
      </w:pPr>
      <w:r w:rsidRPr="00791106">
        <w:rPr>
          <w:rFonts w:ascii="Times New Roman" w:hAnsi="Times New Roman" w:cs="Times New Roman"/>
          <w:sz w:val="24"/>
          <w:szCs w:val="24"/>
        </w:rPr>
        <w:t>This research uses the information exploration method from various research results on agglomeration using limestone</w:t>
      </w:r>
      <w:r w:rsidR="00A21F1A">
        <w:rPr>
          <w:rFonts w:ascii="Times New Roman" w:hAnsi="Times New Roman" w:cs="Times New Roman"/>
          <w:sz w:val="24"/>
          <w:szCs w:val="24"/>
          <w:lang w:val="en-US"/>
        </w:rPr>
        <w:t xml:space="preserve"> water</w:t>
      </w:r>
      <w:r w:rsidRPr="00791106">
        <w:rPr>
          <w:rFonts w:ascii="Times New Roman" w:hAnsi="Times New Roman" w:cs="Times New Roman"/>
          <w:sz w:val="24"/>
          <w:szCs w:val="24"/>
        </w:rPr>
        <w:t>.</w:t>
      </w:r>
      <w:r>
        <w:rPr>
          <w:rFonts w:ascii="Times New Roman" w:hAnsi="Times New Roman" w:cs="Times New Roman"/>
          <w:sz w:val="24"/>
          <w:szCs w:val="24"/>
          <w:lang w:val="en-US"/>
        </w:rPr>
        <w:t xml:space="preserve"> </w:t>
      </w:r>
      <w:r w:rsidR="00000000">
        <w:rPr>
          <w:rFonts w:ascii="Times New Roman" w:hAnsi="Times New Roman" w:cs="Times New Roman"/>
          <w:sz w:val="24"/>
          <w:szCs w:val="24"/>
        </w:rPr>
        <w:t>The water-limestone agglomeration method is an effective technique for recovering and eliminating ash from coal. The agglomeration process can be applied to sub-bituminous, bituminous, and anthracite coal (</w:t>
      </w:r>
      <w:r w:rsidR="0014717E">
        <w:rPr>
          <w:rFonts w:ascii="Times New Roman" w:hAnsi="Times New Roman" w:cs="Times New Roman"/>
          <w:sz w:val="24"/>
          <w:szCs w:val="24"/>
          <w:lang w:val="en-US"/>
        </w:rPr>
        <w:t>2,8</w:t>
      </w:r>
      <w:r w:rsidR="00000000">
        <w:rPr>
          <w:rFonts w:ascii="Times New Roman" w:hAnsi="Times New Roman" w:cs="Times New Roman"/>
          <w:sz w:val="24"/>
          <w:szCs w:val="24"/>
        </w:rPr>
        <w:t>). The method used in this research is qualitative, researchers conduct direct observations through research in the laboratory</w:t>
      </w:r>
      <w:r w:rsidR="00000000">
        <w:rPr>
          <w:rFonts w:ascii="Times New Roman" w:hAnsi="Times New Roman" w:cs="Times New Roman"/>
          <w:sz w:val="24"/>
          <w:szCs w:val="24"/>
          <w:lang w:val="en-US"/>
        </w:rPr>
        <w:t>.</w:t>
      </w:r>
      <w:r w:rsidR="00000000">
        <w:rPr>
          <w:rFonts w:ascii="Times New Roman" w:hAnsi="Times New Roman" w:cs="Times New Roman"/>
          <w:sz w:val="24"/>
          <w:szCs w:val="24"/>
        </w:rPr>
        <w:t xml:space="preserve"> Various agglomeration techniques, including pressure and non-pressure methods, allow for tailored solutions based on material characteristics. Limestone agglomeration efforts built on the work, in which limestone was granulated for purposes of producing an aggregate for incorporation into concrete. Limestone agglomeration efforts built on the work described in (8), in which limestone was granulated for purposes of producing an aggregate for incorporation into concrete. The process has applications across industries, improving product characteristics, simplifying transportation, and promoting recycling efforts. Data were obtained directly through observation with reference to standards.</w:t>
      </w:r>
    </w:p>
    <w:p w14:paraId="4AE3630B" w14:textId="77777777" w:rsidR="00C72795"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105B82C0" w14:textId="77777777"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science of agglomeration has been described extensively by (9) have researched the granulation of limestone fines for purposes of producing a concrete aggregate from quarry waste materials. In their study, three insoluble granule binders were tested and the manufactured granules were tested for strength. The manufactured material was incorporated into concrete and observed by scanning electron microscopy to see how the material changed the quality of concrete when it was incorporated in the mix.</w:t>
      </w:r>
    </w:p>
    <w:p w14:paraId="21B3CCDA" w14:textId="1391016A"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Agglomeration processes can be loosely broken down into agitation and compression methods. Agglomeration by agitation will be referred to as wet granulation. Processes include fluid-bed, disc, drum, and mixer granulators, as well as many hybrid designs. Here, a particulate feed is introduced to a process vessel and is agglomerated, either batch-wise or continuously, to form a granulated product. The feed typically consists of a mixture of solid ingredients, referred to as a formulation, which includes a key active product ingredient (API), binders, diluents, flow aids, surfactants, wetting agents, lubricants, fillers and end-use aids (such as sintering aids, colors and taste modifiers). Agglomeration can be induced by a solvent or slurry atomized onto the bed of particles, or by the controlled sintering or partial melting of a binder component of the feed. Product forms generally range from spherical agglomerated or layered granules, to coated carrier cores (7</w:t>
      </w:r>
      <w:r>
        <w:rPr>
          <w:rFonts w:ascii="Times New Roman" w:hAnsi="Times New Roman" w:cs="Times New Roman"/>
          <w:sz w:val="24"/>
          <w:szCs w:val="24"/>
          <w:lang w:val="en-US"/>
        </w:rPr>
        <w:t>,</w:t>
      </w:r>
      <w:r w:rsidR="0014717E">
        <w:rPr>
          <w:rFonts w:ascii="Times New Roman" w:hAnsi="Times New Roman" w:cs="Times New Roman"/>
          <w:sz w:val="24"/>
          <w:szCs w:val="24"/>
          <w:lang w:val="en-US"/>
        </w:rPr>
        <w:t>10</w:t>
      </w:r>
      <w:r>
        <w:rPr>
          <w:rFonts w:ascii="Times New Roman" w:hAnsi="Times New Roman" w:cs="Times New Roman"/>
          <w:sz w:val="24"/>
          <w:szCs w:val="24"/>
        </w:rPr>
        <w:t>).</w:t>
      </w:r>
    </w:p>
    <w:p w14:paraId="09C69D84" w14:textId="2A28A7B8"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 the most basic level, agglomeration occurs when individual particles come into contact and stay connected. Several forces can drive this. Electrical charges on particle surfaces attract or repel neighboring particles, and weak intermolecular attractions called van der Waals forces </w:t>
      </w:r>
      <w:r>
        <w:rPr>
          <w:rFonts w:ascii="Times New Roman" w:hAnsi="Times New Roman" w:cs="Times New Roman"/>
          <w:sz w:val="24"/>
          <w:szCs w:val="24"/>
        </w:rPr>
        <w:lastRenderedPageBreak/>
        <w:t>pull particles together over very short distances. The geometry of the particles matters too: irregularly shaped particles with more surface area tend to interlock or stick more readily than smooth, round ones (2,8</w:t>
      </w:r>
      <w:r>
        <w:rPr>
          <w:rFonts w:ascii="Times New Roman" w:hAnsi="Times New Roman" w:cs="Times New Roman"/>
          <w:sz w:val="24"/>
          <w:szCs w:val="24"/>
          <w:lang w:val="en-US"/>
        </w:rPr>
        <w:t>,</w:t>
      </w:r>
      <w:r w:rsidR="0014717E">
        <w:rPr>
          <w:rFonts w:ascii="Times New Roman" w:hAnsi="Times New Roman" w:cs="Times New Roman"/>
          <w:sz w:val="24"/>
          <w:szCs w:val="24"/>
          <w:lang w:val="en-US"/>
        </w:rPr>
        <w:t>11</w:t>
      </w:r>
      <w:r>
        <w:rPr>
          <w:rFonts w:ascii="Times New Roman" w:hAnsi="Times New Roman" w:cs="Times New Roman"/>
          <w:sz w:val="24"/>
          <w:szCs w:val="24"/>
        </w:rPr>
        <w:t>).</w:t>
      </w:r>
    </w:p>
    <w:p w14:paraId="23958E06" w14:textId="2CD5801D"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are two broad pathways. In one, particles collide during a process like gas-phase synthesis and form clusters without exchanging energy. The system simply settles into its most disordered (highest entropy) arrangement, and clumps are a natural result. In the other, the particles interact energetically )9). They might partially fuse through heat (a process called sintering) or bond in ways that reduce their total surface energy. The first type of agglomerate is generally looser and easier to break apart. The second produces denser, more permanent clusters (1,2,</w:t>
      </w:r>
      <w:r>
        <w:rPr>
          <w:rFonts w:ascii="Times New Roman" w:hAnsi="Times New Roman" w:cs="Times New Roman"/>
          <w:sz w:val="24"/>
          <w:szCs w:val="24"/>
          <w:lang w:val="en-US"/>
        </w:rPr>
        <w:t>1</w:t>
      </w:r>
      <w:r w:rsidR="0014717E">
        <w:rPr>
          <w:rFonts w:ascii="Times New Roman" w:hAnsi="Times New Roman" w:cs="Times New Roman"/>
          <w:sz w:val="24"/>
          <w:szCs w:val="24"/>
          <w:lang w:val="en-US"/>
        </w:rPr>
        <w:t>2</w:t>
      </w:r>
      <w:r>
        <w:rPr>
          <w:rFonts w:ascii="Times New Roman" w:hAnsi="Times New Roman" w:cs="Times New Roman"/>
          <w:sz w:val="24"/>
          <w:szCs w:val="24"/>
        </w:rPr>
        <w:t>).</w:t>
      </w:r>
    </w:p>
    <w:p w14:paraId="3B763114" w14:textId="32C727A2"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Unfortunately many of these chemicals are in solid form which proves a challenge for chemical engineers as it provides more problems over traditional liquid and gas based products due to fundamentally different governing physics (1</w:t>
      </w:r>
      <w:r w:rsidR="0014717E">
        <w:rPr>
          <w:rFonts w:ascii="Times New Roman" w:hAnsi="Times New Roman" w:cs="Times New Roman"/>
          <w:sz w:val="24"/>
          <w:szCs w:val="24"/>
          <w:lang w:val="en-US"/>
        </w:rPr>
        <w:t>3</w:t>
      </w:r>
      <w:r>
        <w:rPr>
          <w:rFonts w:ascii="Times New Roman" w:hAnsi="Times New Roman" w:cs="Times New Roman"/>
          <w:sz w:val="24"/>
          <w:szCs w:val="24"/>
        </w:rPr>
        <w:t>). Many of problems stem from segregation of the final product where two solid components split from each other during transport leading to poorly distributed mixtures which can pose hazards to the quality of the produced product, and reduced performance in use. Problems also arise due to low bulk densities and difficult flow characteristics which make these powder products difficult to store and handle. These processing and material handling problems that occur within industry can be solved by agglomeration enabling, an increased bulk density product with a more free flowing nature and also less prone to segregation as individual constituents are held together in the formed agglomerate(6,</w:t>
      </w:r>
      <w:r w:rsidR="0014717E">
        <w:rPr>
          <w:rFonts w:ascii="Times New Roman" w:hAnsi="Times New Roman" w:cs="Times New Roman"/>
          <w:sz w:val="24"/>
          <w:szCs w:val="24"/>
          <w:lang w:val="en-US"/>
        </w:rPr>
        <w:t>,12,</w:t>
      </w:r>
      <w:r>
        <w:rPr>
          <w:rFonts w:ascii="Times New Roman" w:hAnsi="Times New Roman" w:cs="Times New Roman"/>
          <w:sz w:val="24"/>
          <w:szCs w:val="24"/>
        </w:rPr>
        <w:t>1</w:t>
      </w:r>
      <w:r w:rsidR="0014717E">
        <w:rPr>
          <w:rFonts w:ascii="Times New Roman" w:hAnsi="Times New Roman" w:cs="Times New Roman"/>
          <w:sz w:val="24"/>
          <w:szCs w:val="24"/>
          <w:lang w:val="en-US"/>
        </w:rPr>
        <w:t>4</w:t>
      </w:r>
      <w:r>
        <w:rPr>
          <w:rFonts w:ascii="Times New Roman" w:hAnsi="Times New Roman" w:cs="Times New Roman"/>
          <w:sz w:val="24"/>
          <w:szCs w:val="24"/>
        </w:rPr>
        <w:t xml:space="preserve">). </w:t>
      </w:r>
    </w:p>
    <w:p w14:paraId="4045AF3F" w14:textId="21642016"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these problems agglomeration can act as a method to enhance a product, providing desired size distributions or product geometry for increased functionality, better consumer perception or protection of the end user from such hazards as dust and other possibly toxic or hazardous effects. Agglomeration consists of a process capable of increasing particle </w:t>
      </w:r>
      <w:r>
        <w:rPr>
          <w:rFonts w:ascii="Times New Roman" w:hAnsi="Times New Roman" w:cs="Times New Roman"/>
          <w:color w:val="000000" w:themeColor="text1"/>
          <w:sz w:val="24"/>
          <w:szCs w:val="24"/>
        </w:rPr>
        <w:t>size in a semipermanent aggregate form, known as granules, where the primary particles can be distinguished [</w:t>
      </w:r>
      <w:r>
        <w:rPr>
          <w:rFonts w:ascii="Times New Roman" w:hAnsi="Times New Roman" w:cs="Times New Roman"/>
          <w:color w:val="000000" w:themeColor="text1"/>
          <w:sz w:val="24"/>
          <w:szCs w:val="24"/>
          <w:lang w:val="en-US"/>
        </w:rPr>
        <w:t>2,3,1</w:t>
      </w:r>
      <w:r w:rsidR="0014717E">
        <w:rPr>
          <w:rFonts w:ascii="Times New Roman" w:hAnsi="Times New Roman" w:cs="Times New Roman"/>
          <w:color w:val="000000" w:themeColor="text1"/>
          <w:sz w:val="24"/>
          <w:szCs w:val="24"/>
          <w:lang w:val="en-US"/>
        </w:rPr>
        <w:t>5</w:t>
      </w:r>
      <w:r>
        <w:rPr>
          <w:rFonts w:ascii="Times New Roman" w:hAnsi="Times New Roman" w:cs="Times New Roman"/>
          <w:color w:val="000000" w:themeColor="text1"/>
          <w:sz w:val="24"/>
          <w:szCs w:val="24"/>
        </w:rPr>
        <w:t>]. This process comprises a range of processing techniques employing solutions, slurries, melting, and binders [10,1</w:t>
      </w:r>
      <w:r w:rsidR="0014717E">
        <w:rPr>
          <w:rFonts w:ascii="Times New Roman" w:hAnsi="Times New Roman" w:cs="Times New Roman"/>
          <w:color w:val="000000" w:themeColor="text1"/>
          <w:sz w:val="24"/>
          <w:szCs w:val="24"/>
          <w:lang w:val="en-US"/>
        </w:rPr>
        <w:t>6</w:t>
      </w:r>
      <w:r>
        <w:rPr>
          <w:rFonts w:ascii="Times New Roman" w:hAnsi="Times New Roman" w:cs="Times New Roman"/>
          <w:color w:val="000000" w:themeColor="text1"/>
          <w:sz w:val="24"/>
          <w:szCs w:val="24"/>
        </w:rPr>
        <w:t>]. In general, the liquid phase is sprayed onto a solid </w:t>
      </w:r>
      <w:hyperlink r:id="rId9" w:tooltip="Learn more about particle bed from ScienceDirect's AI-generated Topic Pages" w:history="1">
        <w:r w:rsidR="00C72795">
          <w:rPr>
            <w:rStyle w:val="Hyperlink"/>
            <w:rFonts w:ascii="Times New Roman" w:hAnsi="Times New Roman" w:cs="Times New Roman"/>
            <w:color w:val="000000" w:themeColor="text1"/>
            <w:sz w:val="24"/>
            <w:szCs w:val="24"/>
            <w:u w:val="none"/>
          </w:rPr>
          <w:t>particle bed</w:t>
        </w:r>
      </w:hyperlink>
      <w:r>
        <w:rPr>
          <w:rFonts w:ascii="Times New Roman" w:hAnsi="Times New Roman" w:cs="Times New Roman"/>
          <w:color w:val="000000" w:themeColor="text1"/>
          <w:sz w:val="24"/>
          <w:szCs w:val="24"/>
        </w:rPr>
        <w:t> that is in constant motion. The liquid makes the surface of the particles stickier and enables mutual particle bonding. The wetted particles remain clustered through a combination of capillarity and viscous forces, and solid bridges are formed by drying or sintering [1,12].</w:t>
      </w:r>
    </w:p>
    <w:p w14:paraId="4C60DBB4" w14:textId="58387463"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Despite a large body of research on the subject there is still, as yet, no a-priori method of predicting granulation; there is as yet no method of knowing what will happen when a binder and powder are brought together within a specific mixer. Research continues around the world to develop this understanding in order to provide a predictive model of granulation (4, 1</w:t>
      </w:r>
      <w:r w:rsidR="0014717E">
        <w:rPr>
          <w:rFonts w:ascii="Times New Roman" w:hAnsi="Times New Roman" w:cs="Times New Roman"/>
          <w:sz w:val="24"/>
          <w:szCs w:val="24"/>
          <w:lang w:val="en-US"/>
        </w:rPr>
        <w:t>7</w:t>
      </w:r>
      <w:r>
        <w:rPr>
          <w:rFonts w:ascii="Times New Roman" w:hAnsi="Times New Roman" w:cs="Times New Roman"/>
          <w:sz w:val="24"/>
          <w:szCs w:val="24"/>
        </w:rPr>
        <w:t xml:space="preserve">). </w:t>
      </w:r>
    </w:p>
    <w:p w14:paraId="3AD95DBC" w14:textId="77777777"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Agglomerated products are usually made to a specification that requires some knowledge of the use/ functionality of the material required. Many different “properties” can be used within industry to measure the quality of produced granules. Some examples of properties used are (1, 7,13): </w:t>
      </w:r>
    </w:p>
    <w:p w14:paraId="3FEDCADE" w14:textId="77777777" w:rsidR="00C72795" w:rsidRDefault="00000000">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Size Distribution – The size of the granules produced and the range that these sizes occur in. Generally it is excepted that a narrow size distribution is best, as it likely leads to better batch homogeneity but can also be specified to be a certain width as post processing compression options are usually enhanced by a wider size distribution as a wider distribution is found to pack and compress better, leading to improved tablets. </w:t>
      </w:r>
    </w:p>
    <w:p w14:paraId="208C6AC3" w14:textId="77777777" w:rsidR="00C72795" w:rsidRDefault="00000000">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Porosity – The amount of free ‘air’ space within the granule. – The amount of air within the granule is significant as it provides for better dissolution ability, however usually at the trade off individual granule strength. </w:t>
      </w:r>
    </w:p>
    <w:p w14:paraId="45E87296" w14:textId="77777777" w:rsidR="00C72795" w:rsidRDefault="00000000">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Attritional ability/ Dusting behavior – The ability of the granule to loose material, producing constituent powder again. This is a problem as during packaging and transport significant </w:t>
      </w:r>
      <w:r>
        <w:rPr>
          <w:rFonts w:ascii="Times New Roman" w:hAnsi="Times New Roman" w:cs="Times New Roman"/>
          <w:sz w:val="24"/>
          <w:szCs w:val="24"/>
        </w:rPr>
        <w:lastRenderedPageBreak/>
        <w:t>attrition can occur, negating the use of agglomeration processes in the first place, leading to a product with a large amount of unintentional fines, and thus spoiling customer perception. The dusting behavior can also severely affect the safety of post-processing processes, leading to dust build up, provoking hazards of explosion and inhalation.</w:t>
      </w:r>
    </w:p>
    <w:p w14:paraId="0180C3BB" w14:textId="77777777" w:rsidR="00C72795" w:rsidRDefault="00000000">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 Dispersability – Granules are usually designed to be dispersed into a medium as a method of use of the material, thus dispersability of the solid granules is of interest and their time to break down is of interest within some industries. </w:t>
      </w:r>
    </w:p>
    <w:p w14:paraId="43E18B3D" w14:textId="77777777" w:rsidR="00C72795" w:rsidRDefault="00000000">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Dissolution rate/time- Dissolution rate and time are important factors, granules are usually produced to be dispersed in a medium, and thus are likely to be dissolved. These processes need to be carefully considered and the granules engineered for that particular case, as different final uses are likely to require significantly different dissolution times. </w:t>
      </w:r>
    </w:p>
    <w:p w14:paraId="3EA786BE" w14:textId="77777777" w:rsidR="00C72795" w:rsidRDefault="00000000">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Strength- As mentioned above individual granule strength is important for dusting and attritional behavior as well as for other post processing operations. It is generally assumed that there is a trade of between granule strength and dissolution rate. </w:t>
      </w:r>
    </w:p>
    <w:p w14:paraId="3BE8F553" w14:textId="77777777" w:rsidR="00C72795" w:rsidRDefault="00000000">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Shape- The shape of produced granules is of importance in some industries as it considerably influences bulk properties, such as flowablitliy and processing behavior while also effecting customer perception. </w:t>
      </w:r>
    </w:p>
    <w:p w14:paraId="731843DF" w14:textId="77777777" w:rsidR="00C72795" w:rsidRDefault="00000000">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Color- the color of the produced product can influence customer perception </w:t>
      </w:r>
    </w:p>
    <w:p w14:paraId="04F0B03C" w14:textId="77777777" w:rsidR="00C72795" w:rsidRDefault="00000000">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Homogenetity- Homogeneity throughout the product, both between different batches and within the same batch is also of significance within the fine chemical and pharmaceutical industries, while spread of chemical throughout the individual granule is also of importance to many industries such as those of controlled release fertilizers.</w:t>
      </w:r>
    </w:p>
    <w:p w14:paraId="20A5A8C5" w14:textId="77777777"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example, the coal agglomerate quality analysis in this study used proximate analysis, which included inherent moisture content, ash content, volatile matter content, fixed carbon, and calorific value. The following are the results of the proximate analysis (2):</w:t>
      </w:r>
    </w:p>
    <w:p w14:paraId="0E483F2C" w14:textId="77777777" w:rsidR="00C7279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4AC37E8" w14:textId="77777777" w:rsidR="00C72795" w:rsidRDefault="00000000">
      <w:pPr>
        <w:spacing w:after="0" w:line="240" w:lineRule="auto"/>
        <w:jc w:val="center"/>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14:anchorId="5D466792" wp14:editId="710037C9">
            <wp:extent cx="5099050" cy="2395220"/>
            <wp:effectExtent l="0" t="0" r="6350" b="5080"/>
            <wp:docPr id="18099537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5375"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66904" cy="2427274"/>
                    </a:xfrm>
                    <a:prstGeom prst="rect">
                      <a:avLst/>
                    </a:prstGeom>
                    <a:noFill/>
                    <a:ln>
                      <a:noFill/>
                    </a:ln>
                  </pic:spPr>
                </pic:pic>
              </a:graphicData>
            </a:graphic>
          </wp:inline>
        </w:drawing>
      </w:r>
    </w:p>
    <w:p w14:paraId="5DE9663E" w14:textId="7411B8C7" w:rsidR="00C72795" w:rsidRPr="0014717E" w:rsidRDefault="0000000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IN"/>
        </w:rPr>
        <w:t xml:space="preserve">Fig 1- </w:t>
      </w:r>
      <w:r>
        <w:rPr>
          <w:rFonts w:ascii="Times New Roman" w:hAnsi="Times New Roman" w:cs="Times New Roman"/>
          <w:sz w:val="24"/>
          <w:szCs w:val="24"/>
          <w:lang w:val="en-US"/>
        </w:rPr>
        <w:t>T</w:t>
      </w:r>
      <w:r>
        <w:rPr>
          <w:rFonts w:ascii="Times New Roman" w:hAnsi="Times New Roman" w:cs="Times New Roman"/>
          <w:sz w:val="24"/>
          <w:szCs w:val="24"/>
        </w:rPr>
        <w:t xml:space="preserve">he coal agglomerate quality analysis </w:t>
      </w:r>
      <w:r w:rsidR="0014717E">
        <w:rPr>
          <w:rFonts w:ascii="Times New Roman" w:hAnsi="Times New Roman" w:cs="Times New Roman"/>
          <w:sz w:val="24"/>
          <w:szCs w:val="24"/>
          <w:lang w:val="en-US"/>
        </w:rPr>
        <w:t>(18)</w:t>
      </w:r>
    </w:p>
    <w:p w14:paraId="5E0443BF" w14:textId="5867F976" w:rsidR="00C72795" w:rsidRDefault="0000000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Applications of agglomeration methods in different situations but based on the same fundamentals: briquetting, coating, compacting, granulating, instantizing, </w:t>
      </w:r>
      <w:hyperlink r:id="rId11" w:tooltip="Learn more about microencapsulation from ScienceDirect's AI-generated Topic Pages" w:history="1">
        <w:r w:rsidR="00C72795">
          <w:rPr>
            <w:rStyle w:val="Hyperlink"/>
            <w:rFonts w:ascii="Times New Roman" w:hAnsi="Times New Roman" w:cs="Times New Roman"/>
            <w:color w:val="000000" w:themeColor="text1"/>
            <w:sz w:val="24"/>
            <w:szCs w:val="24"/>
            <w:u w:val="none"/>
          </w:rPr>
          <w:t>microencapsulation</w:t>
        </w:r>
      </w:hyperlink>
      <w:r>
        <w:rPr>
          <w:rFonts w:ascii="Times New Roman" w:hAnsi="Times New Roman" w:cs="Times New Roman"/>
          <w:color w:val="000000" w:themeColor="text1"/>
          <w:sz w:val="24"/>
          <w:szCs w:val="24"/>
        </w:rPr>
        <w:t>, pelleting, baking and sintering. The equipment where agglomeration can be carried out was also cited, namely disc and agglomeration drums, mixers, spray dryers, </w:t>
      </w:r>
      <w:hyperlink r:id="rId12" w:tooltip="Learn more about fluidized beds from ScienceDirect's AI-generated Topic Pages" w:history="1">
        <w:r w:rsidR="00C72795">
          <w:rPr>
            <w:rStyle w:val="Hyperlink"/>
            <w:rFonts w:ascii="Times New Roman" w:hAnsi="Times New Roman" w:cs="Times New Roman"/>
            <w:color w:val="000000" w:themeColor="text1"/>
            <w:sz w:val="24"/>
            <w:szCs w:val="24"/>
            <w:u w:val="none"/>
          </w:rPr>
          <w:t>fluidized beds</w:t>
        </w:r>
      </w:hyperlink>
      <w:r>
        <w:rPr>
          <w:rFonts w:ascii="Times New Roman" w:hAnsi="Times New Roman" w:cs="Times New Roman"/>
          <w:color w:val="000000" w:themeColor="text1"/>
          <w:sz w:val="24"/>
          <w:szCs w:val="24"/>
        </w:rPr>
        <w:t>, and low-density agglomerators (4,1</w:t>
      </w:r>
      <w:r w:rsidR="0014717E">
        <w:rPr>
          <w:rFonts w:ascii="Times New Roman" w:hAnsi="Times New Roman" w:cs="Times New Roman"/>
          <w:color w:val="000000" w:themeColor="text1"/>
          <w:sz w:val="24"/>
          <w:szCs w:val="24"/>
          <w:lang w:val="en-US"/>
        </w:rPr>
        <w:t>8</w:t>
      </w:r>
      <w:r>
        <w:rPr>
          <w:rFonts w:ascii="Times New Roman" w:hAnsi="Times New Roman" w:cs="Times New Roman"/>
          <w:color w:val="000000" w:themeColor="text1"/>
          <w:sz w:val="24"/>
          <w:szCs w:val="24"/>
        </w:rPr>
        <w:t>). Agglomeration may be consolidated with other unit operations, and factors such as physical and chemical properties, particle sizes, thermal sensitivity, and final product handling properties are decisive in selecting the agglomeration process. There are some advantages for choosing the </w:t>
      </w:r>
      <w:hyperlink r:id="rId13" w:tooltip="Learn more about fluidized bed from ScienceDirect's AI-generated Topic Pages" w:history="1">
        <w:r w:rsidR="00C72795">
          <w:rPr>
            <w:rStyle w:val="Hyperlink"/>
            <w:rFonts w:ascii="Times New Roman" w:hAnsi="Times New Roman" w:cs="Times New Roman"/>
            <w:color w:val="000000" w:themeColor="text1"/>
            <w:sz w:val="24"/>
            <w:szCs w:val="24"/>
            <w:u w:val="none"/>
          </w:rPr>
          <w:t>fluidized bed</w:t>
        </w:r>
      </w:hyperlink>
      <w:r>
        <w:rPr>
          <w:rFonts w:ascii="Times New Roman" w:hAnsi="Times New Roman" w:cs="Times New Roman"/>
          <w:color w:val="000000" w:themeColor="text1"/>
          <w:sz w:val="24"/>
          <w:szCs w:val="24"/>
        </w:rPr>
        <w:t xml:space="preserve"> as the preferred equipment for particle agglomeration compared to other devices: transporting and handling of solids are </w:t>
      </w:r>
      <w:r>
        <w:rPr>
          <w:rFonts w:ascii="Times New Roman" w:hAnsi="Times New Roman" w:cs="Times New Roman"/>
          <w:color w:val="000000" w:themeColor="text1"/>
          <w:sz w:val="24"/>
          <w:szCs w:val="24"/>
        </w:rPr>
        <w:lastRenderedPageBreak/>
        <w:t>facilitated due to the liquid behavior of the fluidized bed, uniform </w:t>
      </w:r>
      <w:hyperlink r:id="rId14" w:tooltip="Learn more about temperature distribution from ScienceDirect's AI-generated Topic Pages" w:history="1">
        <w:r w:rsidR="00C72795">
          <w:rPr>
            <w:rStyle w:val="Hyperlink"/>
            <w:rFonts w:ascii="Times New Roman" w:hAnsi="Times New Roman" w:cs="Times New Roman"/>
            <w:color w:val="000000" w:themeColor="text1"/>
            <w:sz w:val="24"/>
            <w:szCs w:val="24"/>
            <w:u w:val="none"/>
          </w:rPr>
          <w:t>temperature distribution</w:t>
        </w:r>
      </w:hyperlink>
      <w:r>
        <w:rPr>
          <w:rFonts w:ascii="Times New Roman" w:hAnsi="Times New Roman" w:cs="Times New Roman"/>
          <w:color w:val="000000" w:themeColor="text1"/>
          <w:sz w:val="24"/>
          <w:szCs w:val="24"/>
        </w:rPr>
        <w:t>, large solid–gas contact area, high heat transfer, and uniform mixed product [6, 1</w:t>
      </w:r>
      <w:r w:rsidR="0014717E">
        <w:rPr>
          <w:rFonts w:ascii="Times New Roman" w:hAnsi="Times New Roman" w:cs="Times New Roman"/>
          <w:color w:val="000000" w:themeColor="text1"/>
          <w:sz w:val="24"/>
          <w:szCs w:val="24"/>
          <w:lang w:val="en-US"/>
        </w:rPr>
        <w:t>9</w:t>
      </w:r>
      <w:r>
        <w:rPr>
          <w:rFonts w:ascii="Times New Roman" w:hAnsi="Times New Roman" w:cs="Times New Roman"/>
          <w:color w:val="000000" w:themeColor="text1"/>
          <w:sz w:val="24"/>
          <w:szCs w:val="24"/>
        </w:rPr>
        <w:t>]. Agglomeration phenomena due to the formation of low-melting-point materials induced by alkali (Na, K) content when burning high-alkali fuels such as high-sodium coal or high-potassium biomass (9, 10, 1</w:t>
      </w:r>
      <w:r w:rsidR="0014717E">
        <w:rPr>
          <w:rFonts w:ascii="Times New Roman" w:hAnsi="Times New Roman" w:cs="Times New Roman"/>
          <w:color w:val="000000" w:themeColor="text1"/>
          <w:sz w:val="24"/>
          <w:szCs w:val="24"/>
          <w:lang w:val="en-US"/>
        </w:rPr>
        <w:t>9</w:t>
      </w:r>
      <w:r>
        <w:rPr>
          <w:rFonts w:ascii="Times New Roman" w:hAnsi="Times New Roman" w:cs="Times New Roman"/>
          <w:color w:val="000000" w:themeColor="text1"/>
          <w:sz w:val="24"/>
          <w:szCs w:val="24"/>
        </w:rPr>
        <w:t xml:space="preserve">) have also been widely reported. </w:t>
      </w:r>
    </w:p>
    <w:p w14:paraId="5F0C0BB9" w14:textId="3162E338" w:rsidR="00777AD8" w:rsidRPr="00777AD8" w:rsidRDefault="00777AD8" w:rsidP="00777AD8">
      <w:pPr>
        <w:spacing w:after="0" w:line="240" w:lineRule="auto"/>
        <w:jc w:val="both"/>
        <w:rPr>
          <w:rFonts w:ascii="Times New Roman" w:hAnsi="Times New Roman" w:cs="Times New Roman"/>
          <w:color w:val="000000" w:themeColor="text1"/>
          <w:sz w:val="24"/>
          <w:szCs w:val="24"/>
          <w:lang w:val="en-ID"/>
        </w:rPr>
      </w:pPr>
      <w:r w:rsidRPr="00777AD8">
        <w:rPr>
          <w:rFonts w:ascii="Times New Roman" w:hAnsi="Times New Roman" w:cs="Times New Roman"/>
          <w:color w:val="000000" w:themeColor="text1"/>
          <w:sz w:val="24"/>
          <w:szCs w:val="24"/>
          <w:lang w:val="en-ID"/>
        </w:rPr>
        <w:t>Limestone water filtration methods rely on the natural properties of limestone to remove impurities from water. Limestone, primarily composed of calcium carbonate, acts as a physical and chemical barrier against certain contaminants. Its porous structure allows water to pass through while trapping larger particles and some dissolved substances.</w:t>
      </w:r>
      <w:r>
        <w:rPr>
          <w:rFonts w:ascii="Times New Roman" w:hAnsi="Times New Roman" w:cs="Times New Roman"/>
          <w:color w:val="000000" w:themeColor="text1"/>
          <w:sz w:val="24"/>
          <w:szCs w:val="24"/>
          <w:lang w:val="en-ID"/>
        </w:rPr>
        <w:t xml:space="preserve"> </w:t>
      </w:r>
      <w:r w:rsidRPr="00777AD8">
        <w:rPr>
          <w:rFonts w:ascii="Times New Roman" w:hAnsi="Times New Roman" w:cs="Times New Roman"/>
          <w:color w:val="000000" w:themeColor="text1"/>
          <w:sz w:val="24"/>
          <w:szCs w:val="24"/>
          <w:lang w:val="en-ID"/>
        </w:rPr>
        <w:t>The process involves water flowing through limestone beds, where chemical interactions occur. Calcium carbonate in limestone can react with soluble pollutants, such as heavy metals and certain acids, resulting in their precipitation and removal. This natural reaction enhances water clarity and reduces harmful contaminants.</w:t>
      </w:r>
    </w:p>
    <w:p w14:paraId="64A7CD74" w14:textId="06397F6C" w:rsidR="00C72795" w:rsidRDefault="0000000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However, limestone has also been reported to be the cause of the agglomeration problem in industrial-scale boilers firing petroleum coke with limestone injected as the sorbent for in situ desulfurization . For these reasons many differing types of equipment have been developed to achieve these aims aiming to make, larger entities from powders, in which the individual primary particle are still visible, this process when carried out in a mixing device is usually described as granulation. Granulation and agglomeration processes tend to use a liquid or ductile solid (so called binder) to facilitate the build up of agglomerates. the agglomerated particles with very high minimum fluidization velocity would lead to defluidization in the bed [</w:t>
      </w:r>
      <w:r w:rsidR="0014717E">
        <w:rPr>
          <w:rFonts w:ascii="Times New Roman" w:hAnsi="Times New Roman" w:cs="Times New Roman"/>
          <w:color w:val="000000" w:themeColor="text1"/>
          <w:sz w:val="24"/>
          <w:szCs w:val="24"/>
          <w:lang w:val="en-US"/>
        </w:rPr>
        <w:t>20</w:t>
      </w:r>
      <w:r>
        <w:rPr>
          <w:rFonts w:ascii="Times New Roman" w:hAnsi="Times New Roman" w:cs="Times New Roman"/>
          <w:color w:val="000000" w:themeColor="text1"/>
          <w:sz w:val="24"/>
          <w:szCs w:val="24"/>
        </w:rPr>
        <w:t>]. Moreover, the size of the agglomerate may be too large to be discharged from the bed, which eventually results in the blockage of the discharging chute of the boiler. In severe cases, agglomeration would cause unscheduled shutdown of the boiler [</w:t>
      </w:r>
      <w:r>
        <w:rPr>
          <w:rFonts w:ascii="Times New Roman" w:hAnsi="Times New Roman" w:cs="Times New Roman"/>
          <w:color w:val="000000" w:themeColor="text1"/>
          <w:sz w:val="24"/>
          <w:szCs w:val="24"/>
          <w:lang w:val="en-US"/>
        </w:rPr>
        <w:t>4,16</w:t>
      </w:r>
      <w:r w:rsidR="0014717E">
        <w:rPr>
          <w:rFonts w:ascii="Times New Roman" w:hAnsi="Times New Roman" w:cs="Times New Roman"/>
          <w:color w:val="000000" w:themeColor="text1"/>
          <w:sz w:val="24"/>
          <w:szCs w:val="24"/>
          <w:lang w:val="en-US"/>
        </w:rPr>
        <w:t>,20</w:t>
      </w:r>
      <w:r>
        <w:rPr>
          <w:rFonts w:ascii="Times New Roman" w:hAnsi="Times New Roman" w:cs="Times New Roman"/>
          <w:color w:val="000000" w:themeColor="text1"/>
          <w:sz w:val="24"/>
          <w:szCs w:val="24"/>
        </w:rPr>
        <w:t>]. Due to the wide range of industries and uses that granulation is used as a process for, ranging from fertilizer production through to fine chemical manufacture and pharmaceuticals and the differing scales of production ranging from kilograms/day to tones/hour there is a wide range of equipment designed for such uses, each with individual benefits and drawbacks (</w:t>
      </w:r>
      <w:r w:rsidR="0014717E">
        <w:rPr>
          <w:rFonts w:ascii="Times New Roman" w:hAnsi="Times New Roman" w:cs="Times New Roman"/>
          <w:color w:val="000000" w:themeColor="text1"/>
          <w:sz w:val="24"/>
          <w:szCs w:val="24"/>
          <w:lang w:val="en-US"/>
        </w:rPr>
        <w:t>21</w:t>
      </w:r>
      <w:r>
        <w:rPr>
          <w:rFonts w:ascii="Times New Roman" w:hAnsi="Times New Roman" w:cs="Times New Roman"/>
          <w:color w:val="000000" w:themeColor="text1"/>
          <w:sz w:val="24"/>
          <w:szCs w:val="24"/>
        </w:rPr>
        <w:t xml:space="preserve">). </w:t>
      </w:r>
    </w:p>
    <w:p w14:paraId="1481B788" w14:textId="77777777" w:rsidR="00C72795" w:rsidRDefault="0000000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CONCLUSION</w:t>
      </w:r>
    </w:p>
    <w:p w14:paraId="4F6A8E75" w14:textId="77777777" w:rsidR="00C72795" w:rsidRDefault="00000000">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Agglomeration is one of the major operational problems in </w:t>
      </w:r>
      <w:hyperlink r:id="rId15" w:history="1">
        <w:r w:rsidR="00C72795">
          <w:rPr>
            <w:rStyle w:val="Hyperlink"/>
            <w:rFonts w:ascii="Times New Roman" w:hAnsi="Times New Roman" w:cs="Times New Roman"/>
            <w:color w:val="auto"/>
            <w:sz w:val="24"/>
            <w:szCs w:val="24"/>
            <w:u w:val="none"/>
          </w:rPr>
          <w:t>fluidized bed</w:t>
        </w:r>
      </w:hyperlink>
      <w:r>
        <w:rPr>
          <w:rFonts w:ascii="Times New Roman" w:hAnsi="Times New Roman" w:cs="Times New Roman"/>
          <w:sz w:val="24"/>
          <w:szCs w:val="24"/>
        </w:rPr>
        <w:t> system. Agglomerated products are usually made to a specification that requires some knowledge of the use/ functionality of the material required. Many different “properties” can be used within industry to measure the quality of produced granules. the limestone addition was found to result in the formation of calcium silicate (CaSiO</w:t>
      </w:r>
      <w:r>
        <w:rPr>
          <w:rFonts w:ascii="Times New Roman" w:hAnsi="Times New Roman" w:cs="Times New Roman"/>
          <w:sz w:val="24"/>
          <w:szCs w:val="24"/>
          <w:vertAlign w:val="subscript"/>
        </w:rPr>
        <w:t>3</w:t>
      </w:r>
      <w:r>
        <w:rPr>
          <w:rFonts w:ascii="Times New Roman" w:hAnsi="Times New Roman" w:cs="Times New Roman"/>
          <w:sz w:val="24"/>
          <w:szCs w:val="24"/>
        </w:rPr>
        <w:t>), which prevented bed agglomeration to a significant extent. Some examples of properties used are: Size Distribution, Porosity, Attritional ability/ Dusting behavior. Dispersability, Dissolution rate/time, Strength, Shape, Color, Homogenetity. Clustering via aggregation is reversible, whereas clustering via agglomeration is irreversible</w:t>
      </w:r>
      <w:r>
        <w:rPr>
          <w:rFonts w:ascii="Times New Roman" w:hAnsi="Times New Roman" w:cs="Times New Roman"/>
          <w:sz w:val="24"/>
          <w:szCs w:val="24"/>
          <w:lang w:val="en-GB"/>
        </w:rPr>
        <w:t>.</w:t>
      </w:r>
    </w:p>
    <w:p w14:paraId="45E8053B" w14:textId="77777777" w:rsidR="00C72795" w:rsidRDefault="00C72795">
      <w:pPr>
        <w:spacing w:after="0" w:line="240" w:lineRule="auto"/>
        <w:jc w:val="both"/>
        <w:rPr>
          <w:rFonts w:ascii="Times New Roman" w:hAnsi="Times New Roman" w:cs="Times New Roman"/>
          <w:sz w:val="24"/>
          <w:szCs w:val="24"/>
          <w:lang w:val="en-GB"/>
        </w:rPr>
      </w:pPr>
    </w:p>
    <w:p w14:paraId="711D8365" w14:textId="77777777" w:rsidR="00C72795" w:rsidRPr="00056C79" w:rsidRDefault="00000000" w:rsidP="00056C79">
      <w:pPr>
        <w:pStyle w:val="NoSpacing"/>
        <w:jc w:val="both"/>
        <w:rPr>
          <w:rFonts w:ascii="Times New Roman" w:hAnsi="Times New Roman" w:cs="Times New Roman"/>
          <w:b/>
          <w:bCs/>
          <w:sz w:val="24"/>
          <w:szCs w:val="24"/>
        </w:rPr>
      </w:pPr>
      <w:bookmarkStart w:id="0" w:name="_Hlk198031404"/>
      <w:r w:rsidRPr="00056C79">
        <w:rPr>
          <w:rFonts w:ascii="Times New Roman" w:hAnsi="Times New Roman" w:cs="Times New Roman"/>
          <w:b/>
          <w:bCs/>
          <w:sz w:val="24"/>
          <w:szCs w:val="24"/>
        </w:rPr>
        <w:t>Disclaimer (Artificial intelligence)</w:t>
      </w:r>
    </w:p>
    <w:p w14:paraId="1446A72A" w14:textId="77777777" w:rsidR="00C72795" w:rsidRPr="00056C79" w:rsidRDefault="00C72795" w:rsidP="00056C79">
      <w:pPr>
        <w:pStyle w:val="NoSpacing"/>
        <w:jc w:val="both"/>
        <w:rPr>
          <w:rFonts w:ascii="Times New Roman" w:hAnsi="Times New Roman" w:cs="Times New Roman"/>
          <w:sz w:val="24"/>
          <w:szCs w:val="24"/>
        </w:rPr>
      </w:pPr>
    </w:p>
    <w:p w14:paraId="7587B844" w14:textId="77777777" w:rsidR="00C72795" w:rsidRPr="00056C79" w:rsidRDefault="00000000" w:rsidP="00056C79">
      <w:pPr>
        <w:pStyle w:val="NoSpacing"/>
        <w:jc w:val="both"/>
        <w:rPr>
          <w:rFonts w:ascii="Times New Roman" w:hAnsi="Times New Roman" w:cs="Times New Roman"/>
          <w:sz w:val="24"/>
          <w:szCs w:val="24"/>
        </w:rPr>
      </w:pPr>
      <w:r w:rsidRPr="00056C79">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bookmarkEnd w:id="0"/>
    <w:p w14:paraId="2648DC46" w14:textId="77777777" w:rsidR="00C72795" w:rsidRDefault="00C72795">
      <w:pPr>
        <w:spacing w:after="0" w:line="240" w:lineRule="auto"/>
        <w:jc w:val="both"/>
        <w:rPr>
          <w:rFonts w:ascii="Times New Roman" w:hAnsi="Times New Roman" w:cs="Times New Roman"/>
          <w:sz w:val="24"/>
          <w:szCs w:val="24"/>
        </w:rPr>
      </w:pPr>
    </w:p>
    <w:p w14:paraId="543733AF" w14:textId="77777777" w:rsidR="00C72795"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REFFERENCE</w:t>
      </w:r>
    </w:p>
    <w:p w14:paraId="4D59F250" w14:textId="77777777" w:rsidR="00304668" w:rsidRDefault="0014717E">
      <w:pPr>
        <w:spacing w:after="0" w:line="240" w:lineRule="auto"/>
        <w:ind w:left="567" w:hanging="567"/>
        <w:jc w:val="both"/>
        <w:rPr>
          <w:rFonts w:ascii="Times New Roman" w:hAnsi="Times New Roman" w:cs="Times New Roman"/>
          <w:sz w:val="24"/>
          <w:szCs w:val="24"/>
          <w:lang w:val="en-US"/>
        </w:rPr>
      </w:pPr>
      <w:r w:rsidRPr="0014717E">
        <w:rPr>
          <w:rFonts w:ascii="Times New Roman" w:hAnsi="Times New Roman" w:cs="Times New Roman"/>
          <w:sz w:val="24"/>
          <w:szCs w:val="24"/>
        </w:rPr>
        <w:t>Bouffard SC (2005) Review of agglomeration practice and fundamentals in heap leaching. Min</w:t>
      </w:r>
      <w:r w:rsidR="00304668">
        <w:rPr>
          <w:rFonts w:ascii="Times New Roman" w:hAnsi="Times New Roman" w:cs="Times New Roman"/>
          <w:sz w:val="24"/>
          <w:szCs w:val="24"/>
          <w:lang w:val="en-US"/>
        </w:rPr>
        <w:t>eral</w:t>
      </w:r>
      <w:r w:rsidRPr="0014717E">
        <w:rPr>
          <w:rFonts w:ascii="Times New Roman" w:hAnsi="Times New Roman" w:cs="Times New Roman"/>
          <w:sz w:val="24"/>
          <w:szCs w:val="24"/>
        </w:rPr>
        <w:t xml:space="preserve"> Process Extract Metal Rev</w:t>
      </w:r>
      <w:r w:rsidR="00304668">
        <w:rPr>
          <w:rFonts w:ascii="Times New Roman" w:hAnsi="Times New Roman" w:cs="Times New Roman"/>
          <w:sz w:val="24"/>
          <w:szCs w:val="24"/>
          <w:lang w:val="en-US"/>
        </w:rPr>
        <w:t>iew</w:t>
      </w:r>
      <w:r w:rsidRPr="0014717E">
        <w:rPr>
          <w:rFonts w:ascii="Times New Roman" w:hAnsi="Times New Roman" w:cs="Times New Roman"/>
          <w:sz w:val="24"/>
          <w:szCs w:val="24"/>
        </w:rPr>
        <w:t xml:space="preserve"> 26(3-4):233–294</w:t>
      </w:r>
      <w:r w:rsidR="00304668">
        <w:rPr>
          <w:rFonts w:ascii="Times New Roman" w:hAnsi="Times New Roman" w:cs="Times New Roman"/>
          <w:sz w:val="24"/>
          <w:szCs w:val="24"/>
          <w:lang w:val="en-US"/>
        </w:rPr>
        <w:t>.</w:t>
      </w:r>
    </w:p>
    <w:p w14:paraId="4730DAD3" w14:textId="4F52D215" w:rsidR="0014717E" w:rsidRPr="00304668" w:rsidRDefault="00304668">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04668">
        <w:rPr>
          <w:rFonts w:ascii="Times New Roman" w:hAnsi="Times New Roman" w:cs="Times New Roman"/>
          <w:sz w:val="24"/>
          <w:szCs w:val="24"/>
        </w:rPr>
        <w:t>DOI:</w:t>
      </w:r>
      <w:hyperlink r:id="rId16" w:tgtFrame="_blank" w:history="1">
        <w:r w:rsidRPr="00304668">
          <w:rPr>
            <w:rStyle w:val="Hyperlink"/>
            <w:rFonts w:ascii="Times New Roman" w:hAnsi="Times New Roman" w:cs="Times New Roman"/>
            <w:sz w:val="24"/>
            <w:szCs w:val="24"/>
          </w:rPr>
          <w:t>10.13140/RG.2.1.3645.8489</w:t>
        </w:r>
      </w:hyperlink>
    </w:p>
    <w:p w14:paraId="4658260D" w14:textId="77777777" w:rsidR="00304668" w:rsidRDefault="00000000">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lastRenderedPageBreak/>
        <w:t>Dong fang Li, Xiao Qu, Junjie Li, </w:t>
      </w:r>
      <w:bookmarkStart w:id="1" w:name="bau4-profile"/>
      <w:r>
        <w:rPr>
          <w:rFonts w:ascii="Times New Roman" w:hAnsi="Times New Roman" w:cs="Times New Roman"/>
          <w:sz w:val="24"/>
          <w:szCs w:val="24"/>
        </w:rPr>
        <w:fldChar w:fldCharType="begin"/>
      </w:r>
      <w:r>
        <w:rPr>
          <w:rFonts w:ascii="Times New Roman" w:hAnsi="Times New Roman" w:cs="Times New Roman"/>
          <w:sz w:val="24"/>
          <w:szCs w:val="24"/>
        </w:rPr>
        <w:instrText>HYPERLINK "https://www.sciencedirect.com/author/57252820400/suck-won-hong"</w:instrText>
      </w:r>
      <w:r>
        <w:rPr>
          <w:rFonts w:ascii="Times New Roman" w:hAnsi="Times New Roman" w:cs="Times New Roman"/>
          <w:sz w:val="24"/>
          <w:szCs w:val="24"/>
        </w:rPr>
      </w:r>
      <w:r>
        <w:rPr>
          <w:rFonts w:ascii="Times New Roman" w:hAnsi="Times New Roman" w:cs="Times New Roman"/>
          <w:sz w:val="24"/>
          <w:szCs w:val="24"/>
        </w:rPr>
        <w:fldChar w:fldCharType="separate"/>
      </w:r>
      <w:r>
        <w:rPr>
          <w:rStyle w:val="Hyperlink"/>
          <w:rFonts w:ascii="Times New Roman" w:hAnsi="Times New Roman" w:cs="Times New Roman"/>
          <w:color w:val="auto"/>
          <w:sz w:val="24"/>
          <w:szCs w:val="24"/>
          <w:u w:val="none"/>
        </w:rPr>
        <w:t>Suck Won Hong</w:t>
      </w:r>
      <w:r>
        <w:rPr>
          <w:rFonts w:ascii="Times New Roman" w:hAnsi="Times New Roman" w:cs="Times New Roman"/>
          <w:sz w:val="24"/>
          <w:szCs w:val="24"/>
        </w:rPr>
        <w:fldChar w:fldCharType="end"/>
      </w:r>
      <w:bookmarkEnd w:id="1"/>
      <w:r>
        <w:rPr>
          <w:rFonts w:ascii="Times New Roman" w:hAnsi="Times New Roman" w:cs="Times New Roman"/>
          <w:sz w:val="24"/>
          <w:szCs w:val="24"/>
        </w:rPr>
        <w:t>, </w:t>
      </w:r>
      <w:bookmarkStart w:id="2" w:name="bau5-profile"/>
      <w:r>
        <w:rPr>
          <w:rFonts w:ascii="Times New Roman" w:hAnsi="Times New Roman" w:cs="Times New Roman"/>
          <w:sz w:val="24"/>
          <w:szCs w:val="24"/>
        </w:rPr>
        <w:fldChar w:fldCharType="begin"/>
      </w:r>
      <w:r>
        <w:rPr>
          <w:rFonts w:ascii="Times New Roman" w:hAnsi="Times New Roman" w:cs="Times New Roman"/>
          <w:sz w:val="24"/>
          <w:szCs w:val="24"/>
        </w:rPr>
        <w:instrText>HYPERLINK "https://www.sciencedirect.com/author/7006894320/chunghwan-jeon"</w:instrText>
      </w:r>
      <w:r>
        <w:rPr>
          <w:rFonts w:ascii="Times New Roman" w:hAnsi="Times New Roman" w:cs="Times New Roman"/>
          <w:sz w:val="24"/>
          <w:szCs w:val="24"/>
        </w:rPr>
      </w:r>
      <w:r>
        <w:rPr>
          <w:rFonts w:ascii="Times New Roman" w:hAnsi="Times New Roman" w:cs="Times New Roman"/>
          <w:sz w:val="24"/>
          <w:szCs w:val="24"/>
        </w:rPr>
        <w:fldChar w:fldCharType="separate"/>
      </w:r>
      <w:r>
        <w:rPr>
          <w:rStyle w:val="Hyperlink"/>
          <w:rFonts w:ascii="Times New Roman" w:hAnsi="Times New Roman" w:cs="Times New Roman"/>
          <w:color w:val="auto"/>
          <w:sz w:val="24"/>
          <w:szCs w:val="24"/>
          <w:u w:val="none"/>
        </w:rPr>
        <w:t>Chung-hwan Jeon</w:t>
      </w:r>
      <w:r>
        <w:rPr>
          <w:rFonts w:ascii="Times New Roman" w:hAnsi="Times New Roman" w:cs="Times New Roman"/>
          <w:sz w:val="24"/>
          <w:szCs w:val="24"/>
        </w:rPr>
        <w:fldChar w:fldCharType="end"/>
      </w:r>
      <w:bookmarkEnd w:id="2"/>
      <w:r>
        <w:rPr>
          <w:rFonts w:ascii="Times New Roman" w:hAnsi="Times New Roman" w:cs="Times New Roman"/>
          <w:sz w:val="24"/>
          <w:szCs w:val="24"/>
        </w:rPr>
        <w:t xml:space="preserve">. 2022. Microstructural   development of product layer during limestone sulfation and its relationship to agglomeration in large-scale CFB boiler. </w:t>
      </w:r>
      <w:hyperlink r:id="rId17" w:tooltip="Go to Energy on ScienceDirect" w:history="1">
        <w:r w:rsidR="00C72795">
          <w:rPr>
            <w:rStyle w:val="Hyperlink"/>
            <w:rFonts w:ascii="Times New Roman" w:hAnsi="Times New Roman" w:cs="Times New Roman"/>
            <w:color w:val="auto"/>
            <w:sz w:val="24"/>
            <w:szCs w:val="24"/>
            <w:u w:val="none"/>
          </w:rPr>
          <w:t>Energy</w:t>
        </w:r>
      </w:hyperlink>
      <w:r>
        <w:rPr>
          <w:rFonts w:ascii="Times New Roman" w:hAnsi="Times New Roman" w:cs="Times New Roman"/>
          <w:sz w:val="24"/>
          <w:szCs w:val="24"/>
        </w:rPr>
        <w:t xml:space="preserve">. </w:t>
      </w:r>
      <w:hyperlink r:id="rId18" w:tooltip="Go to table of contents for this volume/issue" w:history="1">
        <w:r w:rsidR="00C72795">
          <w:rPr>
            <w:rStyle w:val="Hyperlink"/>
            <w:rFonts w:ascii="Times New Roman" w:hAnsi="Times New Roman" w:cs="Times New Roman"/>
            <w:color w:val="auto"/>
            <w:sz w:val="24"/>
            <w:szCs w:val="24"/>
            <w:u w:val="none"/>
          </w:rPr>
          <w:t>238, Part C</w:t>
        </w:r>
      </w:hyperlink>
      <w:r>
        <w:rPr>
          <w:rFonts w:ascii="Times New Roman" w:hAnsi="Times New Roman" w:cs="Times New Roman"/>
          <w:sz w:val="24"/>
          <w:szCs w:val="24"/>
        </w:rPr>
        <w:t>; 121872</w:t>
      </w:r>
      <w:r w:rsidR="00304668">
        <w:rPr>
          <w:rFonts w:ascii="Times New Roman" w:hAnsi="Times New Roman" w:cs="Times New Roman"/>
          <w:sz w:val="24"/>
          <w:szCs w:val="24"/>
          <w:lang w:val="en-US"/>
        </w:rPr>
        <w:t xml:space="preserve">. </w:t>
      </w:r>
    </w:p>
    <w:p w14:paraId="64C69AA3" w14:textId="3F3820DF" w:rsidR="00C72795" w:rsidRPr="00304668" w:rsidRDefault="00304668">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04668">
        <w:rPr>
          <w:rFonts w:ascii="Times New Roman" w:hAnsi="Times New Roman" w:cs="Times New Roman"/>
          <w:color w:val="000000" w:themeColor="text1"/>
          <w:sz w:val="24"/>
          <w:szCs w:val="24"/>
        </w:rPr>
        <w:t>DOI: </w:t>
      </w:r>
      <w:hyperlink r:id="rId19" w:history="1">
        <w:r w:rsidRPr="00304668">
          <w:rPr>
            <w:rStyle w:val="Hyperlink"/>
            <w:rFonts w:ascii="Times New Roman" w:hAnsi="Times New Roman" w:cs="Times New Roman"/>
            <w:color w:val="000000" w:themeColor="text1"/>
            <w:sz w:val="24"/>
            <w:szCs w:val="24"/>
            <w:u w:val="none"/>
          </w:rPr>
          <w:t>10.1016/j.energy.2021.121872</w:t>
        </w:r>
      </w:hyperlink>
    </w:p>
    <w:p w14:paraId="322745CB" w14:textId="77777777" w:rsidR="00C72795" w:rsidRDefault="0000000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P.C. Knight. 2001. </w:t>
      </w:r>
      <w:hyperlink r:id="rId20" w:history="1">
        <w:r w:rsidR="00C72795">
          <w:rPr>
            <w:rStyle w:val="Hyperlink"/>
            <w:rFonts w:ascii="Times New Roman" w:hAnsi="Times New Roman" w:cs="Times New Roman"/>
            <w:color w:val="000000" w:themeColor="text1"/>
            <w:sz w:val="24"/>
            <w:szCs w:val="24"/>
            <w:u w:val="none"/>
          </w:rPr>
          <w:t>Structuring agglomerated products for improved performance</w:t>
        </w:r>
      </w:hyperlink>
      <w:r>
        <w:rPr>
          <w:rFonts w:ascii="Times New Roman" w:hAnsi="Times New Roman" w:cs="Times New Roman"/>
          <w:color w:val="000000" w:themeColor="text1"/>
          <w:sz w:val="24"/>
          <w:szCs w:val="24"/>
        </w:rPr>
        <w:t xml:space="preserve">. Powder Technolology. </w:t>
      </w:r>
      <w:hyperlink r:id="rId21" w:tooltip="Go to table of contents for this volume/issue" w:history="1">
        <w:r w:rsidR="00C72795">
          <w:rPr>
            <w:rStyle w:val="Hyperlink"/>
            <w:rFonts w:ascii="Times New Roman" w:hAnsi="Times New Roman" w:cs="Times New Roman"/>
            <w:color w:val="000000" w:themeColor="text1"/>
            <w:sz w:val="24"/>
            <w:szCs w:val="24"/>
            <w:u w:val="none"/>
          </w:rPr>
          <w:t>1199(1</w:t>
        </w:r>
      </w:hyperlink>
      <w:r>
        <w:rPr>
          <w:rFonts w:ascii="Times New Roman" w:hAnsi="Times New Roman" w:cs="Times New Roman"/>
          <w:color w:val="000000" w:themeColor="text1"/>
          <w:sz w:val="24"/>
          <w:szCs w:val="24"/>
        </w:rPr>
        <w:t xml:space="preserve">); 14-25. </w:t>
      </w:r>
      <w:hyperlink r:id="rId22" w:tgtFrame="_blank" w:tooltip="Persistent link using digital object identifier" w:history="1">
        <w:r w:rsidR="00C72795">
          <w:rPr>
            <w:rStyle w:val="Hyperlink"/>
            <w:rFonts w:ascii="Times New Roman" w:hAnsi="Times New Roman" w:cs="Times New Roman"/>
            <w:color w:val="000000" w:themeColor="text1"/>
            <w:sz w:val="24"/>
            <w:szCs w:val="24"/>
            <w:u w:val="none"/>
          </w:rPr>
          <w:t>https://doi.org/10.1016/S0032-5910(01)00400-4</w:t>
        </w:r>
      </w:hyperlink>
      <w:r>
        <w:rPr>
          <w:rFonts w:ascii="Times New Roman" w:hAnsi="Times New Roman" w:cs="Times New Roman"/>
          <w:color w:val="000000" w:themeColor="text1"/>
          <w:sz w:val="24"/>
          <w:szCs w:val="24"/>
        </w:rPr>
        <w:t>.</w:t>
      </w:r>
    </w:p>
    <w:p w14:paraId="67D4B083" w14:textId="7491114B" w:rsidR="00056C79" w:rsidRDefault="00056C79">
      <w:pPr>
        <w:spacing w:after="0" w:line="240" w:lineRule="auto"/>
        <w:ind w:left="567" w:hanging="567"/>
        <w:jc w:val="both"/>
        <w:rPr>
          <w:rFonts w:ascii="Times New Roman" w:hAnsi="Times New Roman" w:cs="Times New Roman"/>
          <w:sz w:val="24"/>
          <w:szCs w:val="24"/>
          <w:lang w:val="en-US"/>
        </w:rPr>
      </w:pPr>
      <w:r w:rsidRPr="00056C79">
        <w:rPr>
          <w:rFonts w:ascii="Times New Roman" w:hAnsi="Times New Roman" w:cs="Times New Roman"/>
          <w:sz w:val="24"/>
          <w:szCs w:val="24"/>
        </w:rPr>
        <w:t>Chamberlin PD</w:t>
      </w:r>
      <w:r w:rsidR="0014717E">
        <w:rPr>
          <w:rFonts w:ascii="Times New Roman" w:hAnsi="Times New Roman" w:cs="Times New Roman"/>
          <w:sz w:val="24"/>
          <w:szCs w:val="24"/>
          <w:lang w:val="en-US"/>
        </w:rPr>
        <w:t>.</w:t>
      </w:r>
      <w:r w:rsidRPr="00056C79">
        <w:rPr>
          <w:rFonts w:ascii="Times New Roman" w:hAnsi="Times New Roman" w:cs="Times New Roman"/>
          <w:sz w:val="24"/>
          <w:szCs w:val="24"/>
        </w:rPr>
        <w:t>1986</w:t>
      </w:r>
      <w:r w:rsidR="0014717E">
        <w:rPr>
          <w:rFonts w:ascii="Times New Roman" w:hAnsi="Times New Roman" w:cs="Times New Roman"/>
          <w:sz w:val="24"/>
          <w:szCs w:val="24"/>
          <w:lang w:val="en-US"/>
        </w:rPr>
        <w:t>.</w:t>
      </w:r>
      <w:r w:rsidRPr="00056C79">
        <w:rPr>
          <w:rFonts w:ascii="Times New Roman" w:hAnsi="Times New Roman" w:cs="Times New Roman"/>
          <w:sz w:val="24"/>
          <w:szCs w:val="24"/>
        </w:rPr>
        <w:t xml:space="preserve"> Agglomeration: cheap insurance for good recovery when heap leaching gold and silver ores. Mining Eng</w:t>
      </w:r>
      <w:r w:rsidR="00304668">
        <w:rPr>
          <w:rFonts w:ascii="Times New Roman" w:hAnsi="Times New Roman" w:cs="Times New Roman"/>
          <w:sz w:val="24"/>
          <w:szCs w:val="24"/>
          <w:lang w:val="en-US"/>
        </w:rPr>
        <w:t>ineering</w:t>
      </w:r>
      <w:r w:rsidRPr="00056C79">
        <w:rPr>
          <w:rFonts w:ascii="Times New Roman" w:hAnsi="Times New Roman" w:cs="Times New Roman"/>
          <w:sz w:val="24"/>
          <w:szCs w:val="24"/>
        </w:rPr>
        <w:t xml:space="preserve"> 38(12):1105–1109</w:t>
      </w:r>
    </w:p>
    <w:p w14:paraId="27AD49C6" w14:textId="0C7E6426" w:rsidR="00C72795" w:rsidRDefault="0000000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Ӧzer, Mustafa, Omar M. Basha and Badie Morsi. 2017. Coal Agglomeration Precesses. International Journal of Coal Preparation and Utilization. Istanbul Technical University. </w:t>
      </w:r>
      <w:hyperlink r:id="rId23" w:history="1">
        <w:r w:rsidR="00C72795">
          <w:rPr>
            <w:rStyle w:val="Hyperlink"/>
            <w:rFonts w:ascii="Times New Roman" w:hAnsi="Times New Roman" w:cs="Times New Roman"/>
            <w:color w:val="000000" w:themeColor="text1"/>
            <w:sz w:val="24"/>
            <w:szCs w:val="24"/>
            <w:u w:val="none"/>
          </w:rPr>
          <w:t>https://doi.org/10.1080/19392699.2016.1142443</w:t>
        </w:r>
      </w:hyperlink>
    </w:p>
    <w:p w14:paraId="3DF40047" w14:textId="77777777" w:rsidR="00C72795" w:rsidRDefault="0000000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Poertadji, Suhardjo, Nukman dan Muhammad Hikam. 2006. Pengaruh Aglomerasi Air-Minyak Sawit Terhadap Kadar Karbon Dan Nilai Kalori Batubara Semi-Antrasit, Bituminus Dan Sub-Bituminus. Jurnal Sains Materi Indonesia.Vol. 7, No. 3. FMIPA – UI.</w:t>
      </w:r>
    </w:p>
    <w:p w14:paraId="54BB8B58" w14:textId="77777777" w:rsidR="00C72795" w:rsidRDefault="0000000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Rauf, Adi Setiawan, Sri Widodo dan Alfian Nawir. 2018. Peningkatan Nilai Kalori Pada Batubara Lignit Dengan Metode Aglomerasi Air dan Minyak Sawit Pada PT. Indonesia Power UJP PLTU Ba rru. Jurnal Geomine, 6;(3). DOI:</w:t>
      </w:r>
      <w:hyperlink r:id="rId24" w:tgtFrame="_blank" w:history="1">
        <w:r w:rsidR="00C72795">
          <w:rPr>
            <w:rStyle w:val="Hyperlink"/>
            <w:rFonts w:ascii="Times New Roman" w:hAnsi="Times New Roman" w:cs="Times New Roman"/>
            <w:color w:val="000000" w:themeColor="text1"/>
            <w:sz w:val="24"/>
            <w:szCs w:val="24"/>
            <w:u w:val="none"/>
          </w:rPr>
          <w:t>10.33536/jg.v6i3.243</w:t>
        </w:r>
      </w:hyperlink>
      <w:r>
        <w:rPr>
          <w:rFonts w:ascii="Times New Roman" w:hAnsi="Times New Roman" w:cs="Times New Roman"/>
          <w:color w:val="000000" w:themeColor="text1"/>
          <w:sz w:val="24"/>
          <w:szCs w:val="24"/>
        </w:rPr>
        <w:t>.</w:t>
      </w:r>
    </w:p>
    <w:p w14:paraId="39DD89DC" w14:textId="77777777" w:rsidR="00C72795" w:rsidRDefault="0000000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Anand Mohan Yadav, Nikkam Suresh, Abhishek Sundaram, Pravesh Painkra, Ashish Kumar Raja &amp; Md Arshad. 2018. Investigation And Optimization Of The Recovery Of Coal Fines Using Oil Agglomeration Process: Use Of Waste Oils From Different Sectors. Journal of Dispersion Science and Technology doi.org/10.1080/01932691.2017.1414610</w:t>
      </w:r>
    </w:p>
    <w:p w14:paraId="18240338" w14:textId="12AD26F0" w:rsidR="00056C79" w:rsidRPr="00056C79" w:rsidRDefault="00056C79" w:rsidP="00056C79">
      <w:pPr>
        <w:spacing w:after="0" w:line="240" w:lineRule="auto"/>
        <w:ind w:left="567" w:hanging="567"/>
        <w:jc w:val="both"/>
        <w:rPr>
          <w:rFonts w:ascii="Times New Roman" w:hAnsi="Times New Roman" w:cs="Times New Roman"/>
          <w:sz w:val="24"/>
          <w:szCs w:val="24"/>
          <w:lang w:val="en-ID"/>
        </w:rPr>
      </w:pPr>
      <w:r w:rsidRPr="00056C79">
        <w:rPr>
          <w:rFonts w:ascii="Times New Roman" w:hAnsi="Times New Roman" w:cs="Times New Roman"/>
          <w:sz w:val="24"/>
          <w:szCs w:val="24"/>
        </w:rPr>
        <w:t>Guzman, A., Korsikas, S.S., Olson, T. </w:t>
      </w:r>
      <w:r>
        <w:rPr>
          <w:rFonts w:ascii="Times New Roman" w:hAnsi="Times New Roman" w:cs="Times New Roman"/>
          <w:color w:val="000000" w:themeColor="text1"/>
          <w:sz w:val="24"/>
          <w:szCs w:val="24"/>
          <w:lang w:val="en-ID"/>
        </w:rPr>
        <w:t>and</w:t>
      </w:r>
      <w:r w:rsidRPr="00056C79">
        <w:rPr>
          <w:rFonts w:ascii="Times New Roman" w:hAnsi="Times New Roman" w:cs="Times New Roman"/>
          <w:color w:val="000000" w:themeColor="text1"/>
          <w:sz w:val="24"/>
          <w:szCs w:val="24"/>
          <w:lang w:val="en-ID"/>
        </w:rPr>
        <w:t> </w:t>
      </w:r>
      <w:hyperlink r:id="rId25" w:anchor="auth-Yuri_O_-Zepeda_P_-Aff2" w:history="1">
        <w:r w:rsidRPr="00056C79">
          <w:rPr>
            <w:rStyle w:val="Hyperlink"/>
            <w:rFonts w:ascii="Times New Roman" w:hAnsi="Times New Roman" w:cs="Times New Roman"/>
            <w:color w:val="000000" w:themeColor="text1"/>
            <w:sz w:val="24"/>
            <w:szCs w:val="24"/>
            <w:u w:val="none"/>
            <w:lang w:val="en-ID"/>
          </w:rPr>
          <w:t>Yuri O. Zepeda P</w:t>
        </w:r>
      </w:hyperlink>
      <w:r w:rsidRPr="00056C79">
        <w:rPr>
          <w:rFonts w:ascii="Times New Roman" w:hAnsi="Times New Roman" w:cs="Times New Roman"/>
          <w:i/>
          <w:iCs/>
          <w:sz w:val="24"/>
          <w:szCs w:val="24"/>
        </w:rPr>
        <w:t>.</w:t>
      </w:r>
      <w:r w:rsidRPr="00056C79">
        <w:rPr>
          <w:rFonts w:ascii="Times New Roman" w:hAnsi="Times New Roman" w:cs="Times New Roman"/>
          <w:sz w:val="24"/>
          <w:szCs w:val="24"/>
        </w:rPr>
        <w:t> </w:t>
      </w:r>
      <w:r>
        <w:rPr>
          <w:rFonts w:ascii="Times New Roman" w:hAnsi="Times New Roman" w:cs="Times New Roman"/>
          <w:sz w:val="24"/>
          <w:szCs w:val="24"/>
          <w:lang w:val="en-US"/>
        </w:rPr>
        <w:t xml:space="preserve">2024. </w:t>
      </w:r>
      <w:r w:rsidRPr="00056C79">
        <w:rPr>
          <w:rFonts w:ascii="Times New Roman" w:hAnsi="Times New Roman" w:cs="Times New Roman"/>
          <w:sz w:val="24"/>
          <w:szCs w:val="24"/>
        </w:rPr>
        <w:t>Agglomeration Scale: A Method to Improve Leaching Performance. Mining, Metallurgy &amp; Exploration </w:t>
      </w:r>
      <w:r w:rsidRPr="00056C79">
        <w:rPr>
          <w:rFonts w:ascii="Times New Roman" w:hAnsi="Times New Roman" w:cs="Times New Roman"/>
          <w:b/>
          <w:bCs/>
          <w:sz w:val="24"/>
          <w:szCs w:val="24"/>
        </w:rPr>
        <w:t>41</w:t>
      </w:r>
      <w:r w:rsidRPr="00056C79">
        <w:rPr>
          <w:rFonts w:ascii="Times New Roman" w:hAnsi="Times New Roman" w:cs="Times New Roman"/>
          <w:sz w:val="24"/>
          <w:szCs w:val="24"/>
        </w:rPr>
        <w:t>, 501–514.</w:t>
      </w:r>
      <w:r>
        <w:rPr>
          <w:rFonts w:ascii="Times New Roman" w:hAnsi="Times New Roman" w:cs="Times New Roman"/>
          <w:sz w:val="24"/>
          <w:szCs w:val="24"/>
          <w:lang w:val="en-ID"/>
        </w:rPr>
        <w:t xml:space="preserve"> </w:t>
      </w:r>
      <w:hyperlink r:id="rId26" w:history="1">
        <w:r w:rsidRPr="00304668">
          <w:rPr>
            <w:rStyle w:val="Hyperlink"/>
            <w:rFonts w:ascii="Times New Roman" w:hAnsi="Times New Roman" w:cs="Times New Roman"/>
            <w:color w:val="000000" w:themeColor="text1"/>
            <w:sz w:val="24"/>
            <w:szCs w:val="24"/>
            <w:u w:val="none"/>
          </w:rPr>
          <w:t>https://doi.org/10.1007/s42461-024-00920-8</w:t>
        </w:r>
      </w:hyperlink>
    </w:p>
    <w:p w14:paraId="02FE7D11" w14:textId="5FD20C05" w:rsidR="00C72795" w:rsidRDefault="00000000">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Carbini, P., R. Ciccu, M. Ghiani, and F. Satta. 2012. Agglomeration of coals of different rank using mixtures of oils. Coal Preparation 11: 11–19.</w:t>
      </w:r>
      <w:r>
        <w:rPr>
          <w:rFonts w:ascii="Times New Roman" w:hAnsi="Times New Roman" w:cs="Times New Roman"/>
          <w:sz w:val="24"/>
          <w:szCs w:val="24"/>
          <w:lang w:val="en-US"/>
        </w:rPr>
        <w:t xml:space="preserve"> DOI.</w:t>
      </w:r>
      <w:hyperlink r:id="rId27" w:tgtFrame="_blank" w:history="1">
        <w:r w:rsidR="00C72795">
          <w:rPr>
            <w:rStyle w:val="Hyperlink"/>
            <w:rFonts w:ascii="Times New Roman" w:hAnsi="Times New Roman" w:cs="Times New Roman"/>
            <w:color w:val="000000" w:themeColor="text1"/>
            <w:sz w:val="24"/>
            <w:szCs w:val="24"/>
            <w:u w:val="none"/>
          </w:rPr>
          <w:t>10.4324/9780203747117-30</w:t>
        </w:r>
      </w:hyperlink>
    </w:p>
    <w:p w14:paraId="7FD58869" w14:textId="77777777" w:rsidR="00183D2D" w:rsidRDefault="00000000">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David W. Guy, </w:t>
      </w:r>
      <w:bookmarkStart w:id="3" w:name="baep-author-id2-profile"/>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HYPERLINK "https://www.sciencedirect.com/author/7402584681/russell-j-crawford"</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Style w:val="Hyperlink"/>
          <w:rFonts w:ascii="Times New Roman" w:hAnsi="Times New Roman" w:cs="Times New Roman"/>
          <w:color w:val="000000" w:themeColor="text1"/>
          <w:sz w:val="24"/>
          <w:szCs w:val="24"/>
          <w:u w:val="none"/>
        </w:rPr>
        <w:t>Russell J. Crawford</w:t>
      </w:r>
      <w:r>
        <w:rPr>
          <w:rFonts w:ascii="Times New Roman" w:hAnsi="Times New Roman" w:cs="Times New Roman"/>
          <w:color w:val="000000" w:themeColor="text1"/>
          <w:sz w:val="24"/>
          <w:szCs w:val="24"/>
        </w:rPr>
        <w:fldChar w:fldCharType="end"/>
      </w:r>
      <w:bookmarkEnd w:id="3"/>
      <w:r>
        <w:rPr>
          <w:rFonts w:ascii="Times New Roman" w:hAnsi="Times New Roman" w:cs="Times New Roman"/>
          <w:color w:val="000000" w:themeColor="text1"/>
          <w:sz w:val="24"/>
          <w:szCs w:val="24"/>
        </w:rPr>
        <w:t>, </w:t>
      </w:r>
      <w:bookmarkStart w:id="4" w:name="baep-author-id3-profile"/>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HYPERLINK "https://www.sciencedirect.com/author/36854055700/david-edward-mainwaring"</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Style w:val="Hyperlink"/>
          <w:rFonts w:ascii="Times New Roman" w:hAnsi="Times New Roman" w:cs="Times New Roman"/>
          <w:color w:val="000000" w:themeColor="text1"/>
          <w:sz w:val="24"/>
          <w:szCs w:val="24"/>
          <w:u w:val="none"/>
        </w:rPr>
        <w:t>David E. Mainwaring</w:t>
      </w:r>
      <w:r>
        <w:rPr>
          <w:rFonts w:ascii="Times New Roman" w:hAnsi="Times New Roman" w:cs="Times New Roman"/>
          <w:color w:val="000000" w:themeColor="text1"/>
          <w:sz w:val="24"/>
          <w:szCs w:val="24"/>
        </w:rPr>
        <w:fldChar w:fldCharType="end"/>
      </w:r>
      <w:bookmarkEnd w:id="4"/>
      <w:r>
        <w:rPr>
          <w:rFonts w:ascii="Times New Roman" w:hAnsi="Times New Roman" w:cs="Times New Roman"/>
          <w:sz w:val="24"/>
          <w:szCs w:val="24"/>
        </w:rPr>
        <w:t xml:space="preserve">. 2012. The role of surface thermodynamic properties in the agglomeration of coals. </w:t>
      </w:r>
      <w:hyperlink r:id="rId28" w:tooltip="Go to Fuel on ScienceDirect" w:history="1">
        <w:r w:rsidR="00C72795">
          <w:rPr>
            <w:rStyle w:val="Hyperlink"/>
            <w:rFonts w:ascii="Times New Roman" w:hAnsi="Times New Roman" w:cs="Times New Roman"/>
            <w:color w:val="000000" w:themeColor="text1"/>
            <w:sz w:val="24"/>
            <w:szCs w:val="24"/>
            <w:u w:val="none"/>
          </w:rPr>
          <w:t>Fuel</w:t>
        </w:r>
      </w:hyperlink>
      <w:r>
        <w:rPr>
          <w:rFonts w:ascii="Times New Roman" w:hAnsi="Times New Roman" w:cs="Times New Roman"/>
          <w:color w:val="000000" w:themeColor="text1"/>
          <w:sz w:val="24"/>
          <w:szCs w:val="24"/>
        </w:rPr>
        <w:t xml:space="preserve">. </w:t>
      </w:r>
      <w:hyperlink r:id="rId29" w:tooltip="Go to table of contents for this volume/issue" w:history="1">
        <w:r w:rsidR="00C72795">
          <w:rPr>
            <w:rStyle w:val="Hyperlink"/>
            <w:rFonts w:ascii="Times New Roman" w:hAnsi="Times New Roman" w:cs="Times New Roman"/>
            <w:color w:val="000000" w:themeColor="text1"/>
            <w:sz w:val="24"/>
            <w:szCs w:val="24"/>
            <w:u w:val="none"/>
          </w:rPr>
          <w:t>71(8</w:t>
        </w:r>
      </w:hyperlink>
      <w:r>
        <w:rPr>
          <w:rFonts w:ascii="Times New Roman" w:hAnsi="Times New Roman" w:cs="Times New Roman"/>
          <w:color w:val="000000" w:themeColor="text1"/>
          <w:sz w:val="24"/>
          <w:szCs w:val="24"/>
        </w:rPr>
        <w:t>)</w:t>
      </w:r>
      <w:r>
        <w:rPr>
          <w:rFonts w:ascii="Times New Roman" w:hAnsi="Times New Roman" w:cs="Times New Roman"/>
          <w:sz w:val="24"/>
          <w:szCs w:val="24"/>
        </w:rPr>
        <w:t xml:space="preserve">;935-939. </w:t>
      </w:r>
    </w:p>
    <w:p w14:paraId="781094DE" w14:textId="56C67A45" w:rsidR="00C72795" w:rsidRDefault="00183D2D">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lang w:val="en-US"/>
        </w:rPr>
        <w:t xml:space="preserve">          </w:t>
      </w:r>
      <w:hyperlink r:id="rId30" w:history="1">
        <w:r w:rsidRPr="00FC3D40">
          <w:rPr>
            <w:rStyle w:val="Hyperlink"/>
            <w:rFonts w:ascii="Times New Roman" w:hAnsi="Times New Roman" w:cs="Times New Roman"/>
            <w:sz w:val="24"/>
            <w:szCs w:val="24"/>
          </w:rPr>
          <w:t>https://doi.org/10.1016/0016-2361(92)90245-J</w:t>
        </w:r>
      </w:hyperlink>
      <w:r w:rsidR="00000000">
        <w:rPr>
          <w:rFonts w:ascii="Times New Roman" w:hAnsi="Times New Roman" w:cs="Times New Roman"/>
          <w:color w:val="000000" w:themeColor="text1"/>
          <w:sz w:val="24"/>
          <w:szCs w:val="24"/>
        </w:rPr>
        <w:t>.</w:t>
      </w:r>
    </w:p>
    <w:p w14:paraId="4F2F2B70" w14:textId="51584210" w:rsidR="00786C92" w:rsidRPr="00786C92" w:rsidRDefault="00786C92" w:rsidP="00786C92">
      <w:pPr>
        <w:spacing w:after="0" w:line="240" w:lineRule="auto"/>
        <w:ind w:left="567" w:hanging="567"/>
        <w:jc w:val="both"/>
        <w:rPr>
          <w:rFonts w:ascii="Times New Roman" w:hAnsi="Times New Roman" w:cs="Times New Roman"/>
          <w:color w:val="000000" w:themeColor="text1"/>
          <w:sz w:val="24"/>
          <w:szCs w:val="24"/>
          <w:lang w:val="en-ID"/>
        </w:rPr>
      </w:pPr>
      <w:r w:rsidRPr="00786C92">
        <w:rPr>
          <w:rFonts w:ascii="Times New Roman" w:hAnsi="Times New Roman" w:cs="Times New Roman"/>
          <w:sz w:val="24"/>
          <w:szCs w:val="24"/>
        </w:rPr>
        <w:t>Pinghua Huang, Mengke Cui, Shuangwei Chai, Yuanmeng Li, Yanni Zhang, Zhiheng Yu, Wanyu Peng</w:t>
      </w:r>
      <w:r>
        <w:rPr>
          <w:rFonts w:ascii="Times New Roman" w:hAnsi="Times New Roman" w:cs="Times New Roman"/>
          <w:sz w:val="24"/>
          <w:szCs w:val="24"/>
          <w:lang w:val="en-US"/>
        </w:rPr>
        <w:t xml:space="preserve">. 2024. </w:t>
      </w:r>
      <w:r w:rsidRPr="00786C92">
        <w:rPr>
          <w:rFonts w:ascii="Times New Roman" w:hAnsi="Times New Roman" w:cs="Times New Roman"/>
          <w:sz w:val="24"/>
          <w:szCs w:val="24"/>
          <w:lang w:val="en-ID"/>
        </w:rPr>
        <w:t>Limestone water mixing process and hydrogen and oxygen stable isotope fractionation response under mining action</w:t>
      </w:r>
      <w:r>
        <w:rPr>
          <w:rFonts w:ascii="Times New Roman" w:hAnsi="Times New Roman" w:cs="Times New Roman"/>
          <w:sz w:val="24"/>
          <w:szCs w:val="24"/>
          <w:lang w:val="en-ID"/>
        </w:rPr>
        <w:t xml:space="preserve">. </w:t>
      </w:r>
      <w:hyperlink r:id="rId31" w:tooltip="Go to Environmental Research on ScienceDirect" w:history="1">
        <w:r w:rsidRPr="00786C92">
          <w:rPr>
            <w:rStyle w:val="Hyperlink"/>
            <w:rFonts w:ascii="Times New Roman" w:hAnsi="Times New Roman" w:cs="Times New Roman"/>
            <w:color w:val="000000" w:themeColor="text1"/>
            <w:sz w:val="24"/>
            <w:szCs w:val="24"/>
            <w:u w:val="none"/>
            <w:lang w:val="en-ID"/>
          </w:rPr>
          <w:t>Environmental Research</w:t>
        </w:r>
      </w:hyperlink>
      <w:r w:rsidRPr="00786C92">
        <w:rPr>
          <w:rFonts w:ascii="Times New Roman" w:hAnsi="Times New Roman" w:cs="Times New Roman"/>
          <w:color w:val="000000" w:themeColor="text1"/>
          <w:sz w:val="24"/>
          <w:szCs w:val="24"/>
          <w:lang w:val="en-ID"/>
        </w:rPr>
        <w:t xml:space="preserve"> </w:t>
      </w:r>
      <w:hyperlink r:id="rId32" w:tooltip="Go to table of contents for this volume/issue" w:history="1">
        <w:r w:rsidRPr="00786C92">
          <w:rPr>
            <w:rStyle w:val="Hyperlink"/>
            <w:rFonts w:ascii="Times New Roman" w:hAnsi="Times New Roman" w:cs="Times New Roman"/>
            <w:color w:val="000000" w:themeColor="text1"/>
            <w:sz w:val="24"/>
            <w:szCs w:val="24"/>
            <w:u w:val="none"/>
            <w:lang w:val="en-ID"/>
          </w:rPr>
          <w:t>255</w:t>
        </w:r>
      </w:hyperlink>
      <w:r w:rsidRPr="00786C92">
        <w:rPr>
          <w:rFonts w:ascii="Times New Roman" w:hAnsi="Times New Roman" w:cs="Times New Roman"/>
          <w:sz w:val="24"/>
          <w:szCs w:val="24"/>
          <w:lang w:val="en-ID"/>
        </w:rPr>
        <w:t>,119208</w:t>
      </w:r>
      <w:r>
        <w:rPr>
          <w:rFonts w:ascii="Times New Roman" w:hAnsi="Times New Roman" w:cs="Times New Roman"/>
          <w:sz w:val="24"/>
          <w:szCs w:val="24"/>
          <w:lang w:val="en-ID"/>
        </w:rPr>
        <w:t xml:space="preserve"> </w:t>
      </w:r>
      <w:hyperlink r:id="rId33" w:tgtFrame="_blank" w:tooltip="Persistent link using digital object identifier" w:history="1">
        <w:r w:rsidRPr="00786C92">
          <w:rPr>
            <w:rStyle w:val="Hyperlink"/>
            <w:rFonts w:ascii="Times New Roman" w:hAnsi="Times New Roman" w:cs="Times New Roman"/>
            <w:color w:val="000000" w:themeColor="text1"/>
            <w:sz w:val="24"/>
            <w:szCs w:val="24"/>
            <w:u w:val="none"/>
          </w:rPr>
          <w:t>https://doi.org/10.1016/j.envres.2024.119208</w:t>
        </w:r>
      </w:hyperlink>
    </w:p>
    <w:p w14:paraId="2F2C027C" w14:textId="525AADEB" w:rsidR="00C72795" w:rsidRDefault="00000000">
      <w:pPr>
        <w:spacing w:after="0" w:line="240" w:lineRule="auto"/>
        <w:ind w:left="567" w:hanging="567"/>
        <w:jc w:val="both"/>
        <w:rPr>
          <w:rFonts w:ascii="Times New Roman" w:hAnsi="Times New Roman" w:cs="Times New Roman"/>
          <w:sz w:val="24"/>
          <w:szCs w:val="24"/>
          <w:lang w:val="en-US" w:eastAsia="zh-CN"/>
        </w:rPr>
      </w:pPr>
      <w:r>
        <w:rPr>
          <w:rFonts w:ascii="Times New Roman" w:hAnsi="Times New Roman" w:cs="Times New Roman"/>
          <w:sz w:val="24"/>
          <w:szCs w:val="24"/>
        </w:rPr>
        <w:t>Alonso, M.L., Valdes, A.F., Martinez-Tarazona, R.M and Garcia, A.B., 2022, Coal Recovery From Fines Wastes By Agglomeration With Colza Oil:  a Contribution to the Environment and Energy Preservation, Fuel Processing Technology 75(2).</w:t>
      </w:r>
      <w:r>
        <w:rPr>
          <w:rFonts w:ascii="Times New Roman" w:hAnsi="Times New Roman" w:cs="Times New Roman"/>
          <w:sz w:val="24"/>
          <w:szCs w:val="24"/>
          <w:lang w:val="en-US"/>
        </w:rPr>
        <w:t xml:space="preserve"> </w:t>
      </w:r>
      <w:hyperlink r:id="rId34" w:tgtFrame="_blank" w:tooltip="Persistent link using digital object identifier" w:history="1">
        <w:r w:rsidR="00C72795">
          <w:rPr>
            <w:rStyle w:val="Hyperlink"/>
            <w:rFonts w:ascii="Times New Roman" w:hAnsi="Times New Roman" w:cs="Times New Roman"/>
            <w:color w:val="000000" w:themeColor="text1"/>
            <w:sz w:val="24"/>
            <w:szCs w:val="24"/>
            <w:u w:val="none"/>
            <w:lang w:eastAsia="zh-CN"/>
          </w:rPr>
          <w:t>https://doi.org/10.1016/S0378-3820(01)00233-8</w:t>
        </w:r>
      </w:hyperlink>
    </w:p>
    <w:p w14:paraId="466826F0" w14:textId="77777777" w:rsidR="00C72795" w:rsidRDefault="00C72795">
      <w:pPr>
        <w:spacing w:after="0" w:line="240" w:lineRule="auto"/>
        <w:ind w:left="567" w:hanging="567"/>
        <w:jc w:val="both"/>
        <w:rPr>
          <w:rFonts w:ascii="Times New Roman" w:hAnsi="Times New Roman" w:cs="Times New Roman"/>
          <w:sz w:val="24"/>
          <w:szCs w:val="24"/>
        </w:rPr>
      </w:pPr>
      <w:hyperlink r:id="rId35" w:history="1">
        <w:r>
          <w:rPr>
            <w:rStyle w:val="Hyperlink"/>
            <w:rFonts w:ascii="Times New Roman" w:hAnsi="Times New Roman" w:cs="Times New Roman"/>
            <w:color w:val="auto"/>
            <w:sz w:val="24"/>
            <w:szCs w:val="24"/>
            <w:u w:val="none"/>
            <w:lang w:eastAsia="zh-CN"/>
          </w:rPr>
          <w:t>Pradeep Kumar Mohanty</w:t>
        </w:r>
      </w:hyperlink>
      <w:r w:rsidR="00000000">
        <w:rPr>
          <w:rFonts w:ascii="Times New Roman" w:hAnsi="Times New Roman" w:cs="Times New Roman"/>
          <w:b/>
          <w:bCs/>
          <w:sz w:val="24"/>
          <w:szCs w:val="24"/>
          <w:lang w:eastAsia="zh-CN"/>
        </w:rPr>
        <w:t xml:space="preserve">, </w:t>
      </w:r>
      <w:hyperlink r:id="rId36" w:history="1">
        <w:r>
          <w:rPr>
            <w:rStyle w:val="Hyperlink"/>
            <w:rFonts w:ascii="Times New Roman" w:hAnsi="Times New Roman" w:cs="Times New Roman"/>
            <w:color w:val="auto"/>
            <w:sz w:val="24"/>
            <w:szCs w:val="24"/>
            <w:u w:val="none"/>
            <w:lang w:eastAsia="zh-CN"/>
          </w:rPr>
          <w:t>Singam Jayanthu</w:t>
        </w:r>
      </w:hyperlink>
      <w:r w:rsidR="00000000">
        <w:rPr>
          <w:rFonts w:ascii="Times New Roman" w:hAnsi="Times New Roman" w:cs="Times New Roman"/>
          <w:b/>
          <w:bCs/>
          <w:sz w:val="24"/>
          <w:szCs w:val="24"/>
          <w:lang w:eastAsia="zh-CN"/>
        </w:rPr>
        <w:t xml:space="preserve">, </w:t>
      </w:r>
      <w:hyperlink r:id="rId37" w:history="1">
        <w:r>
          <w:rPr>
            <w:rStyle w:val="Hyperlink"/>
            <w:rFonts w:ascii="Times New Roman" w:hAnsi="Times New Roman" w:cs="Times New Roman"/>
            <w:color w:val="auto"/>
            <w:sz w:val="24"/>
            <w:szCs w:val="24"/>
            <w:u w:val="none"/>
            <w:lang w:eastAsia="zh-CN"/>
          </w:rPr>
          <w:t>Satya Prakash Sahu</w:t>
        </w:r>
      </w:hyperlink>
      <w:r w:rsidR="00000000">
        <w:rPr>
          <w:rFonts w:ascii="Times New Roman" w:hAnsi="Times New Roman" w:cs="Times New Roman"/>
          <w:b/>
          <w:bCs/>
          <w:sz w:val="24"/>
          <w:szCs w:val="24"/>
          <w:lang w:eastAsia="zh-CN"/>
        </w:rPr>
        <w:t xml:space="preserve"> </w:t>
      </w:r>
      <w:r w:rsidR="00000000">
        <w:rPr>
          <w:rFonts w:ascii="Times New Roman" w:hAnsi="Times New Roman" w:cs="Times New Roman"/>
          <w:sz w:val="24"/>
          <w:szCs w:val="24"/>
          <w:lang w:eastAsia="zh-CN"/>
        </w:rPr>
        <w:t>&amp;</w:t>
      </w:r>
      <w:r w:rsidR="00000000">
        <w:rPr>
          <w:rFonts w:ascii="Times New Roman" w:hAnsi="Times New Roman" w:cs="Times New Roman"/>
          <w:b/>
          <w:bCs/>
          <w:sz w:val="24"/>
          <w:szCs w:val="24"/>
          <w:lang w:eastAsia="zh-CN"/>
        </w:rPr>
        <w:t xml:space="preserve"> </w:t>
      </w:r>
      <w:hyperlink r:id="rId38" w:history="1">
        <w:r>
          <w:rPr>
            <w:rStyle w:val="Hyperlink"/>
            <w:rFonts w:ascii="Times New Roman" w:hAnsi="Times New Roman" w:cs="Times New Roman"/>
            <w:color w:val="auto"/>
            <w:sz w:val="24"/>
            <w:szCs w:val="24"/>
            <w:u w:val="none"/>
            <w:lang w:eastAsia="zh-CN"/>
          </w:rPr>
          <w:t>Saswati Chakladar</w:t>
        </w:r>
      </w:hyperlink>
      <w:r w:rsidR="00000000">
        <w:rPr>
          <w:rFonts w:ascii="Times New Roman" w:hAnsi="Times New Roman" w:cs="Times New Roman"/>
          <w:sz w:val="24"/>
          <w:szCs w:val="24"/>
          <w:lang w:eastAsia="zh-CN"/>
        </w:rPr>
        <w:t xml:space="preserve">. </w:t>
      </w:r>
      <w:r w:rsidR="00000000">
        <w:rPr>
          <w:rFonts w:ascii="Times New Roman" w:hAnsi="Times New Roman" w:cs="Times New Roman"/>
          <w:sz w:val="24"/>
          <w:szCs w:val="24"/>
        </w:rPr>
        <w:t>2025. Determinant analysis of oil agglomeration of coal fines using multiple regression and neural network models. I</w:t>
      </w:r>
      <w:hyperlink r:id="rId39" w:history="1">
        <w:r>
          <w:rPr>
            <w:rStyle w:val="Hyperlink"/>
            <w:rFonts w:ascii="Times New Roman" w:hAnsi="Times New Roman" w:cs="Times New Roman"/>
            <w:color w:val="auto"/>
            <w:sz w:val="24"/>
            <w:szCs w:val="24"/>
            <w:u w:val="none"/>
          </w:rPr>
          <w:t>nternational Journal of Coal Preparation and Utilization. 5(10);</w:t>
        </w:r>
        <w:r>
          <w:rPr>
            <w:rStyle w:val="Hyperlink"/>
            <w:rFonts w:ascii="Open Sans" w:hAnsi="Open Sans" w:cs="Open Sans"/>
            <w:color w:val="auto"/>
            <w:sz w:val="18"/>
            <w:szCs w:val="18"/>
            <w:u w:val="none"/>
          </w:rPr>
          <w:t xml:space="preserve"> </w:t>
        </w:r>
        <w:r>
          <w:rPr>
            <w:rStyle w:val="Hyperlink"/>
            <w:rFonts w:ascii="Times New Roman" w:hAnsi="Times New Roman" w:cs="Times New Roman"/>
            <w:color w:val="auto"/>
            <w:sz w:val="24"/>
            <w:szCs w:val="24"/>
            <w:u w:val="none"/>
          </w:rPr>
          <w:t>2358-2374.</w:t>
        </w:r>
        <w:r>
          <w:rPr>
            <w:rStyle w:val="Hyperlink"/>
            <w:rFonts w:ascii="Times New Roman" w:hAnsi="Times New Roman" w:cs="Times New Roman"/>
            <w:color w:val="auto"/>
            <w:sz w:val="24"/>
            <w:szCs w:val="24"/>
          </w:rPr>
          <w:t> </w:t>
        </w:r>
      </w:hyperlink>
      <w:hyperlink r:id="rId40" w:history="1">
        <w:r>
          <w:rPr>
            <w:rStyle w:val="Hyperlink"/>
            <w:rFonts w:ascii="Times New Roman" w:hAnsi="Times New Roman" w:cs="Times New Roman"/>
            <w:color w:val="auto"/>
            <w:sz w:val="24"/>
            <w:szCs w:val="24"/>
            <w:u w:val="none"/>
          </w:rPr>
          <w:t>https://doi.org/10.1080/19392699.2024.2424769</w:t>
        </w:r>
      </w:hyperlink>
    </w:p>
    <w:p w14:paraId="24AAA180" w14:textId="100AE317" w:rsidR="00C72795" w:rsidRDefault="0000000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Nurman  dan  Poertadji,  S.,  2016, Pengurangan  Kadar  Abu  dan Sulfur  pada  Batubara  Sub Bituminus  dengan  menggunakan Metode  Aglomerasi  Air  dan Minyak Sawit, Jurnal Sains Materi Indonesia 7(3)</w:t>
      </w:r>
      <w:r w:rsidR="00304668">
        <w:rPr>
          <w:rFonts w:ascii="Times New Roman" w:hAnsi="Times New Roman" w:cs="Times New Roman"/>
          <w:sz w:val="24"/>
          <w:szCs w:val="24"/>
          <w:lang w:val="en-US"/>
        </w:rPr>
        <w:t>;279-286</w:t>
      </w:r>
      <w:r>
        <w:rPr>
          <w:rFonts w:ascii="Times New Roman" w:hAnsi="Times New Roman" w:cs="Times New Roman"/>
          <w:sz w:val="24"/>
          <w:szCs w:val="24"/>
        </w:rPr>
        <w:t>.</w:t>
      </w:r>
    </w:p>
    <w:p w14:paraId="41027CF3" w14:textId="77777777" w:rsidR="00C72795" w:rsidRDefault="0000000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Abdullah A. Malik and D. P. Singh and S . Sharma and M G Dastidar and P K Roychoudhury. 2009. Oil Agglomeration for Recovery of Coal Fines: Effect of Vegetable Oil and Bacterial Pretreatment}, Coal Preparation. 20;247-268. </w:t>
      </w:r>
    </w:p>
    <w:p w14:paraId="17803AC4" w14:textId="77777777" w:rsidR="00C72795" w:rsidRDefault="00000000">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DOI:</w:t>
      </w:r>
      <w:hyperlink r:id="rId41" w:history="1">
        <w:r w:rsidR="00C72795">
          <w:rPr>
            <w:rStyle w:val="Hyperlink"/>
            <w:rFonts w:ascii="Times New Roman" w:hAnsi="Times New Roman" w:cs="Times New Roman"/>
            <w:color w:val="000000" w:themeColor="text1"/>
            <w:sz w:val="24"/>
            <w:szCs w:val="24"/>
            <w:u w:val="none"/>
          </w:rPr>
          <w:t>10.1080/07349349908945603</w:t>
        </w:r>
      </w:hyperlink>
    </w:p>
    <w:p w14:paraId="2D5B256E" w14:textId="3B0882D4" w:rsidR="00C72795" w:rsidRDefault="0000000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Mustafa Özer, Omar M. Basha &amp; Badie Mors. 2017. Coal Agglomeration Processes: A Review. </w:t>
      </w:r>
      <w:hyperlink r:id="rId42" w:history="1">
        <w:r w:rsidR="00C72795">
          <w:rPr>
            <w:rStyle w:val="Hyperlink"/>
            <w:rFonts w:ascii="Times New Roman" w:hAnsi="Times New Roman" w:cs="Times New Roman"/>
            <w:color w:val="000000" w:themeColor="text1"/>
            <w:sz w:val="24"/>
            <w:szCs w:val="24"/>
            <w:u w:val="none"/>
          </w:rPr>
          <w:t>International Journal of Coal Preparation and Utilization</w:t>
        </w:r>
      </w:hyperlink>
      <w:r>
        <w:rPr>
          <w:rFonts w:ascii="Times New Roman" w:hAnsi="Times New Roman" w:cs="Times New Roman"/>
          <w:sz w:val="24"/>
          <w:szCs w:val="24"/>
        </w:rPr>
        <w:t> 37(3):</w:t>
      </w:r>
      <w:r w:rsidR="00183D2D">
        <w:rPr>
          <w:rFonts w:ascii="Times New Roman" w:hAnsi="Times New Roman" w:cs="Times New Roman"/>
          <w:sz w:val="24"/>
          <w:szCs w:val="24"/>
          <w:lang w:val="en-US"/>
        </w:rPr>
        <w:t>1</w:t>
      </w:r>
      <w:r>
        <w:rPr>
          <w:rFonts w:ascii="Times New Roman" w:hAnsi="Times New Roman" w:cs="Times New Roman"/>
          <w:sz w:val="24"/>
          <w:szCs w:val="24"/>
        </w:rPr>
        <w:t>31-167</w:t>
      </w:r>
    </w:p>
    <w:p w14:paraId="1CB7B798" w14:textId="77777777" w:rsidR="00C72795" w:rsidRPr="003A7C9E" w:rsidRDefault="00000000">
      <w:pPr>
        <w:spacing w:after="0" w:line="240" w:lineRule="auto"/>
        <w:ind w:left="567" w:hanging="567"/>
        <w:jc w:val="both"/>
      </w:pPr>
      <w:r>
        <w:rPr>
          <w:rFonts w:ascii="Times New Roman" w:hAnsi="Times New Roman" w:cs="Times New Roman"/>
          <w:sz w:val="24"/>
          <w:szCs w:val="24"/>
        </w:rPr>
        <w:lastRenderedPageBreak/>
        <w:t xml:space="preserve">          </w:t>
      </w:r>
      <w:r w:rsidRPr="003A7C9E">
        <w:rPr>
          <w:rFonts w:ascii="Times New Roman" w:hAnsi="Times New Roman" w:cs="Times New Roman"/>
          <w:color w:val="000000" w:themeColor="text1"/>
          <w:sz w:val="24"/>
          <w:szCs w:val="24"/>
        </w:rPr>
        <w:t>DOI:</w:t>
      </w:r>
      <w:hyperlink r:id="rId43" w:tgtFrame="_blank" w:history="1">
        <w:r w:rsidR="00C72795" w:rsidRPr="003A7C9E">
          <w:rPr>
            <w:rStyle w:val="Hyperlink"/>
            <w:rFonts w:ascii="Times New Roman" w:hAnsi="Times New Roman" w:cs="Times New Roman"/>
            <w:color w:val="000000" w:themeColor="text1"/>
            <w:sz w:val="24"/>
            <w:szCs w:val="24"/>
            <w:u w:val="none"/>
          </w:rPr>
          <w:t>10.1080/19392699.2016.1142443</w:t>
        </w:r>
      </w:hyperlink>
      <w:r w:rsidRPr="003A7C9E">
        <w:rPr>
          <w:color w:val="000000" w:themeColor="text1"/>
        </w:rPr>
        <w:t>.</w:t>
      </w:r>
    </w:p>
    <w:p w14:paraId="4F0AF266" w14:textId="4B35723F" w:rsidR="00C72795" w:rsidRDefault="0000000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Kaya, Ö., and N. T. Cebe. 2023. “Enrichment of Sivas/Gemerek Lignite Coal by Oil Agglomeration Using Different Vegetable Oils.</w:t>
      </w:r>
      <w:r w:rsidR="00183D2D">
        <w:rPr>
          <w:rFonts w:ascii="Times New Roman" w:hAnsi="Times New Roman" w:cs="Times New Roman"/>
          <w:sz w:val="24"/>
          <w:szCs w:val="24"/>
          <w:lang w:val="en-US"/>
        </w:rPr>
        <w:t xml:space="preserve"> </w:t>
      </w:r>
      <w:r w:rsidRPr="00183D2D">
        <w:rPr>
          <w:rFonts w:ascii="Times New Roman" w:hAnsi="Times New Roman" w:cs="Times New Roman"/>
          <w:sz w:val="24"/>
          <w:szCs w:val="24"/>
        </w:rPr>
        <w:t>Journal of Scientific Reports-A</w:t>
      </w:r>
      <w:r>
        <w:rPr>
          <w:rFonts w:ascii="Times New Roman" w:hAnsi="Times New Roman" w:cs="Times New Roman"/>
          <w:sz w:val="24"/>
          <w:szCs w:val="24"/>
        </w:rPr>
        <w:t xml:space="preserve"> 54 (054): 285–295. </w:t>
      </w:r>
      <w:hyperlink r:id="rId44" w:history="1">
        <w:r w:rsidR="00C72795" w:rsidRPr="003A7C9E">
          <w:rPr>
            <w:rStyle w:val="Hyperlink"/>
            <w:rFonts w:ascii="Times New Roman" w:hAnsi="Times New Roman" w:cs="Times New Roman"/>
            <w:color w:val="000000" w:themeColor="text1"/>
            <w:sz w:val="24"/>
            <w:szCs w:val="24"/>
          </w:rPr>
          <w:t>https://doi.org/10.59313/jsr-a.1334096</w:t>
        </w:r>
      </w:hyperlink>
      <w:r>
        <w:rPr>
          <w:rFonts w:ascii="Times New Roman" w:hAnsi="Times New Roman" w:cs="Times New Roman"/>
          <w:sz w:val="24"/>
          <w:szCs w:val="24"/>
        </w:rPr>
        <w:t>.</w:t>
      </w:r>
    </w:p>
    <w:p w14:paraId="72020506" w14:textId="56504D07" w:rsidR="00C72795" w:rsidRDefault="0000000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Shukla, D., and R. Venugopal. 2019. “Optimization of the Process Parameters for Fine Coal–Oil Agglomeration Process Using Waste Mustard Oil.</w:t>
      </w:r>
      <w:r w:rsidR="00183D2D">
        <w:rPr>
          <w:rFonts w:ascii="Times New Roman" w:hAnsi="Times New Roman" w:cs="Times New Roman"/>
          <w:sz w:val="24"/>
          <w:szCs w:val="24"/>
          <w:lang w:val="en-US"/>
        </w:rPr>
        <w:t xml:space="preserve"> </w:t>
      </w:r>
      <w:r w:rsidRPr="00183D2D">
        <w:rPr>
          <w:rFonts w:ascii="Times New Roman" w:hAnsi="Times New Roman" w:cs="Times New Roman"/>
          <w:sz w:val="24"/>
          <w:szCs w:val="24"/>
        </w:rPr>
        <w:t>Powder Technology</w:t>
      </w:r>
      <w:r>
        <w:rPr>
          <w:rFonts w:ascii="Times New Roman" w:hAnsi="Times New Roman" w:cs="Times New Roman"/>
          <w:sz w:val="24"/>
          <w:szCs w:val="24"/>
        </w:rPr>
        <w:t xml:space="preserve"> 346:316–325. </w:t>
      </w:r>
      <w:hyperlink r:id="rId45" w:history="1">
        <w:r w:rsidR="00C72795" w:rsidRPr="003A7C9E">
          <w:rPr>
            <w:rStyle w:val="Hyperlink"/>
            <w:rFonts w:ascii="Times New Roman" w:hAnsi="Times New Roman" w:cs="Times New Roman"/>
            <w:color w:val="000000" w:themeColor="text1"/>
            <w:sz w:val="24"/>
            <w:szCs w:val="24"/>
            <w:u w:val="none"/>
          </w:rPr>
          <w:t>https://doi.org/10.1016/j.powtec.2019.02.001</w:t>
        </w:r>
      </w:hyperlink>
      <w:r>
        <w:rPr>
          <w:rFonts w:ascii="Times New Roman" w:hAnsi="Times New Roman" w:cs="Times New Roman"/>
          <w:sz w:val="24"/>
          <w:szCs w:val="24"/>
        </w:rPr>
        <w:t>.</w:t>
      </w:r>
    </w:p>
    <w:p w14:paraId="32A86E5A" w14:textId="77777777" w:rsidR="003A7C9E" w:rsidRDefault="00000000">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Yadav, A. M., H. Singhal, D. Agarwal, and S. Suman. 2022. “Recovery of Energy Values from High-Ash Content Washery Tailings Using Waste Oils by Oil Agglomeration</w:t>
      </w:r>
      <w:r w:rsidRPr="003A7C9E">
        <w:rPr>
          <w:rFonts w:ascii="Times New Roman" w:hAnsi="Times New Roman" w:cs="Times New Roman"/>
          <w:sz w:val="24"/>
          <w:szCs w:val="24"/>
        </w:rPr>
        <w:t>.</w:t>
      </w:r>
      <w:r w:rsidR="003A7C9E">
        <w:rPr>
          <w:rFonts w:ascii="Times New Roman" w:hAnsi="Times New Roman" w:cs="Times New Roman"/>
          <w:sz w:val="24"/>
          <w:szCs w:val="24"/>
          <w:lang w:val="en-US"/>
        </w:rPr>
        <w:t xml:space="preserve"> </w:t>
      </w:r>
      <w:r w:rsidRPr="003A7C9E">
        <w:rPr>
          <w:rFonts w:ascii="Times New Roman" w:hAnsi="Times New Roman" w:cs="Times New Roman"/>
          <w:sz w:val="24"/>
          <w:szCs w:val="24"/>
        </w:rPr>
        <w:t>Separation Science and Technology</w:t>
      </w:r>
      <w:r>
        <w:rPr>
          <w:rFonts w:ascii="Times New Roman" w:hAnsi="Times New Roman" w:cs="Times New Roman"/>
          <w:sz w:val="24"/>
          <w:szCs w:val="24"/>
        </w:rPr>
        <w:t> 57 (8): 1266–1278.</w:t>
      </w:r>
    </w:p>
    <w:p w14:paraId="5287AC71" w14:textId="1A2165B3" w:rsidR="00C72795" w:rsidRDefault="003A7C9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000000">
        <w:rPr>
          <w:rFonts w:ascii="Times New Roman" w:hAnsi="Times New Roman" w:cs="Times New Roman"/>
          <w:sz w:val="24"/>
          <w:szCs w:val="24"/>
        </w:rPr>
        <w:t xml:space="preserve"> https://doi.org/10.1080/01496395.2021.1973500.</w:t>
      </w:r>
    </w:p>
    <w:p w14:paraId="39EF4F3B" w14:textId="77777777" w:rsidR="00C72795" w:rsidRDefault="00000000">
      <w:pPr>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Malte Bartels, </w:t>
      </w:r>
      <w:bookmarkStart w:id="5" w:name="baep-author-id24-profile"/>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HYPERLINK "https://www.sciencedirect.com/author/8552493700/weigang-lin"</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Style w:val="Hyperlink"/>
          <w:rFonts w:ascii="Times New Roman" w:hAnsi="Times New Roman" w:cs="Times New Roman"/>
          <w:color w:val="000000" w:themeColor="text1"/>
          <w:sz w:val="24"/>
          <w:szCs w:val="24"/>
          <w:u w:val="none"/>
        </w:rPr>
        <w:t>Weigang Lin</w:t>
      </w:r>
      <w:r>
        <w:rPr>
          <w:rFonts w:ascii="Times New Roman" w:hAnsi="Times New Roman" w:cs="Times New Roman"/>
          <w:color w:val="000000" w:themeColor="text1"/>
          <w:sz w:val="24"/>
          <w:szCs w:val="24"/>
        </w:rPr>
        <w:fldChar w:fldCharType="end"/>
      </w:r>
      <w:bookmarkEnd w:id="5"/>
      <w:r>
        <w:rPr>
          <w:rFonts w:ascii="Times New Roman" w:hAnsi="Times New Roman" w:cs="Times New Roman"/>
          <w:color w:val="000000" w:themeColor="text1"/>
          <w:sz w:val="24"/>
          <w:szCs w:val="24"/>
        </w:rPr>
        <w:t>, John Nijenhuis, </w:t>
      </w:r>
      <w:bookmarkStart w:id="6" w:name="baep-author-id26-profile"/>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HYPERLINK "https://www.sciencedirect.com/author/36051106500/freek-kapteijn"</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Style w:val="Hyperlink"/>
          <w:rFonts w:ascii="Times New Roman" w:hAnsi="Times New Roman" w:cs="Times New Roman"/>
          <w:color w:val="000000" w:themeColor="text1"/>
          <w:sz w:val="24"/>
          <w:szCs w:val="24"/>
          <w:u w:val="none"/>
        </w:rPr>
        <w:t>Freek Kapteijn</w:t>
      </w:r>
      <w:r>
        <w:rPr>
          <w:rFonts w:ascii="Times New Roman" w:hAnsi="Times New Roman" w:cs="Times New Roman"/>
          <w:color w:val="000000" w:themeColor="text1"/>
          <w:sz w:val="24"/>
          <w:szCs w:val="24"/>
        </w:rPr>
        <w:fldChar w:fldCharType="end"/>
      </w:r>
      <w:bookmarkEnd w:id="6"/>
      <w:r>
        <w:rPr>
          <w:rFonts w:ascii="Times New Roman" w:hAnsi="Times New Roman" w:cs="Times New Roman"/>
          <w:color w:val="000000" w:themeColor="text1"/>
          <w:sz w:val="24"/>
          <w:szCs w:val="24"/>
        </w:rPr>
        <w:t>, </w:t>
      </w:r>
      <w:bookmarkStart w:id="7" w:name="baep-author-id27-profile"/>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HYPERLINK "https://www.sciencedirect.com/author/57203921620/j-ruud-van-ommen"</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Style w:val="Hyperlink"/>
          <w:rFonts w:ascii="Times New Roman" w:hAnsi="Times New Roman" w:cs="Times New Roman"/>
          <w:color w:val="000000" w:themeColor="text1"/>
          <w:sz w:val="24"/>
          <w:szCs w:val="24"/>
          <w:u w:val="none"/>
        </w:rPr>
        <w:t>J. Ruud van Ommen</w:t>
      </w:r>
      <w:r>
        <w:rPr>
          <w:rFonts w:ascii="Times New Roman" w:hAnsi="Times New Roman" w:cs="Times New Roman"/>
          <w:color w:val="000000" w:themeColor="text1"/>
          <w:sz w:val="24"/>
          <w:szCs w:val="24"/>
        </w:rPr>
        <w:fldChar w:fldCharType="end"/>
      </w:r>
      <w:bookmarkEnd w:id="7"/>
      <w:r>
        <w:rPr>
          <w:rFonts w:ascii="Times New Roman" w:hAnsi="Times New Roman" w:cs="Times New Roman"/>
          <w:color w:val="000000" w:themeColor="text1"/>
          <w:sz w:val="24"/>
          <w:szCs w:val="24"/>
          <w:lang w:val="en-US"/>
        </w:rPr>
        <w:t xml:space="preserve">. 2018. </w:t>
      </w:r>
      <w:r>
        <w:rPr>
          <w:rFonts w:ascii="Times New Roman" w:hAnsi="Times New Roman" w:cs="Times New Roman"/>
          <w:color w:val="000000" w:themeColor="text1"/>
          <w:sz w:val="24"/>
          <w:szCs w:val="24"/>
        </w:rPr>
        <w:t xml:space="preserve">Agglomeration in fluidized beds at high temperatures: Mechanisms, detection and prevention. </w:t>
      </w:r>
      <w:hyperlink r:id="rId46" w:tooltip="Go to Progress in Energy and Combustion Science on ScienceDirect" w:history="1">
        <w:r w:rsidR="00C72795">
          <w:rPr>
            <w:rStyle w:val="Hyperlink"/>
            <w:rFonts w:ascii="Times New Roman" w:hAnsi="Times New Roman" w:cs="Times New Roman"/>
            <w:color w:val="000000" w:themeColor="text1"/>
            <w:sz w:val="24"/>
            <w:szCs w:val="24"/>
            <w:u w:val="none"/>
          </w:rPr>
          <w:t>Progress in Energy and Combustion Science</w:t>
        </w:r>
      </w:hyperlink>
      <w:r>
        <w:rPr>
          <w:rFonts w:ascii="Times New Roman" w:hAnsi="Times New Roman" w:cs="Times New Roman"/>
          <w:color w:val="000000" w:themeColor="text1"/>
          <w:sz w:val="24"/>
          <w:szCs w:val="24"/>
        </w:rPr>
        <w:t>.</w:t>
      </w:r>
      <w:hyperlink r:id="rId47" w:tooltip="Go to table of contents for this volume/issue" w:history="1">
        <w:r w:rsidR="00C72795">
          <w:rPr>
            <w:rStyle w:val="Hyperlink"/>
            <w:rFonts w:ascii="Times New Roman" w:hAnsi="Times New Roman" w:cs="Times New Roman"/>
            <w:color w:val="000000" w:themeColor="text1"/>
            <w:sz w:val="24"/>
            <w:szCs w:val="24"/>
            <w:u w:val="none"/>
          </w:rPr>
          <w:t xml:space="preserve"> 34(5</w:t>
        </w:r>
      </w:hyperlink>
      <w:r>
        <w:rPr>
          <w:rFonts w:ascii="Times New Roman" w:hAnsi="Times New Roman" w:cs="Times New Roman"/>
          <w:color w:val="000000" w:themeColor="text1"/>
          <w:sz w:val="24"/>
          <w:szCs w:val="24"/>
        </w:rPr>
        <w:t xml:space="preserve">); 633-666. </w:t>
      </w:r>
      <w:hyperlink r:id="rId48" w:history="1">
        <w:r w:rsidR="00C72795" w:rsidRPr="003A7C9E">
          <w:rPr>
            <w:rStyle w:val="Hyperlink"/>
            <w:rFonts w:ascii="Times New Roman" w:hAnsi="Times New Roman" w:cs="Times New Roman"/>
            <w:color w:val="000000" w:themeColor="text1"/>
            <w:sz w:val="24"/>
            <w:szCs w:val="24"/>
            <w:u w:val="none"/>
          </w:rPr>
          <w:t>https://doi.org/10.1016/j.pecs.2008.04.002</w:t>
        </w:r>
      </w:hyperlink>
      <w:r w:rsidRPr="003A7C9E">
        <w:rPr>
          <w:rFonts w:ascii="Times New Roman" w:hAnsi="Times New Roman" w:cs="Times New Roman"/>
          <w:color w:val="000000" w:themeColor="text1"/>
          <w:sz w:val="24"/>
          <w:szCs w:val="24"/>
        </w:rPr>
        <w:t>.</w:t>
      </w:r>
    </w:p>
    <w:p w14:paraId="2CBF5EA8" w14:textId="77777777" w:rsidR="00C72795" w:rsidRDefault="00C72795">
      <w:pPr>
        <w:spacing w:after="0" w:line="240" w:lineRule="auto"/>
        <w:ind w:left="567" w:hanging="567"/>
        <w:jc w:val="both"/>
        <w:rPr>
          <w:rFonts w:ascii="Times New Roman" w:hAnsi="Times New Roman" w:cs="Times New Roman"/>
          <w:sz w:val="24"/>
          <w:szCs w:val="24"/>
          <w:lang w:val="en-US"/>
        </w:rPr>
      </w:pPr>
    </w:p>
    <w:p w14:paraId="449F0CCD" w14:textId="77777777" w:rsidR="00C72795" w:rsidRDefault="00C72795">
      <w:pPr>
        <w:spacing w:after="0" w:line="240" w:lineRule="auto"/>
        <w:ind w:left="567" w:hanging="567"/>
        <w:jc w:val="both"/>
        <w:rPr>
          <w:rFonts w:ascii="Times New Roman" w:hAnsi="Times New Roman" w:cs="Times New Roman"/>
          <w:sz w:val="24"/>
          <w:szCs w:val="24"/>
        </w:rPr>
      </w:pPr>
    </w:p>
    <w:p w14:paraId="24BAF009" w14:textId="77777777" w:rsidR="00C72795" w:rsidRDefault="0000000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14:paraId="329761C3" w14:textId="77777777" w:rsidR="00C72795" w:rsidRDefault="00C72795">
      <w:pPr>
        <w:spacing w:line="240" w:lineRule="auto"/>
        <w:ind w:left="567" w:hanging="567"/>
        <w:jc w:val="both"/>
        <w:rPr>
          <w:rFonts w:ascii="Times New Roman" w:hAnsi="Times New Roman" w:cs="Times New Roman"/>
          <w:sz w:val="24"/>
          <w:szCs w:val="24"/>
        </w:rPr>
      </w:pPr>
    </w:p>
    <w:p w14:paraId="748E3D2B" w14:textId="77777777" w:rsidR="00C72795" w:rsidRDefault="00C72795">
      <w:pPr>
        <w:spacing w:after="0" w:line="240" w:lineRule="auto"/>
        <w:ind w:left="567" w:hanging="567"/>
        <w:jc w:val="both"/>
        <w:rPr>
          <w:rFonts w:ascii="Times New Roman" w:hAnsi="Times New Roman" w:cs="Times New Roman"/>
          <w:sz w:val="24"/>
          <w:szCs w:val="24"/>
        </w:rPr>
      </w:pPr>
    </w:p>
    <w:p w14:paraId="0FCD97D4" w14:textId="77777777" w:rsidR="00C72795" w:rsidRDefault="00C72795"/>
    <w:sectPr w:rsidR="00C72795">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AD0D" w14:textId="77777777" w:rsidR="008C2F22" w:rsidRDefault="008C2F22">
      <w:pPr>
        <w:spacing w:line="240" w:lineRule="auto"/>
      </w:pPr>
      <w:r>
        <w:separator/>
      </w:r>
    </w:p>
  </w:endnote>
  <w:endnote w:type="continuationSeparator" w:id="0">
    <w:p w14:paraId="7EC552C9" w14:textId="77777777" w:rsidR="008C2F22" w:rsidRDefault="008C2F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2E14" w14:textId="77777777" w:rsidR="00C72795" w:rsidRDefault="00C72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C412" w14:textId="77777777" w:rsidR="00C72795" w:rsidRDefault="00C72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5C05" w14:textId="77777777" w:rsidR="00C72795" w:rsidRDefault="00C72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5777" w14:textId="77777777" w:rsidR="008C2F22" w:rsidRDefault="008C2F22">
      <w:pPr>
        <w:spacing w:after="0"/>
      </w:pPr>
      <w:r>
        <w:separator/>
      </w:r>
    </w:p>
  </w:footnote>
  <w:footnote w:type="continuationSeparator" w:id="0">
    <w:p w14:paraId="1BA5898F" w14:textId="77777777" w:rsidR="008C2F22" w:rsidRDefault="008C2F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33D8" w14:textId="77777777" w:rsidR="00C72795" w:rsidRDefault="00000000">
    <w:pPr>
      <w:pStyle w:val="Header"/>
    </w:pPr>
    <w:r>
      <w:pict w14:anchorId="1BB9B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826391" o:spid="_x0000_s1026" type="#_x0000_t136" style="position:absolute;margin-left:0;margin-top:0;width:571.65pt;height:64.5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B994" w14:textId="77777777" w:rsidR="00C72795" w:rsidRDefault="00000000">
    <w:pPr>
      <w:pStyle w:val="Header"/>
    </w:pPr>
    <w:r>
      <w:pict w14:anchorId="3EFAE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826392" o:spid="_x0000_s1027" type="#_x0000_t136" style="position:absolute;margin-left:0;margin-top:0;width:571.65pt;height:64.5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3298" w14:textId="77777777" w:rsidR="00C72795" w:rsidRDefault="00000000">
    <w:pPr>
      <w:pStyle w:val="Header"/>
    </w:pPr>
    <w:r>
      <w:pict w14:anchorId="3B02F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826390" o:spid="_x0000_s1025" type="#_x0000_t136" style="position:absolute;margin-left:0;margin-top:0;width:571.65pt;height:64.5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64F04"/>
    <w:multiLevelType w:val="multilevel"/>
    <w:tmpl w:val="3F6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68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S0NDczMjQ3tzQ2NzNR0lEKTi0uzszPAykwrAUAGLyBrywAAAA="/>
  </w:docVars>
  <w:rsids>
    <w:rsidRoot w:val="00B637D3"/>
    <w:rsid w:val="000551AC"/>
    <w:rsid w:val="00056C79"/>
    <w:rsid w:val="000C7E80"/>
    <w:rsid w:val="00121498"/>
    <w:rsid w:val="0014717E"/>
    <w:rsid w:val="00165D8E"/>
    <w:rsid w:val="00183D2D"/>
    <w:rsid w:val="001D0495"/>
    <w:rsid w:val="00222766"/>
    <w:rsid w:val="00275194"/>
    <w:rsid w:val="00282BD1"/>
    <w:rsid w:val="002D5648"/>
    <w:rsid w:val="00304668"/>
    <w:rsid w:val="0032031B"/>
    <w:rsid w:val="00363612"/>
    <w:rsid w:val="0036548F"/>
    <w:rsid w:val="003772AB"/>
    <w:rsid w:val="00384B6C"/>
    <w:rsid w:val="00392550"/>
    <w:rsid w:val="00394822"/>
    <w:rsid w:val="003A17B6"/>
    <w:rsid w:val="003A7C9E"/>
    <w:rsid w:val="003B45E9"/>
    <w:rsid w:val="003F3650"/>
    <w:rsid w:val="0040357E"/>
    <w:rsid w:val="00424AB0"/>
    <w:rsid w:val="00462DF2"/>
    <w:rsid w:val="00503CAD"/>
    <w:rsid w:val="00512B15"/>
    <w:rsid w:val="0054437A"/>
    <w:rsid w:val="005715C6"/>
    <w:rsid w:val="00584AA4"/>
    <w:rsid w:val="005F2164"/>
    <w:rsid w:val="005F2EED"/>
    <w:rsid w:val="0063728A"/>
    <w:rsid w:val="006A6160"/>
    <w:rsid w:val="006F30BD"/>
    <w:rsid w:val="00777AD8"/>
    <w:rsid w:val="00785A75"/>
    <w:rsid w:val="00786C92"/>
    <w:rsid w:val="00791106"/>
    <w:rsid w:val="007E5567"/>
    <w:rsid w:val="00800875"/>
    <w:rsid w:val="00833BE3"/>
    <w:rsid w:val="00834C3D"/>
    <w:rsid w:val="00864FCC"/>
    <w:rsid w:val="008C2F22"/>
    <w:rsid w:val="008D1663"/>
    <w:rsid w:val="009524C3"/>
    <w:rsid w:val="009558B9"/>
    <w:rsid w:val="00966F02"/>
    <w:rsid w:val="0098313B"/>
    <w:rsid w:val="009D0129"/>
    <w:rsid w:val="00A16511"/>
    <w:rsid w:val="00A21F1A"/>
    <w:rsid w:val="00A55F40"/>
    <w:rsid w:val="00A73959"/>
    <w:rsid w:val="00AA3019"/>
    <w:rsid w:val="00AB55F6"/>
    <w:rsid w:val="00AC47A8"/>
    <w:rsid w:val="00B323C8"/>
    <w:rsid w:val="00B343D2"/>
    <w:rsid w:val="00B463FE"/>
    <w:rsid w:val="00B637D3"/>
    <w:rsid w:val="00B759C3"/>
    <w:rsid w:val="00BC4CF5"/>
    <w:rsid w:val="00BD68BD"/>
    <w:rsid w:val="00BE1A5E"/>
    <w:rsid w:val="00BE252B"/>
    <w:rsid w:val="00C35969"/>
    <w:rsid w:val="00C72795"/>
    <w:rsid w:val="00C74948"/>
    <w:rsid w:val="00CC25A3"/>
    <w:rsid w:val="00CC4D38"/>
    <w:rsid w:val="00CF2B61"/>
    <w:rsid w:val="00D81F80"/>
    <w:rsid w:val="00DC47EC"/>
    <w:rsid w:val="00DD270B"/>
    <w:rsid w:val="00DF09D7"/>
    <w:rsid w:val="00E35D8F"/>
    <w:rsid w:val="00EF1A11"/>
    <w:rsid w:val="00F45243"/>
    <w:rsid w:val="00FD3830"/>
    <w:rsid w:val="00FE3668"/>
    <w:rsid w:val="15ED1AE3"/>
    <w:rsid w:val="32AB410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D8B75"/>
  <w15:docId w15:val="{70720175-4057-4A11-940A-2810471D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sz w:val="22"/>
      <w:szCs w:val="22"/>
      <w:lang w:val="zh-CN" w:eastAsia="en-US"/>
    </w:rPr>
  </w:style>
  <w:style w:type="character" w:customStyle="1" w:styleId="FooterChar">
    <w:name w:val="Footer Char"/>
    <w:basedOn w:val="DefaultParagraphFont"/>
    <w:link w:val="Footer"/>
    <w:uiPriority w:val="99"/>
    <w:qFormat/>
    <w:rPr>
      <w:sz w:val="22"/>
      <w:szCs w:val="22"/>
      <w:lang w:val="zh-CN" w:eastAsia="en-US"/>
    </w:rPr>
  </w:style>
  <w:style w:type="paragraph" w:styleId="NoSpacing">
    <w:name w:val="No Spacing"/>
    <w:uiPriority w:val="1"/>
    <w:qFormat/>
    <w:rPr>
      <w:sz w:val="22"/>
      <w:szCs w:val="22"/>
      <w:lang w:val="en-GB" w:eastAsia="en-US"/>
    </w:rPr>
  </w:style>
  <w:style w:type="character" w:styleId="UnresolvedMention">
    <w:name w:val="Unresolved Mention"/>
    <w:basedOn w:val="DefaultParagraphFont"/>
    <w:uiPriority w:val="99"/>
    <w:semiHidden/>
    <w:unhideWhenUsed/>
    <w:rsid w:val="00786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chemical-engineering/fluidized-bed" TargetMode="External"/><Relationship Id="rId18" Type="http://schemas.openxmlformats.org/officeDocument/2006/relationships/hyperlink" Target="https://www.sciencedirect.com/journal/energy/vol/238/part/PC" TargetMode="External"/><Relationship Id="rId26" Type="http://schemas.openxmlformats.org/officeDocument/2006/relationships/hyperlink" Target="https://doi.org/10.1007/s42461-024-00920-8" TargetMode="External"/><Relationship Id="rId39" Type="http://schemas.openxmlformats.org/officeDocument/2006/relationships/hyperlink" Target="nternational%20Journal%20of%20Coal%20Preparation%20and%20Utilization.%205(10);%202358-2374.&#160;" TargetMode="External"/><Relationship Id="rId21" Type="http://schemas.openxmlformats.org/officeDocument/2006/relationships/hyperlink" Target="https://www.sciencedirect.com/journal/powder-technology/vol/119/issue/1" TargetMode="External"/><Relationship Id="rId34" Type="http://schemas.openxmlformats.org/officeDocument/2006/relationships/hyperlink" Target="https://doi.org/10.1016/S0378-3820(01)00233-8" TargetMode="External"/><Relationship Id="rId42" Type="http://schemas.openxmlformats.org/officeDocument/2006/relationships/hyperlink" Target="https://www.researchgate.net/journal/International-Journal-of-Coal-Preparation-and-Utilization-1939-2702?_tp=eyJjb250ZXh0Ijp7ImZpcnN0UGFnZSI6InB1YmxpY2F0aW9uIiwicGFnZSI6InB1YmxpY2F0aW9uIn19" TargetMode="External"/><Relationship Id="rId47" Type="http://schemas.openxmlformats.org/officeDocument/2006/relationships/hyperlink" Target="https://www.sciencedirect.com/journal/progress-in-energy-and-combustion-science/vol/34/issue/5"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3140/RG.2.1.3645.8489" TargetMode="External"/><Relationship Id="rId29" Type="http://schemas.openxmlformats.org/officeDocument/2006/relationships/hyperlink" Target="https://www.sciencedirect.com/journal/fuel/vol/71/issue/8" TargetMode="External"/><Relationship Id="rId11" Type="http://schemas.openxmlformats.org/officeDocument/2006/relationships/hyperlink" Target="https://www.sciencedirect.com/topics/chemical-engineering/microencapsulation" TargetMode="External"/><Relationship Id="rId24" Type="http://schemas.openxmlformats.org/officeDocument/2006/relationships/hyperlink" Target="https://doi.org/10.33536/jg.v6i3.243" TargetMode="External"/><Relationship Id="rId32" Type="http://schemas.openxmlformats.org/officeDocument/2006/relationships/hyperlink" Target="https://www.sciencedirect.com/journal/environmental-research/vol/255/suppl/C" TargetMode="External"/><Relationship Id="rId37" Type="http://schemas.openxmlformats.org/officeDocument/2006/relationships/hyperlink" Target="https://www.tandfonline.com/author/Sahu%2C+Satya+Prakash" TargetMode="External"/><Relationship Id="rId40" Type="http://schemas.openxmlformats.org/officeDocument/2006/relationships/hyperlink" Target="https://doi.org/10.1080/19392699.2024.2424769" TargetMode="External"/><Relationship Id="rId45" Type="http://schemas.openxmlformats.org/officeDocument/2006/relationships/hyperlink" Target="https://doi.org/10.1016/j.powtec.2019.02.001" TargetMode="External"/><Relationship Id="rId53"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image" Target="media/image1.jpeg"/><Relationship Id="rId19" Type="http://schemas.openxmlformats.org/officeDocument/2006/relationships/hyperlink" Target="https://econpapers.repec.org/scripts/redir.pf?u=https%3A%2F%2Fdoi.org%2F10.1016%252Fj.energy.2021.121872;h=repec:eee:energy:v:238:y:2022:i:pc:s0360544221021204" TargetMode="External"/><Relationship Id="rId31" Type="http://schemas.openxmlformats.org/officeDocument/2006/relationships/hyperlink" Target="https://www.sciencedirect.com/journal/environmental-research" TargetMode="External"/><Relationship Id="rId44" Type="http://schemas.openxmlformats.org/officeDocument/2006/relationships/hyperlink" Target="https://doi.org/10.59313/jsr-a.1334096" TargetMode="External"/><Relationship Id="rId52"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sciencedirect.com/topics/chemical-engineering/fluidized-bed" TargetMode="External"/><Relationship Id="rId14" Type="http://schemas.openxmlformats.org/officeDocument/2006/relationships/hyperlink" Target="https://www.sciencedirect.com/topics/chemical-engineering/temperature-distribution" TargetMode="External"/><Relationship Id="rId22" Type="http://schemas.openxmlformats.org/officeDocument/2006/relationships/hyperlink" Target="https://doi.org/10.1016/S0032-5910(01)00400-4" TargetMode="External"/><Relationship Id="rId27" Type="http://schemas.openxmlformats.org/officeDocument/2006/relationships/hyperlink" Target="https://doi.org/10.4324/9780203747117-30" TargetMode="External"/><Relationship Id="rId30" Type="http://schemas.openxmlformats.org/officeDocument/2006/relationships/hyperlink" Target="https://doi.org/10.1016/0016-2361(92)90245-J" TargetMode="External"/><Relationship Id="rId35" Type="http://schemas.openxmlformats.org/officeDocument/2006/relationships/hyperlink" Target="https://www.tandfonline.com/author/Mohanty%2C+Pradeep+Kumar" TargetMode="External"/><Relationship Id="rId43" Type="http://schemas.openxmlformats.org/officeDocument/2006/relationships/hyperlink" Target="https://doi.org/10.1080/19392699.2016.1142443" TargetMode="External"/><Relationship Id="rId48" Type="http://schemas.openxmlformats.org/officeDocument/2006/relationships/hyperlink" Target="https://doi.org/10.1016/j.pecs.2008.04.002"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www.sciencedirect.com/topics/chemical-engineering/fluidized-bed" TargetMode="External"/><Relationship Id="rId17" Type="http://schemas.openxmlformats.org/officeDocument/2006/relationships/hyperlink" Target="https://www.sciencedirect.com/journal/energy" TargetMode="External"/><Relationship Id="rId25" Type="http://schemas.openxmlformats.org/officeDocument/2006/relationships/hyperlink" Target="https://link.springer.com/article/10.1007/s42461-024-00920-8" TargetMode="External"/><Relationship Id="rId33" Type="http://schemas.openxmlformats.org/officeDocument/2006/relationships/hyperlink" Target="https://doi.org/10.1016/j.envres.2024.119208" TargetMode="External"/><Relationship Id="rId38" Type="http://schemas.openxmlformats.org/officeDocument/2006/relationships/hyperlink" Target="https://www.tandfonline.com/author/Chakladar%2C+Saswati" TargetMode="External"/><Relationship Id="rId46" Type="http://schemas.openxmlformats.org/officeDocument/2006/relationships/hyperlink" Target="https://www.sciencedirect.com/journal/progress-in-energy-and-combustion-science" TargetMode="External"/><Relationship Id="rId20" Type="http://schemas.openxmlformats.org/officeDocument/2006/relationships/hyperlink" Target="https://www.sciencedirect.com/science/article/pii/S0032591001004004" TargetMode="External"/><Relationship Id="rId41" Type="http://schemas.openxmlformats.org/officeDocument/2006/relationships/hyperlink" Target="https://doi.org/10.1080/07349349908945603"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ciencedirect.com/topics/engineering/fluidized-bed" TargetMode="External"/><Relationship Id="rId23" Type="http://schemas.openxmlformats.org/officeDocument/2006/relationships/hyperlink" Target="https://doi.org/10.1080/19392699.2016.1142443" TargetMode="External"/><Relationship Id="rId28" Type="http://schemas.openxmlformats.org/officeDocument/2006/relationships/hyperlink" Target="https://www.sciencedirect.com/journal/fuel" TargetMode="External"/><Relationship Id="rId36" Type="http://schemas.openxmlformats.org/officeDocument/2006/relationships/hyperlink" Target="https://www.tandfonline.com/author/Jayanthu%2C+Singam"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A57963-8054-4EF4-A5CD-704E2603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 Pinaringan Sujalu</dc:creator>
  <cp:lastModifiedBy>Akas Pinaringan Sujalu</cp:lastModifiedBy>
  <cp:revision>47</cp:revision>
  <dcterms:created xsi:type="dcterms:W3CDTF">2026-04-19T04:39:00Z</dcterms:created>
  <dcterms:modified xsi:type="dcterms:W3CDTF">2026-05-03T12:26:00Z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eyJoZGlkIjoiYjJjOTQxYzhjODMyMDAzZmE0MDJkMWFkNmJlNDkwYTUifQ==</vt:lpwstr>
  </property>
  <property fmtid="{D5CDD505-2E9C-101B-9397-08002B2CF9AE}" pid="3" name="KSOProductBuildVer">
    <vt:lpwstr>1033-12.1.0.25242</vt:lpwstr>
  </property>
  <property fmtid="{D5CDD505-2E9C-101B-9397-08002B2CF9AE}" pid="4" name="ICV">
    <vt:lpwstr>A747D4529959486B9465696276BE616A_13</vt:lpwstr>
  </property>
  <property fmtid="{D5CDD505-2E9C-101B-9397-08002B2CF9AE}" pid="5" name="GrammarlyDocumentId">
    <vt:lpwstr>626ad90d-24a9-46b9-abf9-08ab62d25cad</vt:lpwstr>
  </property>
</Properties>
</file>