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95044" w14:textId="77777777" w:rsidR="008B18B5" w:rsidRPr="002206E5" w:rsidRDefault="008B18B5" w:rsidP="002206E5">
      <w:pPr>
        <w:tabs>
          <w:tab w:val="left" w:pos="540"/>
          <w:tab w:val="left" w:pos="630"/>
        </w:tabs>
        <w:spacing w:after="240" w:line="360" w:lineRule="auto"/>
        <w:ind w:left="540"/>
        <w:jc w:val="both"/>
        <w:rPr>
          <w:rFonts w:ascii="Times New Roman" w:eastAsia="Times New Roman" w:hAnsi="Times New Roman" w:cs="Times New Roman"/>
          <w:color w:val="000000"/>
          <w:sz w:val="24"/>
          <w:szCs w:val="24"/>
        </w:rPr>
      </w:pPr>
      <w:bookmarkStart w:id="0" w:name="_Hlk228452477"/>
      <w:r w:rsidRPr="002206E5">
        <w:rPr>
          <w:rFonts w:ascii="Times New Roman" w:eastAsia="Times New Roman" w:hAnsi="Times New Roman" w:cs="Times New Roman"/>
          <w:b/>
          <w:color w:val="000000"/>
          <w:sz w:val="24"/>
          <w:szCs w:val="24"/>
        </w:rPr>
        <w:t xml:space="preserve">Effect of Black Polyethylene Mulch </w:t>
      </w:r>
      <w:bookmarkEnd w:id="0"/>
      <w:r w:rsidRPr="002206E5">
        <w:rPr>
          <w:rFonts w:ascii="Times New Roman" w:eastAsia="Times New Roman" w:hAnsi="Times New Roman" w:cs="Times New Roman"/>
          <w:b/>
          <w:color w:val="000000"/>
          <w:sz w:val="24"/>
          <w:szCs w:val="24"/>
        </w:rPr>
        <w:t>on Pineapple (</w:t>
      </w:r>
      <w:r w:rsidRPr="002206E5">
        <w:rPr>
          <w:rFonts w:ascii="Times New Roman" w:eastAsia="Times New Roman" w:hAnsi="Times New Roman" w:cs="Times New Roman"/>
          <w:b/>
          <w:i/>
          <w:color w:val="000000"/>
          <w:sz w:val="24"/>
          <w:szCs w:val="24"/>
        </w:rPr>
        <w:t>Ananas comosus</w:t>
      </w:r>
      <w:r w:rsidRPr="002206E5">
        <w:rPr>
          <w:rFonts w:ascii="Times New Roman" w:eastAsia="Times New Roman" w:hAnsi="Times New Roman" w:cs="Times New Roman"/>
          <w:b/>
          <w:color w:val="000000"/>
          <w:sz w:val="24"/>
          <w:szCs w:val="24"/>
        </w:rPr>
        <w:t xml:space="preserve"> (</w:t>
      </w:r>
      <w:proofErr w:type="gramStart"/>
      <w:r w:rsidRPr="002206E5">
        <w:rPr>
          <w:rFonts w:ascii="Times New Roman" w:eastAsia="Times New Roman" w:hAnsi="Times New Roman" w:cs="Times New Roman"/>
          <w:b/>
          <w:color w:val="000000"/>
          <w:sz w:val="24"/>
          <w:szCs w:val="24"/>
        </w:rPr>
        <w:t>L.)</w:t>
      </w:r>
      <w:proofErr w:type="spellStart"/>
      <w:r w:rsidRPr="002206E5">
        <w:rPr>
          <w:rFonts w:ascii="Times New Roman" w:eastAsia="Times New Roman" w:hAnsi="Times New Roman" w:cs="Times New Roman"/>
          <w:b/>
          <w:color w:val="000000"/>
          <w:sz w:val="24"/>
          <w:szCs w:val="24"/>
        </w:rPr>
        <w:t>Merr</w:t>
      </w:r>
      <w:proofErr w:type="spellEnd"/>
      <w:proofErr w:type="gramEnd"/>
      <w:r w:rsidRPr="002206E5">
        <w:rPr>
          <w:rFonts w:ascii="Times New Roman" w:eastAsia="Times New Roman" w:hAnsi="Times New Roman" w:cs="Times New Roman"/>
          <w:b/>
          <w:color w:val="000000"/>
          <w:sz w:val="24"/>
          <w:szCs w:val="24"/>
        </w:rPr>
        <w:t xml:space="preserve">.) Yield </w:t>
      </w:r>
      <w:bookmarkStart w:id="1" w:name="_Hlk228452491"/>
      <w:r w:rsidRPr="002206E5">
        <w:rPr>
          <w:rFonts w:ascii="Times New Roman" w:eastAsia="Times New Roman" w:hAnsi="Times New Roman" w:cs="Times New Roman"/>
          <w:b/>
          <w:color w:val="000000"/>
          <w:sz w:val="24"/>
          <w:szCs w:val="24"/>
        </w:rPr>
        <w:t>and Farmer Perceptions</w:t>
      </w:r>
      <w:r w:rsidR="009D777B" w:rsidRPr="002206E5">
        <w:rPr>
          <w:rFonts w:ascii="Times New Roman" w:eastAsia="Times New Roman" w:hAnsi="Times New Roman" w:cs="Times New Roman"/>
          <w:b/>
          <w:color w:val="000000"/>
          <w:sz w:val="24"/>
          <w:szCs w:val="24"/>
        </w:rPr>
        <w:t xml:space="preserve"> </w:t>
      </w:r>
      <w:r w:rsidRPr="002206E5">
        <w:rPr>
          <w:rFonts w:ascii="Times New Roman" w:eastAsia="Times New Roman" w:hAnsi="Times New Roman" w:cs="Times New Roman"/>
          <w:b/>
          <w:color w:val="000000"/>
          <w:sz w:val="24"/>
          <w:szCs w:val="24"/>
        </w:rPr>
        <w:t>under On-Farm Conditions</w:t>
      </w:r>
      <w:r w:rsidR="009D777B" w:rsidRPr="002206E5">
        <w:rPr>
          <w:rFonts w:ascii="Times New Roman" w:eastAsia="Times New Roman" w:hAnsi="Times New Roman" w:cs="Times New Roman"/>
          <w:b/>
          <w:color w:val="000000"/>
          <w:sz w:val="24"/>
          <w:szCs w:val="24"/>
        </w:rPr>
        <w:t xml:space="preserve"> </w:t>
      </w:r>
      <w:bookmarkEnd w:id="1"/>
      <w:r w:rsidRPr="002206E5">
        <w:rPr>
          <w:rFonts w:ascii="Times New Roman" w:eastAsia="Times New Roman" w:hAnsi="Times New Roman" w:cs="Times New Roman"/>
          <w:b/>
          <w:color w:val="000000"/>
          <w:sz w:val="24"/>
          <w:szCs w:val="24"/>
        </w:rPr>
        <w:t xml:space="preserve">in </w:t>
      </w:r>
      <w:proofErr w:type="spellStart"/>
      <w:r w:rsidRPr="002206E5">
        <w:rPr>
          <w:rFonts w:ascii="Times New Roman" w:eastAsia="Times New Roman" w:hAnsi="Times New Roman" w:cs="Times New Roman"/>
          <w:b/>
          <w:color w:val="000000"/>
          <w:sz w:val="24"/>
          <w:szCs w:val="24"/>
        </w:rPr>
        <w:t>Aletachuko</w:t>
      </w:r>
      <w:proofErr w:type="spellEnd"/>
      <w:r w:rsidRPr="002206E5">
        <w:rPr>
          <w:rFonts w:ascii="Times New Roman" w:eastAsia="Times New Roman" w:hAnsi="Times New Roman" w:cs="Times New Roman"/>
          <w:b/>
          <w:color w:val="000000"/>
          <w:sz w:val="24"/>
          <w:szCs w:val="24"/>
        </w:rPr>
        <w:t xml:space="preserve">, </w:t>
      </w:r>
      <w:proofErr w:type="spellStart"/>
      <w:r w:rsidRPr="002206E5">
        <w:rPr>
          <w:rFonts w:ascii="Times New Roman" w:eastAsia="Times New Roman" w:hAnsi="Times New Roman" w:cs="Times New Roman"/>
          <w:b/>
          <w:color w:val="000000"/>
          <w:sz w:val="24"/>
          <w:szCs w:val="24"/>
        </w:rPr>
        <w:t>Sidama</w:t>
      </w:r>
      <w:proofErr w:type="spellEnd"/>
      <w:r w:rsidRPr="002206E5">
        <w:rPr>
          <w:rFonts w:ascii="Times New Roman" w:eastAsia="Times New Roman" w:hAnsi="Times New Roman" w:cs="Times New Roman"/>
          <w:b/>
          <w:color w:val="000000"/>
          <w:sz w:val="24"/>
          <w:szCs w:val="24"/>
        </w:rPr>
        <w:t xml:space="preserve"> Region</w:t>
      </w:r>
    </w:p>
    <w:p w14:paraId="33E9E9F1" w14:textId="77777777" w:rsidR="00A72F61" w:rsidRDefault="00A72F61" w:rsidP="002206E5">
      <w:pPr>
        <w:spacing w:after="160" w:line="360" w:lineRule="auto"/>
        <w:jc w:val="both"/>
        <w:rPr>
          <w:rFonts w:ascii="Times New Roman" w:eastAsia="Times New Roman" w:hAnsi="Times New Roman" w:cs="Times New Roman"/>
          <w:b/>
          <w:color w:val="000000"/>
          <w:sz w:val="24"/>
          <w:szCs w:val="24"/>
        </w:rPr>
      </w:pPr>
    </w:p>
    <w:p w14:paraId="30BA296E" w14:textId="291F6171"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Abstract</w:t>
      </w:r>
    </w:p>
    <w:p w14:paraId="70D438B3"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i/>
          <w:color w:val="000000"/>
          <w:sz w:val="24"/>
          <w:szCs w:val="24"/>
        </w:rPr>
        <w:t>Pineapple is an important tropical fruit crop that demonstrates a degree of drought tolerance despite its shallow root system and contributes significantly to household nutrition and diet diversity. . This study evaluated the effect of black polyethylene mulch on growth performance and economic yield of pineapple under farmer-managed conditions</w:t>
      </w:r>
      <w:r w:rsidR="009D777B" w:rsidRPr="002206E5">
        <w:rPr>
          <w:rFonts w:ascii="Times New Roman" w:eastAsia="Times New Roman" w:hAnsi="Times New Roman" w:cs="Times New Roman"/>
          <w:i/>
          <w:color w:val="000000"/>
          <w:sz w:val="24"/>
          <w:szCs w:val="24"/>
        </w:rPr>
        <w:t xml:space="preserve"> </w:t>
      </w:r>
      <w:r w:rsidRPr="002206E5">
        <w:rPr>
          <w:rFonts w:ascii="Times New Roman" w:eastAsia="Times New Roman" w:hAnsi="Times New Roman" w:cs="Times New Roman"/>
          <w:i/>
          <w:color w:val="000000"/>
          <w:sz w:val="24"/>
          <w:szCs w:val="24"/>
        </w:rPr>
        <w:t xml:space="preserve">in </w:t>
      </w:r>
      <w:proofErr w:type="spellStart"/>
      <w:r w:rsidRPr="002206E5">
        <w:rPr>
          <w:rFonts w:ascii="Times New Roman" w:eastAsia="Times New Roman" w:hAnsi="Times New Roman" w:cs="Times New Roman"/>
          <w:i/>
          <w:color w:val="000000"/>
          <w:sz w:val="24"/>
          <w:szCs w:val="24"/>
        </w:rPr>
        <w:t>Aletachuko</w:t>
      </w:r>
      <w:proofErr w:type="spellEnd"/>
      <w:r w:rsidRPr="002206E5">
        <w:rPr>
          <w:rFonts w:ascii="Times New Roman" w:eastAsia="Times New Roman" w:hAnsi="Times New Roman" w:cs="Times New Roman"/>
          <w:i/>
          <w:color w:val="000000"/>
          <w:sz w:val="24"/>
          <w:szCs w:val="24"/>
        </w:rPr>
        <w:t xml:space="preserve"> district, </w:t>
      </w:r>
      <w:proofErr w:type="spellStart"/>
      <w:r w:rsidRPr="002206E5">
        <w:rPr>
          <w:rFonts w:ascii="Times New Roman" w:eastAsia="Times New Roman" w:hAnsi="Times New Roman" w:cs="Times New Roman"/>
          <w:i/>
          <w:color w:val="000000"/>
          <w:sz w:val="24"/>
          <w:szCs w:val="24"/>
        </w:rPr>
        <w:t>Sidama</w:t>
      </w:r>
      <w:proofErr w:type="spellEnd"/>
      <w:r w:rsidRPr="002206E5">
        <w:rPr>
          <w:rFonts w:ascii="Times New Roman" w:eastAsia="Times New Roman" w:hAnsi="Times New Roman" w:cs="Times New Roman"/>
          <w:i/>
          <w:color w:val="000000"/>
          <w:sz w:val="24"/>
          <w:szCs w:val="24"/>
        </w:rPr>
        <w:t xml:space="preserve"> Region. A field demonstration was implemented on 20 </w:t>
      </w:r>
      <w:r w:rsidR="00997E26" w:rsidRPr="002206E5">
        <w:rPr>
          <w:rFonts w:ascii="Times New Roman" w:eastAsia="Times New Roman" w:hAnsi="Times New Roman" w:cs="Times New Roman"/>
          <w:i/>
          <w:color w:val="000000"/>
          <w:sz w:val="24"/>
          <w:szCs w:val="24"/>
        </w:rPr>
        <w:t>volunteer farmers’ field;</w:t>
      </w:r>
      <w:r w:rsidRPr="002206E5">
        <w:rPr>
          <w:rFonts w:ascii="Times New Roman" w:eastAsia="Times New Roman" w:hAnsi="Times New Roman" w:cs="Times New Roman"/>
          <w:i/>
          <w:color w:val="000000"/>
          <w:sz w:val="24"/>
          <w:szCs w:val="24"/>
        </w:rPr>
        <w:t xml:space="preserve"> where</w:t>
      </w:r>
      <w:r w:rsidR="00997E26" w:rsidRPr="002206E5">
        <w:rPr>
          <w:rFonts w:ascii="Times New Roman" w:eastAsia="Times New Roman" w:hAnsi="Times New Roman" w:cs="Times New Roman"/>
          <w:i/>
          <w:color w:val="000000"/>
          <w:sz w:val="24"/>
          <w:szCs w:val="24"/>
        </w:rPr>
        <w:t xml:space="preserve"> </w:t>
      </w:r>
      <w:r w:rsidRPr="002206E5">
        <w:rPr>
          <w:rFonts w:ascii="Times New Roman" w:eastAsia="Times New Roman" w:hAnsi="Times New Roman" w:cs="Times New Roman"/>
          <w:i/>
          <w:color w:val="000000"/>
          <w:sz w:val="24"/>
          <w:szCs w:val="24"/>
        </w:rPr>
        <w:t xml:space="preserve">each plot (100 m²) was divided into mulched and non-mulched treatments. Results indicated a substantial yield advantage from mulching, with an average yield of 89.04 </w:t>
      </w:r>
      <w:r w:rsidRPr="002206E5">
        <w:rPr>
          <w:rFonts w:ascii="Times New Roman" w:eastAsia="Times New Roman" w:hAnsi="Times New Roman" w:cs="Times New Roman"/>
          <w:color w:val="000000"/>
          <w:sz w:val="24"/>
          <w:szCs w:val="24"/>
        </w:rPr>
        <w:t>tons ha</w:t>
      </w:r>
      <w:r w:rsidRPr="002206E5">
        <w:rPr>
          <w:rFonts w:ascii="Times New Roman" w:eastAsia="Times New Roman" w:hAnsi="Times New Roman" w:cs="Times New Roman"/>
          <w:color w:val="000000"/>
          <w:sz w:val="24"/>
          <w:szCs w:val="24"/>
          <w:vertAlign w:val="superscript"/>
        </w:rPr>
        <w:t xml:space="preserve"> -1</w:t>
      </w:r>
      <w:r w:rsidRPr="002206E5">
        <w:rPr>
          <w:rFonts w:ascii="Times New Roman" w:eastAsia="Times New Roman" w:hAnsi="Times New Roman" w:cs="Times New Roman"/>
          <w:i/>
          <w:color w:val="000000"/>
          <w:sz w:val="24"/>
          <w:szCs w:val="24"/>
        </w:rPr>
        <w:t>, significantly higher than the traditional practice. Farmers initially expressed skepticism regarding the technology while later majority of them reported positive perceptions, highlighting improved soil moisture retention, reduced weed pressure, and improved productivity, fruit quality and taste. Although the technology was promising, adoption may be constrained by the cost and availability of polythene sheets in the area. Moreover, concern about the potential environmental impacts of plastic sheet on soil biodiversity and micro</w:t>
      </w:r>
      <w:r w:rsidR="00997E26" w:rsidRPr="002206E5">
        <w:rPr>
          <w:rFonts w:ascii="Times New Roman" w:eastAsia="Times New Roman" w:hAnsi="Times New Roman" w:cs="Times New Roman"/>
          <w:i/>
          <w:color w:val="000000"/>
          <w:sz w:val="24"/>
          <w:szCs w:val="24"/>
        </w:rPr>
        <w:t>-</w:t>
      </w:r>
      <w:r w:rsidRPr="002206E5">
        <w:rPr>
          <w:rFonts w:ascii="Times New Roman" w:eastAsia="Times New Roman" w:hAnsi="Times New Roman" w:cs="Times New Roman"/>
          <w:i/>
          <w:color w:val="000000"/>
          <w:sz w:val="24"/>
          <w:szCs w:val="24"/>
        </w:rPr>
        <w:t xml:space="preserve">flora need further research. </w:t>
      </w:r>
    </w:p>
    <w:p w14:paraId="18901FC5"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 xml:space="preserve">Keywords: </w:t>
      </w:r>
      <w:r w:rsidRPr="002206E5">
        <w:rPr>
          <w:rFonts w:ascii="Times New Roman" w:eastAsia="Times New Roman" w:hAnsi="Times New Roman" w:cs="Times New Roman"/>
          <w:color w:val="000000"/>
          <w:sz w:val="24"/>
          <w:szCs w:val="24"/>
        </w:rPr>
        <w:t xml:space="preserve">Pineapple, Plastic mulch, Demonstration, Yield improvement, Soil moisture retention </w:t>
      </w:r>
    </w:p>
    <w:p w14:paraId="6C1F7C0A"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3.1. Introduction</w:t>
      </w:r>
    </w:p>
    <w:p w14:paraId="0EE683AC" w14:textId="77777777" w:rsidR="008B18B5" w:rsidRPr="002206E5" w:rsidRDefault="008B18B5" w:rsidP="002206E5">
      <w:pPr>
        <w:tabs>
          <w:tab w:val="left" w:pos="4860"/>
        </w:tabs>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Pineapple (</w:t>
      </w:r>
      <w:r w:rsidRPr="002206E5">
        <w:rPr>
          <w:rFonts w:ascii="Times New Roman" w:eastAsia="Times New Roman" w:hAnsi="Times New Roman" w:cs="Times New Roman"/>
          <w:i/>
          <w:color w:val="000000"/>
          <w:sz w:val="24"/>
          <w:szCs w:val="24"/>
        </w:rPr>
        <w:t>Ananas comosus</w:t>
      </w:r>
      <w:r w:rsidRPr="002206E5">
        <w:rPr>
          <w:rFonts w:ascii="Times New Roman" w:eastAsia="Times New Roman" w:hAnsi="Times New Roman" w:cs="Times New Roman"/>
          <w:color w:val="000000"/>
          <w:sz w:val="24"/>
          <w:szCs w:val="24"/>
        </w:rPr>
        <w:t xml:space="preserve"> (L.) </w:t>
      </w:r>
      <w:proofErr w:type="spellStart"/>
      <w:r w:rsidRPr="002206E5">
        <w:rPr>
          <w:rFonts w:ascii="Times New Roman" w:eastAsia="Times New Roman" w:hAnsi="Times New Roman" w:cs="Times New Roman"/>
          <w:color w:val="000000"/>
          <w:sz w:val="24"/>
          <w:szCs w:val="24"/>
        </w:rPr>
        <w:t>Merr</w:t>
      </w:r>
      <w:proofErr w:type="spellEnd"/>
      <w:r w:rsidRPr="002206E5">
        <w:rPr>
          <w:rFonts w:ascii="Times New Roman" w:eastAsia="Times New Roman" w:hAnsi="Times New Roman" w:cs="Times New Roman"/>
          <w:color w:val="000000"/>
          <w:sz w:val="24"/>
          <w:szCs w:val="24"/>
        </w:rPr>
        <w:t xml:space="preserve">) is an important tropical fruit crop valued for its rich nutritional content, including vitamin C, dietary fiber, and </w:t>
      </w:r>
      <w:proofErr w:type="gramStart"/>
      <w:r w:rsidRPr="002206E5">
        <w:rPr>
          <w:rFonts w:ascii="Times New Roman" w:eastAsia="Times New Roman" w:hAnsi="Times New Roman" w:cs="Times New Roman"/>
          <w:color w:val="000000"/>
          <w:sz w:val="24"/>
          <w:szCs w:val="24"/>
        </w:rPr>
        <w:t>high water</w:t>
      </w:r>
      <w:proofErr w:type="gramEnd"/>
      <w:r w:rsidRPr="002206E5">
        <w:rPr>
          <w:rFonts w:ascii="Times New Roman" w:eastAsia="Times New Roman" w:hAnsi="Times New Roman" w:cs="Times New Roman"/>
          <w:color w:val="000000"/>
          <w:sz w:val="24"/>
          <w:szCs w:val="24"/>
        </w:rPr>
        <w:t xml:space="preserve"> content. Its regular consumption contributes to improved dietary diversity and overall health. The crop is well adapted to a </w:t>
      </w:r>
      <w:proofErr w:type="spellStart"/>
      <w:r w:rsidRPr="002206E5">
        <w:rPr>
          <w:rFonts w:ascii="Times New Roman" w:eastAsia="Times New Roman" w:hAnsi="Times New Roman" w:cs="Times New Roman"/>
          <w:color w:val="000000"/>
          <w:sz w:val="24"/>
          <w:szCs w:val="24"/>
        </w:rPr>
        <w:t>widerange</w:t>
      </w:r>
      <w:proofErr w:type="spellEnd"/>
      <w:r w:rsidRPr="002206E5">
        <w:rPr>
          <w:rFonts w:ascii="Times New Roman" w:eastAsia="Times New Roman" w:hAnsi="Times New Roman" w:cs="Times New Roman"/>
          <w:color w:val="000000"/>
          <w:sz w:val="24"/>
          <w:szCs w:val="24"/>
        </w:rPr>
        <w:t xml:space="preserve"> of </w:t>
      </w:r>
      <w:proofErr w:type="spellStart"/>
      <w:r w:rsidRPr="002206E5">
        <w:rPr>
          <w:rFonts w:ascii="Times New Roman" w:eastAsia="Times New Roman" w:hAnsi="Times New Roman" w:cs="Times New Roman"/>
          <w:color w:val="000000"/>
          <w:sz w:val="24"/>
          <w:szCs w:val="24"/>
        </w:rPr>
        <w:t>agro</w:t>
      </w:r>
      <w:proofErr w:type="spellEnd"/>
      <w:r w:rsidRPr="002206E5">
        <w:rPr>
          <w:rFonts w:ascii="Times New Roman" w:eastAsia="Times New Roman" w:hAnsi="Times New Roman" w:cs="Times New Roman"/>
          <w:color w:val="000000"/>
          <w:sz w:val="24"/>
          <w:szCs w:val="24"/>
        </w:rPr>
        <w:t>-climatic conditions, thriving in both tropical and subtropical environments (</w:t>
      </w:r>
      <w:proofErr w:type="spellStart"/>
      <w:r w:rsidRPr="002206E5">
        <w:rPr>
          <w:rFonts w:ascii="Times New Roman" w:hAnsi="Times New Roman" w:cs="Times New Roman"/>
          <w:sz w:val="24"/>
          <w:szCs w:val="24"/>
        </w:rPr>
        <w:fldChar w:fldCharType="begin"/>
      </w:r>
      <w:r w:rsidRPr="002206E5">
        <w:rPr>
          <w:rFonts w:ascii="Times New Roman" w:hAnsi="Times New Roman" w:cs="Times New Roman"/>
          <w:sz w:val="24"/>
          <w:szCs w:val="24"/>
        </w:rPr>
        <w:instrText>HYPERLINK "https://www.agrifarming.in/pineapple-farming" \l "goog_rewarded" \h</w:instrText>
      </w:r>
      <w:r w:rsidRPr="002206E5">
        <w:rPr>
          <w:rFonts w:ascii="Times New Roman" w:hAnsi="Times New Roman" w:cs="Times New Roman"/>
          <w:sz w:val="24"/>
          <w:szCs w:val="24"/>
        </w:rPr>
        <w:fldChar w:fldCharType="separate"/>
      </w:r>
      <w:r w:rsidRPr="002206E5">
        <w:rPr>
          <w:rFonts w:ascii="Times New Roman" w:eastAsia="Times New Roman" w:hAnsi="Times New Roman" w:cs="Times New Roman"/>
          <w:color w:val="000000"/>
          <w:sz w:val="24"/>
          <w:szCs w:val="24"/>
        </w:rPr>
        <w:t>AgriFarming</w:t>
      </w:r>
      <w:proofErr w:type="spellEnd"/>
      <w:r w:rsidRPr="002206E5">
        <w:rPr>
          <w:rFonts w:ascii="Times New Roman" w:eastAsia="Times New Roman" w:hAnsi="Times New Roman" w:cs="Times New Roman"/>
          <w:color w:val="000000"/>
          <w:sz w:val="24"/>
          <w:szCs w:val="24"/>
        </w:rPr>
        <w:t>, 2024</w:t>
      </w:r>
      <w:r w:rsidRPr="002206E5">
        <w:rPr>
          <w:rFonts w:ascii="Times New Roman" w:hAnsi="Times New Roman" w:cs="Times New Roman"/>
          <w:sz w:val="24"/>
          <w:szCs w:val="24"/>
        </w:rPr>
        <w:fldChar w:fldCharType="end"/>
      </w:r>
      <w:r w:rsidRPr="002206E5">
        <w:rPr>
          <w:rFonts w:ascii="Times New Roman" w:eastAsia="Times New Roman" w:hAnsi="Times New Roman" w:cs="Times New Roman"/>
          <w:color w:val="000000"/>
          <w:sz w:val="24"/>
          <w:szCs w:val="24"/>
        </w:rPr>
        <w:t xml:space="preserve">). Despite its shallow root system, pineapple exhibits relatively good drought tolerance by effectively utilizing moisture from the upper soil layers </w:t>
      </w:r>
      <w:r w:rsidR="001813B6" w:rsidRPr="002206E5">
        <w:rPr>
          <w:rFonts w:ascii="Times New Roman" w:hAnsi="Times New Roman" w:cs="Times New Roman"/>
          <w:sz w:val="24"/>
          <w:szCs w:val="24"/>
        </w:rPr>
        <w:t>(Bartholomew et al., 2003).</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In addition to its nutritional importance, pineapple also plays a role in environmental conservation. Its dense canopy structure contributes to reduce soil erosion and</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lastRenderedPageBreak/>
        <w:t xml:space="preserve">supports carbon </w:t>
      </w:r>
      <w:r w:rsidR="001B7EBF" w:rsidRPr="002206E5">
        <w:rPr>
          <w:rFonts w:ascii="Times New Roman" w:eastAsia="Times New Roman" w:hAnsi="Times New Roman" w:cs="Times New Roman"/>
          <w:color w:val="000000"/>
          <w:sz w:val="24"/>
          <w:szCs w:val="24"/>
        </w:rPr>
        <w:t>sequestration;</w:t>
      </w:r>
      <w:r w:rsidRPr="002206E5">
        <w:rPr>
          <w:rFonts w:ascii="Times New Roman" w:eastAsia="Times New Roman" w:hAnsi="Times New Roman" w:cs="Times New Roman"/>
          <w:color w:val="000000"/>
          <w:sz w:val="24"/>
          <w:szCs w:val="24"/>
        </w:rPr>
        <w:t xml:space="preserve"> these make it suitable for integration into agroforestry systems, a common land-use practice in the Sidama region and Gedeo Zone.</w:t>
      </w:r>
    </w:p>
    <w:p w14:paraId="3C5610A9" w14:textId="77777777" w:rsidR="00AA458A"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Optimal pineapple production requires soils rich in organic matter, which improve nutrient availability and water retention. Proper land/soil preparation, including loosening the soil and incorporating organic/compost or inorganic fertilizers, is essential for achieving good yields. Balanced plant nutrition, particularly adequate supply of macronutrients (nitrogen, phosphorus, potassium) and essential micronutrients (such as magnesium and calcium), is critical for healthy growth and development. In addition, regular field monitoring is important for the early detection and management of pests and diseases to minimize yield losses </w:t>
      </w:r>
      <w:r w:rsidR="001813B6" w:rsidRPr="002206E5">
        <w:rPr>
          <w:rFonts w:ascii="Times New Roman" w:hAnsi="Times New Roman" w:cs="Times New Roman"/>
          <w:sz w:val="24"/>
          <w:szCs w:val="24"/>
        </w:rPr>
        <w:t>(Joy, 2014).</w:t>
      </w:r>
    </w:p>
    <w:p w14:paraId="4CC9FF8E" w14:textId="77777777" w:rsidR="002206E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In Ethiopia, pineapple production is largely small-scale and labor-intensive, with limited growers engaged in commercial farming. Recommended planting density of pineapple is about 44,444 plants per hectare, depending on market preferences for fruit size (</w:t>
      </w:r>
      <w:proofErr w:type="spellStart"/>
      <w:r w:rsidRPr="002206E5">
        <w:rPr>
          <w:rFonts w:ascii="Times New Roman" w:eastAsia="Times New Roman" w:hAnsi="Times New Roman" w:cs="Times New Roman"/>
          <w:color w:val="000000"/>
          <w:sz w:val="24"/>
          <w:szCs w:val="24"/>
        </w:rPr>
        <w:t>MoALR</w:t>
      </w:r>
      <w:proofErr w:type="spellEnd"/>
      <w:r w:rsidRPr="002206E5">
        <w:rPr>
          <w:rFonts w:ascii="Times New Roman" w:eastAsia="Times New Roman" w:hAnsi="Times New Roman" w:cs="Times New Roman"/>
          <w:color w:val="000000"/>
          <w:sz w:val="24"/>
          <w:szCs w:val="24"/>
        </w:rPr>
        <w:t>, 2017). Reported yields</w:t>
      </w:r>
      <w:r w:rsidR="001813B6"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are about 84 tons per hectare under research field conditions and 63.4 tons per hectare on farmers’ fields (</w:t>
      </w:r>
      <w:proofErr w:type="spellStart"/>
      <w:r w:rsidRPr="002206E5">
        <w:rPr>
          <w:rFonts w:ascii="Times New Roman" w:eastAsia="Times New Roman" w:hAnsi="Times New Roman" w:cs="Times New Roman"/>
          <w:color w:val="000000"/>
          <w:sz w:val="24"/>
          <w:szCs w:val="24"/>
        </w:rPr>
        <w:t>MoALR</w:t>
      </w:r>
      <w:proofErr w:type="spellEnd"/>
      <w:r w:rsidRPr="002206E5">
        <w:rPr>
          <w:rFonts w:ascii="Times New Roman" w:eastAsia="Times New Roman" w:hAnsi="Times New Roman" w:cs="Times New Roman"/>
          <w:color w:val="000000"/>
          <w:sz w:val="24"/>
          <w:szCs w:val="24"/>
        </w:rPr>
        <w:t>, 2017), indicating a considerable yield gap. This</w:t>
      </w:r>
      <w:r w:rsidR="00E55A90"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 xml:space="preserve">gap shows the need for improved production practices and the adoption of innovative technologies along the value chain. </w:t>
      </w:r>
      <w:r w:rsidR="0061081B" w:rsidRPr="002206E5">
        <w:rPr>
          <w:rFonts w:ascii="Times New Roman" w:hAnsi="Times New Roman" w:cs="Times New Roman"/>
          <w:sz w:val="24"/>
          <w:szCs w:val="24"/>
        </w:rPr>
        <w:t>Such practices include the use of organic fertilizers such as compost and manure (Dorey et al., 2016), integrated pest management (Petty et al., 2002), supplemental irrigation, intercropping (Amsalu &amp; Tadesse, 2015), and soil mulching (</w:t>
      </w:r>
      <w:proofErr w:type="spellStart"/>
      <w:r w:rsidR="0061081B" w:rsidRPr="002206E5">
        <w:rPr>
          <w:rFonts w:ascii="Times New Roman" w:hAnsi="Times New Roman" w:cs="Times New Roman"/>
          <w:sz w:val="24"/>
          <w:szCs w:val="24"/>
        </w:rPr>
        <w:t>Neim</w:t>
      </w:r>
      <w:proofErr w:type="spellEnd"/>
      <w:r w:rsidR="0061081B" w:rsidRPr="002206E5">
        <w:rPr>
          <w:rFonts w:ascii="Times New Roman" w:hAnsi="Times New Roman" w:cs="Times New Roman"/>
          <w:sz w:val="24"/>
          <w:szCs w:val="24"/>
        </w:rPr>
        <w:t xml:space="preserve"> et al., 2021; Joy, 2014)</w:t>
      </w:r>
      <w:r w:rsidRPr="002206E5">
        <w:rPr>
          <w:rFonts w:ascii="Times New Roman" w:eastAsia="Times New Roman" w:hAnsi="Times New Roman" w:cs="Times New Roman"/>
          <w:color w:val="000000"/>
          <w:sz w:val="24"/>
          <w:szCs w:val="24"/>
        </w:rPr>
        <w:t>).</w:t>
      </w:r>
      <w:r w:rsidR="0061081B"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 xml:space="preserve">Among these practices, soil mulching, especially using plastic film, has shown promising potential. </w:t>
      </w:r>
    </w:p>
    <w:p w14:paraId="7C5DD475"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A study by </w:t>
      </w:r>
      <w:proofErr w:type="spellStart"/>
      <w:r w:rsidRPr="002206E5">
        <w:rPr>
          <w:rFonts w:ascii="Times New Roman" w:eastAsia="Times New Roman" w:hAnsi="Times New Roman" w:cs="Times New Roman"/>
          <w:color w:val="000000"/>
          <w:sz w:val="24"/>
          <w:szCs w:val="24"/>
        </w:rPr>
        <w:t>Neim</w:t>
      </w:r>
      <w:proofErr w:type="spellEnd"/>
      <w:r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i/>
          <w:color w:val="000000"/>
          <w:sz w:val="24"/>
          <w:szCs w:val="24"/>
        </w:rPr>
        <w:t>et al</w:t>
      </w:r>
      <w:r w:rsidRPr="002206E5">
        <w:rPr>
          <w:rFonts w:ascii="Times New Roman" w:eastAsia="Times New Roman" w:hAnsi="Times New Roman" w:cs="Times New Roman"/>
          <w:color w:val="000000"/>
          <w:sz w:val="24"/>
          <w:szCs w:val="24"/>
        </w:rPr>
        <w:t>. (2021) indicated that black plastic mulch and coffee husk mulch effectively</w:t>
      </w:r>
      <w:r w:rsidR="00AA458A"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 xml:space="preserve">suppress weed growth and increase pineapple yield. Similarly, Joy (2014) reported yield increases of up to 25%, largely due to reduced weeding/labor requirements and improved soil moisture retention. Polyethylene mulch is particularly beneficial in sandy soils that are prone to erosion and nutrient leaching during the rainy season. According to Bartholomew </w:t>
      </w:r>
      <w:r w:rsidRPr="002206E5">
        <w:rPr>
          <w:rFonts w:ascii="Times New Roman" w:eastAsia="Times New Roman" w:hAnsi="Times New Roman" w:cs="Times New Roman"/>
          <w:i/>
          <w:color w:val="000000"/>
          <w:sz w:val="24"/>
          <w:szCs w:val="24"/>
        </w:rPr>
        <w:t>et al</w:t>
      </w:r>
      <w:r w:rsidRPr="002206E5">
        <w:rPr>
          <w:rFonts w:ascii="Times New Roman" w:eastAsia="Times New Roman" w:hAnsi="Times New Roman" w:cs="Times New Roman"/>
          <w:color w:val="000000"/>
          <w:sz w:val="24"/>
          <w:szCs w:val="24"/>
        </w:rPr>
        <w:t xml:space="preserve">. (2003), plastic mulch modifies the soil microclimate by reducing evaporation and maintaining stable soil moisture levels. Furthermore, Coelho </w:t>
      </w:r>
      <w:r w:rsidRPr="002206E5">
        <w:rPr>
          <w:rFonts w:ascii="Times New Roman" w:eastAsia="Times New Roman" w:hAnsi="Times New Roman" w:cs="Times New Roman"/>
          <w:i/>
          <w:color w:val="000000"/>
          <w:sz w:val="24"/>
          <w:szCs w:val="24"/>
        </w:rPr>
        <w:t>et al</w:t>
      </w:r>
      <w:r w:rsidRPr="002206E5">
        <w:rPr>
          <w:rFonts w:ascii="Times New Roman" w:eastAsia="Times New Roman" w:hAnsi="Times New Roman" w:cs="Times New Roman"/>
          <w:color w:val="000000"/>
          <w:sz w:val="24"/>
          <w:szCs w:val="24"/>
        </w:rPr>
        <w:t>. (2024) found that soil water availability under plastic mulch remained above 80% during the crop cycle, compared to 15 -70% in non -mulched plots.</w:t>
      </w:r>
    </w:p>
    <w:p w14:paraId="36AC7F98"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Despite these promising findings, there is limited on-farm evidence regarding the performance and acceptability of plastic mulching under local farmer conditions in </w:t>
      </w:r>
      <w:proofErr w:type="spellStart"/>
      <w:r w:rsidRPr="002206E5">
        <w:rPr>
          <w:rFonts w:ascii="Times New Roman" w:eastAsia="Times New Roman" w:hAnsi="Times New Roman" w:cs="Times New Roman"/>
          <w:color w:val="000000"/>
          <w:sz w:val="24"/>
          <w:szCs w:val="24"/>
        </w:rPr>
        <w:t>Aletachuko</w:t>
      </w:r>
      <w:proofErr w:type="spellEnd"/>
      <w:r w:rsidRPr="002206E5">
        <w:rPr>
          <w:rFonts w:ascii="Times New Roman" w:eastAsia="Times New Roman" w:hAnsi="Times New Roman" w:cs="Times New Roman"/>
          <w:color w:val="000000"/>
          <w:sz w:val="24"/>
          <w:szCs w:val="24"/>
        </w:rPr>
        <w:t xml:space="preserve"> district of the </w:t>
      </w:r>
      <w:r w:rsidRPr="002206E5">
        <w:rPr>
          <w:rFonts w:ascii="Times New Roman" w:eastAsia="Times New Roman" w:hAnsi="Times New Roman" w:cs="Times New Roman"/>
          <w:color w:val="000000"/>
          <w:sz w:val="24"/>
          <w:szCs w:val="24"/>
        </w:rPr>
        <w:lastRenderedPageBreak/>
        <w:t>Sidama region. Therefore, this demonstration study was undertaken to evaluate the effect of black plastic mulch on pineapple productivity under farmer conditions and to assess farmers’ perceptions of / feedback on the technology</w:t>
      </w:r>
      <w:r w:rsidR="001813B6"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in terms of performance and usability.</w:t>
      </w:r>
    </w:p>
    <w:p w14:paraId="12A7C410"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3.2. Materials and Methods</w:t>
      </w:r>
    </w:p>
    <w:p w14:paraId="4919451F" w14:textId="77777777" w:rsidR="008B18B5" w:rsidRPr="002206E5" w:rsidRDefault="008B18B5" w:rsidP="002206E5">
      <w:pPr>
        <w:spacing w:after="160" w:line="360" w:lineRule="auto"/>
        <w:ind w:left="72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3.2.1. Description of the study area</w:t>
      </w:r>
    </w:p>
    <w:p w14:paraId="697D8FA6"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The demonstration was conducted in </w:t>
      </w:r>
      <w:proofErr w:type="spellStart"/>
      <w:r w:rsidRPr="002206E5">
        <w:rPr>
          <w:rFonts w:ascii="Times New Roman" w:eastAsia="Times New Roman" w:hAnsi="Times New Roman" w:cs="Times New Roman"/>
          <w:color w:val="000000"/>
          <w:sz w:val="24"/>
          <w:szCs w:val="24"/>
        </w:rPr>
        <w:t>Aletachuko</w:t>
      </w:r>
      <w:proofErr w:type="spellEnd"/>
      <w:r w:rsidRPr="002206E5">
        <w:rPr>
          <w:rFonts w:ascii="Times New Roman" w:eastAsia="Times New Roman" w:hAnsi="Times New Roman" w:cs="Times New Roman"/>
          <w:color w:val="000000"/>
          <w:sz w:val="24"/>
          <w:szCs w:val="24"/>
        </w:rPr>
        <w:t xml:space="preserve"> district, located in the Sidama Regional State of Ethiopia. The district is bordered by Dara district to the south, </w:t>
      </w:r>
      <w:proofErr w:type="spellStart"/>
      <w:r w:rsidRPr="002206E5">
        <w:rPr>
          <w:rFonts w:ascii="Times New Roman" w:eastAsia="Times New Roman" w:hAnsi="Times New Roman" w:cs="Times New Roman"/>
          <w:color w:val="000000"/>
          <w:sz w:val="24"/>
          <w:szCs w:val="24"/>
        </w:rPr>
        <w:t>Wallame</w:t>
      </w:r>
      <w:proofErr w:type="spellEnd"/>
      <w:r w:rsidRPr="002206E5">
        <w:rPr>
          <w:rFonts w:ascii="Times New Roman" w:eastAsia="Times New Roman" w:hAnsi="Times New Roman" w:cs="Times New Roman"/>
          <w:color w:val="000000"/>
          <w:sz w:val="24"/>
          <w:szCs w:val="24"/>
        </w:rPr>
        <w:t xml:space="preserve"> district (Oromia region) to the southwest, Loka Abaya to the west, Dale to the north, and Aleta </w:t>
      </w:r>
      <w:proofErr w:type="spellStart"/>
      <w:r w:rsidRPr="002206E5">
        <w:rPr>
          <w:rFonts w:ascii="Times New Roman" w:eastAsia="Times New Roman" w:hAnsi="Times New Roman" w:cs="Times New Roman"/>
          <w:color w:val="000000"/>
          <w:sz w:val="24"/>
          <w:szCs w:val="24"/>
        </w:rPr>
        <w:t>Wondo</w:t>
      </w:r>
      <w:proofErr w:type="spellEnd"/>
      <w:r w:rsidRPr="002206E5">
        <w:rPr>
          <w:rFonts w:ascii="Times New Roman" w:eastAsia="Times New Roman" w:hAnsi="Times New Roman" w:cs="Times New Roman"/>
          <w:color w:val="000000"/>
          <w:sz w:val="24"/>
          <w:szCs w:val="24"/>
        </w:rPr>
        <w:t xml:space="preserve"> to the east. It comprises 26 rural and 5 urban kebeles.</w:t>
      </w:r>
    </w:p>
    <w:p w14:paraId="10FCC7E5"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proofErr w:type="spellStart"/>
      <w:r w:rsidRPr="002206E5">
        <w:rPr>
          <w:rFonts w:ascii="Times New Roman" w:eastAsia="Times New Roman" w:hAnsi="Times New Roman" w:cs="Times New Roman"/>
          <w:color w:val="000000"/>
          <w:sz w:val="24"/>
          <w:szCs w:val="24"/>
        </w:rPr>
        <w:t>Agro</w:t>
      </w:r>
      <w:proofErr w:type="spellEnd"/>
      <w:r w:rsidRPr="002206E5">
        <w:rPr>
          <w:rFonts w:ascii="Times New Roman" w:eastAsia="Times New Roman" w:hAnsi="Times New Roman" w:cs="Times New Roman"/>
          <w:color w:val="000000"/>
          <w:sz w:val="24"/>
          <w:szCs w:val="24"/>
        </w:rPr>
        <w:t xml:space="preserve">-ecologically, </w:t>
      </w:r>
      <w:proofErr w:type="spellStart"/>
      <w:r w:rsidRPr="002206E5">
        <w:rPr>
          <w:rFonts w:ascii="Times New Roman" w:eastAsia="Times New Roman" w:hAnsi="Times New Roman" w:cs="Times New Roman"/>
          <w:color w:val="000000"/>
          <w:sz w:val="24"/>
          <w:szCs w:val="24"/>
        </w:rPr>
        <w:t>Aletachuko</w:t>
      </w:r>
      <w:proofErr w:type="spellEnd"/>
      <w:r w:rsidRPr="002206E5">
        <w:rPr>
          <w:rFonts w:ascii="Times New Roman" w:eastAsia="Times New Roman" w:hAnsi="Times New Roman" w:cs="Times New Roman"/>
          <w:color w:val="000000"/>
          <w:sz w:val="24"/>
          <w:szCs w:val="24"/>
        </w:rPr>
        <w:t xml:space="preserve"> is predominantly </w:t>
      </w:r>
      <w:r w:rsidRPr="002206E5">
        <w:rPr>
          <w:rFonts w:ascii="Times New Roman" w:eastAsia="Times New Roman" w:hAnsi="Times New Roman" w:cs="Times New Roman"/>
          <w:i/>
          <w:color w:val="000000"/>
          <w:sz w:val="24"/>
          <w:szCs w:val="24"/>
        </w:rPr>
        <w:t>midland</w:t>
      </w:r>
      <w:r w:rsidRPr="002206E5">
        <w:rPr>
          <w:rFonts w:ascii="Times New Roman" w:eastAsia="Times New Roman" w:hAnsi="Times New Roman" w:cs="Times New Roman"/>
          <w:color w:val="000000"/>
          <w:sz w:val="24"/>
          <w:szCs w:val="24"/>
        </w:rPr>
        <w:t xml:space="preserve"> locations (approximately 70%), with the remaining area classified as </w:t>
      </w:r>
      <w:proofErr w:type="spellStart"/>
      <w:r w:rsidRPr="002206E5">
        <w:rPr>
          <w:rFonts w:ascii="Times New Roman" w:eastAsia="Times New Roman" w:hAnsi="Times New Roman" w:cs="Times New Roman"/>
          <w:i/>
          <w:color w:val="000000"/>
          <w:sz w:val="24"/>
          <w:szCs w:val="24"/>
        </w:rPr>
        <w:t>kolla</w:t>
      </w:r>
      <w:proofErr w:type="spellEnd"/>
      <w:r w:rsidRPr="002206E5">
        <w:rPr>
          <w:rFonts w:ascii="Times New Roman" w:eastAsia="Times New Roman" w:hAnsi="Times New Roman" w:cs="Times New Roman"/>
          <w:color w:val="000000"/>
          <w:sz w:val="24"/>
          <w:szCs w:val="24"/>
        </w:rPr>
        <w:t>. Altitude ranges from 1,400 to 2,000 meters above sea level (</w:t>
      </w:r>
      <w:proofErr w:type="spellStart"/>
      <w:r w:rsidRPr="002206E5">
        <w:rPr>
          <w:rFonts w:ascii="Times New Roman" w:eastAsia="Times New Roman" w:hAnsi="Times New Roman" w:cs="Times New Roman"/>
          <w:color w:val="000000"/>
          <w:sz w:val="24"/>
          <w:szCs w:val="24"/>
        </w:rPr>
        <w:t>m.a.s.l</w:t>
      </w:r>
      <w:proofErr w:type="spellEnd"/>
      <w:r w:rsidRPr="002206E5">
        <w:rPr>
          <w:rFonts w:ascii="Times New Roman" w:eastAsia="Times New Roman" w:hAnsi="Times New Roman" w:cs="Times New Roman"/>
          <w:color w:val="000000"/>
          <w:sz w:val="24"/>
          <w:szCs w:val="24"/>
        </w:rPr>
        <w:t xml:space="preserve">.), with mean annual temperatures between 22°C and 28°C and annual rainfall ranging from 1,400 to 2,300 mm. Geographically, the district is </w:t>
      </w:r>
      <w:proofErr w:type="spellStart"/>
      <w:r w:rsidRPr="002206E5">
        <w:rPr>
          <w:rFonts w:ascii="Times New Roman" w:eastAsia="Times New Roman" w:hAnsi="Times New Roman" w:cs="Times New Roman"/>
          <w:color w:val="000000"/>
          <w:sz w:val="24"/>
          <w:szCs w:val="24"/>
        </w:rPr>
        <w:t>situatedbetween</w:t>
      </w:r>
      <w:proofErr w:type="spellEnd"/>
      <w:r w:rsidRPr="002206E5">
        <w:rPr>
          <w:rFonts w:ascii="Times New Roman" w:eastAsia="Times New Roman" w:hAnsi="Times New Roman" w:cs="Times New Roman"/>
          <w:color w:val="000000"/>
          <w:sz w:val="24"/>
          <w:szCs w:val="24"/>
        </w:rPr>
        <w:t xml:space="preserve"> 38°13′0″E to 38°21′01″E longitude and 6°27′0″N to 6°34′0″N latitude.</w:t>
      </w:r>
    </w:p>
    <w:p w14:paraId="4C8D67F2" w14:textId="77777777" w:rsidR="008B18B5" w:rsidRPr="002206E5" w:rsidRDefault="008B18B5" w:rsidP="002206E5">
      <w:pPr>
        <w:spacing w:after="160" w:line="360" w:lineRule="auto"/>
        <w:ind w:left="18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3.2.2. Site and farmer selection</w:t>
      </w:r>
    </w:p>
    <w:p w14:paraId="67D97AE4"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Before conducting the demonstration, researchers from Hawassa Agricultural Research Center (HARC) and experts from the </w:t>
      </w:r>
      <w:proofErr w:type="spellStart"/>
      <w:r w:rsidRPr="002206E5">
        <w:rPr>
          <w:rFonts w:ascii="Times New Roman" w:eastAsia="Times New Roman" w:hAnsi="Times New Roman" w:cs="Times New Roman"/>
          <w:color w:val="000000"/>
          <w:sz w:val="24"/>
          <w:szCs w:val="24"/>
        </w:rPr>
        <w:t>Aletachuko</w:t>
      </w:r>
      <w:proofErr w:type="spellEnd"/>
      <w:r w:rsidRPr="002206E5">
        <w:rPr>
          <w:rFonts w:ascii="Times New Roman" w:eastAsia="Times New Roman" w:hAnsi="Times New Roman" w:cs="Times New Roman"/>
          <w:color w:val="000000"/>
          <w:sz w:val="24"/>
          <w:szCs w:val="24"/>
        </w:rPr>
        <w:t xml:space="preserve"> District Agriculture Office introduced the objectives of the activity, which was supported by ISVCD project. Following this, two kebeles, namely </w:t>
      </w:r>
      <w:proofErr w:type="spellStart"/>
      <w:r w:rsidRPr="002206E5">
        <w:rPr>
          <w:rFonts w:ascii="Times New Roman" w:eastAsia="Times New Roman" w:hAnsi="Times New Roman" w:cs="Times New Roman"/>
          <w:color w:val="000000"/>
          <w:sz w:val="24"/>
          <w:szCs w:val="24"/>
        </w:rPr>
        <w:t>Gambela</w:t>
      </w:r>
      <w:proofErr w:type="spellEnd"/>
      <w:r w:rsidRPr="002206E5">
        <w:rPr>
          <w:rFonts w:ascii="Times New Roman" w:eastAsia="Times New Roman" w:hAnsi="Times New Roman" w:cs="Times New Roman"/>
          <w:color w:val="000000"/>
          <w:sz w:val="24"/>
          <w:szCs w:val="24"/>
        </w:rPr>
        <w:t xml:space="preserve"> and </w:t>
      </w:r>
      <w:proofErr w:type="spellStart"/>
      <w:r w:rsidRPr="002206E5">
        <w:rPr>
          <w:rFonts w:ascii="Times New Roman" w:eastAsia="Times New Roman" w:hAnsi="Times New Roman" w:cs="Times New Roman"/>
          <w:color w:val="000000"/>
          <w:sz w:val="24"/>
          <w:szCs w:val="24"/>
        </w:rPr>
        <w:t>Tesso</w:t>
      </w:r>
      <w:proofErr w:type="spellEnd"/>
      <w:r w:rsidRPr="002206E5">
        <w:rPr>
          <w:rFonts w:ascii="Times New Roman" w:eastAsia="Times New Roman" w:hAnsi="Times New Roman" w:cs="Times New Roman"/>
          <w:color w:val="000000"/>
          <w:sz w:val="24"/>
          <w:szCs w:val="24"/>
        </w:rPr>
        <w:t>, were selected based on their</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 xml:space="preserve">potential for pineapple production. </w:t>
      </w:r>
    </w:p>
    <w:p w14:paraId="1D4C5DB6"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Participant farmers were carefully chosen in collaboration with kebele development agents (DAs) using t</w:t>
      </w:r>
      <w:r w:rsidR="001B7EBF" w:rsidRPr="002206E5">
        <w:rPr>
          <w:rFonts w:ascii="Times New Roman" w:eastAsia="Times New Roman" w:hAnsi="Times New Roman" w:cs="Times New Roman"/>
          <w:color w:val="000000"/>
          <w:sz w:val="24"/>
          <w:szCs w:val="24"/>
        </w:rPr>
        <w:t xml:space="preserve">he following selection criteria and </w:t>
      </w:r>
      <w:r w:rsidRPr="002206E5">
        <w:rPr>
          <w:rFonts w:ascii="Times New Roman" w:eastAsia="Times New Roman" w:hAnsi="Times New Roman" w:cs="Times New Roman"/>
          <w:color w:val="000000"/>
          <w:sz w:val="24"/>
          <w:szCs w:val="24"/>
        </w:rPr>
        <w:t>willingness to adopt and evaluate new technologies, openness to data sharing and peer-to-peer learning, availability of suitable land for demonstration, and proximity to roads for easy accessibility.</w:t>
      </w:r>
    </w:p>
    <w:p w14:paraId="15B3E3A4"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A total of 20 farmers (10 from each kebele) were selected, 40% of whom were female -headed households. Additionally, two Farmer Training Centers (FTCs), one in each kebele, were involved in the demonstration.</w:t>
      </w:r>
    </w:p>
    <w:p w14:paraId="3130B9DC"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3.2.3. Demonstration approach</w:t>
      </w:r>
    </w:p>
    <w:p w14:paraId="3556F800"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lastRenderedPageBreak/>
        <w:t xml:space="preserve">Training: </w:t>
      </w:r>
      <w:r w:rsidRPr="002206E5">
        <w:rPr>
          <w:rFonts w:ascii="Times New Roman" w:eastAsia="Times New Roman" w:hAnsi="Times New Roman" w:cs="Times New Roman"/>
          <w:color w:val="000000"/>
          <w:sz w:val="24"/>
          <w:szCs w:val="24"/>
        </w:rPr>
        <w:t>Before the field activities began, selected farmers, development agents, and district experts participated in theoretical and practical training. Topics of the training covered general pineapple agronomic practices, the benefits of black plastic mulching, management of demonstration plots, post -harvest handling, and fruit quality improvement strategies.</w:t>
      </w:r>
    </w:p>
    <w:p w14:paraId="6474F1FD"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Treatments and experimental design:</w:t>
      </w:r>
      <w:r w:rsidRPr="002206E5">
        <w:rPr>
          <w:rFonts w:ascii="Times New Roman" w:eastAsia="Times New Roman" w:hAnsi="Times New Roman" w:cs="Times New Roman"/>
          <w:color w:val="000000"/>
          <w:sz w:val="24"/>
          <w:szCs w:val="24"/>
        </w:rPr>
        <w:t xml:space="preserve"> Twelve farmers with adjacent plots were purposively selected for the demonstration. Each farmer received 120 pineapple suckers of</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iCs/>
          <w:color w:val="000000"/>
          <w:sz w:val="24"/>
          <w:szCs w:val="24"/>
        </w:rPr>
        <w:t>Smooth Cayenne</w:t>
      </w:r>
      <w:r w:rsidR="001B7EBF" w:rsidRPr="002206E5">
        <w:rPr>
          <w:rFonts w:ascii="Times New Roman" w:eastAsia="Times New Roman" w:hAnsi="Times New Roman" w:cs="Times New Roman"/>
          <w:iCs/>
          <w:color w:val="000000"/>
          <w:sz w:val="24"/>
          <w:szCs w:val="24"/>
        </w:rPr>
        <w:t xml:space="preserve"> </w:t>
      </w:r>
      <w:r w:rsidRPr="002206E5">
        <w:rPr>
          <w:rFonts w:ascii="Times New Roman" w:eastAsia="Times New Roman" w:hAnsi="Times New Roman" w:cs="Times New Roman"/>
          <w:color w:val="000000"/>
          <w:sz w:val="24"/>
          <w:szCs w:val="24"/>
        </w:rPr>
        <w:t>cultivar. Demonstration plots were measured 10 × 10 m (100 m²) and were divided into two equal treatments:</w:t>
      </w:r>
    </w:p>
    <w:p w14:paraId="75745684" w14:textId="77777777" w:rsidR="008B18B5" w:rsidRPr="002206E5" w:rsidRDefault="008B18B5" w:rsidP="002206E5">
      <w:pPr>
        <w:spacing w:after="160" w:line="360" w:lineRule="auto"/>
        <w:ind w:left="72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Treatment 1: Pineapple planted with black plastic mulch</w:t>
      </w:r>
    </w:p>
    <w:p w14:paraId="0B27FD78" w14:textId="77777777" w:rsidR="008B18B5" w:rsidRPr="002206E5" w:rsidRDefault="008B18B5" w:rsidP="002206E5">
      <w:pPr>
        <w:spacing w:after="160" w:line="360" w:lineRule="auto"/>
        <w:ind w:left="72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Treatment 2 (control): Pineapple planted without mulch (traditional practice)</w:t>
      </w:r>
    </w:p>
    <w:p w14:paraId="18338D48" w14:textId="77777777" w:rsidR="008B18B5" w:rsidRPr="002206E5" w:rsidRDefault="008B18B5" w:rsidP="002206E5">
      <w:pPr>
        <w:spacing w:after="16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 xml:space="preserve">A total of 1,500 suckers were planted with mulch and 1,500 without mulch across all participating plots in April 2022, during the </w:t>
      </w:r>
      <w:proofErr w:type="spellStart"/>
      <w:r w:rsidRPr="002206E5">
        <w:rPr>
          <w:rFonts w:ascii="Times New Roman" w:eastAsia="Times New Roman" w:hAnsi="Times New Roman" w:cs="Times New Roman"/>
          <w:i/>
          <w:color w:val="000000"/>
          <w:sz w:val="24"/>
          <w:szCs w:val="24"/>
        </w:rPr>
        <w:t>Belg</w:t>
      </w:r>
      <w:proofErr w:type="spellEnd"/>
      <w:r w:rsidRPr="002206E5">
        <w:rPr>
          <w:rFonts w:ascii="Times New Roman" w:eastAsia="Times New Roman" w:hAnsi="Times New Roman" w:cs="Times New Roman"/>
          <w:color w:val="000000"/>
          <w:sz w:val="24"/>
          <w:szCs w:val="24"/>
        </w:rPr>
        <w:t xml:space="preserve"> cropping season.</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Planting was carried out on ridges spaced at 1.5 meters apart, with an intra-row spacing of 0.6 meters. After planting, proper field management practices, including weeding, compost application, and pest control, were applied uniformly across all plots to ensure consistent growing conditions.</w:t>
      </w:r>
    </w:p>
    <w:p w14:paraId="0CBFCED6" w14:textId="77777777" w:rsidR="008B18B5" w:rsidRPr="002206E5" w:rsidRDefault="008B18B5" w:rsidP="002206E5">
      <w:pPr>
        <w:spacing w:after="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noProof/>
          <w:color w:val="000000"/>
          <w:sz w:val="24"/>
          <w:szCs w:val="24"/>
        </w:rPr>
        <w:drawing>
          <wp:inline distT="0" distB="0" distL="0" distR="0" wp14:anchorId="2E24B367" wp14:editId="2FD9D177">
            <wp:extent cx="2649855" cy="17818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9855" cy="1781810"/>
                    </a:xfrm>
                    <a:prstGeom prst="rect">
                      <a:avLst/>
                    </a:prstGeom>
                    <a:noFill/>
                    <a:ln>
                      <a:noFill/>
                    </a:ln>
                  </pic:spPr>
                </pic:pic>
              </a:graphicData>
            </a:graphic>
          </wp:inline>
        </w:drawing>
      </w:r>
      <w:r w:rsidRPr="002206E5">
        <w:rPr>
          <w:rFonts w:ascii="Times New Roman" w:eastAsia="Times New Roman" w:hAnsi="Times New Roman" w:cs="Times New Roman"/>
          <w:noProof/>
          <w:color w:val="000000"/>
          <w:sz w:val="24"/>
          <w:szCs w:val="24"/>
        </w:rPr>
        <w:drawing>
          <wp:inline distT="0" distB="0" distL="0" distR="0" wp14:anchorId="05535ADD" wp14:editId="69D174A0">
            <wp:extent cx="2843530" cy="1762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3530" cy="1762125"/>
                    </a:xfrm>
                    <a:prstGeom prst="rect">
                      <a:avLst/>
                    </a:prstGeom>
                    <a:noFill/>
                    <a:ln>
                      <a:noFill/>
                    </a:ln>
                  </pic:spPr>
                </pic:pic>
              </a:graphicData>
            </a:graphic>
          </wp:inline>
        </w:drawing>
      </w:r>
    </w:p>
    <w:p w14:paraId="356EACC1" w14:textId="3C6F1AD3" w:rsidR="008B18B5" w:rsidRPr="002206E5" w:rsidRDefault="008B18B5" w:rsidP="002206E5">
      <w:pPr>
        <w:spacing w:after="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Figure 1</w:t>
      </w:r>
      <w:r w:rsidRPr="002206E5">
        <w:rPr>
          <w:rFonts w:ascii="Times New Roman" w:eastAsia="Times New Roman" w:hAnsi="Times New Roman" w:cs="Times New Roman"/>
          <w:color w:val="000000"/>
          <w:sz w:val="24"/>
          <w:szCs w:val="24"/>
        </w:rPr>
        <w:t>Comparison of pineapple field demonstrations</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under plastic mulch (left) and conventional (non-mulched) practice (right)</w:t>
      </w:r>
    </w:p>
    <w:p w14:paraId="71E626C0" w14:textId="77777777" w:rsidR="008B18B5" w:rsidRPr="002206E5" w:rsidRDefault="008B18B5" w:rsidP="002206E5">
      <w:pPr>
        <w:spacing w:after="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3.2.4. Data collection and analysis</w:t>
      </w:r>
    </w:p>
    <w:p w14:paraId="25698E42"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The demonstration sites</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were regularly monitored by researchers in accordance with the milestone objectives outlined during project proposal development. Field visits and showcasing events were organized for both</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 xml:space="preserve">mulched and non-mulched pineapple plots, involving farmers, development agents, district agricultural office experts, researchers, and media personnel. During </w:t>
      </w:r>
      <w:r w:rsidRPr="002206E5">
        <w:rPr>
          <w:rFonts w:ascii="Times New Roman" w:eastAsia="Times New Roman" w:hAnsi="Times New Roman" w:cs="Times New Roman"/>
          <w:color w:val="000000"/>
          <w:sz w:val="24"/>
          <w:szCs w:val="24"/>
        </w:rPr>
        <w:lastRenderedPageBreak/>
        <w:t>these events, participants shared their feedback and reflections on the performance of the technologies. Both quantitative and qualitative data were collected. Qualitative data were gathered through field observations, farmer preference rankings, household interviews, and focus group discussions (FGDs). Quantitative data included measurements such as fruit yield, input costs, and economic returns.</w:t>
      </w:r>
    </w:p>
    <w:p w14:paraId="5D835337"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The collected data were analyzed using simple descriptive statistical methods. Farmers' preferences were evaluated using a ranking matrix, where responses were scored and mean values were used to rank each preference criterion.</w:t>
      </w:r>
    </w:p>
    <w:p w14:paraId="121C4BA3" w14:textId="77777777" w:rsidR="008B18B5" w:rsidRPr="002206E5" w:rsidRDefault="008B18B5" w:rsidP="002206E5">
      <w:pPr>
        <w:spacing w:line="360" w:lineRule="auto"/>
        <w:jc w:val="both"/>
        <w:rPr>
          <w:rFonts w:ascii="Times New Roman" w:eastAsia="Times New Roman" w:hAnsi="Times New Roman" w:cs="Times New Roman"/>
          <w:sz w:val="24"/>
          <w:szCs w:val="24"/>
        </w:rPr>
      </w:pPr>
      <w:r w:rsidRPr="002206E5">
        <w:rPr>
          <w:rFonts w:ascii="Times New Roman" w:eastAsia="Times New Roman" w:hAnsi="Times New Roman" w:cs="Times New Roman"/>
          <w:b/>
          <w:sz w:val="24"/>
          <w:szCs w:val="24"/>
        </w:rPr>
        <w:t>3.3. Results and Discussion</w:t>
      </w:r>
    </w:p>
    <w:p w14:paraId="628E59D8"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ab/>
        <w:t>3.3.1. Gender inclusiveness</w:t>
      </w:r>
    </w:p>
    <w:p w14:paraId="0A19A510" w14:textId="728AA0B2" w:rsidR="00AB2B4D" w:rsidRPr="00AB2B4D" w:rsidRDefault="00AB2B4D"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AB2B4D">
        <w:rPr>
          <w:rFonts w:ascii="Times New Roman" w:eastAsia="Times New Roman" w:hAnsi="Times New Roman" w:cs="Times New Roman"/>
          <w:sz w:val="24"/>
          <w:szCs w:val="24"/>
          <w:lang w:val="en-GB" w:eastAsia="en-GB"/>
        </w:rPr>
        <w:t xml:space="preserve">During the initial training session, a total of 47 participants were involved, the majority of whom were farmers, followed by development agents and other experts (Figure 1). In terms of gender inclusiveness, female participation was higher in Teso Kebele than in </w:t>
      </w:r>
      <w:proofErr w:type="spellStart"/>
      <w:r w:rsidRPr="00AB2B4D">
        <w:rPr>
          <w:rFonts w:ascii="Times New Roman" w:eastAsia="Times New Roman" w:hAnsi="Times New Roman" w:cs="Times New Roman"/>
          <w:sz w:val="24"/>
          <w:szCs w:val="24"/>
          <w:lang w:val="en-GB" w:eastAsia="en-GB"/>
        </w:rPr>
        <w:t>Gambela</w:t>
      </w:r>
      <w:proofErr w:type="spellEnd"/>
      <w:r w:rsidRPr="00AB2B4D">
        <w:rPr>
          <w:rFonts w:ascii="Times New Roman" w:eastAsia="Times New Roman" w:hAnsi="Times New Roman" w:cs="Times New Roman"/>
          <w:sz w:val="24"/>
          <w:szCs w:val="24"/>
          <w:lang w:val="en-GB" w:eastAsia="en-GB"/>
        </w:rPr>
        <w:t xml:space="preserve"> Kebele. This localized variation in female farmer engagement is consistent with observations in other parts of Ethiopia, where participation often fluctuates based on regional social norms and household </w:t>
      </w:r>
      <w:proofErr w:type="spellStart"/>
      <w:r w:rsidRPr="00AB2B4D">
        <w:rPr>
          <w:rFonts w:ascii="Times New Roman" w:eastAsia="Times New Roman" w:hAnsi="Times New Roman" w:cs="Times New Roman"/>
          <w:sz w:val="24"/>
          <w:szCs w:val="24"/>
          <w:lang w:val="en-GB" w:eastAsia="en-GB"/>
        </w:rPr>
        <w:t>labor</w:t>
      </w:r>
      <w:proofErr w:type="spellEnd"/>
      <w:r w:rsidRPr="00AB2B4D">
        <w:rPr>
          <w:rFonts w:ascii="Times New Roman" w:eastAsia="Times New Roman" w:hAnsi="Times New Roman" w:cs="Times New Roman"/>
          <w:sz w:val="24"/>
          <w:szCs w:val="24"/>
          <w:lang w:val="en-GB" w:eastAsia="en-GB"/>
        </w:rPr>
        <w:t xml:space="preserve"> allocations (</w:t>
      </w:r>
      <w:proofErr w:type="spellStart"/>
      <w:r w:rsidRPr="00AB2B4D">
        <w:rPr>
          <w:rFonts w:ascii="Times New Roman" w:eastAsia="Times New Roman" w:hAnsi="Times New Roman" w:cs="Times New Roman"/>
          <w:sz w:val="24"/>
          <w:szCs w:val="24"/>
          <w:lang w:val="en-GB" w:eastAsia="en-GB"/>
        </w:rPr>
        <w:t>Mersha</w:t>
      </w:r>
      <w:proofErr w:type="spellEnd"/>
      <w:r w:rsidRPr="00AB2B4D">
        <w:rPr>
          <w:rFonts w:ascii="Times New Roman" w:eastAsia="Times New Roman" w:hAnsi="Times New Roman" w:cs="Times New Roman"/>
          <w:sz w:val="24"/>
          <w:szCs w:val="24"/>
          <w:lang w:val="en-GB" w:eastAsia="en-GB"/>
        </w:rPr>
        <w:t>, 2018).</w:t>
      </w:r>
    </w:p>
    <w:p w14:paraId="14DE1861" w14:textId="77777777" w:rsidR="00AB2B4D" w:rsidRPr="00AB2B4D" w:rsidRDefault="00AB2B4D"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AB2B4D">
        <w:rPr>
          <w:rFonts w:ascii="Times New Roman" w:eastAsia="Times New Roman" w:hAnsi="Times New Roman" w:cs="Times New Roman"/>
          <w:sz w:val="24"/>
          <w:szCs w:val="24"/>
          <w:lang w:val="en-GB" w:eastAsia="en-GB"/>
        </w:rPr>
        <w:t xml:space="preserve">However, no female researchers took part in the training sessions, indicating a significant gap in gender representation. This mirrors a broader national challenge within the Ethiopian agricultural research system, where female professional representation remains notably low compared to their male counterparts (Gezahegn et al., 2021). The absence of female researchers in this study was primarily due to the limited number of female experts stationed at the research </w:t>
      </w:r>
      <w:proofErr w:type="spellStart"/>
      <w:r w:rsidRPr="00AB2B4D">
        <w:rPr>
          <w:rFonts w:ascii="Times New Roman" w:eastAsia="Times New Roman" w:hAnsi="Times New Roman" w:cs="Times New Roman"/>
          <w:sz w:val="24"/>
          <w:szCs w:val="24"/>
          <w:lang w:val="en-GB" w:eastAsia="en-GB"/>
        </w:rPr>
        <w:t>center</w:t>
      </w:r>
      <w:proofErr w:type="spellEnd"/>
      <w:r w:rsidRPr="00AB2B4D">
        <w:rPr>
          <w:rFonts w:ascii="Times New Roman" w:eastAsia="Times New Roman" w:hAnsi="Times New Roman" w:cs="Times New Roman"/>
          <w:sz w:val="24"/>
          <w:szCs w:val="24"/>
          <w:lang w:val="en-GB" w:eastAsia="en-GB"/>
        </w:rPr>
        <w:t xml:space="preserve"> during the design and implementation phases—a structural issue previously identified as a barrier to gender-responsive technology dissemination in the country (Tavenner et al., 2019).</w:t>
      </w:r>
    </w:p>
    <w:p w14:paraId="2759F23E" w14:textId="77777777" w:rsidR="00AB2B4D" w:rsidRPr="00AB2B4D" w:rsidRDefault="00AB2B4D" w:rsidP="002206E5">
      <w:pPr>
        <w:spacing w:after="0" w:line="360" w:lineRule="auto"/>
        <w:jc w:val="both"/>
        <w:rPr>
          <w:rFonts w:ascii="Times New Roman" w:eastAsia="Times New Roman" w:hAnsi="Times New Roman" w:cs="Times New Roman"/>
          <w:sz w:val="24"/>
          <w:szCs w:val="24"/>
          <w:lang w:val="en-GB" w:eastAsia="en-GB"/>
        </w:rPr>
      </w:pPr>
    </w:p>
    <w:p w14:paraId="40AF066C" w14:textId="77777777" w:rsidR="00AB2B4D" w:rsidRPr="002206E5" w:rsidRDefault="00AB2B4D" w:rsidP="002206E5">
      <w:pPr>
        <w:spacing w:after="0" w:line="360" w:lineRule="auto"/>
        <w:jc w:val="both"/>
        <w:rPr>
          <w:rFonts w:ascii="Times New Roman" w:eastAsia="Times New Roman" w:hAnsi="Times New Roman" w:cs="Times New Roman"/>
          <w:color w:val="000000"/>
          <w:sz w:val="24"/>
          <w:szCs w:val="24"/>
        </w:rPr>
      </w:pPr>
    </w:p>
    <w:p w14:paraId="1596252B" w14:textId="77777777" w:rsidR="008B18B5" w:rsidRPr="002206E5" w:rsidRDefault="008B18B5" w:rsidP="002206E5">
      <w:pPr>
        <w:spacing w:after="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noProof/>
          <w:color w:val="000000"/>
          <w:sz w:val="24"/>
          <w:szCs w:val="24"/>
        </w:rPr>
        <w:lastRenderedPageBreak/>
        <w:drawing>
          <wp:inline distT="0" distB="0" distL="0" distR="0" wp14:anchorId="2373FBA3" wp14:editId="33896A11">
            <wp:extent cx="6861337" cy="3150341"/>
            <wp:effectExtent l="0" t="0" r="15875" b="1206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C1CA47C" w14:textId="7F42FE91" w:rsidR="008B18B5" w:rsidRPr="002206E5" w:rsidRDefault="008B18B5" w:rsidP="002206E5">
      <w:pPr>
        <w:spacing w:after="160" w:line="360" w:lineRule="auto"/>
        <w:ind w:firstLine="63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Figure.2</w:t>
      </w:r>
      <w:r w:rsidR="001B7EBF" w:rsidRPr="002206E5">
        <w:rPr>
          <w:rFonts w:ascii="Times New Roman" w:eastAsia="Times New Roman" w:hAnsi="Times New Roman" w:cs="Times New Roman"/>
          <w:b/>
          <w:color w:val="000000"/>
          <w:sz w:val="24"/>
          <w:szCs w:val="24"/>
        </w:rPr>
        <w:t xml:space="preserve"> </w:t>
      </w:r>
      <w:r w:rsidRPr="002206E5">
        <w:rPr>
          <w:rFonts w:ascii="Times New Roman" w:eastAsia="Times New Roman" w:hAnsi="Times New Roman" w:cs="Times New Roman"/>
          <w:color w:val="000000"/>
          <w:sz w:val="24"/>
          <w:szCs w:val="24"/>
        </w:rPr>
        <w:t>Comparison of female participation in training sessions between</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two kebeles</w:t>
      </w:r>
      <w:r w:rsidR="001B7EBF" w:rsidRPr="002206E5">
        <w:rPr>
          <w:rFonts w:ascii="Times New Roman" w:eastAsia="Times New Roman" w:hAnsi="Times New Roman" w:cs="Times New Roman"/>
          <w:color w:val="000000"/>
          <w:sz w:val="24"/>
          <w:szCs w:val="24"/>
        </w:rPr>
        <w:t xml:space="preserve"> </w:t>
      </w:r>
      <w:r w:rsidRPr="002206E5">
        <w:rPr>
          <w:rFonts w:ascii="Times New Roman" w:eastAsia="Times New Roman" w:hAnsi="Times New Roman" w:cs="Times New Roman"/>
          <w:color w:val="000000"/>
          <w:sz w:val="24"/>
          <w:szCs w:val="24"/>
        </w:rPr>
        <w:t xml:space="preserve"> </w:t>
      </w:r>
    </w:p>
    <w:p w14:paraId="31DEF5ED" w14:textId="77777777" w:rsidR="008B18B5" w:rsidRPr="002206E5" w:rsidRDefault="008B18B5" w:rsidP="002206E5">
      <w:pPr>
        <w:spacing w:after="240" w:line="360" w:lineRule="auto"/>
        <w:ind w:left="72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t>3.3.2. Field day participation and reflections</w:t>
      </w:r>
    </w:p>
    <w:p w14:paraId="518D4682" w14:textId="77777777" w:rsidR="00AB2B4D" w:rsidRPr="00AB2B4D" w:rsidRDefault="00AB2B4D"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AB2B4D">
        <w:rPr>
          <w:rFonts w:ascii="Times New Roman" w:eastAsia="Times New Roman" w:hAnsi="Times New Roman" w:cs="Times New Roman"/>
          <w:sz w:val="24"/>
          <w:szCs w:val="24"/>
          <w:lang w:val="en-GB" w:eastAsia="en-GB"/>
        </w:rPr>
        <w:t xml:space="preserve">Similar to the training sessions, women's participation during the field day event was significantly lower than that of men. This gender disparity in agricultural field days is a common challenge in Ethiopia, often attributed to domestic </w:t>
      </w:r>
      <w:proofErr w:type="spellStart"/>
      <w:r w:rsidRPr="00AB2B4D">
        <w:rPr>
          <w:rFonts w:ascii="Times New Roman" w:eastAsia="Times New Roman" w:hAnsi="Times New Roman" w:cs="Times New Roman"/>
          <w:sz w:val="24"/>
          <w:szCs w:val="24"/>
          <w:lang w:val="en-GB" w:eastAsia="en-GB"/>
        </w:rPr>
        <w:t>labor</w:t>
      </w:r>
      <w:proofErr w:type="spellEnd"/>
      <w:r w:rsidRPr="00AB2B4D">
        <w:rPr>
          <w:rFonts w:ascii="Times New Roman" w:eastAsia="Times New Roman" w:hAnsi="Times New Roman" w:cs="Times New Roman"/>
          <w:sz w:val="24"/>
          <w:szCs w:val="24"/>
          <w:lang w:val="en-GB" w:eastAsia="en-GB"/>
        </w:rPr>
        <w:t xml:space="preserve"> burdens and limited access to extension information for female-headed households (Mersha, 2018). Despite this imbalance, the field day achieved a high turnout of farmers, particularly those targeted for scaling the black plastic mulch technology. The presence of experts and local political leaders at various levels played a supportive role in promoting and potentially scaling up the demonstrated innovation, reflecting the importance of multi-stakeholder engagement in Ethiopian technology adoption (Dermas, 2017).</w:t>
      </w:r>
    </w:p>
    <w:p w14:paraId="33D6D905" w14:textId="77777777" w:rsidR="00AB2B4D" w:rsidRPr="00AB2B4D" w:rsidRDefault="00AB2B4D"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AB2B4D">
        <w:rPr>
          <w:rFonts w:ascii="Times New Roman" w:eastAsia="Times New Roman" w:hAnsi="Times New Roman" w:cs="Times New Roman"/>
          <w:sz w:val="24"/>
          <w:szCs w:val="24"/>
          <w:lang w:val="en-GB" w:eastAsia="en-GB"/>
        </w:rPr>
        <w:t xml:space="preserve">During the field day discussions, farmers expressed a strong interest in adopting and expanding the use of black plastic mulching technology. They also emphasized the necessity of linking pineapple production with nearby agro-processing facilities, such as those in </w:t>
      </w:r>
      <w:proofErr w:type="spellStart"/>
      <w:r w:rsidRPr="00AB2B4D">
        <w:rPr>
          <w:rFonts w:ascii="Times New Roman" w:eastAsia="Times New Roman" w:hAnsi="Times New Roman" w:cs="Times New Roman"/>
          <w:sz w:val="24"/>
          <w:szCs w:val="24"/>
          <w:lang w:val="en-GB" w:eastAsia="en-GB"/>
        </w:rPr>
        <w:t>Yirgalem</w:t>
      </w:r>
      <w:proofErr w:type="spellEnd"/>
      <w:r w:rsidRPr="00AB2B4D">
        <w:rPr>
          <w:rFonts w:ascii="Times New Roman" w:eastAsia="Times New Roman" w:hAnsi="Times New Roman" w:cs="Times New Roman"/>
          <w:sz w:val="24"/>
          <w:szCs w:val="24"/>
          <w:lang w:val="en-GB" w:eastAsia="en-GB"/>
        </w:rPr>
        <w:t xml:space="preserve"> and </w:t>
      </w:r>
      <w:proofErr w:type="spellStart"/>
      <w:r w:rsidRPr="00AB2B4D">
        <w:rPr>
          <w:rFonts w:ascii="Times New Roman" w:eastAsia="Times New Roman" w:hAnsi="Times New Roman" w:cs="Times New Roman"/>
          <w:sz w:val="24"/>
          <w:szCs w:val="24"/>
          <w:lang w:val="en-GB" w:eastAsia="en-GB"/>
        </w:rPr>
        <w:t>Gedeo</w:t>
      </w:r>
      <w:proofErr w:type="spellEnd"/>
      <w:r w:rsidRPr="00AB2B4D">
        <w:rPr>
          <w:rFonts w:ascii="Times New Roman" w:eastAsia="Times New Roman" w:hAnsi="Times New Roman" w:cs="Times New Roman"/>
          <w:sz w:val="24"/>
          <w:szCs w:val="24"/>
          <w:lang w:val="en-GB" w:eastAsia="en-GB"/>
        </w:rPr>
        <w:t>, to enhance market access and value addition. Such integration into the value chain is critical, as market access remains a primary constraint for fruit producers in Southern Ethiopia (Amsalu &amp; Tadesse, 2015).</w:t>
      </w:r>
    </w:p>
    <w:p w14:paraId="54506EF4" w14:textId="77777777" w:rsidR="00AB2B4D" w:rsidRPr="00AB2B4D" w:rsidRDefault="00AB2B4D"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AB2B4D">
        <w:rPr>
          <w:rFonts w:ascii="Times New Roman" w:eastAsia="Times New Roman" w:hAnsi="Times New Roman" w:cs="Times New Roman"/>
          <w:sz w:val="24"/>
          <w:szCs w:val="24"/>
          <w:lang w:val="en-GB" w:eastAsia="en-GB"/>
        </w:rPr>
        <w:lastRenderedPageBreak/>
        <w:t xml:space="preserve">Insights from focus group discussions revealed several perceived benefits of using plastic mulch. Farmers who participated in the technology demonstration reported that pineapple fruit yields nearly doubled compared to non-mulched plots. They also noted that weed pressure was significantly reduced, soil moisture was better conserved, and fruits showed improved taste and </w:t>
      </w:r>
      <w:proofErr w:type="spellStart"/>
      <w:r w:rsidRPr="00AB2B4D">
        <w:rPr>
          <w:rFonts w:ascii="Times New Roman" w:eastAsia="Times New Roman" w:hAnsi="Times New Roman" w:cs="Times New Roman"/>
          <w:sz w:val="24"/>
          <w:szCs w:val="24"/>
          <w:lang w:val="en-GB" w:eastAsia="en-GB"/>
        </w:rPr>
        <w:t>flavor</w:t>
      </w:r>
      <w:proofErr w:type="spellEnd"/>
      <w:r w:rsidRPr="00AB2B4D">
        <w:rPr>
          <w:rFonts w:ascii="Times New Roman" w:eastAsia="Times New Roman" w:hAnsi="Times New Roman" w:cs="Times New Roman"/>
          <w:sz w:val="24"/>
          <w:szCs w:val="24"/>
          <w:lang w:val="en-GB" w:eastAsia="en-GB"/>
        </w:rPr>
        <w:t>. These findings are consistent with results from Southwest Ethiopia, where mulching has been shown to improve both the physical yield and the chemical quality of the fruit (</w:t>
      </w:r>
      <w:proofErr w:type="spellStart"/>
      <w:r w:rsidRPr="00AB2B4D">
        <w:rPr>
          <w:rFonts w:ascii="Times New Roman" w:eastAsia="Times New Roman" w:hAnsi="Times New Roman" w:cs="Times New Roman"/>
          <w:sz w:val="24"/>
          <w:szCs w:val="24"/>
          <w:lang w:val="en-GB" w:eastAsia="en-GB"/>
        </w:rPr>
        <w:t>Neim</w:t>
      </w:r>
      <w:proofErr w:type="spellEnd"/>
      <w:r w:rsidRPr="00AB2B4D">
        <w:rPr>
          <w:rFonts w:ascii="Times New Roman" w:eastAsia="Times New Roman" w:hAnsi="Times New Roman" w:cs="Times New Roman"/>
          <w:sz w:val="24"/>
          <w:szCs w:val="24"/>
          <w:lang w:val="en-GB" w:eastAsia="en-GB"/>
        </w:rPr>
        <w:t xml:space="preserve"> et al., 2021). Ultimately, these improvements translated into higher household income from the mulched plots.</w:t>
      </w:r>
    </w:p>
    <w:p w14:paraId="2CBD7430" w14:textId="77777777" w:rsidR="0075478F" w:rsidRPr="0075478F" w:rsidRDefault="0075478F"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Despite these benefits, the field day event reflected broader social and cultural constraints, particularly the limited involvement of women in research and leadership roles. This pattern is consistent with findings in other regions of Ethiopia, where institutional and cultural barriers often limit female engagement in formal agricultural extension and decision-making processes (Gezahegn et al., 2021). As noted by Endalkachew (2016), traditional gender norms continue to restrict women's participation in community-level development and agricultural innovation. This constraint was evident in the relatively low female participation observed in both the training sessions and field day activities in Aleta Chuko. Similar trends have been documented in Northern Ethiopia, where female-headed households often face greater time poverty and less access to innovative technology demonstrations compared to their male counterparts (Tavenner et al., 2019; Mersha, 2018).</w:t>
      </w:r>
    </w:p>
    <w:p w14:paraId="7B1F1E57" w14:textId="77777777" w:rsidR="0075478F" w:rsidRPr="0075478F" w:rsidRDefault="003A1B6C" w:rsidP="002206E5">
      <w:pPr>
        <w:spacing w:after="0" w:line="36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pict w14:anchorId="39B6DD73">
          <v:rect id="_x0000_i1025" style="width:0;height:1.5pt" o:hralign="center" o:hrstd="t" o:hr="t" fillcolor="gray" stroked="f"/>
        </w:pict>
      </w:r>
    </w:p>
    <w:p w14:paraId="73DBE5B1" w14:textId="77777777" w:rsidR="00AB2B4D" w:rsidRPr="002206E5" w:rsidRDefault="00AB2B4D" w:rsidP="002206E5">
      <w:pPr>
        <w:spacing w:after="240" w:line="360" w:lineRule="auto"/>
        <w:jc w:val="both"/>
        <w:rPr>
          <w:rFonts w:ascii="Times New Roman" w:eastAsia="Times New Roman" w:hAnsi="Times New Roman" w:cs="Times New Roman"/>
          <w:color w:val="000000"/>
          <w:sz w:val="24"/>
          <w:szCs w:val="24"/>
        </w:rPr>
      </w:pPr>
    </w:p>
    <w:p w14:paraId="56079B54" w14:textId="77777777" w:rsidR="008B18B5" w:rsidRPr="002206E5" w:rsidRDefault="008B18B5" w:rsidP="002206E5">
      <w:pPr>
        <w:spacing w:after="240"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noProof/>
          <w:color w:val="000000"/>
          <w:sz w:val="24"/>
          <w:szCs w:val="24"/>
        </w:rPr>
        <w:drawing>
          <wp:inline distT="0" distB="0" distL="0" distR="0" wp14:anchorId="375A655C" wp14:editId="21EF596F">
            <wp:extent cx="5826125" cy="2113280"/>
            <wp:effectExtent l="0" t="0" r="22225" b="2032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DED23C" w14:textId="016DAABA" w:rsidR="008B18B5" w:rsidRPr="002206E5" w:rsidRDefault="008B18B5" w:rsidP="002206E5">
      <w:pPr>
        <w:spacing w:after="360" w:line="360" w:lineRule="auto"/>
        <w:ind w:left="990" w:hanging="990"/>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b/>
          <w:color w:val="000000"/>
          <w:sz w:val="24"/>
          <w:szCs w:val="24"/>
        </w:rPr>
        <w:lastRenderedPageBreak/>
        <w:t>Figure 3</w:t>
      </w:r>
      <w:r w:rsidRPr="002206E5">
        <w:rPr>
          <w:rFonts w:ascii="Times New Roman" w:eastAsia="Times New Roman" w:hAnsi="Times New Roman" w:cs="Times New Roman"/>
          <w:color w:val="000000"/>
          <w:sz w:val="24"/>
          <w:szCs w:val="24"/>
        </w:rPr>
        <w:t xml:space="preserve"> Proportion of gender in field day participation across different stakeholders</w:t>
      </w:r>
    </w:p>
    <w:p w14:paraId="0B343725" w14:textId="77777777" w:rsidR="00502D4F" w:rsidRDefault="008B18B5" w:rsidP="00502D4F">
      <w:pPr>
        <w:shd w:val="clear" w:color="auto" w:fill="FFFFFF"/>
        <w:spacing w:after="160" w:line="360" w:lineRule="auto"/>
        <w:ind w:firstLine="360"/>
        <w:jc w:val="both"/>
        <w:rPr>
          <w:rFonts w:ascii="Times New Roman" w:eastAsia="Times New Roman" w:hAnsi="Times New Roman" w:cs="Times New Roman"/>
          <w:b/>
          <w:color w:val="000000"/>
          <w:sz w:val="24"/>
          <w:szCs w:val="24"/>
        </w:rPr>
      </w:pPr>
      <w:r w:rsidRPr="002206E5">
        <w:rPr>
          <w:rFonts w:ascii="Times New Roman" w:eastAsia="Times New Roman" w:hAnsi="Times New Roman" w:cs="Times New Roman"/>
          <w:b/>
          <w:color w:val="000000"/>
          <w:sz w:val="24"/>
          <w:szCs w:val="24"/>
          <w:highlight w:val="white"/>
        </w:rPr>
        <w:t>3.3. Innovation preference score</w:t>
      </w:r>
    </w:p>
    <w:p w14:paraId="6D3436EB" w14:textId="31FCF6A7" w:rsidR="00502D4F" w:rsidRPr="0075478F" w:rsidRDefault="00502D4F" w:rsidP="00502D4F">
      <w:pPr>
        <w:shd w:val="clear" w:color="auto" w:fill="FFFFFF"/>
        <w:spacing w:after="160"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Farmers’ attitudes, perceptions, and opinions toward the mu</w:t>
      </w:r>
      <w:r>
        <w:rPr>
          <w:rFonts w:ascii="Times New Roman" w:eastAsia="Times New Roman" w:hAnsi="Times New Roman" w:cs="Times New Roman"/>
          <w:sz w:val="24"/>
          <w:szCs w:val="24"/>
          <w:lang w:val="en-GB" w:eastAsia="en-GB"/>
        </w:rPr>
        <w:t xml:space="preserve">lching technology were assessed </w:t>
      </w:r>
      <w:r w:rsidRPr="0075478F">
        <w:rPr>
          <w:rFonts w:ascii="Times New Roman" w:eastAsia="Times New Roman" w:hAnsi="Times New Roman" w:cs="Times New Roman"/>
          <w:sz w:val="24"/>
          <w:szCs w:val="24"/>
          <w:lang w:val="en-GB" w:eastAsia="en-GB"/>
        </w:rPr>
        <w:t>using a five-point Likert scale (strongly agree, agree, neutral, disagree, and strongly disagree) across seven evaluation indicators (</w:t>
      </w:r>
      <w:r>
        <w:rPr>
          <w:rFonts w:ascii="Times New Roman" w:eastAsia="Times New Roman" w:hAnsi="Times New Roman" w:cs="Times New Roman"/>
          <w:sz w:val="24"/>
          <w:szCs w:val="24"/>
          <w:lang w:val="en-GB" w:eastAsia="en-GB"/>
        </w:rPr>
        <w:t>Table 1</w:t>
      </w:r>
      <w:r w:rsidRPr="0075478F">
        <w:rPr>
          <w:rFonts w:ascii="Times New Roman" w:eastAsia="Times New Roman" w:hAnsi="Times New Roman" w:cs="Times New Roman"/>
          <w:sz w:val="24"/>
          <w:szCs w:val="24"/>
          <w:lang w:val="en-GB" w:eastAsia="en-GB"/>
        </w:rPr>
        <w:t xml:space="preserve">). The majority of respondents either strongly agreed or agreed that the mulching technology helped retain soil moisture, increased productivity, improved fruit taste, and was easy to apply. These positive perceptions are consistent with studies conducted in the </w:t>
      </w:r>
      <w:r w:rsidRPr="0075478F">
        <w:rPr>
          <w:rFonts w:ascii="Times New Roman" w:eastAsia="Times New Roman" w:hAnsi="Times New Roman" w:cs="Times New Roman"/>
          <w:bCs/>
          <w:sz w:val="24"/>
          <w:szCs w:val="24"/>
          <w:lang w:val="en-GB" w:eastAsia="en-GB"/>
        </w:rPr>
        <w:t>Central Highlands and Southwest Ethiopia</w:t>
      </w:r>
      <w:r w:rsidRPr="0075478F">
        <w:rPr>
          <w:rFonts w:ascii="Times New Roman" w:eastAsia="Times New Roman" w:hAnsi="Times New Roman" w:cs="Times New Roman"/>
          <w:sz w:val="24"/>
          <w:szCs w:val="24"/>
          <w:lang w:val="en-GB" w:eastAsia="en-GB"/>
        </w:rPr>
        <w:t>, where smallholders have increasingly recognized the utility of moisture-conserving technologies in the face of erratic rainfall (</w:t>
      </w:r>
      <w:proofErr w:type="spellStart"/>
      <w:r w:rsidRPr="0075478F">
        <w:rPr>
          <w:rFonts w:ascii="Times New Roman" w:eastAsia="Times New Roman" w:hAnsi="Times New Roman" w:cs="Times New Roman"/>
          <w:sz w:val="24"/>
          <w:szCs w:val="24"/>
          <w:lang w:val="en-GB" w:eastAsia="en-GB"/>
        </w:rPr>
        <w:t>Zerssa</w:t>
      </w:r>
      <w:proofErr w:type="spellEnd"/>
      <w:r w:rsidRPr="0075478F">
        <w:rPr>
          <w:rFonts w:ascii="Times New Roman" w:eastAsia="Times New Roman" w:hAnsi="Times New Roman" w:cs="Times New Roman"/>
          <w:sz w:val="24"/>
          <w:szCs w:val="24"/>
          <w:lang w:val="en-GB" w:eastAsia="en-GB"/>
        </w:rPr>
        <w:t xml:space="preserve"> et al., 2021).</w:t>
      </w:r>
    </w:p>
    <w:p w14:paraId="072BC338" w14:textId="77777777" w:rsidR="0075478F" w:rsidRPr="0075478F" w:rsidRDefault="0075478F"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 xml:space="preserve">The results further showed a clear preference for mulching over bare plots, with most farmers expressing a strong willingness to continue using the technology. These findings align with those of </w:t>
      </w:r>
      <w:r w:rsidRPr="0075478F">
        <w:rPr>
          <w:rFonts w:ascii="Times New Roman" w:eastAsia="Times New Roman" w:hAnsi="Times New Roman" w:cs="Times New Roman"/>
          <w:bCs/>
          <w:sz w:val="24"/>
          <w:szCs w:val="24"/>
          <w:lang w:val="en-GB" w:eastAsia="en-GB"/>
        </w:rPr>
        <w:t>Salama and Geyer (2023)</w:t>
      </w:r>
      <w:r w:rsidRPr="0075478F">
        <w:rPr>
          <w:rFonts w:ascii="Times New Roman" w:eastAsia="Times New Roman" w:hAnsi="Times New Roman" w:cs="Times New Roman"/>
          <w:sz w:val="24"/>
          <w:szCs w:val="24"/>
          <w:lang w:val="en-GB" w:eastAsia="en-GB"/>
        </w:rPr>
        <w:t>, who noted that plastic mulch is widely appreciated for its ability to improve crop yields by conserving soil moisture, suppressing weeds, and regulating soil temperature—factors that are especially critical in pineapple cultivation.</w:t>
      </w:r>
    </w:p>
    <w:p w14:paraId="34ECF9E9" w14:textId="77777777" w:rsidR="0075478F" w:rsidRDefault="0075478F"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 xml:space="preserve">However, despite these advantages, the use of plastic mulch presents several challenges. Concerns were raised regarding cost and local availability, which mirror adoption barriers identified in </w:t>
      </w:r>
      <w:r w:rsidRPr="0075478F">
        <w:rPr>
          <w:rFonts w:ascii="Times New Roman" w:eastAsia="Times New Roman" w:hAnsi="Times New Roman" w:cs="Times New Roman"/>
          <w:bCs/>
          <w:sz w:val="24"/>
          <w:szCs w:val="24"/>
          <w:lang w:val="en-GB" w:eastAsia="en-GB"/>
        </w:rPr>
        <w:t>Northern Ethiopia</w:t>
      </w:r>
      <w:r w:rsidRPr="0075478F">
        <w:rPr>
          <w:rFonts w:ascii="Times New Roman" w:eastAsia="Times New Roman" w:hAnsi="Times New Roman" w:cs="Times New Roman"/>
          <w:sz w:val="24"/>
          <w:szCs w:val="24"/>
          <w:lang w:val="en-GB" w:eastAsia="en-GB"/>
        </w:rPr>
        <w:t xml:space="preserve">, where high input costs often deter resource-poor farmers from transitioning to modern horticultural practices (Tadesse et al., 2020). Furthermore, participants noted potential environmental impacts, such as the disruption of soil microflora and the risk of plastic residues entering the food chain. These environmental concerns are a subject of growing debate in </w:t>
      </w:r>
      <w:r w:rsidRPr="0075478F">
        <w:rPr>
          <w:rFonts w:ascii="Times New Roman" w:eastAsia="Times New Roman" w:hAnsi="Times New Roman" w:cs="Times New Roman"/>
          <w:bCs/>
          <w:sz w:val="24"/>
          <w:szCs w:val="24"/>
          <w:lang w:val="en-GB" w:eastAsia="en-GB"/>
        </w:rPr>
        <w:t>Ethiopian agricultural research</w:t>
      </w:r>
      <w:r w:rsidRPr="0075478F">
        <w:rPr>
          <w:rFonts w:ascii="Times New Roman" w:eastAsia="Times New Roman" w:hAnsi="Times New Roman" w:cs="Times New Roman"/>
          <w:sz w:val="24"/>
          <w:szCs w:val="24"/>
          <w:lang w:val="en-GB" w:eastAsia="en-GB"/>
        </w:rPr>
        <w:t>, as the long-term impact of non-biodegradable plastics on soil biodiversity remains under-studied compared to organic mulching alternatives (</w:t>
      </w:r>
      <w:proofErr w:type="spellStart"/>
      <w:r w:rsidRPr="0075478F">
        <w:rPr>
          <w:rFonts w:ascii="Times New Roman" w:eastAsia="Times New Roman" w:hAnsi="Times New Roman" w:cs="Times New Roman"/>
          <w:sz w:val="24"/>
          <w:szCs w:val="24"/>
          <w:lang w:val="en-GB" w:eastAsia="en-GB"/>
        </w:rPr>
        <w:t>Neim</w:t>
      </w:r>
      <w:proofErr w:type="spellEnd"/>
      <w:r w:rsidRPr="0075478F">
        <w:rPr>
          <w:rFonts w:ascii="Times New Roman" w:eastAsia="Times New Roman" w:hAnsi="Times New Roman" w:cs="Times New Roman"/>
          <w:sz w:val="24"/>
          <w:szCs w:val="24"/>
          <w:lang w:val="en-GB" w:eastAsia="en-GB"/>
        </w:rPr>
        <w:t xml:space="preserve"> et al., 2021).</w:t>
      </w:r>
    </w:p>
    <w:p w14:paraId="023C2CD3" w14:textId="2FC09DBD" w:rsidR="009637C9" w:rsidRDefault="009637C9" w:rsidP="009637C9">
      <w:pP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val="en-GB" w:eastAsia="en-GB"/>
        </w:rPr>
        <w:t>Table</w:t>
      </w:r>
      <w:r w:rsidR="00502D4F">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1.</w:t>
      </w:r>
      <w:r w:rsidRPr="002206E5">
        <w:rPr>
          <w:rFonts w:ascii="Times New Roman" w:eastAsia="Times New Roman" w:hAnsi="Times New Roman" w:cs="Times New Roman"/>
          <w:color w:val="000000"/>
          <w:sz w:val="24"/>
          <w:szCs w:val="24"/>
          <w:highlight w:val="white"/>
        </w:rPr>
        <w:t xml:space="preserve"> Participant farmers’ response (%) to assessment indicators under mulched (above) and non-mulched (below) </w:t>
      </w:r>
      <w:r w:rsidRPr="002206E5">
        <w:rPr>
          <w:rFonts w:ascii="Times New Roman" w:eastAsia="Times New Roman" w:hAnsi="Times New Roman" w:cs="Times New Roman"/>
          <w:color w:val="000000"/>
          <w:sz w:val="24"/>
          <w:szCs w:val="24"/>
        </w:rPr>
        <w:t>conditions</w:t>
      </w:r>
    </w:p>
    <w:p w14:paraId="0B7037AD" w14:textId="6B149D6B" w:rsidR="00A72F61" w:rsidRDefault="00A72F61" w:rsidP="009637C9">
      <w:pPr>
        <w:spacing w:after="160" w:line="360" w:lineRule="auto"/>
        <w:jc w:val="both"/>
        <w:rPr>
          <w:rFonts w:ascii="Times New Roman" w:eastAsia="Times New Roman" w:hAnsi="Times New Roman" w:cs="Times New Roman"/>
          <w:color w:val="000000"/>
          <w:sz w:val="24"/>
          <w:szCs w:val="24"/>
        </w:rPr>
      </w:pPr>
    </w:p>
    <w:p w14:paraId="10E80D35" w14:textId="314F5D22" w:rsidR="00A72F61" w:rsidRDefault="00A72F61" w:rsidP="009637C9">
      <w:pPr>
        <w:spacing w:after="160" w:line="360" w:lineRule="auto"/>
        <w:jc w:val="both"/>
        <w:rPr>
          <w:rFonts w:ascii="Times New Roman" w:eastAsia="Times New Roman" w:hAnsi="Times New Roman" w:cs="Times New Roman"/>
          <w:color w:val="000000"/>
          <w:sz w:val="24"/>
          <w:szCs w:val="24"/>
        </w:rPr>
      </w:pPr>
    </w:p>
    <w:p w14:paraId="4CB4A1A4" w14:textId="77777777" w:rsidR="00A72F61" w:rsidRDefault="00A72F61" w:rsidP="009637C9">
      <w:pPr>
        <w:spacing w:after="160" w:line="360" w:lineRule="auto"/>
        <w:jc w:val="both"/>
        <w:rPr>
          <w:rFonts w:ascii="Times New Roman" w:eastAsia="Times New Roman" w:hAnsi="Times New Roman" w:cs="Times New Roman"/>
          <w:color w:val="000000"/>
          <w:sz w:val="24"/>
          <w:szCs w:val="24"/>
        </w:rPr>
      </w:pPr>
      <w:bookmarkStart w:id="2" w:name="_GoBack"/>
      <w:bookmarkEnd w:id="2"/>
    </w:p>
    <w:tbl>
      <w:tblPr>
        <w:tblStyle w:val="MediumShading2-Accent3"/>
        <w:tblW w:w="5000" w:type="pct"/>
        <w:tblLook w:val="04A0" w:firstRow="1" w:lastRow="0" w:firstColumn="1" w:lastColumn="0" w:noHBand="0" w:noVBand="1"/>
      </w:tblPr>
      <w:tblGrid>
        <w:gridCol w:w="2013"/>
        <w:gridCol w:w="1220"/>
        <w:gridCol w:w="1256"/>
        <w:gridCol w:w="2869"/>
        <w:gridCol w:w="1109"/>
        <w:gridCol w:w="1109"/>
      </w:tblGrid>
      <w:tr w:rsidR="003D3BBD" w:rsidRPr="003D3BBD" w14:paraId="72165FC1" w14:textId="77777777" w:rsidTr="009637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1" w:type="pct"/>
            <w:vMerge w:val="restart"/>
          </w:tcPr>
          <w:p w14:paraId="59905193" w14:textId="77777777" w:rsidR="003D3BBD" w:rsidRPr="003D3BBD" w:rsidRDefault="003D3BBD" w:rsidP="00502D4F">
            <w:pPr>
              <w:rPr>
                <w:rFonts w:ascii="Times New Roman" w:eastAsia="Times New Roman" w:hAnsi="Times New Roman" w:cs="Times New Roman"/>
                <w:b w:val="0"/>
                <w:bCs w:val="0"/>
                <w:color w:val="000000"/>
                <w:sz w:val="24"/>
                <w:szCs w:val="24"/>
                <w:bdr w:val="none" w:sz="0" w:space="0" w:color="auto" w:frame="1"/>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Evaluation Indicator</w:t>
            </w:r>
          </w:p>
        </w:tc>
        <w:tc>
          <w:tcPr>
            <w:tcW w:w="3949" w:type="pct"/>
            <w:gridSpan w:val="5"/>
          </w:tcPr>
          <w:p w14:paraId="109653B7" w14:textId="77777777" w:rsidR="003D3BBD" w:rsidRPr="003D3BBD" w:rsidRDefault="003D3BBD" w:rsidP="00502D4F">
            <w:pPr>
              <w:ind w:left="144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bdr w:val="none" w:sz="0" w:space="0" w:color="auto" w:frame="1"/>
                <w:lang w:val="en-GB" w:eastAsia="en-GB"/>
              </w:rPr>
            </w:pPr>
            <w:r w:rsidRPr="003D3BBD">
              <w:rPr>
                <w:rFonts w:ascii="Times New Roman" w:eastAsia="Times New Roman" w:hAnsi="Times New Roman" w:cs="Times New Roman"/>
                <w:b w:val="0"/>
                <w:bCs w:val="0"/>
                <w:color w:val="000000"/>
                <w:sz w:val="24"/>
                <w:szCs w:val="24"/>
                <w:bdr w:val="none" w:sz="0" w:space="0" w:color="auto" w:frame="1"/>
                <w:lang w:val="en-GB" w:eastAsia="en-GB"/>
              </w:rPr>
              <w:t>Mulched</w:t>
            </w:r>
          </w:p>
        </w:tc>
      </w:tr>
      <w:tr w:rsidR="003D3BBD" w:rsidRPr="003D3BBD" w14:paraId="22D472F6" w14:textId="77777777" w:rsidTr="009637C9">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051" w:type="pct"/>
            <w:vMerge/>
            <w:hideMark/>
          </w:tcPr>
          <w:p w14:paraId="5F646BDE" w14:textId="77777777" w:rsidR="003D3BBD" w:rsidRPr="003D3BBD" w:rsidRDefault="003D3BBD" w:rsidP="00502D4F">
            <w:pPr>
              <w:rPr>
                <w:rFonts w:ascii="Times New Roman" w:eastAsia="Times New Roman" w:hAnsi="Times New Roman" w:cs="Times New Roman"/>
                <w:color w:val="000000"/>
                <w:sz w:val="24"/>
                <w:szCs w:val="24"/>
                <w:lang w:val="en-GB" w:eastAsia="en-GB"/>
              </w:rPr>
            </w:pPr>
          </w:p>
        </w:tc>
        <w:tc>
          <w:tcPr>
            <w:tcW w:w="637" w:type="pct"/>
            <w:hideMark/>
          </w:tcPr>
          <w:p w14:paraId="2A8B0E20"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Strongly Agree (%)</w:t>
            </w:r>
          </w:p>
        </w:tc>
        <w:tc>
          <w:tcPr>
            <w:tcW w:w="656" w:type="pct"/>
            <w:hideMark/>
          </w:tcPr>
          <w:p w14:paraId="33A9995F"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Agree (%)</w:t>
            </w:r>
          </w:p>
        </w:tc>
        <w:tc>
          <w:tcPr>
            <w:tcW w:w="1498" w:type="pct"/>
            <w:hideMark/>
          </w:tcPr>
          <w:p w14:paraId="0C6DB0C0"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Neutral (%)</w:t>
            </w:r>
          </w:p>
        </w:tc>
        <w:tc>
          <w:tcPr>
            <w:tcW w:w="579" w:type="pct"/>
            <w:hideMark/>
          </w:tcPr>
          <w:p w14:paraId="6722640E"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Disagree (%)</w:t>
            </w:r>
          </w:p>
        </w:tc>
        <w:tc>
          <w:tcPr>
            <w:tcW w:w="579" w:type="pct"/>
            <w:hideMark/>
          </w:tcPr>
          <w:p w14:paraId="2D6550AB"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Strongly Disagree (%)</w:t>
            </w:r>
          </w:p>
        </w:tc>
      </w:tr>
      <w:tr w:rsidR="009637C9" w:rsidRPr="003D3BBD" w14:paraId="29260932" w14:textId="77777777" w:rsidTr="009637C9">
        <w:tc>
          <w:tcPr>
            <w:cnfStyle w:val="001000000000" w:firstRow="0" w:lastRow="0" w:firstColumn="1" w:lastColumn="0" w:oddVBand="0" w:evenVBand="0" w:oddHBand="0" w:evenHBand="0" w:firstRowFirstColumn="0" w:firstRowLastColumn="0" w:lastRowFirstColumn="0" w:lastRowLastColumn="0"/>
            <w:tcW w:w="1051" w:type="pct"/>
            <w:hideMark/>
          </w:tcPr>
          <w:p w14:paraId="4B4AFBBE"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Soil retained moisture</w:t>
            </w:r>
          </w:p>
        </w:tc>
        <w:tc>
          <w:tcPr>
            <w:tcW w:w="637" w:type="pct"/>
            <w:hideMark/>
          </w:tcPr>
          <w:p w14:paraId="16A88097"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54.5</w:t>
            </w:r>
          </w:p>
        </w:tc>
        <w:tc>
          <w:tcPr>
            <w:tcW w:w="656" w:type="pct"/>
            <w:hideMark/>
          </w:tcPr>
          <w:p w14:paraId="5959EF28"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1498" w:type="pct"/>
            <w:hideMark/>
          </w:tcPr>
          <w:p w14:paraId="6A38A440"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27.3</w:t>
            </w:r>
          </w:p>
        </w:tc>
        <w:tc>
          <w:tcPr>
            <w:tcW w:w="579" w:type="pct"/>
            <w:hideMark/>
          </w:tcPr>
          <w:p w14:paraId="1A021979"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5D97F1D9"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55E6BA38"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hideMark/>
          </w:tcPr>
          <w:p w14:paraId="333B8434"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Productivity increased</w:t>
            </w:r>
          </w:p>
        </w:tc>
        <w:tc>
          <w:tcPr>
            <w:tcW w:w="637" w:type="pct"/>
            <w:hideMark/>
          </w:tcPr>
          <w:p w14:paraId="0D4B8BD8"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45.5</w:t>
            </w:r>
          </w:p>
        </w:tc>
        <w:tc>
          <w:tcPr>
            <w:tcW w:w="656" w:type="pct"/>
            <w:hideMark/>
          </w:tcPr>
          <w:p w14:paraId="2640A5DA"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45.5</w:t>
            </w:r>
          </w:p>
        </w:tc>
        <w:tc>
          <w:tcPr>
            <w:tcW w:w="1498" w:type="pct"/>
            <w:hideMark/>
          </w:tcPr>
          <w:p w14:paraId="19276182"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579" w:type="pct"/>
            <w:hideMark/>
          </w:tcPr>
          <w:p w14:paraId="16D46C61"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6E4E88E5"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28697C28" w14:textId="77777777" w:rsidTr="009637C9">
        <w:tc>
          <w:tcPr>
            <w:cnfStyle w:val="001000000000" w:firstRow="0" w:lastRow="0" w:firstColumn="1" w:lastColumn="0" w:oddVBand="0" w:evenVBand="0" w:oddHBand="0" w:evenHBand="0" w:firstRowFirstColumn="0" w:firstRowLastColumn="0" w:lastRowFirstColumn="0" w:lastRowLastColumn="0"/>
            <w:tcW w:w="1051" w:type="pct"/>
            <w:hideMark/>
          </w:tcPr>
          <w:p w14:paraId="0F82C818"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Number of suckers increased</w:t>
            </w:r>
          </w:p>
        </w:tc>
        <w:tc>
          <w:tcPr>
            <w:tcW w:w="637" w:type="pct"/>
            <w:hideMark/>
          </w:tcPr>
          <w:p w14:paraId="2742FAB7"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656" w:type="pct"/>
            <w:hideMark/>
          </w:tcPr>
          <w:p w14:paraId="4F990895"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63.6</w:t>
            </w:r>
          </w:p>
        </w:tc>
        <w:tc>
          <w:tcPr>
            <w:tcW w:w="1498" w:type="pct"/>
            <w:hideMark/>
          </w:tcPr>
          <w:p w14:paraId="3CEB2E9F"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25685238"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579" w:type="pct"/>
            <w:hideMark/>
          </w:tcPr>
          <w:p w14:paraId="2E26FA9F"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25.51</w:t>
            </w:r>
          </w:p>
        </w:tc>
      </w:tr>
      <w:tr w:rsidR="009637C9" w:rsidRPr="003D3BBD" w14:paraId="39C7EFF2"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hideMark/>
          </w:tcPr>
          <w:p w14:paraId="71CCCE90"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Fruit taste was good</w:t>
            </w:r>
          </w:p>
        </w:tc>
        <w:tc>
          <w:tcPr>
            <w:tcW w:w="637" w:type="pct"/>
            <w:hideMark/>
          </w:tcPr>
          <w:p w14:paraId="591D67D1"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656" w:type="pct"/>
            <w:hideMark/>
          </w:tcPr>
          <w:p w14:paraId="5824A05B"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36.4</w:t>
            </w:r>
          </w:p>
        </w:tc>
        <w:tc>
          <w:tcPr>
            <w:tcW w:w="1498" w:type="pct"/>
            <w:hideMark/>
          </w:tcPr>
          <w:p w14:paraId="10289E53"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014E92C6"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579" w:type="pct"/>
            <w:hideMark/>
          </w:tcPr>
          <w:p w14:paraId="3E616762"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27.21</w:t>
            </w:r>
          </w:p>
        </w:tc>
      </w:tr>
      <w:tr w:rsidR="009637C9" w:rsidRPr="003D3BBD" w14:paraId="150069ED" w14:textId="77777777" w:rsidTr="009637C9">
        <w:tc>
          <w:tcPr>
            <w:cnfStyle w:val="001000000000" w:firstRow="0" w:lastRow="0" w:firstColumn="1" w:lastColumn="0" w:oddVBand="0" w:evenVBand="0" w:oddHBand="0" w:evenHBand="0" w:firstRowFirstColumn="0" w:firstRowLastColumn="0" w:lastRowFirstColumn="0" w:lastRowLastColumn="0"/>
            <w:tcW w:w="1051" w:type="pct"/>
            <w:hideMark/>
          </w:tcPr>
          <w:p w14:paraId="464CF7F2"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Fruit marketability was good</w:t>
            </w:r>
          </w:p>
        </w:tc>
        <w:tc>
          <w:tcPr>
            <w:tcW w:w="637" w:type="pct"/>
            <w:hideMark/>
          </w:tcPr>
          <w:p w14:paraId="11D0E15F"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54.5</w:t>
            </w:r>
          </w:p>
        </w:tc>
        <w:tc>
          <w:tcPr>
            <w:tcW w:w="656" w:type="pct"/>
            <w:hideMark/>
          </w:tcPr>
          <w:p w14:paraId="1562C6EA"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1498" w:type="pct"/>
            <w:hideMark/>
          </w:tcPr>
          <w:p w14:paraId="0975CAD7"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579" w:type="pct"/>
            <w:hideMark/>
          </w:tcPr>
          <w:p w14:paraId="06F346B1"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3DEBAAB3"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9.091</w:t>
            </w:r>
          </w:p>
        </w:tc>
      </w:tr>
      <w:tr w:rsidR="009637C9" w:rsidRPr="003D3BBD" w14:paraId="582532B1"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pct"/>
            <w:hideMark/>
          </w:tcPr>
          <w:p w14:paraId="4BEC54DB"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Mulch management was easy</w:t>
            </w:r>
          </w:p>
        </w:tc>
        <w:tc>
          <w:tcPr>
            <w:tcW w:w="637" w:type="pct"/>
            <w:hideMark/>
          </w:tcPr>
          <w:p w14:paraId="44803265"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656" w:type="pct"/>
            <w:hideMark/>
          </w:tcPr>
          <w:p w14:paraId="051A288F"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54.5</w:t>
            </w:r>
          </w:p>
        </w:tc>
        <w:tc>
          <w:tcPr>
            <w:tcW w:w="1498" w:type="pct"/>
            <w:hideMark/>
          </w:tcPr>
          <w:p w14:paraId="57929D96"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2EB460B4"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58EEB1BB" w14:textId="77777777" w:rsidR="003D3BBD" w:rsidRPr="003D3BBD" w:rsidRDefault="003D3BBD"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50A45093" w14:textId="77777777" w:rsidTr="009637C9">
        <w:tc>
          <w:tcPr>
            <w:cnfStyle w:val="001000000000" w:firstRow="0" w:lastRow="0" w:firstColumn="1" w:lastColumn="0" w:oddVBand="0" w:evenVBand="0" w:oddHBand="0" w:evenHBand="0" w:firstRowFirstColumn="0" w:firstRowLastColumn="0" w:lastRowFirstColumn="0" w:lastRowLastColumn="0"/>
            <w:tcW w:w="1051" w:type="pct"/>
            <w:hideMark/>
          </w:tcPr>
          <w:p w14:paraId="26168F63" w14:textId="77777777" w:rsidR="003D3BBD" w:rsidRPr="003D3BBD" w:rsidRDefault="003D3BBD"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Want to continue using it</w:t>
            </w:r>
          </w:p>
        </w:tc>
        <w:tc>
          <w:tcPr>
            <w:tcW w:w="637" w:type="pct"/>
            <w:hideMark/>
          </w:tcPr>
          <w:p w14:paraId="4A878FB2"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54.5</w:t>
            </w:r>
          </w:p>
        </w:tc>
        <w:tc>
          <w:tcPr>
            <w:tcW w:w="656" w:type="pct"/>
            <w:hideMark/>
          </w:tcPr>
          <w:p w14:paraId="4DA08B7C"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1498" w:type="pct"/>
            <w:hideMark/>
          </w:tcPr>
          <w:p w14:paraId="2313FC80"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18.1</w:t>
            </w:r>
          </w:p>
        </w:tc>
        <w:tc>
          <w:tcPr>
            <w:tcW w:w="579" w:type="pct"/>
            <w:hideMark/>
          </w:tcPr>
          <w:p w14:paraId="50CA75EB"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579" w:type="pct"/>
            <w:hideMark/>
          </w:tcPr>
          <w:p w14:paraId="021A93CA" w14:textId="77777777" w:rsidR="003D3BBD" w:rsidRPr="003D3BBD" w:rsidRDefault="003D3BBD"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093D89D5"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AB3E6FA" w14:textId="77777777" w:rsidR="009637C9" w:rsidRPr="003D3BBD" w:rsidRDefault="009637C9" w:rsidP="00502D4F">
            <w:pPr>
              <w:rPr>
                <w:rFonts w:ascii="Times New Roman" w:eastAsia="Times New Roman" w:hAnsi="Times New Roman" w:cs="Times New Roman"/>
                <w:b w:val="0"/>
                <w:bCs w:val="0"/>
                <w:color w:val="000000"/>
                <w:sz w:val="24"/>
                <w:szCs w:val="24"/>
                <w:bdr w:val="none" w:sz="0" w:space="0" w:color="auto" w:frame="1"/>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Evaluation Indicator</w:t>
            </w:r>
          </w:p>
        </w:tc>
        <w:tc>
          <w:tcPr>
            <w:tcW w:w="0" w:type="auto"/>
            <w:gridSpan w:val="5"/>
          </w:tcPr>
          <w:p w14:paraId="72B0F1EA" w14:textId="77777777" w:rsidR="009637C9" w:rsidRPr="009637C9" w:rsidRDefault="009637C9" w:rsidP="00502D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bdr w:val="none" w:sz="0" w:space="0" w:color="auto" w:frame="1"/>
                <w:lang w:val="en-GB" w:eastAsia="en-GB"/>
              </w:rPr>
            </w:pPr>
            <w:r w:rsidRPr="009637C9">
              <w:rPr>
                <w:rFonts w:ascii="Times New Roman" w:eastAsia="Times New Roman" w:hAnsi="Times New Roman" w:cs="Times New Roman"/>
                <w:b/>
                <w:bCs/>
                <w:color w:val="000000"/>
                <w:sz w:val="24"/>
                <w:szCs w:val="24"/>
                <w:bdr w:val="none" w:sz="0" w:space="0" w:color="auto" w:frame="1"/>
                <w:lang w:val="en-GB" w:eastAsia="en-GB"/>
              </w:rPr>
              <w:t>Non mulched</w:t>
            </w:r>
          </w:p>
        </w:tc>
      </w:tr>
      <w:tr w:rsidR="009637C9" w:rsidRPr="003D3BBD" w14:paraId="4BE4F227" w14:textId="77777777" w:rsidTr="009637C9">
        <w:tc>
          <w:tcPr>
            <w:cnfStyle w:val="001000000000" w:firstRow="0" w:lastRow="0" w:firstColumn="1" w:lastColumn="0" w:oddVBand="0" w:evenVBand="0" w:oddHBand="0" w:evenHBand="0" w:firstRowFirstColumn="0" w:firstRowLastColumn="0" w:lastRowFirstColumn="0" w:lastRowLastColumn="0"/>
            <w:tcW w:w="0" w:type="auto"/>
            <w:vMerge/>
            <w:hideMark/>
          </w:tcPr>
          <w:p w14:paraId="18DD728B" w14:textId="77777777" w:rsidR="009637C9" w:rsidRPr="003D3BBD" w:rsidRDefault="009637C9" w:rsidP="00502D4F">
            <w:pPr>
              <w:rPr>
                <w:rFonts w:ascii="Times New Roman" w:eastAsia="Times New Roman" w:hAnsi="Times New Roman" w:cs="Times New Roman"/>
                <w:color w:val="000000"/>
                <w:sz w:val="24"/>
                <w:szCs w:val="24"/>
                <w:lang w:val="en-GB" w:eastAsia="en-GB"/>
              </w:rPr>
            </w:pPr>
          </w:p>
        </w:tc>
        <w:tc>
          <w:tcPr>
            <w:tcW w:w="0" w:type="auto"/>
            <w:hideMark/>
          </w:tcPr>
          <w:p w14:paraId="028000E3"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Strongly Agree (%)</w:t>
            </w:r>
          </w:p>
        </w:tc>
        <w:tc>
          <w:tcPr>
            <w:tcW w:w="0" w:type="auto"/>
            <w:hideMark/>
          </w:tcPr>
          <w:p w14:paraId="03AEB566"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Agree (%)</w:t>
            </w:r>
          </w:p>
        </w:tc>
        <w:tc>
          <w:tcPr>
            <w:tcW w:w="0" w:type="auto"/>
            <w:hideMark/>
          </w:tcPr>
          <w:p w14:paraId="6071AE9F"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Neutral (%)</w:t>
            </w:r>
          </w:p>
        </w:tc>
        <w:tc>
          <w:tcPr>
            <w:tcW w:w="0" w:type="auto"/>
            <w:hideMark/>
          </w:tcPr>
          <w:p w14:paraId="0444ECD0"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Disagree (%)</w:t>
            </w:r>
          </w:p>
        </w:tc>
        <w:tc>
          <w:tcPr>
            <w:tcW w:w="0" w:type="auto"/>
            <w:hideMark/>
          </w:tcPr>
          <w:p w14:paraId="633D90B2"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b/>
                <w:bCs/>
                <w:color w:val="000000"/>
                <w:sz w:val="24"/>
                <w:szCs w:val="24"/>
                <w:bdr w:val="none" w:sz="0" w:space="0" w:color="auto" w:frame="1"/>
                <w:lang w:val="en-GB" w:eastAsia="en-GB"/>
              </w:rPr>
              <w:t>Strongly Disagree (%)</w:t>
            </w:r>
          </w:p>
        </w:tc>
      </w:tr>
      <w:tr w:rsidR="009637C9" w:rsidRPr="003D3BBD" w14:paraId="4CFFD59D"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2A94D1"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Soil retained moisture</w:t>
            </w:r>
          </w:p>
        </w:tc>
        <w:tc>
          <w:tcPr>
            <w:tcW w:w="0" w:type="auto"/>
            <w:hideMark/>
          </w:tcPr>
          <w:p w14:paraId="619BD6D0"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328CCEF1"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5EEBC42C"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18.2</w:t>
            </w:r>
          </w:p>
        </w:tc>
        <w:tc>
          <w:tcPr>
            <w:tcW w:w="0" w:type="auto"/>
            <w:hideMark/>
          </w:tcPr>
          <w:p w14:paraId="15D1B6E9"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7.3</w:t>
            </w:r>
          </w:p>
        </w:tc>
        <w:tc>
          <w:tcPr>
            <w:tcW w:w="0" w:type="auto"/>
            <w:hideMark/>
          </w:tcPr>
          <w:p w14:paraId="2962C3D7"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63.6</w:t>
            </w:r>
          </w:p>
        </w:tc>
      </w:tr>
      <w:tr w:rsidR="009637C9" w:rsidRPr="003D3BBD" w14:paraId="3904B119" w14:textId="77777777" w:rsidTr="009637C9">
        <w:tc>
          <w:tcPr>
            <w:cnfStyle w:val="001000000000" w:firstRow="0" w:lastRow="0" w:firstColumn="1" w:lastColumn="0" w:oddVBand="0" w:evenVBand="0" w:oddHBand="0" w:evenHBand="0" w:firstRowFirstColumn="0" w:firstRowLastColumn="0" w:lastRowFirstColumn="0" w:lastRowLastColumn="0"/>
            <w:tcW w:w="0" w:type="auto"/>
            <w:hideMark/>
          </w:tcPr>
          <w:p w14:paraId="0DB2BEF5"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Productivity increased</w:t>
            </w:r>
          </w:p>
        </w:tc>
        <w:tc>
          <w:tcPr>
            <w:tcW w:w="0" w:type="auto"/>
            <w:hideMark/>
          </w:tcPr>
          <w:p w14:paraId="1D546518"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0" w:type="auto"/>
            <w:hideMark/>
          </w:tcPr>
          <w:p w14:paraId="49B70403"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0D21CD12"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0" w:type="auto"/>
            <w:hideMark/>
          </w:tcPr>
          <w:p w14:paraId="64C4E72E"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63.6</w:t>
            </w:r>
          </w:p>
        </w:tc>
        <w:tc>
          <w:tcPr>
            <w:tcW w:w="0" w:type="auto"/>
            <w:hideMark/>
          </w:tcPr>
          <w:p w14:paraId="70E5C007"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r>
      <w:tr w:rsidR="009637C9" w:rsidRPr="003D3BBD" w14:paraId="3D9809A1"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0ADCEF"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Number of suckers increased</w:t>
            </w:r>
          </w:p>
        </w:tc>
        <w:tc>
          <w:tcPr>
            <w:tcW w:w="0" w:type="auto"/>
            <w:hideMark/>
          </w:tcPr>
          <w:p w14:paraId="2FCA6FED"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0" w:type="auto"/>
            <w:hideMark/>
          </w:tcPr>
          <w:p w14:paraId="0434AC4C"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73C280E0"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36.4</w:t>
            </w:r>
          </w:p>
        </w:tc>
        <w:tc>
          <w:tcPr>
            <w:tcW w:w="0" w:type="auto"/>
            <w:hideMark/>
          </w:tcPr>
          <w:p w14:paraId="07D70418"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7.3</w:t>
            </w:r>
          </w:p>
        </w:tc>
        <w:tc>
          <w:tcPr>
            <w:tcW w:w="0" w:type="auto"/>
            <w:hideMark/>
          </w:tcPr>
          <w:p w14:paraId="5EC4C3CA"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54.5</w:t>
            </w:r>
          </w:p>
        </w:tc>
      </w:tr>
      <w:tr w:rsidR="009637C9" w:rsidRPr="003D3BBD" w14:paraId="7AC1CA08" w14:textId="77777777" w:rsidTr="009637C9">
        <w:tc>
          <w:tcPr>
            <w:cnfStyle w:val="001000000000" w:firstRow="0" w:lastRow="0" w:firstColumn="1" w:lastColumn="0" w:oddVBand="0" w:evenVBand="0" w:oddHBand="0" w:evenHBand="0" w:firstRowFirstColumn="0" w:firstRowLastColumn="0" w:lastRowFirstColumn="0" w:lastRowLastColumn="0"/>
            <w:tcW w:w="0" w:type="auto"/>
            <w:hideMark/>
          </w:tcPr>
          <w:p w14:paraId="0CB638E3"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Fruit taste was good</w:t>
            </w:r>
          </w:p>
        </w:tc>
        <w:tc>
          <w:tcPr>
            <w:tcW w:w="0" w:type="auto"/>
            <w:hideMark/>
          </w:tcPr>
          <w:p w14:paraId="45B1164F"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36.3</w:t>
            </w:r>
          </w:p>
        </w:tc>
        <w:tc>
          <w:tcPr>
            <w:tcW w:w="0" w:type="auto"/>
            <w:hideMark/>
          </w:tcPr>
          <w:p w14:paraId="35B1B73B"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0" w:type="auto"/>
            <w:hideMark/>
          </w:tcPr>
          <w:p w14:paraId="7DCF26CD"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0F10748C"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32.9</w:t>
            </w:r>
          </w:p>
        </w:tc>
        <w:tc>
          <w:tcPr>
            <w:tcW w:w="0" w:type="auto"/>
            <w:hideMark/>
          </w:tcPr>
          <w:p w14:paraId="0553CBE5"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r>
      <w:tr w:rsidR="009637C9" w:rsidRPr="003D3BBD" w14:paraId="077F57F5"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709DCC"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Fruit marketability was good</w:t>
            </w:r>
          </w:p>
        </w:tc>
        <w:tc>
          <w:tcPr>
            <w:tcW w:w="0" w:type="auto"/>
            <w:hideMark/>
          </w:tcPr>
          <w:p w14:paraId="366295EB"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27.2</w:t>
            </w:r>
          </w:p>
        </w:tc>
        <w:tc>
          <w:tcPr>
            <w:tcW w:w="0" w:type="auto"/>
            <w:hideMark/>
          </w:tcPr>
          <w:p w14:paraId="7F1E271E"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42CFA66E"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33309F9B"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60.1</w:t>
            </w:r>
          </w:p>
        </w:tc>
        <w:tc>
          <w:tcPr>
            <w:tcW w:w="0" w:type="auto"/>
            <w:hideMark/>
          </w:tcPr>
          <w:p w14:paraId="6B67C862"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r>
      <w:tr w:rsidR="009637C9" w:rsidRPr="003D3BBD" w14:paraId="163BE117" w14:textId="77777777" w:rsidTr="009637C9">
        <w:tc>
          <w:tcPr>
            <w:cnfStyle w:val="001000000000" w:firstRow="0" w:lastRow="0" w:firstColumn="1" w:lastColumn="0" w:oddVBand="0" w:evenVBand="0" w:oddHBand="0" w:evenHBand="0" w:firstRowFirstColumn="0" w:firstRowLastColumn="0" w:lastRowFirstColumn="0" w:lastRowLastColumn="0"/>
            <w:tcW w:w="0" w:type="auto"/>
            <w:hideMark/>
          </w:tcPr>
          <w:p w14:paraId="3B5E0B53"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Practice management was easy</w:t>
            </w:r>
          </w:p>
        </w:tc>
        <w:tc>
          <w:tcPr>
            <w:tcW w:w="0" w:type="auto"/>
            <w:hideMark/>
          </w:tcPr>
          <w:p w14:paraId="21E54745"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73EBECEB"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0.0</w:t>
            </w:r>
          </w:p>
        </w:tc>
        <w:tc>
          <w:tcPr>
            <w:tcW w:w="0" w:type="auto"/>
            <w:hideMark/>
          </w:tcPr>
          <w:p w14:paraId="3CECDED2"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662CE40C"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7.3</w:t>
            </w:r>
          </w:p>
        </w:tc>
        <w:tc>
          <w:tcPr>
            <w:tcW w:w="0" w:type="auto"/>
            <w:hideMark/>
          </w:tcPr>
          <w:p w14:paraId="63357E51" w14:textId="77777777" w:rsidR="009637C9" w:rsidRPr="003D3BBD" w:rsidRDefault="009637C9" w:rsidP="00502D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81.8</w:t>
            </w:r>
          </w:p>
        </w:tc>
      </w:tr>
      <w:tr w:rsidR="009637C9" w:rsidRPr="003D3BBD" w14:paraId="56780561" w14:textId="77777777" w:rsidTr="00963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36E5E8" w14:textId="77777777" w:rsidR="009637C9" w:rsidRPr="003D3BBD" w:rsidRDefault="009637C9" w:rsidP="00502D4F">
            <w:pPr>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Want to continue using it</w:t>
            </w:r>
          </w:p>
        </w:tc>
        <w:tc>
          <w:tcPr>
            <w:tcW w:w="0" w:type="auto"/>
            <w:hideMark/>
          </w:tcPr>
          <w:p w14:paraId="5F1EB1BF"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3795DCA1"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1.8</w:t>
            </w:r>
          </w:p>
        </w:tc>
        <w:tc>
          <w:tcPr>
            <w:tcW w:w="0" w:type="auto"/>
            <w:hideMark/>
          </w:tcPr>
          <w:p w14:paraId="0B3DEA14"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9.09</w:t>
            </w:r>
          </w:p>
        </w:tc>
        <w:tc>
          <w:tcPr>
            <w:tcW w:w="0" w:type="auto"/>
            <w:hideMark/>
          </w:tcPr>
          <w:p w14:paraId="6149AFB8"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24.6</w:t>
            </w:r>
          </w:p>
        </w:tc>
        <w:tc>
          <w:tcPr>
            <w:tcW w:w="0" w:type="auto"/>
            <w:hideMark/>
          </w:tcPr>
          <w:p w14:paraId="62E7175C" w14:textId="77777777" w:rsidR="009637C9" w:rsidRPr="003D3BBD" w:rsidRDefault="009637C9" w:rsidP="00502D4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3D3BBD">
              <w:rPr>
                <w:rFonts w:ascii="Times New Roman" w:eastAsia="Times New Roman" w:hAnsi="Times New Roman" w:cs="Times New Roman"/>
                <w:color w:val="000000"/>
                <w:sz w:val="24"/>
                <w:szCs w:val="24"/>
                <w:bdr w:val="none" w:sz="0" w:space="0" w:color="auto" w:frame="1"/>
                <w:lang w:val="en-GB" w:eastAsia="en-GB"/>
              </w:rPr>
              <w:t>55.5</w:t>
            </w:r>
          </w:p>
        </w:tc>
      </w:tr>
    </w:tbl>
    <w:p w14:paraId="557335BA" w14:textId="77777777" w:rsidR="008B18B5" w:rsidRPr="002206E5" w:rsidRDefault="008B18B5" w:rsidP="002206E5">
      <w:pPr>
        <w:shd w:val="clear" w:color="auto" w:fill="FFFFFF"/>
        <w:spacing w:after="0" w:line="360" w:lineRule="auto"/>
        <w:jc w:val="both"/>
        <w:rPr>
          <w:rFonts w:ascii="Times New Roman" w:eastAsia="Times New Roman" w:hAnsi="Times New Roman" w:cs="Times New Roman"/>
          <w:noProof/>
          <w:color w:val="000000"/>
          <w:sz w:val="24"/>
          <w:szCs w:val="24"/>
        </w:rPr>
      </w:pPr>
    </w:p>
    <w:p w14:paraId="3FE0F218" w14:textId="77777777" w:rsidR="008B18B5" w:rsidRPr="002206E5" w:rsidRDefault="008B18B5" w:rsidP="002206E5">
      <w:pPr>
        <w:shd w:val="clear" w:color="auto" w:fill="FFFFFF"/>
        <w:spacing w:after="160" w:line="360" w:lineRule="auto"/>
        <w:jc w:val="both"/>
        <w:rPr>
          <w:rFonts w:ascii="Times New Roman" w:eastAsia="Times New Roman" w:hAnsi="Times New Roman" w:cs="Times New Roman"/>
          <w:color w:val="000000"/>
          <w:sz w:val="24"/>
          <w:szCs w:val="24"/>
          <w:highlight w:val="white"/>
        </w:rPr>
      </w:pPr>
      <w:r w:rsidRPr="002206E5">
        <w:rPr>
          <w:rFonts w:ascii="Times New Roman" w:eastAsia="Times New Roman" w:hAnsi="Times New Roman" w:cs="Times New Roman"/>
          <w:b/>
          <w:color w:val="000000"/>
          <w:sz w:val="24"/>
          <w:szCs w:val="24"/>
          <w:highlight w:val="white"/>
        </w:rPr>
        <w:t>3.3.4. Fruit yield performance</w:t>
      </w:r>
    </w:p>
    <w:p w14:paraId="33B44E2C" w14:textId="6BA8B3EF" w:rsidR="0075478F" w:rsidRPr="0075478F" w:rsidRDefault="0075478F"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 xml:space="preserve">Pineapple yields under mulching conditions ranged from </w:t>
      </w:r>
      <w:r w:rsidRPr="0075478F">
        <w:rPr>
          <w:rFonts w:ascii="Times New Roman" w:eastAsia="Times New Roman" w:hAnsi="Times New Roman" w:cs="Times New Roman"/>
          <w:bCs/>
          <w:sz w:val="24"/>
          <w:szCs w:val="24"/>
          <w:lang w:val="en-GB" w:eastAsia="en-GB"/>
        </w:rPr>
        <w:t>86.3 t/ha</w:t>
      </w:r>
      <w:r w:rsidRPr="0075478F">
        <w:rPr>
          <w:rFonts w:ascii="Times New Roman" w:eastAsia="Times New Roman" w:hAnsi="Times New Roman" w:cs="Times New Roman"/>
          <w:sz w:val="24"/>
          <w:szCs w:val="24"/>
          <w:lang w:val="en-GB" w:eastAsia="en-GB"/>
        </w:rPr>
        <w:t xml:space="preserve"> in Tesso Kebele to </w:t>
      </w:r>
      <w:r w:rsidRPr="0075478F">
        <w:rPr>
          <w:rFonts w:ascii="Times New Roman" w:eastAsia="Times New Roman" w:hAnsi="Times New Roman" w:cs="Times New Roman"/>
          <w:bCs/>
          <w:sz w:val="24"/>
          <w:szCs w:val="24"/>
          <w:lang w:val="en-GB" w:eastAsia="en-GB"/>
        </w:rPr>
        <w:t>91.79 t/ha</w:t>
      </w:r>
      <w:r w:rsidR="00502D4F">
        <w:rPr>
          <w:rFonts w:ascii="Times New Roman" w:eastAsia="Times New Roman" w:hAnsi="Times New Roman" w:cs="Times New Roman"/>
          <w:sz w:val="24"/>
          <w:szCs w:val="24"/>
          <w:lang w:val="en-GB" w:eastAsia="en-GB"/>
        </w:rPr>
        <w:t xml:space="preserve"> in </w:t>
      </w:r>
      <w:proofErr w:type="spellStart"/>
      <w:r w:rsidR="00502D4F">
        <w:rPr>
          <w:rFonts w:ascii="Times New Roman" w:eastAsia="Times New Roman" w:hAnsi="Times New Roman" w:cs="Times New Roman"/>
          <w:sz w:val="24"/>
          <w:szCs w:val="24"/>
          <w:lang w:val="en-GB" w:eastAsia="en-GB"/>
        </w:rPr>
        <w:t>Gambela</w:t>
      </w:r>
      <w:proofErr w:type="spellEnd"/>
      <w:r w:rsidR="00502D4F">
        <w:rPr>
          <w:rFonts w:ascii="Times New Roman" w:eastAsia="Times New Roman" w:hAnsi="Times New Roman" w:cs="Times New Roman"/>
          <w:sz w:val="24"/>
          <w:szCs w:val="24"/>
          <w:lang w:val="en-GB" w:eastAsia="en-GB"/>
        </w:rPr>
        <w:t xml:space="preserve"> Kebele (Table 2</w:t>
      </w:r>
      <w:r w:rsidRPr="0075478F">
        <w:rPr>
          <w:rFonts w:ascii="Times New Roman" w:eastAsia="Times New Roman" w:hAnsi="Times New Roman" w:cs="Times New Roman"/>
          <w:sz w:val="24"/>
          <w:szCs w:val="24"/>
          <w:lang w:val="en-GB" w:eastAsia="en-GB"/>
        </w:rPr>
        <w:t xml:space="preserve">). The highest average fruit weights were recorded in </w:t>
      </w:r>
      <w:proofErr w:type="spellStart"/>
      <w:r w:rsidRPr="0075478F">
        <w:rPr>
          <w:rFonts w:ascii="Times New Roman" w:eastAsia="Times New Roman" w:hAnsi="Times New Roman" w:cs="Times New Roman"/>
          <w:sz w:val="24"/>
          <w:szCs w:val="24"/>
          <w:lang w:val="en-GB" w:eastAsia="en-GB"/>
        </w:rPr>
        <w:t>Gambela</w:t>
      </w:r>
      <w:proofErr w:type="spellEnd"/>
      <w:r w:rsidRPr="0075478F">
        <w:rPr>
          <w:rFonts w:ascii="Times New Roman" w:eastAsia="Times New Roman" w:hAnsi="Times New Roman" w:cs="Times New Roman"/>
          <w:sz w:val="24"/>
          <w:szCs w:val="24"/>
          <w:lang w:val="en-GB" w:eastAsia="en-GB"/>
        </w:rPr>
        <w:t xml:space="preserve"> (1.85 kg) and Tesso (1.69 kg). In contrast, yields from non-mulched plots were considerably lower, ranging from </w:t>
      </w:r>
      <w:r w:rsidRPr="0075478F">
        <w:rPr>
          <w:rFonts w:ascii="Times New Roman" w:eastAsia="Times New Roman" w:hAnsi="Times New Roman" w:cs="Times New Roman"/>
          <w:bCs/>
          <w:sz w:val="24"/>
          <w:szCs w:val="24"/>
          <w:lang w:val="en-GB" w:eastAsia="en-GB"/>
        </w:rPr>
        <w:t>51.0 t/ha</w:t>
      </w:r>
      <w:r w:rsidRPr="0075478F">
        <w:rPr>
          <w:rFonts w:ascii="Times New Roman" w:eastAsia="Times New Roman" w:hAnsi="Times New Roman" w:cs="Times New Roman"/>
          <w:sz w:val="24"/>
          <w:szCs w:val="24"/>
          <w:lang w:val="en-GB" w:eastAsia="en-GB"/>
        </w:rPr>
        <w:t xml:space="preserve"> in Tesso to </w:t>
      </w:r>
      <w:r w:rsidRPr="0075478F">
        <w:rPr>
          <w:rFonts w:ascii="Times New Roman" w:eastAsia="Times New Roman" w:hAnsi="Times New Roman" w:cs="Times New Roman"/>
          <w:bCs/>
          <w:sz w:val="24"/>
          <w:szCs w:val="24"/>
          <w:lang w:val="en-GB" w:eastAsia="en-GB"/>
        </w:rPr>
        <w:t>54.79 t/ha</w:t>
      </w:r>
      <w:r w:rsidRPr="0075478F">
        <w:rPr>
          <w:rFonts w:ascii="Times New Roman" w:eastAsia="Times New Roman" w:hAnsi="Times New Roman" w:cs="Times New Roman"/>
          <w:sz w:val="24"/>
          <w:szCs w:val="24"/>
          <w:lang w:val="en-GB" w:eastAsia="en-GB"/>
        </w:rPr>
        <w:t xml:space="preserve"> in </w:t>
      </w:r>
      <w:proofErr w:type="spellStart"/>
      <w:r w:rsidRPr="0075478F">
        <w:rPr>
          <w:rFonts w:ascii="Times New Roman" w:eastAsia="Times New Roman" w:hAnsi="Times New Roman" w:cs="Times New Roman"/>
          <w:sz w:val="24"/>
          <w:szCs w:val="24"/>
          <w:lang w:val="en-GB" w:eastAsia="en-GB"/>
        </w:rPr>
        <w:t>Gambela</w:t>
      </w:r>
      <w:proofErr w:type="spellEnd"/>
      <w:r w:rsidRPr="0075478F">
        <w:rPr>
          <w:rFonts w:ascii="Times New Roman" w:eastAsia="Times New Roman" w:hAnsi="Times New Roman" w:cs="Times New Roman"/>
          <w:sz w:val="24"/>
          <w:szCs w:val="24"/>
          <w:lang w:val="en-GB" w:eastAsia="en-GB"/>
        </w:rPr>
        <w:t xml:space="preserve">, with average fruit weights of 1.35 kg and 1.29 kg, respectively. These results demonstrate a significant yield advantage of mulching over traditional practices. The yields achieved under mulching in this study are remarkably higher than those reported in </w:t>
      </w:r>
      <w:r w:rsidRPr="0075478F">
        <w:rPr>
          <w:rFonts w:ascii="Times New Roman" w:eastAsia="Times New Roman" w:hAnsi="Times New Roman" w:cs="Times New Roman"/>
          <w:bCs/>
          <w:sz w:val="24"/>
          <w:szCs w:val="24"/>
          <w:lang w:val="en-GB" w:eastAsia="en-GB"/>
        </w:rPr>
        <w:t>Southwest Ethiopia</w:t>
      </w:r>
      <w:r w:rsidRPr="0075478F">
        <w:rPr>
          <w:rFonts w:ascii="Times New Roman" w:eastAsia="Times New Roman" w:hAnsi="Times New Roman" w:cs="Times New Roman"/>
          <w:sz w:val="24"/>
          <w:szCs w:val="24"/>
          <w:lang w:val="en-GB" w:eastAsia="en-GB"/>
        </w:rPr>
        <w:t xml:space="preserve">, where typical yields in the </w:t>
      </w:r>
      <w:proofErr w:type="spellStart"/>
      <w:r w:rsidRPr="0075478F">
        <w:rPr>
          <w:rFonts w:ascii="Times New Roman" w:eastAsia="Times New Roman" w:hAnsi="Times New Roman" w:cs="Times New Roman"/>
          <w:sz w:val="24"/>
          <w:szCs w:val="24"/>
          <w:lang w:val="en-GB" w:eastAsia="en-GB"/>
        </w:rPr>
        <w:t>Gojeb</w:t>
      </w:r>
      <w:proofErr w:type="spellEnd"/>
      <w:r w:rsidRPr="0075478F">
        <w:rPr>
          <w:rFonts w:ascii="Times New Roman" w:eastAsia="Times New Roman" w:hAnsi="Times New Roman" w:cs="Times New Roman"/>
          <w:sz w:val="24"/>
          <w:szCs w:val="24"/>
          <w:lang w:val="en-GB" w:eastAsia="en-GB"/>
        </w:rPr>
        <w:t xml:space="preserve"> area range between </w:t>
      </w:r>
      <w:r w:rsidRPr="0075478F">
        <w:rPr>
          <w:rFonts w:ascii="Times New Roman" w:eastAsia="Times New Roman" w:hAnsi="Times New Roman" w:cs="Times New Roman"/>
          <w:bCs/>
          <w:sz w:val="24"/>
          <w:szCs w:val="24"/>
          <w:lang w:val="en-GB" w:eastAsia="en-GB"/>
        </w:rPr>
        <w:t>21 and 45 t/ha</w:t>
      </w:r>
      <w:r w:rsidRPr="0075478F">
        <w:rPr>
          <w:rFonts w:ascii="Times New Roman" w:eastAsia="Times New Roman" w:hAnsi="Times New Roman" w:cs="Times New Roman"/>
          <w:sz w:val="24"/>
          <w:szCs w:val="24"/>
          <w:lang w:val="en-GB" w:eastAsia="en-GB"/>
        </w:rPr>
        <w:t xml:space="preserve"> depending on planting time and management (Tewodros et al., 2022).</w:t>
      </w:r>
    </w:p>
    <w:p w14:paraId="2727C474" w14:textId="77777777" w:rsidR="0075478F" w:rsidRPr="0075478F" w:rsidRDefault="0075478F" w:rsidP="002206E5">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75478F">
        <w:rPr>
          <w:rFonts w:ascii="Times New Roman" w:eastAsia="Times New Roman" w:hAnsi="Times New Roman" w:cs="Times New Roman"/>
          <w:sz w:val="24"/>
          <w:szCs w:val="24"/>
          <w:lang w:val="en-GB" w:eastAsia="en-GB"/>
        </w:rPr>
        <w:t xml:space="preserve">Furthermore, yield performance was generally higher in </w:t>
      </w:r>
      <w:proofErr w:type="spellStart"/>
      <w:r w:rsidRPr="0075478F">
        <w:rPr>
          <w:rFonts w:ascii="Times New Roman" w:eastAsia="Times New Roman" w:hAnsi="Times New Roman" w:cs="Times New Roman"/>
          <w:sz w:val="24"/>
          <w:szCs w:val="24"/>
          <w:lang w:val="en-GB" w:eastAsia="en-GB"/>
        </w:rPr>
        <w:t>Gambela</w:t>
      </w:r>
      <w:proofErr w:type="spellEnd"/>
      <w:r w:rsidRPr="0075478F">
        <w:rPr>
          <w:rFonts w:ascii="Times New Roman" w:eastAsia="Times New Roman" w:hAnsi="Times New Roman" w:cs="Times New Roman"/>
          <w:sz w:val="24"/>
          <w:szCs w:val="24"/>
          <w:lang w:val="en-GB" w:eastAsia="en-GB"/>
        </w:rPr>
        <w:t xml:space="preserve"> than in </w:t>
      </w:r>
      <w:proofErr w:type="spellStart"/>
      <w:r w:rsidRPr="0075478F">
        <w:rPr>
          <w:rFonts w:ascii="Times New Roman" w:eastAsia="Times New Roman" w:hAnsi="Times New Roman" w:cs="Times New Roman"/>
          <w:sz w:val="24"/>
          <w:szCs w:val="24"/>
          <w:lang w:val="en-GB" w:eastAsia="en-GB"/>
        </w:rPr>
        <w:t>Tesso</w:t>
      </w:r>
      <w:proofErr w:type="spellEnd"/>
      <w:r w:rsidRPr="0075478F">
        <w:rPr>
          <w:rFonts w:ascii="Times New Roman" w:eastAsia="Times New Roman" w:hAnsi="Times New Roman" w:cs="Times New Roman"/>
          <w:sz w:val="24"/>
          <w:szCs w:val="24"/>
          <w:lang w:val="en-GB" w:eastAsia="en-GB"/>
        </w:rPr>
        <w:t xml:space="preserve"> under both mulched and non-mulched conditions. This suggests inherent differences in environmental suitability or soil fertility between the two kebeles, a localized variation also observed in </w:t>
      </w:r>
      <w:r w:rsidRPr="0075478F">
        <w:rPr>
          <w:rFonts w:ascii="Times New Roman" w:eastAsia="Times New Roman" w:hAnsi="Times New Roman" w:cs="Times New Roman"/>
          <w:bCs/>
          <w:sz w:val="24"/>
          <w:szCs w:val="24"/>
          <w:lang w:val="en-GB" w:eastAsia="en-GB"/>
        </w:rPr>
        <w:t>Jimma</w:t>
      </w:r>
      <w:r w:rsidRPr="0075478F">
        <w:rPr>
          <w:rFonts w:ascii="Times New Roman" w:eastAsia="Times New Roman" w:hAnsi="Times New Roman" w:cs="Times New Roman"/>
          <w:sz w:val="24"/>
          <w:szCs w:val="24"/>
          <w:lang w:val="en-GB" w:eastAsia="en-GB"/>
        </w:rPr>
        <w:t>, where specific soil nutrient levels significantly influenced the success of pineapple intensification (</w:t>
      </w:r>
      <w:proofErr w:type="spellStart"/>
      <w:r w:rsidRPr="0075478F">
        <w:rPr>
          <w:rFonts w:ascii="Times New Roman" w:eastAsia="Times New Roman" w:hAnsi="Times New Roman" w:cs="Times New Roman"/>
          <w:sz w:val="24"/>
          <w:szCs w:val="24"/>
          <w:lang w:val="en-GB" w:eastAsia="en-GB"/>
        </w:rPr>
        <w:t>Jimma</w:t>
      </w:r>
      <w:proofErr w:type="spellEnd"/>
      <w:r w:rsidRPr="0075478F">
        <w:rPr>
          <w:rFonts w:ascii="Times New Roman" w:eastAsia="Times New Roman" w:hAnsi="Times New Roman" w:cs="Times New Roman"/>
          <w:sz w:val="24"/>
          <w:szCs w:val="24"/>
          <w:lang w:val="en-GB" w:eastAsia="en-GB"/>
        </w:rPr>
        <w:t xml:space="preserve"> Research </w:t>
      </w:r>
      <w:proofErr w:type="spellStart"/>
      <w:r w:rsidRPr="0075478F">
        <w:rPr>
          <w:rFonts w:ascii="Times New Roman" w:eastAsia="Times New Roman" w:hAnsi="Times New Roman" w:cs="Times New Roman"/>
          <w:sz w:val="24"/>
          <w:szCs w:val="24"/>
          <w:lang w:val="en-GB" w:eastAsia="en-GB"/>
        </w:rPr>
        <w:t>Center</w:t>
      </w:r>
      <w:proofErr w:type="spellEnd"/>
      <w:r w:rsidRPr="0075478F">
        <w:rPr>
          <w:rFonts w:ascii="Times New Roman" w:eastAsia="Times New Roman" w:hAnsi="Times New Roman" w:cs="Times New Roman"/>
          <w:sz w:val="24"/>
          <w:szCs w:val="24"/>
          <w:lang w:val="en-GB" w:eastAsia="en-GB"/>
        </w:rPr>
        <w:t xml:space="preserve">, 2021). These findings are consistent with those of </w:t>
      </w:r>
      <w:r w:rsidRPr="0075478F">
        <w:rPr>
          <w:rFonts w:ascii="Times New Roman" w:eastAsia="Times New Roman" w:hAnsi="Times New Roman" w:cs="Times New Roman"/>
          <w:bCs/>
          <w:sz w:val="24"/>
          <w:szCs w:val="24"/>
          <w:lang w:val="en-GB" w:eastAsia="en-GB"/>
        </w:rPr>
        <w:t>Alwis and Herath (2012)</w:t>
      </w:r>
      <w:r w:rsidRPr="0075478F">
        <w:rPr>
          <w:rFonts w:ascii="Times New Roman" w:eastAsia="Times New Roman" w:hAnsi="Times New Roman" w:cs="Times New Roman"/>
          <w:sz w:val="24"/>
          <w:szCs w:val="24"/>
          <w:lang w:val="en-GB" w:eastAsia="en-GB"/>
        </w:rPr>
        <w:t xml:space="preserve">, who reported that black polyethylene mulch significantly increases economic yield in pineapple production. In addition to yield gains, mulching was found to improve soil moisture retention at a depth of </w:t>
      </w:r>
      <w:r w:rsidRPr="0075478F">
        <w:rPr>
          <w:rFonts w:ascii="Times New Roman" w:eastAsia="Times New Roman" w:hAnsi="Times New Roman" w:cs="Times New Roman"/>
          <w:bCs/>
          <w:sz w:val="24"/>
          <w:szCs w:val="24"/>
          <w:lang w:val="en-GB" w:eastAsia="en-GB"/>
        </w:rPr>
        <w:t>30 cm</w:t>
      </w:r>
      <w:r w:rsidRPr="0075478F">
        <w:rPr>
          <w:rFonts w:ascii="Times New Roman" w:eastAsia="Times New Roman" w:hAnsi="Times New Roman" w:cs="Times New Roman"/>
          <w:sz w:val="24"/>
          <w:szCs w:val="24"/>
          <w:lang w:val="en-GB" w:eastAsia="en-GB"/>
        </w:rPr>
        <w:t xml:space="preserve"> during the first fruit harvest. This localized moisture conservation is particularly critical in the </w:t>
      </w:r>
      <w:r w:rsidRPr="0075478F">
        <w:rPr>
          <w:rFonts w:ascii="Times New Roman" w:eastAsia="Times New Roman" w:hAnsi="Times New Roman" w:cs="Times New Roman"/>
          <w:bCs/>
          <w:sz w:val="24"/>
          <w:szCs w:val="24"/>
          <w:lang w:val="en-GB" w:eastAsia="en-GB"/>
        </w:rPr>
        <w:t>Sidama region</w:t>
      </w:r>
      <w:r w:rsidRPr="0075478F">
        <w:rPr>
          <w:rFonts w:ascii="Times New Roman" w:eastAsia="Times New Roman" w:hAnsi="Times New Roman" w:cs="Times New Roman"/>
          <w:sz w:val="24"/>
          <w:szCs w:val="24"/>
          <w:lang w:val="en-GB" w:eastAsia="en-GB"/>
        </w:rPr>
        <w:t xml:space="preserve">, where erratic rainfall can otherwise lead to moisture stress, a factor identified as a primary constraint in other fruit-growing zones of Ethiopia (Amsalu &amp; Tadesse, 2015; </w:t>
      </w:r>
      <w:proofErr w:type="spellStart"/>
      <w:r w:rsidRPr="0075478F">
        <w:rPr>
          <w:rFonts w:ascii="Times New Roman" w:eastAsia="Times New Roman" w:hAnsi="Times New Roman" w:cs="Times New Roman"/>
          <w:sz w:val="24"/>
          <w:szCs w:val="24"/>
          <w:lang w:val="en-GB" w:eastAsia="en-GB"/>
        </w:rPr>
        <w:t>Zerssa</w:t>
      </w:r>
      <w:proofErr w:type="spellEnd"/>
      <w:r w:rsidRPr="0075478F">
        <w:rPr>
          <w:rFonts w:ascii="Times New Roman" w:eastAsia="Times New Roman" w:hAnsi="Times New Roman" w:cs="Times New Roman"/>
          <w:sz w:val="24"/>
          <w:szCs w:val="24"/>
          <w:lang w:val="en-GB" w:eastAsia="en-GB"/>
        </w:rPr>
        <w:t xml:space="preserve"> et al., 2021).</w:t>
      </w:r>
    </w:p>
    <w:p w14:paraId="3BA86125" w14:textId="59D60899" w:rsidR="008B18B5" w:rsidRPr="002206E5" w:rsidRDefault="00502D4F" w:rsidP="002206E5">
      <w:pPr>
        <w:spacing w:after="240" w:line="360" w:lineRule="auto"/>
        <w:ind w:left="907" w:hanging="9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2</w:t>
      </w:r>
      <w:r w:rsidR="008B18B5" w:rsidRPr="002206E5">
        <w:rPr>
          <w:rFonts w:ascii="Times New Roman" w:eastAsia="Times New Roman" w:hAnsi="Times New Roman" w:cs="Times New Roman"/>
          <w:color w:val="000000"/>
          <w:sz w:val="24"/>
          <w:szCs w:val="24"/>
        </w:rPr>
        <w:t xml:space="preserve"> Pineapple fruit yield (tons ha⁻¹) under mulched and non-mulched conditions in   </w:t>
      </w:r>
      <w:r w:rsidR="008B18B5" w:rsidRPr="002206E5">
        <w:rPr>
          <w:rFonts w:ascii="Times New Roman" w:eastAsia="Times New Roman" w:hAnsi="Times New Roman" w:cs="Times New Roman"/>
          <w:color w:val="000000"/>
          <w:sz w:val="24"/>
          <w:szCs w:val="24"/>
        </w:rPr>
        <w:tab/>
      </w:r>
      <w:proofErr w:type="spellStart"/>
      <w:r w:rsidR="008B18B5" w:rsidRPr="002206E5">
        <w:rPr>
          <w:rFonts w:ascii="Times New Roman" w:eastAsia="Times New Roman" w:hAnsi="Times New Roman" w:cs="Times New Roman"/>
          <w:color w:val="000000"/>
          <w:sz w:val="24"/>
          <w:szCs w:val="24"/>
        </w:rPr>
        <w:t>Gambela</w:t>
      </w:r>
      <w:proofErr w:type="spellEnd"/>
      <w:r w:rsidR="008B18B5" w:rsidRPr="002206E5">
        <w:rPr>
          <w:rFonts w:ascii="Times New Roman" w:eastAsia="Times New Roman" w:hAnsi="Times New Roman" w:cs="Times New Roman"/>
          <w:color w:val="000000"/>
          <w:sz w:val="24"/>
          <w:szCs w:val="24"/>
        </w:rPr>
        <w:t xml:space="preserve"> and </w:t>
      </w:r>
      <w:proofErr w:type="spellStart"/>
      <w:r w:rsidR="008B18B5" w:rsidRPr="002206E5">
        <w:rPr>
          <w:rFonts w:ascii="Times New Roman" w:eastAsia="Times New Roman" w:hAnsi="Times New Roman" w:cs="Times New Roman"/>
          <w:color w:val="000000"/>
          <w:sz w:val="24"/>
          <w:szCs w:val="24"/>
        </w:rPr>
        <w:t>Tesso</w:t>
      </w:r>
      <w:proofErr w:type="spellEnd"/>
      <w:r w:rsidR="008B18B5" w:rsidRPr="002206E5">
        <w:rPr>
          <w:rFonts w:ascii="Times New Roman" w:eastAsia="Times New Roman" w:hAnsi="Times New Roman" w:cs="Times New Roman"/>
          <w:color w:val="000000"/>
          <w:sz w:val="24"/>
          <w:szCs w:val="24"/>
        </w:rPr>
        <w:t xml:space="preserve"> kebeles</w:t>
      </w:r>
    </w:p>
    <w:tbl>
      <w:tblPr>
        <w:tblStyle w:val="MediumShading2-Accent3"/>
        <w:tblW w:w="5038" w:type="pct"/>
        <w:tblLook w:val="04A0" w:firstRow="1" w:lastRow="0" w:firstColumn="1" w:lastColumn="0" w:noHBand="0" w:noVBand="1"/>
      </w:tblPr>
      <w:tblGrid>
        <w:gridCol w:w="1732"/>
        <w:gridCol w:w="1295"/>
        <w:gridCol w:w="1256"/>
        <w:gridCol w:w="870"/>
        <w:gridCol w:w="1293"/>
        <w:gridCol w:w="1256"/>
        <w:gridCol w:w="778"/>
        <w:gridCol w:w="1169"/>
      </w:tblGrid>
      <w:tr w:rsidR="008B18B5" w:rsidRPr="002206E5" w14:paraId="599C492C" w14:textId="77777777" w:rsidTr="00F90127">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897" w:type="pct"/>
            <w:vMerge w:val="restart"/>
          </w:tcPr>
          <w:p w14:paraId="45A39B76"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Condition</w:t>
            </w:r>
          </w:p>
        </w:tc>
        <w:tc>
          <w:tcPr>
            <w:tcW w:w="1773" w:type="pct"/>
            <w:gridSpan w:val="3"/>
          </w:tcPr>
          <w:p w14:paraId="308FE199" w14:textId="77777777" w:rsidR="008B18B5" w:rsidRPr="002206E5" w:rsidRDefault="008B18B5" w:rsidP="002206E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2206E5">
              <w:rPr>
                <w:rFonts w:ascii="Times New Roman" w:eastAsia="Times New Roman" w:hAnsi="Times New Roman" w:cs="Times New Roman"/>
                <w:color w:val="000000"/>
                <w:sz w:val="24"/>
                <w:szCs w:val="24"/>
              </w:rPr>
              <w:t>Gambela</w:t>
            </w:r>
            <w:proofErr w:type="spellEnd"/>
            <w:r w:rsidRPr="002206E5">
              <w:rPr>
                <w:rFonts w:ascii="Times New Roman" w:eastAsia="Times New Roman" w:hAnsi="Times New Roman" w:cs="Times New Roman"/>
                <w:color w:val="000000"/>
                <w:sz w:val="24"/>
                <w:szCs w:val="24"/>
              </w:rPr>
              <w:t xml:space="preserve"> (ton ha⁻¹)</w:t>
            </w:r>
          </w:p>
        </w:tc>
        <w:tc>
          <w:tcPr>
            <w:tcW w:w="1724" w:type="pct"/>
            <w:gridSpan w:val="3"/>
          </w:tcPr>
          <w:p w14:paraId="1ACE7B5B" w14:textId="77777777" w:rsidR="008B18B5" w:rsidRPr="002206E5" w:rsidRDefault="008B18B5" w:rsidP="002206E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Tesso (ton ha⁻¹)</w:t>
            </w:r>
          </w:p>
        </w:tc>
        <w:tc>
          <w:tcPr>
            <w:tcW w:w="606" w:type="pct"/>
            <w:vMerge w:val="restart"/>
          </w:tcPr>
          <w:p w14:paraId="7E5F248D" w14:textId="77777777" w:rsidR="008B18B5" w:rsidRPr="002206E5" w:rsidRDefault="008B18B5" w:rsidP="002206E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Over all mean</w:t>
            </w:r>
          </w:p>
          <w:p w14:paraId="230A34E7" w14:textId="77777777" w:rsidR="008B18B5" w:rsidRPr="002206E5" w:rsidRDefault="008B18B5" w:rsidP="002206E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(ton ha⁻¹)</w:t>
            </w:r>
          </w:p>
        </w:tc>
      </w:tr>
      <w:tr w:rsidR="008B18B5" w:rsidRPr="002206E5" w14:paraId="7DDA3C7F" w14:textId="77777777" w:rsidTr="00F9012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97" w:type="pct"/>
            <w:vMerge/>
          </w:tcPr>
          <w:p w14:paraId="5BB01338" w14:textId="77777777" w:rsidR="008B18B5" w:rsidRPr="002206E5" w:rsidRDefault="008B18B5" w:rsidP="002206E5">
            <w:pPr>
              <w:widowControl w:val="0"/>
              <w:spacing w:line="360" w:lineRule="auto"/>
              <w:jc w:val="both"/>
              <w:rPr>
                <w:rFonts w:ascii="Times New Roman" w:eastAsia="Times New Roman" w:hAnsi="Times New Roman" w:cs="Times New Roman"/>
                <w:color w:val="000000"/>
                <w:sz w:val="24"/>
                <w:szCs w:val="24"/>
              </w:rPr>
            </w:pPr>
          </w:p>
        </w:tc>
        <w:tc>
          <w:tcPr>
            <w:tcW w:w="671" w:type="pct"/>
          </w:tcPr>
          <w:p w14:paraId="0CDE3D50"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Minimum</w:t>
            </w:r>
          </w:p>
        </w:tc>
        <w:tc>
          <w:tcPr>
            <w:tcW w:w="651" w:type="pct"/>
          </w:tcPr>
          <w:p w14:paraId="44E2E41A"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Maximum</w:t>
            </w:r>
          </w:p>
        </w:tc>
        <w:tc>
          <w:tcPr>
            <w:tcW w:w="451" w:type="pct"/>
          </w:tcPr>
          <w:p w14:paraId="4F55A292"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Mean</w:t>
            </w:r>
          </w:p>
        </w:tc>
        <w:tc>
          <w:tcPr>
            <w:tcW w:w="670" w:type="pct"/>
          </w:tcPr>
          <w:p w14:paraId="234A8ED0"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Minimum</w:t>
            </w:r>
          </w:p>
        </w:tc>
        <w:tc>
          <w:tcPr>
            <w:tcW w:w="651" w:type="pct"/>
          </w:tcPr>
          <w:p w14:paraId="7E5577E2"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Maximum</w:t>
            </w:r>
          </w:p>
        </w:tc>
        <w:tc>
          <w:tcPr>
            <w:tcW w:w="403" w:type="pct"/>
          </w:tcPr>
          <w:p w14:paraId="2FE50D64"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Mean</w:t>
            </w:r>
          </w:p>
        </w:tc>
        <w:tc>
          <w:tcPr>
            <w:tcW w:w="606" w:type="pct"/>
            <w:vMerge/>
          </w:tcPr>
          <w:p w14:paraId="013F8B93" w14:textId="77777777" w:rsidR="008B18B5" w:rsidRPr="002206E5" w:rsidRDefault="008B18B5" w:rsidP="002206E5">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8B18B5" w:rsidRPr="002206E5" w14:paraId="14B476B5" w14:textId="77777777" w:rsidTr="00F90127">
        <w:trPr>
          <w:trHeight w:val="288"/>
        </w:trPr>
        <w:tc>
          <w:tcPr>
            <w:cnfStyle w:val="001000000000" w:firstRow="0" w:lastRow="0" w:firstColumn="1" w:lastColumn="0" w:oddVBand="0" w:evenVBand="0" w:oddHBand="0" w:evenHBand="0" w:firstRowFirstColumn="0" w:firstRowLastColumn="0" w:lastRowFirstColumn="0" w:lastRowLastColumn="0"/>
            <w:tcW w:w="897" w:type="pct"/>
          </w:tcPr>
          <w:p w14:paraId="384FD9E3"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Mulching</w:t>
            </w:r>
          </w:p>
        </w:tc>
        <w:tc>
          <w:tcPr>
            <w:tcW w:w="671" w:type="pct"/>
          </w:tcPr>
          <w:p w14:paraId="6A66A152"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72.6</w:t>
            </w:r>
          </w:p>
        </w:tc>
        <w:tc>
          <w:tcPr>
            <w:tcW w:w="651" w:type="pct"/>
          </w:tcPr>
          <w:p w14:paraId="7E47A80B"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121.5</w:t>
            </w:r>
          </w:p>
        </w:tc>
        <w:tc>
          <w:tcPr>
            <w:tcW w:w="451" w:type="pct"/>
          </w:tcPr>
          <w:p w14:paraId="1E06A55C"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91.79</w:t>
            </w:r>
          </w:p>
        </w:tc>
        <w:tc>
          <w:tcPr>
            <w:tcW w:w="670" w:type="pct"/>
          </w:tcPr>
          <w:p w14:paraId="00027B8A"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67.4</w:t>
            </w:r>
          </w:p>
        </w:tc>
        <w:tc>
          <w:tcPr>
            <w:tcW w:w="651" w:type="pct"/>
          </w:tcPr>
          <w:p w14:paraId="7A4A0AB0"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115.3</w:t>
            </w:r>
          </w:p>
        </w:tc>
        <w:tc>
          <w:tcPr>
            <w:tcW w:w="403" w:type="pct"/>
          </w:tcPr>
          <w:p w14:paraId="0588EC91"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86.3</w:t>
            </w:r>
          </w:p>
        </w:tc>
        <w:tc>
          <w:tcPr>
            <w:tcW w:w="606" w:type="pct"/>
          </w:tcPr>
          <w:p w14:paraId="70E823DB"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89.05</w:t>
            </w:r>
          </w:p>
        </w:tc>
      </w:tr>
      <w:tr w:rsidR="008B18B5" w:rsidRPr="002206E5" w14:paraId="247504B2" w14:textId="77777777" w:rsidTr="00F901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97" w:type="pct"/>
          </w:tcPr>
          <w:p w14:paraId="6A3AB1D4"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Without Much</w:t>
            </w:r>
          </w:p>
        </w:tc>
        <w:tc>
          <w:tcPr>
            <w:tcW w:w="671" w:type="pct"/>
          </w:tcPr>
          <w:p w14:paraId="68C4F512"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36.1</w:t>
            </w:r>
          </w:p>
        </w:tc>
        <w:tc>
          <w:tcPr>
            <w:tcW w:w="651" w:type="pct"/>
          </w:tcPr>
          <w:p w14:paraId="66FA9252"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61</w:t>
            </w:r>
          </w:p>
        </w:tc>
        <w:tc>
          <w:tcPr>
            <w:tcW w:w="451" w:type="pct"/>
          </w:tcPr>
          <w:p w14:paraId="35CC4B60"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54.79</w:t>
            </w:r>
          </w:p>
        </w:tc>
        <w:tc>
          <w:tcPr>
            <w:tcW w:w="670" w:type="pct"/>
          </w:tcPr>
          <w:p w14:paraId="797477D1"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32.05</w:t>
            </w:r>
          </w:p>
        </w:tc>
        <w:tc>
          <w:tcPr>
            <w:tcW w:w="651" w:type="pct"/>
          </w:tcPr>
          <w:p w14:paraId="042573E2"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53.7</w:t>
            </w:r>
          </w:p>
        </w:tc>
        <w:tc>
          <w:tcPr>
            <w:tcW w:w="403" w:type="pct"/>
          </w:tcPr>
          <w:p w14:paraId="2BDB4865"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51</w:t>
            </w:r>
          </w:p>
        </w:tc>
        <w:tc>
          <w:tcPr>
            <w:tcW w:w="606" w:type="pct"/>
          </w:tcPr>
          <w:p w14:paraId="16751360" w14:textId="77777777" w:rsidR="008B18B5" w:rsidRPr="002206E5" w:rsidRDefault="008B18B5" w:rsidP="002206E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52.89</w:t>
            </w:r>
          </w:p>
        </w:tc>
      </w:tr>
      <w:tr w:rsidR="008B18B5" w:rsidRPr="002206E5" w14:paraId="1C2DC037" w14:textId="77777777" w:rsidTr="00F90127">
        <w:trPr>
          <w:trHeight w:val="360"/>
        </w:trPr>
        <w:tc>
          <w:tcPr>
            <w:cnfStyle w:val="001000000000" w:firstRow="0" w:lastRow="0" w:firstColumn="1" w:lastColumn="0" w:oddVBand="0" w:evenVBand="0" w:oddHBand="0" w:evenHBand="0" w:firstRowFirstColumn="0" w:firstRowLastColumn="0" w:lastRowFirstColumn="0" w:lastRowLastColumn="0"/>
            <w:tcW w:w="897" w:type="pct"/>
          </w:tcPr>
          <w:p w14:paraId="3841EAB2" w14:textId="77777777" w:rsidR="008B18B5" w:rsidRPr="002206E5" w:rsidRDefault="008B18B5" w:rsidP="002206E5">
            <w:pPr>
              <w:spacing w:line="360" w:lineRule="auto"/>
              <w:jc w:val="both"/>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lastRenderedPageBreak/>
              <w:t>Mean</w:t>
            </w:r>
          </w:p>
        </w:tc>
        <w:tc>
          <w:tcPr>
            <w:tcW w:w="671" w:type="pct"/>
          </w:tcPr>
          <w:p w14:paraId="53D573D2"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651" w:type="pct"/>
          </w:tcPr>
          <w:p w14:paraId="3EC9323B"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451" w:type="pct"/>
          </w:tcPr>
          <w:p w14:paraId="4798CD56"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73.29</w:t>
            </w:r>
          </w:p>
        </w:tc>
        <w:tc>
          <w:tcPr>
            <w:tcW w:w="670" w:type="pct"/>
          </w:tcPr>
          <w:p w14:paraId="4C0A3628"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651" w:type="pct"/>
          </w:tcPr>
          <w:p w14:paraId="3ECC752C"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403" w:type="pct"/>
          </w:tcPr>
          <w:p w14:paraId="44B7EE41"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68.65</w:t>
            </w:r>
          </w:p>
        </w:tc>
        <w:tc>
          <w:tcPr>
            <w:tcW w:w="606" w:type="pct"/>
          </w:tcPr>
          <w:p w14:paraId="5F3C0236" w14:textId="77777777" w:rsidR="008B18B5" w:rsidRPr="002206E5" w:rsidRDefault="008B18B5" w:rsidP="002206E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206E5">
              <w:rPr>
                <w:rFonts w:ascii="Times New Roman" w:eastAsia="Times New Roman" w:hAnsi="Times New Roman" w:cs="Times New Roman"/>
                <w:color w:val="000000"/>
                <w:sz w:val="24"/>
                <w:szCs w:val="24"/>
              </w:rPr>
              <w:t>70.97</w:t>
            </w:r>
          </w:p>
        </w:tc>
      </w:tr>
    </w:tbl>
    <w:p w14:paraId="2233B55B" w14:textId="77777777" w:rsidR="008B18B5" w:rsidRPr="002206E5" w:rsidRDefault="008B18B5" w:rsidP="002206E5">
      <w:pPr>
        <w:shd w:val="clear" w:color="auto" w:fill="FFFFFF"/>
        <w:spacing w:after="0" w:line="360" w:lineRule="auto"/>
        <w:jc w:val="both"/>
        <w:rPr>
          <w:rFonts w:ascii="Times New Roman" w:eastAsia="Times New Roman" w:hAnsi="Times New Roman" w:cs="Times New Roman"/>
          <w:color w:val="000000"/>
          <w:sz w:val="24"/>
          <w:szCs w:val="24"/>
          <w:highlight w:val="white"/>
        </w:rPr>
      </w:pPr>
    </w:p>
    <w:p w14:paraId="34C12074" w14:textId="77777777" w:rsidR="008B18B5" w:rsidRPr="002206E5" w:rsidRDefault="008B18B5" w:rsidP="002206E5">
      <w:pPr>
        <w:shd w:val="clear" w:color="auto" w:fill="FFFFFF"/>
        <w:spacing w:line="360" w:lineRule="auto"/>
        <w:jc w:val="both"/>
        <w:rPr>
          <w:rFonts w:ascii="Times New Roman" w:eastAsia="Times New Roman" w:hAnsi="Times New Roman" w:cs="Times New Roman"/>
          <w:color w:val="000000"/>
          <w:sz w:val="24"/>
          <w:szCs w:val="24"/>
          <w:highlight w:val="white"/>
        </w:rPr>
      </w:pPr>
      <w:r w:rsidRPr="002206E5">
        <w:rPr>
          <w:rFonts w:ascii="Times New Roman" w:eastAsia="Times New Roman" w:hAnsi="Times New Roman" w:cs="Times New Roman"/>
          <w:b/>
          <w:color w:val="000000"/>
          <w:sz w:val="24"/>
          <w:szCs w:val="24"/>
          <w:highlight w:val="white"/>
        </w:rPr>
        <w:t>3.4. Conclusion and Recommendation</w:t>
      </w:r>
    </w:p>
    <w:p w14:paraId="7006C50D" w14:textId="77777777" w:rsidR="00F90127" w:rsidRPr="002206E5" w:rsidRDefault="00F90127" w:rsidP="002206E5">
      <w:pPr>
        <w:pStyle w:val="NormalWeb"/>
        <w:spacing w:line="360" w:lineRule="auto"/>
        <w:jc w:val="both"/>
      </w:pPr>
      <w:r w:rsidRPr="002206E5">
        <w:t xml:space="preserve">In conclusion, the application of black polyethylene mulch proved to be a highly effective intervention for pineapple production in the </w:t>
      </w:r>
      <w:proofErr w:type="spellStart"/>
      <w:r w:rsidRPr="002206E5">
        <w:t>Aletachuko</w:t>
      </w:r>
      <w:proofErr w:type="spellEnd"/>
      <w:r w:rsidRPr="002206E5">
        <w:t xml:space="preserve"> district. The technology significantly enhanced vegetative growth, fruit quality (particularly taste), and sucker production, while also doubling yields compared to traditional practices. Furthermore, it demonstrated a clear technical advantage in conserving soil moisture and drastically reducing weed pressure under farmer conditions.</w:t>
      </w:r>
    </w:p>
    <w:p w14:paraId="4EC2656E" w14:textId="77777777" w:rsidR="00F90127" w:rsidRPr="002206E5" w:rsidRDefault="00F90127" w:rsidP="002206E5">
      <w:pPr>
        <w:pStyle w:val="NormalWeb"/>
        <w:spacing w:line="360" w:lineRule="auto"/>
        <w:jc w:val="both"/>
      </w:pPr>
      <w:r w:rsidRPr="002206E5">
        <w:t>Based on these results, the following recommendations are made:</w:t>
      </w:r>
    </w:p>
    <w:p w14:paraId="12BA0169" w14:textId="77777777" w:rsidR="00F90127" w:rsidRPr="002206E5" w:rsidRDefault="00F90127" w:rsidP="002206E5">
      <w:pPr>
        <w:pStyle w:val="NormalWeb"/>
        <w:numPr>
          <w:ilvl w:val="0"/>
          <w:numId w:val="6"/>
        </w:numPr>
        <w:spacing w:line="360" w:lineRule="auto"/>
        <w:jc w:val="both"/>
      </w:pPr>
      <w:r w:rsidRPr="002206E5">
        <w:rPr>
          <w:b/>
          <w:bCs/>
        </w:rPr>
        <w:t>Technical Scale-up:</w:t>
      </w:r>
      <w:r w:rsidRPr="002206E5">
        <w:t xml:space="preserve"> The use of black plastic mulch is technically recommended for pineapple growers in the Sidama region to bridge the current yield gap.</w:t>
      </w:r>
    </w:p>
    <w:p w14:paraId="04D4C176" w14:textId="77777777" w:rsidR="00F90127" w:rsidRPr="002206E5" w:rsidRDefault="00F90127" w:rsidP="002206E5">
      <w:pPr>
        <w:pStyle w:val="NormalWeb"/>
        <w:numPr>
          <w:ilvl w:val="0"/>
          <w:numId w:val="6"/>
        </w:numPr>
        <w:spacing w:line="360" w:lineRule="auto"/>
        <w:jc w:val="both"/>
      </w:pPr>
      <w:r w:rsidRPr="002206E5">
        <w:rPr>
          <w:b/>
          <w:bCs/>
        </w:rPr>
        <w:t>Market Integration:</w:t>
      </w:r>
      <w:r w:rsidRPr="002206E5">
        <w:t xml:space="preserve"> Efforts should be made to improve the availability and affordability of polyethylene sheets in local markets, potentially through subsidies or collective purchasing by cooperatives.</w:t>
      </w:r>
    </w:p>
    <w:p w14:paraId="710E74B3" w14:textId="77777777" w:rsidR="00F90127" w:rsidRPr="002206E5" w:rsidRDefault="00F90127" w:rsidP="002206E5">
      <w:pPr>
        <w:pStyle w:val="NormalWeb"/>
        <w:numPr>
          <w:ilvl w:val="0"/>
          <w:numId w:val="6"/>
        </w:numPr>
        <w:spacing w:line="360" w:lineRule="auto"/>
        <w:jc w:val="both"/>
      </w:pPr>
      <w:r w:rsidRPr="002206E5">
        <w:rPr>
          <w:b/>
          <w:bCs/>
        </w:rPr>
        <w:t>Sustainable Innovation:</w:t>
      </w:r>
      <w:r w:rsidRPr="002206E5">
        <w:t xml:space="preserve"> Further research is required to evaluate the long-term environmental impacts of plastic mulch on soil biodiversity and microflora. Future studies should also prioritize the development of sustainable plastic management strategies or the exploration of biodegradable alternatives to minimize the risk of soil contamination.</w:t>
      </w:r>
    </w:p>
    <w:p w14:paraId="529FF701" w14:textId="77777777" w:rsidR="00F90127" w:rsidRPr="002206E5" w:rsidRDefault="00F90127" w:rsidP="002206E5">
      <w:pPr>
        <w:spacing w:after="160" w:line="360" w:lineRule="auto"/>
        <w:jc w:val="both"/>
        <w:rPr>
          <w:rFonts w:ascii="Times New Roman" w:eastAsia="Times New Roman" w:hAnsi="Times New Roman" w:cs="Times New Roman"/>
          <w:color w:val="000000"/>
          <w:sz w:val="24"/>
          <w:szCs w:val="24"/>
        </w:rPr>
      </w:pPr>
    </w:p>
    <w:p w14:paraId="5DD3C47E" w14:textId="77777777" w:rsidR="008B18B5" w:rsidRPr="002206E5" w:rsidRDefault="008B18B5" w:rsidP="002206E5">
      <w:pPr>
        <w:spacing w:after="0" w:line="360" w:lineRule="auto"/>
        <w:jc w:val="both"/>
        <w:rPr>
          <w:rFonts w:ascii="Times New Roman" w:eastAsia="Times New Roman" w:hAnsi="Times New Roman" w:cs="Times New Roman"/>
          <w:b/>
          <w:color w:val="000000"/>
          <w:sz w:val="24"/>
          <w:szCs w:val="24"/>
        </w:rPr>
      </w:pPr>
    </w:p>
    <w:p w14:paraId="2025FB87" w14:textId="77777777" w:rsidR="008B18B5" w:rsidRPr="002206E5" w:rsidRDefault="008B18B5" w:rsidP="002206E5">
      <w:pPr>
        <w:spacing w:after="0" w:line="360" w:lineRule="auto"/>
        <w:jc w:val="both"/>
        <w:rPr>
          <w:rFonts w:ascii="Times New Roman" w:eastAsia="Times New Roman" w:hAnsi="Times New Roman" w:cs="Times New Roman"/>
          <w:b/>
          <w:color w:val="000000"/>
          <w:sz w:val="24"/>
          <w:szCs w:val="24"/>
        </w:rPr>
      </w:pPr>
    </w:p>
    <w:p w14:paraId="6C2F3724" w14:textId="77777777" w:rsidR="000D617B" w:rsidRPr="002206E5" w:rsidRDefault="000D617B" w:rsidP="002206E5">
      <w:pPr>
        <w:pStyle w:val="Heading3"/>
        <w:spacing w:line="360" w:lineRule="auto"/>
        <w:jc w:val="both"/>
        <w:rPr>
          <w:sz w:val="24"/>
          <w:szCs w:val="24"/>
        </w:rPr>
      </w:pPr>
      <w:r w:rsidRPr="002206E5">
        <w:rPr>
          <w:sz w:val="24"/>
          <w:szCs w:val="24"/>
        </w:rPr>
        <w:t>References</w:t>
      </w:r>
    </w:p>
    <w:p w14:paraId="6A635CC2" w14:textId="77777777" w:rsidR="000D617B" w:rsidRPr="002206E5" w:rsidRDefault="000D617B" w:rsidP="002206E5">
      <w:pPr>
        <w:pStyle w:val="NormalWeb"/>
        <w:numPr>
          <w:ilvl w:val="0"/>
          <w:numId w:val="7"/>
        </w:numPr>
        <w:spacing w:line="360" w:lineRule="auto"/>
        <w:jc w:val="both"/>
      </w:pPr>
      <w:proofErr w:type="spellStart"/>
      <w:r w:rsidRPr="002206E5">
        <w:rPr>
          <w:b/>
          <w:bCs/>
        </w:rPr>
        <w:t>AgriFarming</w:t>
      </w:r>
      <w:proofErr w:type="spellEnd"/>
      <w:r w:rsidRPr="002206E5">
        <w:rPr>
          <w:b/>
          <w:bCs/>
        </w:rPr>
        <w:t>.</w:t>
      </w:r>
      <w:r w:rsidRPr="002206E5">
        <w:t xml:space="preserve"> (2024). </w:t>
      </w:r>
      <w:r w:rsidRPr="002206E5">
        <w:rPr>
          <w:i/>
          <w:iCs/>
        </w:rPr>
        <w:t>Pineapple Farming Project Report, Cost and Profit Analysis</w:t>
      </w:r>
      <w:r w:rsidRPr="002206E5">
        <w:t xml:space="preserve">. Retrieved from </w:t>
      </w:r>
      <w:hyperlink r:id="rId11" w:tgtFrame="_blank" w:history="1">
        <w:r w:rsidRPr="002206E5">
          <w:rPr>
            <w:rStyle w:val="Hyperlink"/>
            <w:rFonts w:eastAsia="Calibri"/>
          </w:rPr>
          <w:t>https://www.agrifarming.in/pineapple-farming</w:t>
        </w:r>
      </w:hyperlink>
    </w:p>
    <w:p w14:paraId="00EA61E9" w14:textId="77777777" w:rsidR="000D617B" w:rsidRPr="002206E5" w:rsidRDefault="000D617B" w:rsidP="002206E5">
      <w:pPr>
        <w:pStyle w:val="NormalWeb"/>
        <w:numPr>
          <w:ilvl w:val="0"/>
          <w:numId w:val="7"/>
        </w:numPr>
        <w:spacing w:line="360" w:lineRule="auto"/>
        <w:jc w:val="both"/>
      </w:pPr>
      <w:r w:rsidRPr="002206E5">
        <w:rPr>
          <w:b/>
          <w:bCs/>
        </w:rPr>
        <w:lastRenderedPageBreak/>
        <w:t>Alwis, A. J., &amp; Herath, H.</w:t>
      </w:r>
      <w:r w:rsidRPr="002206E5">
        <w:t xml:space="preserve"> (2012). Impact of mulching on soil moisture, plant growth and yield of Mauritius pineapple (</w:t>
      </w:r>
      <w:r w:rsidRPr="002206E5">
        <w:rPr>
          <w:i/>
          <w:iCs/>
        </w:rPr>
        <w:t>Ananas comosus</w:t>
      </w:r>
      <w:r w:rsidRPr="002206E5">
        <w:t xml:space="preserve"> L. </w:t>
      </w:r>
      <w:proofErr w:type="spellStart"/>
      <w:r w:rsidRPr="002206E5">
        <w:t>Merr</w:t>
      </w:r>
      <w:proofErr w:type="spellEnd"/>
      <w:r w:rsidRPr="002206E5">
        <w:t xml:space="preserve">). </w:t>
      </w:r>
      <w:r w:rsidRPr="002206E5">
        <w:rPr>
          <w:i/>
          <w:iCs/>
        </w:rPr>
        <w:t>Journal of Food and Agriculture</w:t>
      </w:r>
      <w:r w:rsidRPr="002206E5">
        <w:t xml:space="preserve">, 2(1), 15-21. </w:t>
      </w:r>
      <w:hyperlink r:id="rId12" w:tgtFrame="_blank" w:history="1">
        <w:r w:rsidRPr="002206E5">
          <w:rPr>
            <w:rStyle w:val="Hyperlink"/>
            <w:rFonts w:eastAsia="Calibri"/>
          </w:rPr>
          <w:t>https://doi.org/10.4038/jfa.v2i1.3938</w:t>
        </w:r>
      </w:hyperlink>
    </w:p>
    <w:p w14:paraId="3ABADC8B" w14:textId="77777777" w:rsidR="000D617B" w:rsidRPr="002206E5" w:rsidRDefault="000D617B" w:rsidP="002206E5">
      <w:pPr>
        <w:pStyle w:val="NormalWeb"/>
        <w:numPr>
          <w:ilvl w:val="0"/>
          <w:numId w:val="7"/>
        </w:numPr>
        <w:spacing w:line="360" w:lineRule="auto"/>
        <w:jc w:val="both"/>
      </w:pPr>
      <w:r w:rsidRPr="002206E5">
        <w:rPr>
          <w:b/>
          <w:bCs/>
        </w:rPr>
        <w:t>Amsalu, G., &amp; Tadesse, F.</w:t>
      </w:r>
      <w:r w:rsidRPr="002206E5">
        <w:t xml:space="preserve"> (2015). Opportunities and challenges of pineapple production in Ethiopia. </w:t>
      </w:r>
      <w:r w:rsidRPr="002206E5">
        <w:rPr>
          <w:i/>
          <w:iCs/>
        </w:rPr>
        <w:t>Journal of Horticulture and Forestry</w:t>
      </w:r>
      <w:r w:rsidRPr="002206E5">
        <w:t>, 7(7), 173-180.</w:t>
      </w:r>
    </w:p>
    <w:p w14:paraId="2DABA37B" w14:textId="77777777" w:rsidR="000D617B" w:rsidRPr="002206E5" w:rsidRDefault="000D617B" w:rsidP="002206E5">
      <w:pPr>
        <w:pStyle w:val="NormalWeb"/>
        <w:numPr>
          <w:ilvl w:val="0"/>
          <w:numId w:val="7"/>
        </w:numPr>
        <w:spacing w:line="360" w:lineRule="auto"/>
        <w:jc w:val="both"/>
      </w:pPr>
      <w:r w:rsidRPr="002206E5">
        <w:rPr>
          <w:b/>
          <w:bCs/>
        </w:rPr>
        <w:t>Bartholomew, D. P., Paull, R. E., &amp; Rohrbach, K. G.</w:t>
      </w:r>
      <w:r w:rsidRPr="002206E5">
        <w:t xml:space="preserve"> (2003). </w:t>
      </w:r>
      <w:r w:rsidRPr="002206E5">
        <w:rPr>
          <w:i/>
          <w:iCs/>
        </w:rPr>
        <w:t>The Pineapple: Botany, Production, and Uses</w:t>
      </w:r>
      <w:r w:rsidRPr="002206E5">
        <w:t xml:space="preserve"> (pp. 13-32). CABI Publishing.</w:t>
      </w:r>
    </w:p>
    <w:p w14:paraId="2CAB629A" w14:textId="77777777" w:rsidR="000D617B" w:rsidRPr="002206E5" w:rsidRDefault="000D617B" w:rsidP="002206E5">
      <w:pPr>
        <w:pStyle w:val="NormalWeb"/>
        <w:numPr>
          <w:ilvl w:val="0"/>
          <w:numId w:val="7"/>
        </w:numPr>
        <w:spacing w:line="360" w:lineRule="auto"/>
        <w:jc w:val="both"/>
      </w:pPr>
      <w:r w:rsidRPr="002206E5">
        <w:rPr>
          <w:b/>
          <w:bCs/>
        </w:rPr>
        <w:t xml:space="preserve">Coelho, E. F., Lima, L. W. F., </w:t>
      </w:r>
      <w:proofErr w:type="spellStart"/>
      <w:r w:rsidRPr="002206E5">
        <w:rPr>
          <w:b/>
          <w:bCs/>
        </w:rPr>
        <w:t>Stringam</w:t>
      </w:r>
      <w:proofErr w:type="spellEnd"/>
      <w:r w:rsidRPr="002206E5">
        <w:rPr>
          <w:b/>
          <w:bCs/>
        </w:rPr>
        <w:t>, B., de Matos, A. P., Santos, D. L., Reinhardt, D. H., ... &amp; da Cunha, F. F.</w:t>
      </w:r>
      <w:r w:rsidRPr="002206E5">
        <w:t xml:space="preserve"> (2024). Water productivity in pineapple (</w:t>
      </w:r>
      <w:r w:rsidRPr="002206E5">
        <w:rPr>
          <w:i/>
          <w:iCs/>
        </w:rPr>
        <w:t>Ananas comosus</w:t>
      </w:r>
      <w:r w:rsidRPr="002206E5">
        <w:t xml:space="preserve">) cultivation using plastic film to reduce evaporation and percolation. </w:t>
      </w:r>
      <w:r w:rsidRPr="002206E5">
        <w:rPr>
          <w:i/>
          <w:iCs/>
        </w:rPr>
        <w:t>Agricultural Water Management</w:t>
      </w:r>
      <w:r w:rsidRPr="002206E5">
        <w:t>.</w:t>
      </w:r>
    </w:p>
    <w:p w14:paraId="45F27B45" w14:textId="77777777" w:rsidR="000D617B" w:rsidRPr="002206E5" w:rsidRDefault="000D617B" w:rsidP="002206E5">
      <w:pPr>
        <w:pStyle w:val="NormalWeb"/>
        <w:numPr>
          <w:ilvl w:val="0"/>
          <w:numId w:val="7"/>
        </w:numPr>
        <w:spacing w:line="360" w:lineRule="auto"/>
        <w:jc w:val="both"/>
      </w:pPr>
      <w:r w:rsidRPr="002206E5">
        <w:rPr>
          <w:b/>
          <w:bCs/>
        </w:rPr>
        <w:t>Dermas, A.</w:t>
      </w:r>
      <w:r w:rsidRPr="002206E5">
        <w:t xml:space="preserve"> (2017). The role of agricultural extension services in the adoption of new technologies in Ethiopia. </w:t>
      </w:r>
      <w:r w:rsidRPr="002206E5">
        <w:rPr>
          <w:i/>
          <w:iCs/>
        </w:rPr>
        <w:t>Ethiopian Journal of Agricultural Sciences</w:t>
      </w:r>
      <w:r w:rsidRPr="002206E5">
        <w:t>.</w:t>
      </w:r>
    </w:p>
    <w:p w14:paraId="026FF14B" w14:textId="77777777" w:rsidR="000D617B" w:rsidRPr="002206E5" w:rsidRDefault="000D617B" w:rsidP="002206E5">
      <w:pPr>
        <w:pStyle w:val="NormalWeb"/>
        <w:numPr>
          <w:ilvl w:val="0"/>
          <w:numId w:val="7"/>
        </w:numPr>
        <w:spacing w:line="360" w:lineRule="auto"/>
        <w:jc w:val="both"/>
      </w:pPr>
      <w:proofErr w:type="spellStart"/>
      <w:r w:rsidRPr="002206E5">
        <w:rPr>
          <w:b/>
          <w:bCs/>
        </w:rPr>
        <w:t>Endalcachew</w:t>
      </w:r>
      <w:proofErr w:type="spellEnd"/>
      <w:r w:rsidRPr="002206E5">
        <w:rPr>
          <w:b/>
          <w:bCs/>
        </w:rPr>
        <w:t>, B.</w:t>
      </w:r>
      <w:r w:rsidRPr="002206E5">
        <w:t xml:space="preserve"> (2016). The role of empowering women and achieving gender equality to the sustainable development of Ethiopia. </w:t>
      </w:r>
      <w:r w:rsidRPr="002206E5">
        <w:rPr>
          <w:i/>
          <w:iCs/>
        </w:rPr>
        <w:t>Pacific Science Review B: Humanities and Social Sciences</w:t>
      </w:r>
      <w:r w:rsidRPr="002206E5">
        <w:t>, 2, 37-42.</w:t>
      </w:r>
    </w:p>
    <w:p w14:paraId="1B887AF4" w14:textId="77777777" w:rsidR="000D617B" w:rsidRPr="002206E5" w:rsidRDefault="000D617B" w:rsidP="002206E5">
      <w:pPr>
        <w:pStyle w:val="NormalWeb"/>
        <w:numPr>
          <w:ilvl w:val="0"/>
          <w:numId w:val="7"/>
        </w:numPr>
        <w:spacing w:line="360" w:lineRule="auto"/>
        <w:jc w:val="both"/>
      </w:pPr>
      <w:r w:rsidRPr="002206E5">
        <w:rPr>
          <w:b/>
          <w:bCs/>
        </w:rPr>
        <w:t>Gezahegn, A. M., et al.</w:t>
      </w:r>
      <w:r w:rsidRPr="002206E5">
        <w:t xml:space="preserve"> (2021). Gender Dynamics in Ethiopian Agricultural Research: Challenges and Opportunities for Institutional Transformation. </w:t>
      </w:r>
      <w:r w:rsidRPr="002206E5">
        <w:rPr>
          <w:i/>
          <w:iCs/>
        </w:rPr>
        <w:t>Ethiopian Journal of Agricultural Sciences</w:t>
      </w:r>
      <w:r w:rsidRPr="002206E5">
        <w:t>.</w:t>
      </w:r>
    </w:p>
    <w:p w14:paraId="5DE198AA" w14:textId="77777777" w:rsidR="000D617B" w:rsidRPr="002206E5" w:rsidRDefault="000D617B" w:rsidP="002206E5">
      <w:pPr>
        <w:pStyle w:val="NormalWeb"/>
        <w:numPr>
          <w:ilvl w:val="0"/>
          <w:numId w:val="7"/>
        </w:numPr>
        <w:spacing w:line="360" w:lineRule="auto"/>
        <w:jc w:val="both"/>
      </w:pPr>
      <w:r w:rsidRPr="002206E5">
        <w:rPr>
          <w:b/>
          <w:bCs/>
        </w:rPr>
        <w:t>Jacks, C. V., Brind, W. D., &amp; Smith, R.</w:t>
      </w:r>
      <w:r w:rsidRPr="002206E5">
        <w:t xml:space="preserve"> (1955). Mulching technology. </w:t>
      </w:r>
      <w:r w:rsidRPr="002206E5">
        <w:rPr>
          <w:i/>
          <w:iCs/>
        </w:rPr>
        <w:t>Commonwealth Bulletin of Soil Science</w:t>
      </w:r>
      <w:r w:rsidRPr="002206E5">
        <w:t>, No. 49, 118.</w:t>
      </w:r>
    </w:p>
    <w:p w14:paraId="32AAA12D" w14:textId="77777777" w:rsidR="000D617B" w:rsidRPr="002206E5" w:rsidRDefault="000D617B" w:rsidP="002206E5">
      <w:pPr>
        <w:pStyle w:val="NormalWeb"/>
        <w:numPr>
          <w:ilvl w:val="0"/>
          <w:numId w:val="7"/>
        </w:numPr>
        <w:spacing w:line="360" w:lineRule="auto"/>
        <w:jc w:val="both"/>
      </w:pPr>
      <w:proofErr w:type="spellStart"/>
      <w:r w:rsidRPr="002206E5">
        <w:rPr>
          <w:b/>
          <w:bCs/>
        </w:rPr>
        <w:t>Jimma</w:t>
      </w:r>
      <w:proofErr w:type="spellEnd"/>
      <w:r w:rsidRPr="002206E5">
        <w:rPr>
          <w:b/>
          <w:bCs/>
        </w:rPr>
        <w:t xml:space="preserve"> Research </w:t>
      </w:r>
      <w:proofErr w:type="spellStart"/>
      <w:r w:rsidRPr="002206E5">
        <w:rPr>
          <w:b/>
          <w:bCs/>
        </w:rPr>
        <w:t>Center</w:t>
      </w:r>
      <w:proofErr w:type="spellEnd"/>
      <w:r w:rsidRPr="002206E5">
        <w:rPr>
          <w:b/>
          <w:bCs/>
        </w:rPr>
        <w:t xml:space="preserve"> (JRC).</w:t>
      </w:r>
      <w:r w:rsidRPr="002206E5">
        <w:t xml:space="preserve"> (2021). Analysis of nitrogen and phosphorus on yield and yield-related traits of pineapple in Jimma. </w:t>
      </w:r>
      <w:r w:rsidRPr="002206E5">
        <w:rPr>
          <w:i/>
          <w:iCs/>
        </w:rPr>
        <w:t>Journal of Agricultural Research</w:t>
      </w:r>
      <w:r w:rsidRPr="002206E5">
        <w:t>, 349916605.</w:t>
      </w:r>
    </w:p>
    <w:p w14:paraId="56F61902" w14:textId="77777777" w:rsidR="000D617B" w:rsidRPr="002206E5" w:rsidRDefault="000D617B" w:rsidP="002206E5">
      <w:pPr>
        <w:pStyle w:val="NormalWeb"/>
        <w:numPr>
          <w:ilvl w:val="0"/>
          <w:numId w:val="7"/>
        </w:numPr>
        <w:spacing w:line="360" w:lineRule="auto"/>
        <w:jc w:val="both"/>
      </w:pPr>
      <w:r w:rsidRPr="002206E5">
        <w:rPr>
          <w:b/>
          <w:bCs/>
        </w:rPr>
        <w:t>Joy, P. P.</w:t>
      </w:r>
      <w:r w:rsidRPr="002206E5">
        <w:t xml:space="preserve"> (2010). </w:t>
      </w:r>
      <w:r w:rsidRPr="002206E5">
        <w:rPr>
          <w:i/>
          <w:iCs/>
        </w:rPr>
        <w:t>Benefits and uses of pineapple</w:t>
      </w:r>
      <w:r w:rsidRPr="002206E5">
        <w:t>. Pineapple Research Station, Kerala Agricultural University.</w:t>
      </w:r>
    </w:p>
    <w:p w14:paraId="3A2A3D84" w14:textId="77777777" w:rsidR="000D617B" w:rsidRPr="002206E5" w:rsidRDefault="000D617B" w:rsidP="002206E5">
      <w:pPr>
        <w:pStyle w:val="NormalWeb"/>
        <w:numPr>
          <w:ilvl w:val="0"/>
          <w:numId w:val="7"/>
        </w:numPr>
        <w:spacing w:line="360" w:lineRule="auto"/>
        <w:jc w:val="both"/>
      </w:pPr>
      <w:r w:rsidRPr="002206E5">
        <w:rPr>
          <w:b/>
          <w:bCs/>
        </w:rPr>
        <w:t>Joy, P. P.</w:t>
      </w:r>
      <w:r w:rsidRPr="002206E5">
        <w:t xml:space="preserve"> (2014). </w:t>
      </w:r>
      <w:r w:rsidRPr="002206E5">
        <w:rPr>
          <w:i/>
          <w:iCs/>
        </w:rPr>
        <w:t>Pineapple (Ananas comosus): A Fruit for the Future</w:t>
      </w:r>
      <w:r w:rsidRPr="002206E5">
        <w:t>. Pineapple Research Station, Kerala Agricultural University.</w:t>
      </w:r>
    </w:p>
    <w:p w14:paraId="0186B7FD" w14:textId="77777777" w:rsidR="000D617B" w:rsidRPr="002206E5" w:rsidRDefault="000D617B" w:rsidP="002206E5">
      <w:pPr>
        <w:pStyle w:val="NormalWeb"/>
        <w:numPr>
          <w:ilvl w:val="0"/>
          <w:numId w:val="7"/>
        </w:numPr>
        <w:spacing w:line="360" w:lineRule="auto"/>
        <w:jc w:val="both"/>
      </w:pPr>
      <w:r w:rsidRPr="002206E5">
        <w:rPr>
          <w:b/>
          <w:bCs/>
        </w:rPr>
        <w:t>Liu, C. H., Liu, Y., Yi, G. J., Zhong, Y., &amp; Jiang, B.</w:t>
      </w:r>
      <w:r w:rsidRPr="002206E5">
        <w:t xml:space="preserve"> (2008). Effects of plastic film mulching on several physiological indexes of pineapple plants. </w:t>
      </w:r>
      <w:r w:rsidRPr="002206E5">
        <w:rPr>
          <w:i/>
          <w:iCs/>
        </w:rPr>
        <w:t>Chinese Journal of Tropical Crops</w:t>
      </w:r>
      <w:r w:rsidRPr="002206E5">
        <w:t>, 29(5), 546-550.</w:t>
      </w:r>
    </w:p>
    <w:p w14:paraId="284D1FE1" w14:textId="77777777" w:rsidR="000D617B" w:rsidRPr="002206E5" w:rsidRDefault="000D617B" w:rsidP="002206E5">
      <w:pPr>
        <w:pStyle w:val="NormalWeb"/>
        <w:numPr>
          <w:ilvl w:val="0"/>
          <w:numId w:val="7"/>
        </w:numPr>
        <w:spacing w:line="360" w:lineRule="auto"/>
        <w:jc w:val="both"/>
      </w:pPr>
      <w:r w:rsidRPr="002206E5">
        <w:rPr>
          <w:b/>
          <w:bCs/>
        </w:rPr>
        <w:lastRenderedPageBreak/>
        <w:t>Mersha, A. A.</w:t>
      </w:r>
      <w:r w:rsidRPr="002206E5">
        <w:t xml:space="preserve"> (2018). Gender inequality in smallholder agriculture: The case of Ethiopia. </w:t>
      </w:r>
      <w:r w:rsidRPr="002206E5">
        <w:rPr>
          <w:i/>
          <w:iCs/>
        </w:rPr>
        <w:t>Journal of Gender, Agriculture and Food Security</w:t>
      </w:r>
      <w:r w:rsidRPr="002206E5">
        <w:t>, 3(2), 34-48.</w:t>
      </w:r>
    </w:p>
    <w:p w14:paraId="31CCD2B5" w14:textId="77777777" w:rsidR="000D617B" w:rsidRPr="002206E5" w:rsidRDefault="000D617B" w:rsidP="002206E5">
      <w:pPr>
        <w:pStyle w:val="NormalWeb"/>
        <w:numPr>
          <w:ilvl w:val="0"/>
          <w:numId w:val="7"/>
        </w:numPr>
        <w:spacing w:line="360" w:lineRule="auto"/>
        <w:jc w:val="both"/>
      </w:pPr>
      <w:r w:rsidRPr="002206E5">
        <w:rPr>
          <w:b/>
          <w:bCs/>
        </w:rPr>
        <w:t>Ministry of Agriculture and Livestock Resources (</w:t>
      </w:r>
      <w:proofErr w:type="spellStart"/>
      <w:r w:rsidRPr="002206E5">
        <w:rPr>
          <w:b/>
          <w:bCs/>
        </w:rPr>
        <w:t>MoALR</w:t>
      </w:r>
      <w:proofErr w:type="spellEnd"/>
      <w:r w:rsidRPr="002206E5">
        <w:rPr>
          <w:b/>
          <w:bCs/>
        </w:rPr>
        <w:t>).</w:t>
      </w:r>
      <w:r w:rsidRPr="002206E5">
        <w:t xml:space="preserve"> (2017). </w:t>
      </w:r>
      <w:r w:rsidRPr="002206E5">
        <w:rPr>
          <w:i/>
          <w:iCs/>
        </w:rPr>
        <w:t>Crop Variety Register</w:t>
      </w:r>
      <w:r w:rsidRPr="002206E5">
        <w:t xml:space="preserve"> (Issue No. 20, p. 372). Plant Variety Release, Protection and Seed Quality Control Directorate, Addis Ababa, Ethiopia.</w:t>
      </w:r>
    </w:p>
    <w:p w14:paraId="19BC322D" w14:textId="77777777" w:rsidR="000D617B" w:rsidRPr="002206E5" w:rsidRDefault="000D617B" w:rsidP="002206E5">
      <w:pPr>
        <w:pStyle w:val="NormalWeb"/>
        <w:numPr>
          <w:ilvl w:val="0"/>
          <w:numId w:val="7"/>
        </w:numPr>
        <w:spacing w:line="360" w:lineRule="auto"/>
        <w:jc w:val="both"/>
      </w:pPr>
      <w:proofErr w:type="spellStart"/>
      <w:r w:rsidRPr="002206E5">
        <w:rPr>
          <w:b/>
          <w:bCs/>
        </w:rPr>
        <w:t>Neim</w:t>
      </w:r>
      <w:proofErr w:type="spellEnd"/>
      <w:r w:rsidRPr="002206E5">
        <w:rPr>
          <w:b/>
          <w:bCs/>
        </w:rPr>
        <w:t>, S., Tewodros, M., Getachew, E., &amp; Tadesse, E.</w:t>
      </w:r>
      <w:r w:rsidRPr="002206E5">
        <w:t xml:space="preserve"> (2021). Effect of different mulches on pineapple (</w:t>
      </w:r>
      <w:r w:rsidRPr="002206E5">
        <w:rPr>
          <w:i/>
          <w:iCs/>
        </w:rPr>
        <w:t>Ananas comosus</w:t>
      </w:r>
      <w:r w:rsidRPr="002206E5">
        <w:t xml:space="preserve"> (L.) </w:t>
      </w:r>
      <w:proofErr w:type="spellStart"/>
      <w:r w:rsidRPr="002206E5">
        <w:t>Merr</w:t>
      </w:r>
      <w:proofErr w:type="spellEnd"/>
      <w:r w:rsidRPr="002206E5">
        <w:t xml:space="preserve">.) yield and quality traits in Southwest Ethiopia. </w:t>
      </w:r>
      <w:r w:rsidRPr="002206E5">
        <w:rPr>
          <w:i/>
          <w:iCs/>
        </w:rPr>
        <w:t>Journal of Genetic and Environmental Resources Conservation</w:t>
      </w:r>
      <w:r w:rsidRPr="002206E5">
        <w:t>, 9(1), 1-6.</w:t>
      </w:r>
    </w:p>
    <w:p w14:paraId="63DD9DF5" w14:textId="77777777" w:rsidR="000D617B" w:rsidRPr="002206E5" w:rsidRDefault="000D617B" w:rsidP="002206E5">
      <w:pPr>
        <w:pStyle w:val="NormalWeb"/>
        <w:numPr>
          <w:ilvl w:val="0"/>
          <w:numId w:val="7"/>
        </w:numPr>
        <w:spacing w:line="360" w:lineRule="auto"/>
        <w:jc w:val="both"/>
      </w:pPr>
      <w:r w:rsidRPr="002206E5">
        <w:rPr>
          <w:b/>
          <w:bCs/>
        </w:rPr>
        <w:t>Salama, K., &amp; Geyer, M.</w:t>
      </w:r>
      <w:r w:rsidRPr="002206E5">
        <w:t xml:space="preserve"> (2023). Plastic mulch films in agriculture: Their use, environmental problems, recycling, and alternatives. </w:t>
      </w:r>
      <w:r w:rsidRPr="002206E5">
        <w:rPr>
          <w:i/>
          <w:iCs/>
        </w:rPr>
        <w:t>Environments</w:t>
      </w:r>
      <w:r w:rsidRPr="002206E5">
        <w:t>, 10(10), 179.</w:t>
      </w:r>
    </w:p>
    <w:p w14:paraId="4801ABA3" w14:textId="77777777" w:rsidR="000D617B" w:rsidRPr="002206E5" w:rsidRDefault="000D617B" w:rsidP="002206E5">
      <w:pPr>
        <w:pStyle w:val="NormalWeb"/>
        <w:numPr>
          <w:ilvl w:val="0"/>
          <w:numId w:val="7"/>
        </w:numPr>
        <w:spacing w:line="360" w:lineRule="auto"/>
        <w:jc w:val="both"/>
      </w:pPr>
      <w:r w:rsidRPr="002206E5">
        <w:rPr>
          <w:b/>
          <w:bCs/>
        </w:rPr>
        <w:t>Tadesse, M., et al.</w:t>
      </w:r>
      <w:r w:rsidRPr="002206E5">
        <w:t xml:space="preserve"> (2020). Determinants of agricultural technology adoption among smallholder farmers in Ethiopia. </w:t>
      </w:r>
      <w:r w:rsidRPr="002206E5">
        <w:rPr>
          <w:i/>
          <w:iCs/>
        </w:rPr>
        <w:t>Journal of Arid Environments</w:t>
      </w:r>
      <w:r w:rsidRPr="002206E5">
        <w:t>.</w:t>
      </w:r>
    </w:p>
    <w:p w14:paraId="03227678" w14:textId="77777777" w:rsidR="000D617B" w:rsidRPr="002206E5" w:rsidRDefault="000D617B" w:rsidP="002206E5">
      <w:pPr>
        <w:pStyle w:val="NormalWeb"/>
        <w:numPr>
          <w:ilvl w:val="0"/>
          <w:numId w:val="7"/>
        </w:numPr>
        <w:spacing w:line="360" w:lineRule="auto"/>
        <w:jc w:val="both"/>
      </w:pPr>
      <w:r w:rsidRPr="002206E5">
        <w:rPr>
          <w:b/>
          <w:bCs/>
        </w:rPr>
        <w:t>Tavenner, K., et al.</w:t>
      </w:r>
      <w:r w:rsidRPr="002206E5">
        <w:t xml:space="preserve"> (2019). The ‘hidden’ gender gap in agricultural research: Professional barriers and institutional constraints in Ethiopia. </w:t>
      </w:r>
      <w:r w:rsidRPr="002206E5">
        <w:rPr>
          <w:i/>
          <w:iCs/>
        </w:rPr>
        <w:t>Gender, Technology and Development</w:t>
      </w:r>
      <w:r w:rsidRPr="002206E5">
        <w:t>, 23(1), 1-21.</w:t>
      </w:r>
    </w:p>
    <w:p w14:paraId="5C277C6F" w14:textId="77777777" w:rsidR="000D617B" w:rsidRPr="002206E5" w:rsidRDefault="000D617B" w:rsidP="002206E5">
      <w:pPr>
        <w:pStyle w:val="NormalWeb"/>
        <w:numPr>
          <w:ilvl w:val="0"/>
          <w:numId w:val="7"/>
        </w:numPr>
        <w:spacing w:line="360" w:lineRule="auto"/>
        <w:jc w:val="both"/>
      </w:pPr>
      <w:r w:rsidRPr="002206E5">
        <w:rPr>
          <w:b/>
          <w:bCs/>
        </w:rPr>
        <w:t>Tewodros, et al.</w:t>
      </w:r>
      <w:r w:rsidRPr="002206E5">
        <w:t xml:space="preserve"> (2022). Effect of curing period and time of planting on growth and yield responses of pineapple (</w:t>
      </w:r>
      <w:proofErr w:type="spellStart"/>
      <w:r w:rsidRPr="002206E5">
        <w:rPr>
          <w:i/>
          <w:iCs/>
        </w:rPr>
        <w:t>Ananas</w:t>
      </w:r>
      <w:proofErr w:type="spellEnd"/>
      <w:r w:rsidRPr="002206E5">
        <w:rPr>
          <w:i/>
          <w:iCs/>
        </w:rPr>
        <w:t xml:space="preserve"> </w:t>
      </w:r>
      <w:proofErr w:type="spellStart"/>
      <w:r w:rsidRPr="002206E5">
        <w:rPr>
          <w:i/>
          <w:iCs/>
        </w:rPr>
        <w:t>comosus</w:t>
      </w:r>
      <w:proofErr w:type="spellEnd"/>
      <w:r w:rsidRPr="002206E5">
        <w:t xml:space="preserve">) at </w:t>
      </w:r>
      <w:proofErr w:type="spellStart"/>
      <w:r w:rsidRPr="002206E5">
        <w:t>Gojeb</w:t>
      </w:r>
      <w:proofErr w:type="spellEnd"/>
      <w:r w:rsidRPr="002206E5">
        <w:t xml:space="preserve">, Southwest Ethiopia. </w:t>
      </w:r>
      <w:r w:rsidRPr="002206E5">
        <w:rPr>
          <w:i/>
          <w:iCs/>
        </w:rPr>
        <w:t>Ethiopian Journal of Science and Technology</w:t>
      </w:r>
      <w:r w:rsidRPr="002206E5">
        <w:t>, 13(2), 24-30.</w:t>
      </w:r>
    </w:p>
    <w:p w14:paraId="71DD99EC" w14:textId="77777777" w:rsidR="000D617B" w:rsidRPr="002206E5" w:rsidRDefault="000D617B" w:rsidP="002206E5">
      <w:pPr>
        <w:pStyle w:val="NormalWeb"/>
        <w:numPr>
          <w:ilvl w:val="0"/>
          <w:numId w:val="7"/>
        </w:numPr>
        <w:spacing w:line="360" w:lineRule="auto"/>
        <w:jc w:val="both"/>
      </w:pPr>
      <w:r w:rsidRPr="002206E5">
        <w:rPr>
          <w:b/>
          <w:bCs/>
        </w:rPr>
        <w:t xml:space="preserve">Tibebu, L., </w:t>
      </w:r>
      <w:proofErr w:type="spellStart"/>
      <w:r w:rsidRPr="002206E5">
        <w:rPr>
          <w:b/>
          <w:bCs/>
        </w:rPr>
        <w:t>Kehabtimer</w:t>
      </w:r>
      <w:proofErr w:type="spellEnd"/>
      <w:r w:rsidRPr="002206E5">
        <w:rPr>
          <w:b/>
          <w:bCs/>
        </w:rPr>
        <w:t xml:space="preserve">, K., </w:t>
      </w:r>
      <w:proofErr w:type="spellStart"/>
      <w:r w:rsidRPr="002206E5">
        <w:rPr>
          <w:b/>
          <w:bCs/>
        </w:rPr>
        <w:t>Aneteneh</w:t>
      </w:r>
      <w:proofErr w:type="spellEnd"/>
      <w:r w:rsidRPr="002206E5">
        <w:rPr>
          <w:b/>
          <w:bCs/>
        </w:rPr>
        <w:t xml:space="preserve">, A., </w:t>
      </w:r>
      <w:proofErr w:type="spellStart"/>
      <w:r w:rsidRPr="002206E5">
        <w:rPr>
          <w:b/>
          <w:bCs/>
        </w:rPr>
        <w:t>Zerhun</w:t>
      </w:r>
      <w:proofErr w:type="spellEnd"/>
      <w:r w:rsidRPr="002206E5">
        <w:rPr>
          <w:b/>
          <w:bCs/>
        </w:rPr>
        <w:t xml:space="preserve">, G., Abera, A., &amp; </w:t>
      </w:r>
      <w:proofErr w:type="spellStart"/>
      <w:r w:rsidRPr="002206E5">
        <w:rPr>
          <w:b/>
          <w:bCs/>
        </w:rPr>
        <w:t>Andachew</w:t>
      </w:r>
      <w:proofErr w:type="spellEnd"/>
      <w:r w:rsidRPr="002206E5">
        <w:rPr>
          <w:b/>
          <w:bCs/>
        </w:rPr>
        <w:t>, S.</w:t>
      </w:r>
      <w:r w:rsidRPr="002206E5">
        <w:t xml:space="preserve"> (2024). Can high-value markets ensure households' food security? Evidence from avocado producers in Sidama Region of Ethiopia. </w:t>
      </w:r>
      <w:r w:rsidRPr="002206E5">
        <w:rPr>
          <w:i/>
          <w:iCs/>
        </w:rPr>
        <w:t>Cogent Social Sciences</w:t>
      </w:r>
      <w:r w:rsidRPr="002206E5">
        <w:t>, 10(1), 2297758.</w:t>
      </w:r>
    </w:p>
    <w:p w14:paraId="5D66DD48" w14:textId="77777777" w:rsidR="000D617B" w:rsidRPr="002206E5" w:rsidRDefault="000D617B" w:rsidP="002206E5">
      <w:pPr>
        <w:pStyle w:val="NormalWeb"/>
        <w:numPr>
          <w:ilvl w:val="0"/>
          <w:numId w:val="7"/>
        </w:numPr>
        <w:spacing w:line="360" w:lineRule="auto"/>
        <w:jc w:val="both"/>
      </w:pPr>
      <w:r w:rsidRPr="002206E5">
        <w:rPr>
          <w:b/>
          <w:bCs/>
        </w:rPr>
        <w:t>Walsh Medical Media.</w:t>
      </w:r>
      <w:r w:rsidRPr="002206E5">
        <w:t xml:space="preserve"> (2021). Physico-chemical and Sensory Characterization of Pineapple Varieties in Southwest Ethiopia. </w:t>
      </w:r>
      <w:r w:rsidRPr="002206E5">
        <w:rPr>
          <w:i/>
          <w:iCs/>
        </w:rPr>
        <w:t>Journal of Open Access Agricultural Science</w:t>
      </w:r>
      <w:r w:rsidRPr="002206E5">
        <w:t>.</w:t>
      </w:r>
    </w:p>
    <w:p w14:paraId="4E43F862" w14:textId="77777777" w:rsidR="000D617B" w:rsidRPr="002206E5" w:rsidRDefault="000D617B" w:rsidP="002206E5">
      <w:pPr>
        <w:pStyle w:val="NormalWeb"/>
        <w:numPr>
          <w:ilvl w:val="0"/>
          <w:numId w:val="7"/>
        </w:numPr>
        <w:spacing w:line="360" w:lineRule="auto"/>
        <w:jc w:val="both"/>
      </w:pPr>
      <w:r w:rsidRPr="002206E5">
        <w:rPr>
          <w:b/>
          <w:bCs/>
        </w:rPr>
        <w:t xml:space="preserve">Zenebe, A., </w:t>
      </w:r>
      <w:proofErr w:type="spellStart"/>
      <w:r w:rsidRPr="002206E5">
        <w:rPr>
          <w:b/>
          <w:bCs/>
        </w:rPr>
        <w:t>Ambachew</w:t>
      </w:r>
      <w:proofErr w:type="spellEnd"/>
      <w:r w:rsidRPr="002206E5">
        <w:rPr>
          <w:b/>
          <w:bCs/>
        </w:rPr>
        <w:t>, W., &amp; Tesfaye, A.</w:t>
      </w:r>
      <w:r w:rsidRPr="002206E5">
        <w:t xml:space="preserve"> (2024). Litter production and decomposition in </w:t>
      </w:r>
      <w:proofErr w:type="spellStart"/>
      <w:r w:rsidRPr="002206E5">
        <w:t>agro</w:t>
      </w:r>
      <w:proofErr w:type="spellEnd"/>
      <w:r w:rsidRPr="002206E5">
        <w:t xml:space="preserve">-ecosystems of </w:t>
      </w:r>
      <w:proofErr w:type="spellStart"/>
      <w:r w:rsidRPr="002206E5">
        <w:t>Aletachuko</w:t>
      </w:r>
      <w:proofErr w:type="spellEnd"/>
      <w:r w:rsidRPr="002206E5">
        <w:t xml:space="preserve"> District of Sidama Region, Ethiopia. </w:t>
      </w:r>
      <w:r w:rsidRPr="002206E5">
        <w:rPr>
          <w:i/>
          <w:iCs/>
        </w:rPr>
        <w:t>Research Square</w:t>
      </w:r>
      <w:r w:rsidRPr="002206E5">
        <w:t>.</w:t>
      </w:r>
    </w:p>
    <w:p w14:paraId="209CB0A7" w14:textId="77777777" w:rsidR="000D617B" w:rsidRPr="002206E5" w:rsidRDefault="000D617B" w:rsidP="002206E5">
      <w:pPr>
        <w:pStyle w:val="NormalWeb"/>
        <w:numPr>
          <w:ilvl w:val="0"/>
          <w:numId w:val="7"/>
        </w:numPr>
        <w:spacing w:line="360" w:lineRule="auto"/>
        <w:jc w:val="both"/>
      </w:pPr>
      <w:proofErr w:type="spellStart"/>
      <w:r w:rsidRPr="002206E5">
        <w:rPr>
          <w:b/>
          <w:bCs/>
        </w:rPr>
        <w:t>Zerssa</w:t>
      </w:r>
      <w:proofErr w:type="spellEnd"/>
      <w:r w:rsidRPr="002206E5">
        <w:rPr>
          <w:b/>
          <w:bCs/>
        </w:rPr>
        <w:t>, G., et al.</w:t>
      </w:r>
      <w:r w:rsidRPr="002206E5">
        <w:t xml:space="preserve"> (2021). Challenges and Opportunities of Small-Scale Irrigation and Technology Adoption in Southern Ethiopia. </w:t>
      </w:r>
      <w:r w:rsidRPr="002206E5">
        <w:rPr>
          <w:i/>
          <w:iCs/>
        </w:rPr>
        <w:t>Sustainability</w:t>
      </w:r>
      <w:r w:rsidRPr="002206E5">
        <w:t>.</w:t>
      </w:r>
    </w:p>
    <w:p w14:paraId="3631C378" w14:textId="77777777" w:rsidR="008902D8" w:rsidRPr="002206E5" w:rsidRDefault="008902D8" w:rsidP="002206E5">
      <w:pPr>
        <w:spacing w:line="360" w:lineRule="auto"/>
        <w:jc w:val="both"/>
        <w:rPr>
          <w:rFonts w:ascii="Times New Roman" w:hAnsi="Times New Roman" w:cs="Times New Roman"/>
          <w:sz w:val="24"/>
          <w:szCs w:val="24"/>
        </w:rPr>
      </w:pPr>
    </w:p>
    <w:sectPr w:rsidR="008902D8" w:rsidRPr="002206E5" w:rsidSect="0061081B">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D14DE" w14:textId="77777777" w:rsidR="003A1B6C" w:rsidRDefault="003A1B6C" w:rsidP="00A72F61">
      <w:pPr>
        <w:spacing w:after="0" w:line="240" w:lineRule="auto"/>
      </w:pPr>
      <w:r>
        <w:separator/>
      </w:r>
    </w:p>
  </w:endnote>
  <w:endnote w:type="continuationSeparator" w:id="0">
    <w:p w14:paraId="07ED79DB" w14:textId="77777777" w:rsidR="003A1B6C" w:rsidRDefault="003A1B6C" w:rsidP="00A72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9A93B" w14:textId="77777777" w:rsidR="00A72F61" w:rsidRDefault="00A72F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DB710" w14:textId="77777777" w:rsidR="00A72F61" w:rsidRDefault="00A72F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72C59" w14:textId="77777777" w:rsidR="00A72F61" w:rsidRDefault="00A72F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C1694" w14:textId="77777777" w:rsidR="003A1B6C" w:rsidRDefault="003A1B6C" w:rsidP="00A72F61">
      <w:pPr>
        <w:spacing w:after="0" w:line="240" w:lineRule="auto"/>
      </w:pPr>
      <w:r>
        <w:separator/>
      </w:r>
    </w:p>
  </w:footnote>
  <w:footnote w:type="continuationSeparator" w:id="0">
    <w:p w14:paraId="11076E0E" w14:textId="77777777" w:rsidR="003A1B6C" w:rsidRDefault="003A1B6C" w:rsidP="00A72F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545D0" w14:textId="6A7D74FA" w:rsidR="00A72F61" w:rsidRDefault="00A72F61">
    <w:pPr>
      <w:pStyle w:val="Header"/>
    </w:pPr>
    <w:r>
      <w:rPr>
        <w:noProof/>
      </w:rPr>
      <w:pict w14:anchorId="084F6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1372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37A1E" w14:textId="13208361" w:rsidR="00A72F61" w:rsidRDefault="00A72F61">
    <w:pPr>
      <w:pStyle w:val="Header"/>
    </w:pPr>
    <w:r>
      <w:rPr>
        <w:noProof/>
      </w:rPr>
      <w:pict w14:anchorId="7094A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1372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73B6" w14:textId="2EEA6937" w:rsidR="00A72F61" w:rsidRDefault="00A72F61">
    <w:pPr>
      <w:pStyle w:val="Header"/>
    </w:pPr>
    <w:r>
      <w:rPr>
        <w:noProof/>
      </w:rPr>
      <w:pict w14:anchorId="7DB8A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1372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C0374"/>
    <w:multiLevelType w:val="multilevel"/>
    <w:tmpl w:val="4320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CE1991"/>
    <w:multiLevelType w:val="multilevel"/>
    <w:tmpl w:val="1206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FB152B"/>
    <w:multiLevelType w:val="multilevel"/>
    <w:tmpl w:val="23FB152B"/>
    <w:lvl w:ilvl="0">
      <w:start w:val="2"/>
      <w:numFmt w:val="decimal"/>
      <w:lvlText w:val="%1."/>
      <w:lvlJc w:val="left"/>
      <w:pPr>
        <w:ind w:left="540" w:hanging="540"/>
      </w:pPr>
      <w:rPr>
        <w:vertAlign w:val="baseline"/>
      </w:rPr>
    </w:lvl>
    <w:lvl w:ilvl="1">
      <w:start w:val="2"/>
      <w:numFmt w:val="decimal"/>
      <w:lvlText w:val="%1.%2."/>
      <w:lvlJc w:val="left"/>
      <w:pPr>
        <w:ind w:left="900" w:hanging="540"/>
      </w:pPr>
      <w:rPr>
        <w:vertAlign w:val="baseline"/>
      </w:rPr>
    </w:lvl>
    <w:lvl w:ilvl="2">
      <w:start w:val="3"/>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3" w15:restartNumberingAfterBreak="0">
    <w:nsid w:val="3E366F50"/>
    <w:multiLevelType w:val="multilevel"/>
    <w:tmpl w:val="43C6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01188E"/>
    <w:multiLevelType w:val="multilevel"/>
    <w:tmpl w:val="7082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0D2173"/>
    <w:multiLevelType w:val="multilevel"/>
    <w:tmpl w:val="FCC2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5B4163"/>
    <w:multiLevelType w:val="multilevel"/>
    <w:tmpl w:val="5A08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18B5"/>
    <w:rsid w:val="000D617B"/>
    <w:rsid w:val="001813B6"/>
    <w:rsid w:val="001B7EBF"/>
    <w:rsid w:val="002206E5"/>
    <w:rsid w:val="00334F96"/>
    <w:rsid w:val="003A1B6C"/>
    <w:rsid w:val="003C6489"/>
    <w:rsid w:val="003D3BBD"/>
    <w:rsid w:val="00502D4F"/>
    <w:rsid w:val="0053161F"/>
    <w:rsid w:val="0061081B"/>
    <w:rsid w:val="0075478F"/>
    <w:rsid w:val="008902D8"/>
    <w:rsid w:val="008B18B5"/>
    <w:rsid w:val="008B45F2"/>
    <w:rsid w:val="009637C9"/>
    <w:rsid w:val="00997E26"/>
    <w:rsid w:val="009D777B"/>
    <w:rsid w:val="00A72F61"/>
    <w:rsid w:val="00AA458A"/>
    <w:rsid w:val="00AB2B4D"/>
    <w:rsid w:val="00AE6738"/>
    <w:rsid w:val="00CD22D1"/>
    <w:rsid w:val="00D76460"/>
    <w:rsid w:val="00E55A90"/>
    <w:rsid w:val="00F90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DEDA99"/>
  <w15:docId w15:val="{E3231B1C-E944-407E-860A-5A34751A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B18B5"/>
    <w:rPr>
      <w:rFonts w:ascii="Calibri" w:eastAsia="Calibri" w:hAnsi="Calibri" w:cs="Calibri"/>
      <w:lang w:val="en-US"/>
    </w:rPr>
  </w:style>
  <w:style w:type="paragraph" w:styleId="Heading3">
    <w:name w:val="heading 3"/>
    <w:basedOn w:val="Normal"/>
    <w:link w:val="Heading3Char"/>
    <w:uiPriority w:val="9"/>
    <w:qFormat/>
    <w:rsid w:val="00AB2B4D"/>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B18B5"/>
    <w:rPr>
      <w:sz w:val="16"/>
      <w:szCs w:val="16"/>
    </w:rPr>
  </w:style>
  <w:style w:type="paragraph" w:styleId="CommentText">
    <w:name w:val="annotation text"/>
    <w:basedOn w:val="Normal"/>
    <w:link w:val="CommentTextChar"/>
    <w:uiPriority w:val="99"/>
    <w:semiHidden/>
    <w:unhideWhenUsed/>
    <w:rsid w:val="008B18B5"/>
    <w:pPr>
      <w:spacing w:line="240" w:lineRule="auto"/>
    </w:pPr>
    <w:rPr>
      <w:sz w:val="20"/>
      <w:szCs w:val="20"/>
    </w:rPr>
  </w:style>
  <w:style w:type="character" w:customStyle="1" w:styleId="CommentTextChar">
    <w:name w:val="Comment Text Char"/>
    <w:basedOn w:val="DefaultParagraphFont"/>
    <w:link w:val="CommentText"/>
    <w:uiPriority w:val="99"/>
    <w:semiHidden/>
    <w:rsid w:val="008B18B5"/>
    <w:rPr>
      <w:rFonts w:ascii="Calibri" w:eastAsia="Calibri" w:hAnsi="Calibri" w:cs="Calibri"/>
      <w:sz w:val="20"/>
      <w:szCs w:val="20"/>
      <w:lang w:val="en-US"/>
    </w:rPr>
  </w:style>
  <w:style w:type="paragraph" w:styleId="BalloonText">
    <w:name w:val="Balloon Text"/>
    <w:basedOn w:val="Normal"/>
    <w:link w:val="BalloonTextChar"/>
    <w:uiPriority w:val="99"/>
    <w:semiHidden/>
    <w:unhideWhenUsed/>
    <w:rsid w:val="008B18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8B5"/>
    <w:rPr>
      <w:rFonts w:ascii="Tahoma" w:eastAsia="Calibri" w:hAnsi="Tahoma" w:cs="Tahoma"/>
      <w:sz w:val="16"/>
      <w:szCs w:val="16"/>
      <w:lang w:val="en-US"/>
    </w:rPr>
  </w:style>
  <w:style w:type="character" w:customStyle="1" w:styleId="Heading3Char">
    <w:name w:val="Heading 3 Char"/>
    <w:basedOn w:val="DefaultParagraphFont"/>
    <w:link w:val="Heading3"/>
    <w:uiPriority w:val="9"/>
    <w:rsid w:val="00AB2B4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B2B4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MediumShading2-Accent3">
    <w:name w:val="Medium Shading 2 Accent 3"/>
    <w:basedOn w:val="TableNormal"/>
    <w:uiPriority w:val="64"/>
    <w:rsid w:val="00F901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D617B"/>
    <w:rPr>
      <w:color w:val="0000FF"/>
      <w:u w:val="single"/>
    </w:rPr>
  </w:style>
  <w:style w:type="character" w:styleId="Strong">
    <w:name w:val="Strong"/>
    <w:basedOn w:val="DefaultParagraphFont"/>
    <w:uiPriority w:val="22"/>
    <w:qFormat/>
    <w:rsid w:val="003D3BBD"/>
    <w:rPr>
      <w:b/>
      <w:bCs/>
    </w:rPr>
  </w:style>
  <w:style w:type="table" w:styleId="TableGrid">
    <w:name w:val="Table Grid"/>
    <w:basedOn w:val="TableNormal"/>
    <w:uiPriority w:val="59"/>
    <w:rsid w:val="003D3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3"/>
    <w:rsid w:val="009637C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9637C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UnresolvedMention">
    <w:name w:val="Unresolved Mention"/>
    <w:basedOn w:val="DefaultParagraphFont"/>
    <w:uiPriority w:val="99"/>
    <w:semiHidden/>
    <w:unhideWhenUsed/>
    <w:rsid w:val="008B45F2"/>
    <w:rPr>
      <w:color w:val="605E5C"/>
      <w:shd w:val="clear" w:color="auto" w:fill="E1DFDD"/>
    </w:rPr>
  </w:style>
  <w:style w:type="paragraph" w:styleId="Header">
    <w:name w:val="header"/>
    <w:basedOn w:val="Normal"/>
    <w:link w:val="HeaderChar"/>
    <w:uiPriority w:val="99"/>
    <w:unhideWhenUsed/>
    <w:rsid w:val="00A72F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F61"/>
    <w:rPr>
      <w:rFonts w:ascii="Calibri" w:eastAsia="Calibri" w:hAnsi="Calibri" w:cs="Calibri"/>
      <w:lang w:val="en-US"/>
    </w:rPr>
  </w:style>
  <w:style w:type="paragraph" w:styleId="Footer">
    <w:name w:val="footer"/>
    <w:basedOn w:val="Normal"/>
    <w:link w:val="FooterChar"/>
    <w:uiPriority w:val="99"/>
    <w:unhideWhenUsed/>
    <w:rsid w:val="00A72F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F61"/>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68005">
      <w:bodyDiv w:val="1"/>
      <w:marLeft w:val="0"/>
      <w:marRight w:val="0"/>
      <w:marTop w:val="0"/>
      <w:marBottom w:val="0"/>
      <w:divBdr>
        <w:top w:val="none" w:sz="0" w:space="0" w:color="auto"/>
        <w:left w:val="none" w:sz="0" w:space="0" w:color="auto"/>
        <w:bottom w:val="none" w:sz="0" w:space="0" w:color="auto"/>
        <w:right w:val="none" w:sz="0" w:space="0" w:color="auto"/>
      </w:divBdr>
    </w:div>
    <w:div w:id="68770168">
      <w:bodyDiv w:val="1"/>
      <w:marLeft w:val="0"/>
      <w:marRight w:val="0"/>
      <w:marTop w:val="0"/>
      <w:marBottom w:val="0"/>
      <w:divBdr>
        <w:top w:val="none" w:sz="0" w:space="0" w:color="auto"/>
        <w:left w:val="none" w:sz="0" w:space="0" w:color="auto"/>
        <w:bottom w:val="none" w:sz="0" w:space="0" w:color="auto"/>
        <w:right w:val="none" w:sz="0" w:space="0" w:color="auto"/>
      </w:divBdr>
    </w:div>
    <w:div w:id="402336651">
      <w:bodyDiv w:val="1"/>
      <w:marLeft w:val="0"/>
      <w:marRight w:val="0"/>
      <w:marTop w:val="0"/>
      <w:marBottom w:val="0"/>
      <w:divBdr>
        <w:top w:val="none" w:sz="0" w:space="0" w:color="auto"/>
        <w:left w:val="none" w:sz="0" w:space="0" w:color="auto"/>
        <w:bottom w:val="none" w:sz="0" w:space="0" w:color="auto"/>
        <w:right w:val="none" w:sz="0" w:space="0" w:color="auto"/>
      </w:divBdr>
    </w:div>
    <w:div w:id="587346812">
      <w:bodyDiv w:val="1"/>
      <w:marLeft w:val="0"/>
      <w:marRight w:val="0"/>
      <w:marTop w:val="0"/>
      <w:marBottom w:val="0"/>
      <w:divBdr>
        <w:top w:val="none" w:sz="0" w:space="0" w:color="auto"/>
        <w:left w:val="none" w:sz="0" w:space="0" w:color="auto"/>
        <w:bottom w:val="none" w:sz="0" w:space="0" w:color="auto"/>
        <w:right w:val="none" w:sz="0" w:space="0" w:color="auto"/>
      </w:divBdr>
    </w:div>
    <w:div w:id="766460712">
      <w:bodyDiv w:val="1"/>
      <w:marLeft w:val="0"/>
      <w:marRight w:val="0"/>
      <w:marTop w:val="0"/>
      <w:marBottom w:val="0"/>
      <w:divBdr>
        <w:top w:val="none" w:sz="0" w:space="0" w:color="auto"/>
        <w:left w:val="none" w:sz="0" w:space="0" w:color="auto"/>
        <w:bottom w:val="none" w:sz="0" w:space="0" w:color="auto"/>
        <w:right w:val="none" w:sz="0" w:space="0" w:color="auto"/>
      </w:divBdr>
    </w:div>
    <w:div w:id="1044408032">
      <w:bodyDiv w:val="1"/>
      <w:marLeft w:val="0"/>
      <w:marRight w:val="0"/>
      <w:marTop w:val="0"/>
      <w:marBottom w:val="0"/>
      <w:divBdr>
        <w:top w:val="none" w:sz="0" w:space="0" w:color="auto"/>
        <w:left w:val="none" w:sz="0" w:space="0" w:color="auto"/>
        <w:bottom w:val="none" w:sz="0" w:space="0" w:color="auto"/>
        <w:right w:val="none" w:sz="0" w:space="0" w:color="auto"/>
      </w:divBdr>
    </w:div>
    <w:div w:id="1190491986">
      <w:bodyDiv w:val="1"/>
      <w:marLeft w:val="0"/>
      <w:marRight w:val="0"/>
      <w:marTop w:val="0"/>
      <w:marBottom w:val="0"/>
      <w:divBdr>
        <w:top w:val="none" w:sz="0" w:space="0" w:color="auto"/>
        <w:left w:val="none" w:sz="0" w:space="0" w:color="auto"/>
        <w:bottom w:val="none" w:sz="0" w:space="0" w:color="auto"/>
        <w:right w:val="none" w:sz="0" w:space="0" w:color="auto"/>
      </w:divBdr>
    </w:div>
    <w:div w:id="1430004793">
      <w:bodyDiv w:val="1"/>
      <w:marLeft w:val="0"/>
      <w:marRight w:val="0"/>
      <w:marTop w:val="0"/>
      <w:marBottom w:val="0"/>
      <w:divBdr>
        <w:top w:val="none" w:sz="0" w:space="0" w:color="auto"/>
        <w:left w:val="none" w:sz="0" w:space="0" w:color="auto"/>
        <w:bottom w:val="none" w:sz="0" w:space="0" w:color="auto"/>
        <w:right w:val="none" w:sz="0" w:space="0" w:color="auto"/>
      </w:divBdr>
    </w:div>
    <w:div w:id="1578131890">
      <w:bodyDiv w:val="1"/>
      <w:marLeft w:val="0"/>
      <w:marRight w:val="0"/>
      <w:marTop w:val="0"/>
      <w:marBottom w:val="0"/>
      <w:divBdr>
        <w:top w:val="none" w:sz="0" w:space="0" w:color="auto"/>
        <w:left w:val="none" w:sz="0" w:space="0" w:color="auto"/>
        <w:bottom w:val="none" w:sz="0" w:space="0" w:color="auto"/>
        <w:right w:val="none" w:sz="0" w:space="0" w:color="auto"/>
      </w:divBdr>
    </w:div>
    <w:div w:id="1857621327">
      <w:bodyDiv w:val="1"/>
      <w:marLeft w:val="0"/>
      <w:marRight w:val="0"/>
      <w:marTop w:val="0"/>
      <w:marBottom w:val="0"/>
      <w:divBdr>
        <w:top w:val="none" w:sz="0" w:space="0" w:color="auto"/>
        <w:left w:val="none" w:sz="0" w:space="0" w:color="auto"/>
        <w:bottom w:val="none" w:sz="0" w:space="0" w:color="auto"/>
        <w:right w:val="none" w:sz="0" w:space="0" w:color="auto"/>
      </w:divBdr>
    </w:div>
    <w:div w:id="193181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4038/jfa.v2i1.3938"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grifarming.in/pineapple-farmin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lrMapOvr bg1="lt1" tx1="dk1" bg2="lt2" tx2="dk2" accent1="accent1" accent2="accent2" accent3="accent3" accent4="accent4" accent5="accent5" accent6="accent6" hlink="hlink" folHlink="folHlink"/>
  <c:chart>
    <c:autoTitleDeleted val="1"/>
    <c:view3D>
      <c:rotX val="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6.0672917815774961E-2"/>
          <c:w val="0.97864077669902916"/>
          <c:h val="0.92182400945055609"/>
        </c:manualLayout>
      </c:layout>
      <c:bar3DChart>
        <c:barDir val="col"/>
        <c:grouping val="clustered"/>
        <c:varyColors val="1"/>
        <c:ser>
          <c:idx val="0"/>
          <c:order val="0"/>
          <c:tx>
            <c:strRef>
              <c:f>Sheet1!$A$2</c:f>
              <c:strCache>
                <c:ptCount val="1"/>
                <c:pt idx="0">
                  <c:v>Gamebela</c:v>
                </c:pt>
              </c:strCache>
            </c:strRef>
          </c:tx>
          <c:spPr>
            <a:solidFill>
              <a:srgbClr val="5B9BD5"/>
            </a:solidFill>
            <a:ln>
              <a:noFill/>
            </a:ln>
            <a:effectLst/>
            <a:sp3d/>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Sheet1!$B$1:$I$1</c:f>
              <c:strCache>
                <c:ptCount val="8"/>
                <c:pt idx="0">
                  <c:v>Male farmers</c:v>
                </c:pt>
                <c:pt idx="1">
                  <c:v>Female farmers</c:v>
                </c:pt>
                <c:pt idx="2">
                  <c:v>Male experts</c:v>
                </c:pt>
                <c:pt idx="3">
                  <c:v>Female experts</c:v>
                </c:pt>
                <c:pt idx="4">
                  <c:v>Male researchers</c:v>
                </c:pt>
                <c:pt idx="5">
                  <c:v>Female researchers</c:v>
                </c:pt>
                <c:pt idx="6">
                  <c:v>Male other</c:v>
                </c:pt>
                <c:pt idx="7">
                  <c:v>Female other</c:v>
                </c:pt>
              </c:strCache>
            </c:strRef>
          </c:cat>
          <c:val>
            <c:numRef>
              <c:f>Sheet1!$B$2:$I$2</c:f>
              <c:numCache>
                <c:formatCode>General</c:formatCode>
                <c:ptCount val="8"/>
                <c:pt idx="0">
                  <c:v>7</c:v>
                </c:pt>
                <c:pt idx="1">
                  <c:v>3</c:v>
                </c:pt>
                <c:pt idx="2">
                  <c:v>3</c:v>
                </c:pt>
                <c:pt idx="3">
                  <c:v>1</c:v>
                </c:pt>
                <c:pt idx="4">
                  <c:v>4</c:v>
                </c:pt>
                <c:pt idx="5">
                  <c:v>0</c:v>
                </c:pt>
                <c:pt idx="6">
                  <c:v>4</c:v>
                </c:pt>
                <c:pt idx="7">
                  <c:v>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00-415D-4675-8BBF-289B8456F3CE}"/>
            </c:ext>
          </c:extLst>
        </c:ser>
        <c:ser>
          <c:idx val="1"/>
          <c:order val="1"/>
          <c:tx>
            <c:strRef>
              <c:f>Sheet1!$A$3</c:f>
              <c:strCache>
                <c:ptCount val="1"/>
                <c:pt idx="0">
                  <c:v>Tesso</c:v>
                </c:pt>
              </c:strCache>
            </c:strRef>
          </c:tx>
          <c:spPr>
            <a:solidFill>
              <a:srgbClr val="ED7D31"/>
            </a:solidFill>
            <a:ln>
              <a:noFill/>
            </a:ln>
            <a:effectLst/>
            <a:sp3d/>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Sheet1!$B$1:$I$1</c:f>
              <c:strCache>
                <c:ptCount val="8"/>
                <c:pt idx="0">
                  <c:v>Male farmers</c:v>
                </c:pt>
                <c:pt idx="1">
                  <c:v>Female farmers</c:v>
                </c:pt>
                <c:pt idx="2">
                  <c:v>Male experts</c:v>
                </c:pt>
                <c:pt idx="3">
                  <c:v>Female experts</c:v>
                </c:pt>
                <c:pt idx="4">
                  <c:v>Male researchers</c:v>
                </c:pt>
                <c:pt idx="5">
                  <c:v>Female researchers</c:v>
                </c:pt>
                <c:pt idx="6">
                  <c:v>Male other</c:v>
                </c:pt>
                <c:pt idx="7">
                  <c:v>Female other</c:v>
                </c:pt>
              </c:strCache>
            </c:strRef>
          </c:cat>
          <c:val>
            <c:numRef>
              <c:f>Sheet1!$B$3:$I$3</c:f>
              <c:numCache>
                <c:formatCode>General</c:formatCode>
                <c:ptCount val="8"/>
                <c:pt idx="0">
                  <c:v>6</c:v>
                </c:pt>
                <c:pt idx="1">
                  <c:v>5</c:v>
                </c:pt>
                <c:pt idx="2">
                  <c:v>4</c:v>
                </c:pt>
                <c:pt idx="4">
                  <c:v>4</c:v>
                </c:pt>
                <c:pt idx="5">
                  <c:v>0</c:v>
                </c:pt>
                <c:pt idx="6">
                  <c:v>4</c:v>
                </c:pt>
                <c:pt idx="7">
                  <c:v>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01-415D-4675-8BBF-289B8456F3CE}"/>
            </c:ext>
          </c:extLst>
        </c:ser>
        <c:ser>
          <c:idx val="2"/>
          <c:order val="2"/>
          <c:tx>
            <c:strRef>
              <c:f>Sheet1!$A$4</c:f>
              <c:strCache>
                <c:ptCount val="1"/>
                <c:pt idx="0">
                  <c:v>total </c:v>
                </c:pt>
              </c:strCache>
            </c:strRef>
          </c:tx>
          <c:spPr>
            <a:solidFill>
              <a:srgbClr val="A5A5A5"/>
            </a:solidFill>
            <a:ln>
              <a:noFill/>
            </a:ln>
            <a:effectLst/>
            <a:sp3d/>
          </c:spPr>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Sheet1!$B$1:$I$1</c:f>
              <c:strCache>
                <c:ptCount val="8"/>
                <c:pt idx="0">
                  <c:v>Male farmers</c:v>
                </c:pt>
                <c:pt idx="1">
                  <c:v>Female farmers</c:v>
                </c:pt>
                <c:pt idx="2">
                  <c:v>Male experts</c:v>
                </c:pt>
                <c:pt idx="3">
                  <c:v>Female experts</c:v>
                </c:pt>
                <c:pt idx="4">
                  <c:v>Male researchers</c:v>
                </c:pt>
                <c:pt idx="5">
                  <c:v>Female researchers</c:v>
                </c:pt>
                <c:pt idx="6">
                  <c:v>Male other</c:v>
                </c:pt>
                <c:pt idx="7">
                  <c:v>Female other</c:v>
                </c:pt>
              </c:strCache>
            </c:strRef>
          </c:cat>
          <c:val>
            <c:numRef>
              <c:f>Sheet1!$B$4:$I$4</c:f>
              <c:numCache>
                <c:formatCode>General</c:formatCode>
                <c:ptCount val="8"/>
                <c:pt idx="0">
                  <c:v>13</c:v>
                </c:pt>
                <c:pt idx="1">
                  <c:v>8</c:v>
                </c:pt>
                <c:pt idx="2">
                  <c:v>7</c:v>
                </c:pt>
                <c:pt idx="3">
                  <c:v>1</c:v>
                </c:pt>
                <c:pt idx="4">
                  <c:v>8</c:v>
                </c:pt>
                <c:pt idx="5">
                  <c:v>0</c:v>
                </c:pt>
                <c:pt idx="6">
                  <c:v>8</c:v>
                </c:pt>
                <c:pt idx="7">
                  <c:v>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02-415D-4675-8BBF-289B8456F3CE}"/>
            </c:ext>
          </c:extLst>
        </c:ser>
        <c:dLbls>
          <c:showLegendKey val="0"/>
          <c:showVal val="0"/>
          <c:showCatName val="0"/>
          <c:showSerName val="0"/>
          <c:showPercent val="0"/>
          <c:showBubbleSize val="0"/>
        </c:dLbls>
        <c:gapWidth val="150"/>
        <c:shape val="box"/>
        <c:axId val="141116160"/>
        <c:axId val="141117696"/>
        <c:axId val="0"/>
      </c:bar3DChart>
      <c:catAx>
        <c:axId val="141116160"/>
        <c:scaling>
          <c:orientation val="minMax"/>
        </c:scaling>
        <c:delete val="1"/>
        <c:axPos val="b"/>
        <c:numFmt formatCode="General" sourceLinked="1"/>
        <c:majorTickMark val="none"/>
        <c:minorTickMark val="cross"/>
        <c:tickLblPos val="nextTo"/>
        <c:crossAx val="141117696"/>
        <c:crosses val="autoZero"/>
        <c:auto val="1"/>
        <c:lblAlgn val="ctr"/>
        <c:lblOffset val="100"/>
        <c:noMultiLvlLbl val="1"/>
      </c:catAx>
      <c:valAx>
        <c:axId val="1411176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cross"/>
        <c:tickLblPos val="nextTo"/>
        <c:crossAx val="141116160"/>
        <c:crosses val="autoZero"/>
        <c:crossBetween val="between"/>
      </c:valAx>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Sheet1!$A$2</c:f>
              <c:strCache>
                <c:ptCount val="1"/>
                <c:pt idx="0">
                  <c:v>Male</c:v>
                </c:pt>
              </c:strCache>
            </c:strRef>
          </c:tx>
          <c:spPr>
            <a:solidFill>
              <a:srgbClr val="5B9BD5"/>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Sheet1!$B$1:$E$1</c:f>
              <c:strCache>
                <c:ptCount val="4"/>
                <c:pt idx="0">
                  <c:v>Farmers</c:v>
                </c:pt>
                <c:pt idx="1">
                  <c:v>Experts</c:v>
                </c:pt>
                <c:pt idx="2">
                  <c:v>Researchers</c:v>
                </c:pt>
                <c:pt idx="3">
                  <c:v>Others</c:v>
                </c:pt>
              </c:strCache>
            </c:strRef>
          </c:cat>
          <c:val>
            <c:numRef>
              <c:f>Sheet1!$B$2:$E$2</c:f>
              <c:numCache>
                <c:formatCode>General</c:formatCode>
                <c:ptCount val="4"/>
                <c:pt idx="0">
                  <c:v>72</c:v>
                </c:pt>
                <c:pt idx="1">
                  <c:v>6</c:v>
                </c:pt>
                <c:pt idx="2">
                  <c:v>25</c:v>
                </c:pt>
                <c:pt idx="3">
                  <c:v>12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013B-4306-9D8A-E0CD090A9CE2}"/>
            </c:ext>
          </c:extLst>
        </c:ser>
        <c:ser>
          <c:idx val="1"/>
          <c:order val="1"/>
          <c:tx>
            <c:strRef>
              <c:f>Sheet1!$A$3</c:f>
              <c:strCache>
                <c:ptCount val="1"/>
                <c:pt idx="0">
                  <c:v>Female</c:v>
                </c:pt>
              </c:strCache>
            </c:strRef>
          </c:tx>
          <c:spPr>
            <a:solidFill>
              <a:srgbClr val="ED7D3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Sheet1!$B$1:$E$1</c:f>
              <c:strCache>
                <c:ptCount val="4"/>
                <c:pt idx="0">
                  <c:v>Farmers</c:v>
                </c:pt>
                <c:pt idx="1">
                  <c:v>Experts</c:v>
                </c:pt>
                <c:pt idx="2">
                  <c:v>Researchers</c:v>
                </c:pt>
                <c:pt idx="3">
                  <c:v>Others</c:v>
                </c:pt>
              </c:strCache>
            </c:strRef>
          </c:cat>
          <c:val>
            <c:numRef>
              <c:f>Sheet1!$B$3:$E$3</c:f>
              <c:numCache>
                <c:formatCode>General</c:formatCode>
                <c:ptCount val="4"/>
                <c:pt idx="0">
                  <c:v>16</c:v>
                </c:pt>
                <c:pt idx="1">
                  <c:v>1</c:v>
                </c:pt>
                <c:pt idx="2">
                  <c:v>3</c:v>
                </c:pt>
                <c:pt idx="3">
                  <c:v>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013B-4306-9D8A-E0CD090A9CE2}"/>
            </c:ext>
          </c:extLst>
        </c:ser>
        <c:dLbls>
          <c:showLegendKey val="1"/>
          <c:showVal val="1"/>
          <c:showCatName val="1"/>
          <c:showSerName val="1"/>
          <c:showPercent val="1"/>
          <c:showBubbleSize val="1"/>
        </c:dLbls>
        <c:gapWidth val="219"/>
        <c:overlap val="-27"/>
        <c:axId val="141148928"/>
        <c:axId val="141150464"/>
      </c:barChart>
      <c:catAx>
        <c:axId val="141148928"/>
        <c:scaling>
          <c:orientation val="minMax"/>
        </c:scaling>
        <c:delete val="1"/>
        <c:axPos val="b"/>
        <c:numFmt formatCode="General" sourceLinked="1"/>
        <c:majorTickMark val="none"/>
        <c:minorTickMark val="cross"/>
        <c:tickLblPos val="nextTo"/>
        <c:crossAx val="141150464"/>
        <c:crosses val="autoZero"/>
        <c:auto val="1"/>
        <c:lblAlgn val="ctr"/>
        <c:lblOffset val="100"/>
        <c:noMultiLvlLbl val="1"/>
      </c:catAx>
      <c:valAx>
        <c:axId val="141150464"/>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cross"/>
        <c:tickLblPos val="nextTo"/>
        <c:crossAx val="141148928"/>
        <c:crosses val="autoZero"/>
        <c:crossBetween val="between"/>
      </c:valAx>
      <c:spPr>
        <a:noFill/>
        <a:ln w="25400">
          <a:noFill/>
        </a:ln>
        <a:effectLst/>
      </c:spPr>
    </c:plotArea>
    <c:legend>
      <c:legendPos val="b"/>
      <c:overlay val="1"/>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extLst>
      <c:ext uri="{0b15fc19-7d7d-44ad-8c2d-2c3a37ce22c3}">
        <chartProps xmlns="https://web.wps.cn/et/2018/main" chartId="{57b665cf-cafe-4827-84dd-bcb190e98999}"/>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619</TotalTime>
  <Pages>13</Pages>
  <Words>3680</Words>
  <Characters>20978</Characters>
  <Application>Microsoft Office Word</Application>
  <DocSecurity>0</DocSecurity>
  <Lines>174</Lines>
  <Paragraphs>49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References</vt:lpstr>
    </vt:vector>
  </TitlesOfParts>
  <Company/>
  <LinksUpToDate>false</LinksUpToDate>
  <CharactersWithSpaces>24609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5</cp:revision>
  <dcterms:created xsi:type="dcterms:W3CDTF">2026-04-22T04:12:00Z</dcterms:created>
  <dcterms:modified xsi:type="dcterms:W3CDTF">2026-04-30T10:40:00Z</dcterms:modified>
</cp:coreProperties>
</file>