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85AB" w14:textId="77777777" w:rsidR="002C39AD" w:rsidRPr="006B6B60" w:rsidRDefault="004B7EE6" w:rsidP="001E6DA0">
      <w:pPr>
        <w:pStyle w:val="Author"/>
        <w:spacing w:line="240" w:lineRule="auto"/>
        <w:rPr>
          <w:rFonts w:ascii="Arial" w:hAnsi="Arial" w:cs="Arial"/>
          <w:bCs/>
          <w:iCs/>
          <w:kern w:val="28"/>
          <w:sz w:val="36"/>
        </w:rPr>
      </w:pPr>
      <w:r w:rsidRPr="006B6B60">
        <w:rPr>
          <w:rFonts w:ascii="Arial" w:hAnsi="Arial" w:cs="Arial"/>
          <w:bCs/>
          <w:iCs/>
          <w:kern w:val="28"/>
          <w:sz w:val="36"/>
        </w:rPr>
        <w:t>Mathematical Modelling and Statistical Analysis of Stock Market Regimes Using Median Absolute Deviation-Based Classification</w:t>
      </w:r>
    </w:p>
    <w:p w14:paraId="703BA951" w14:textId="77777777" w:rsidR="001E6DA0" w:rsidRPr="006B6B60" w:rsidRDefault="001E6DA0" w:rsidP="001E6DA0">
      <w:pPr>
        <w:pStyle w:val="Author"/>
        <w:spacing w:line="240" w:lineRule="auto"/>
        <w:rPr>
          <w:rFonts w:ascii="Arial" w:hAnsi="Arial" w:cs="Arial"/>
          <w:bCs/>
          <w:iCs/>
          <w:kern w:val="28"/>
          <w:sz w:val="36"/>
        </w:rPr>
      </w:pPr>
    </w:p>
    <w:p w14:paraId="2187B0C7" w14:textId="77777777" w:rsidR="006F3780" w:rsidRPr="006B6B60" w:rsidRDefault="006F3780" w:rsidP="0065449E">
      <w:pPr>
        <w:jc w:val="both"/>
        <w:rPr>
          <w:rFonts w:ascii="Arial" w:hAnsi="Arial" w:cs="Arial"/>
          <w:b/>
          <w:bCs/>
          <w:sz w:val="24"/>
        </w:rPr>
      </w:pPr>
      <w:bookmarkStart w:id="0" w:name="_GoBack"/>
      <w:bookmarkEnd w:id="0"/>
    </w:p>
    <w:p w14:paraId="579B8C49" w14:textId="77777777" w:rsidR="0065449E" w:rsidRPr="006B6B60" w:rsidRDefault="0065449E" w:rsidP="0065449E">
      <w:pPr>
        <w:jc w:val="both"/>
        <w:rPr>
          <w:rFonts w:ascii="Arial" w:eastAsia="Times New Roman" w:hAnsi="Arial" w:cs="Arial"/>
          <w:b/>
          <w:caps/>
          <w:szCs w:val="20"/>
          <w:lang w:val="en-US"/>
        </w:rPr>
      </w:pPr>
      <w:r w:rsidRPr="006B6B60">
        <w:rPr>
          <w:rFonts w:ascii="Arial" w:eastAsia="Times New Roman" w:hAnsi="Arial" w:cs="Arial"/>
          <w:b/>
          <w:caps/>
          <w:szCs w:val="20"/>
          <w:lang w:val="en-US"/>
        </w:rPr>
        <w:t>ABSTRACT</w:t>
      </w:r>
    </w:p>
    <w:p w14:paraId="0561B606"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Aims:</w:t>
      </w:r>
      <w:r w:rsidRPr="006B6B60">
        <w:rPr>
          <w:rFonts w:ascii="Arial" w:hAnsi="Arial" w:cs="Arial"/>
          <w:sz w:val="20"/>
          <w:szCs w:val="20"/>
        </w:rPr>
        <w:t xml:space="preserve"> The aim of this study is to develop and evaluate a robust mathematical framework for stock market regime classification using the Median Absolute Deviation (MAD), and to compare its performance with conventional standard deviation-based and quantile-based classification methods under non-Gaussian financial conditions.</w:t>
      </w:r>
    </w:p>
    <w:p w14:paraId="1090AE11"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Study design:</w:t>
      </w:r>
      <w:r w:rsidRPr="006B6B60">
        <w:rPr>
          <w:rFonts w:ascii="Arial" w:hAnsi="Arial" w:cs="Arial"/>
          <w:sz w:val="20"/>
          <w:szCs w:val="20"/>
        </w:rPr>
        <w:t xml:space="preserve"> Quantitative analytical study based on statistical modelling and empirical evaluation.</w:t>
      </w:r>
    </w:p>
    <w:p w14:paraId="19728A42"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Place and Duration of Study:</w:t>
      </w:r>
      <w:r w:rsidRPr="006B6B60">
        <w:rPr>
          <w:rFonts w:ascii="Arial" w:hAnsi="Arial" w:cs="Arial"/>
          <w:sz w:val="20"/>
          <w:szCs w:val="20"/>
        </w:rPr>
        <w:t xml:space="preserve"> The study utilizes secondary financial data from major global equity indices, namely NIFTY 50 (India), S&amp;P 500 (USA), and Nikkei 225 (Japan), over the period from January 2020 to January 2026.</w:t>
      </w:r>
    </w:p>
    <w:p w14:paraId="5A2ED5C6"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Methodology:</w:t>
      </w:r>
      <w:r w:rsidRPr="006B6B60">
        <w:rPr>
          <w:rFonts w:ascii="Arial" w:hAnsi="Arial" w:cs="Arial"/>
          <w:sz w:val="20"/>
          <w:szCs w:val="20"/>
        </w:rPr>
        <w:t xml:space="preserve"> Daily log returns were computed from adjusted closing prices. A MAD-based standardized score was used to classify market regimes into five categories. Two benchmark methods, namely standard deviation-based and quantile-based classification, were implemented for comparison. Robustness was evaluated using Regime Balance Index (RBI), Extreme Sensitivity Score (ESS), and Label Stability Ratio (LSR) under controlled outlier contamination. Statistical validation was performed using bootstrap resampling to compute 95% confidence intervals, along with paired t-tests and Wilcoxon signed-rank tests to assess significance.</w:t>
      </w:r>
    </w:p>
    <w:p w14:paraId="51CBF7ED"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Results:</w:t>
      </w:r>
      <w:r w:rsidRPr="006B6B60">
        <w:rPr>
          <w:rFonts w:ascii="Arial" w:hAnsi="Arial" w:cs="Arial"/>
          <w:sz w:val="20"/>
          <w:szCs w:val="20"/>
        </w:rPr>
        <w:t xml:space="preserve"> The MAD-based method consistently achieved superior robustness across all datasets. For NIFTY 50, the LSR was 0.9856 compared to 0.9142 (SD-based) and 0.9738 (quantile-based). Similar improvements were observed for S&amp;P 500 (0.9862 vs 0.8967 and 0.9750) and Nikkei 225 (0.9860 vs 0.8876 and 0.9743). The ESS was significantly lower for the MAD method (≈0.014) compared to SD-based methods (up to 0.1124). Bootstrap confidence intervals were narrow, and all statistical tests yielded p-values &lt; 0.001, confirming the significance of the results.</w:t>
      </w:r>
    </w:p>
    <w:p w14:paraId="18F327A0"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Conclusion:</w:t>
      </w:r>
      <w:r w:rsidRPr="006B6B60">
        <w:rPr>
          <w:rFonts w:ascii="Arial" w:hAnsi="Arial" w:cs="Arial"/>
          <w:sz w:val="20"/>
          <w:szCs w:val="20"/>
        </w:rPr>
        <w:t xml:space="preserve"> The MAD-based classification framework provides a robust and statistically reliable alternative for stock market regime detection, particularly in environments characterized by extreme volatility and non-normal return distributions.</w:t>
      </w:r>
    </w:p>
    <w:p w14:paraId="4343E783" w14:textId="77777777" w:rsidR="004B7EE6" w:rsidRPr="006B6B60" w:rsidRDefault="0065449E" w:rsidP="004B7404">
      <w:pPr>
        <w:jc w:val="both"/>
        <w:rPr>
          <w:rFonts w:ascii="Arial" w:hAnsi="Arial" w:cs="Arial"/>
          <w:i/>
          <w:sz w:val="20"/>
          <w:szCs w:val="20"/>
        </w:rPr>
      </w:pPr>
      <w:r w:rsidRPr="006B6B60">
        <w:rPr>
          <w:rFonts w:ascii="Arial" w:hAnsi="Arial" w:cs="Arial"/>
          <w:b/>
          <w:bCs/>
          <w:i/>
          <w:sz w:val="20"/>
          <w:szCs w:val="20"/>
        </w:rPr>
        <w:t>Keywords:</w:t>
      </w:r>
      <w:r w:rsidRPr="006B6B60">
        <w:rPr>
          <w:rFonts w:ascii="Arial" w:hAnsi="Arial" w:cs="Arial"/>
          <w:i/>
          <w:sz w:val="20"/>
          <w:szCs w:val="20"/>
        </w:rPr>
        <w:br/>
        <w:t>Robust statistics; Median Absolute Deviation (MAD); stock market regimes; financial time series; regime classification</w:t>
      </w:r>
    </w:p>
    <w:p w14:paraId="1F1563E2" w14:textId="77777777" w:rsidR="00510229" w:rsidRPr="006B6B60" w:rsidRDefault="00510229" w:rsidP="00510229">
      <w:pPr>
        <w:pStyle w:val="AbstHead"/>
        <w:spacing w:after="0"/>
        <w:jc w:val="both"/>
        <w:rPr>
          <w:rFonts w:ascii="Arial" w:hAnsi="Arial" w:cs="Arial"/>
        </w:rPr>
      </w:pPr>
      <w:r w:rsidRPr="006B6B60">
        <w:rPr>
          <w:rFonts w:ascii="Arial" w:hAnsi="Arial" w:cs="Arial"/>
        </w:rPr>
        <w:t>1. INRODUCTION</w:t>
      </w:r>
    </w:p>
    <w:p w14:paraId="12A5A008" w14:textId="77777777" w:rsidR="00510229" w:rsidRPr="006B6B60" w:rsidRDefault="00510229" w:rsidP="00510229">
      <w:pPr>
        <w:pStyle w:val="AbstHead"/>
        <w:spacing w:after="0"/>
        <w:jc w:val="both"/>
        <w:rPr>
          <w:rFonts w:ascii="Arial" w:hAnsi="Arial" w:cs="Arial"/>
        </w:rPr>
      </w:pPr>
    </w:p>
    <w:p w14:paraId="76F91EF5" w14:textId="77777777" w:rsidR="00510229" w:rsidRPr="006B6B60" w:rsidRDefault="00510229" w:rsidP="00510229">
      <w:pPr>
        <w:pStyle w:val="Body"/>
        <w:spacing w:after="0"/>
        <w:rPr>
          <w:rFonts w:ascii="Arial" w:hAnsi="Arial" w:cs="Arial"/>
        </w:rPr>
      </w:pPr>
      <w:r w:rsidRPr="006B6B60">
        <w:rPr>
          <w:rFonts w:ascii="Arial" w:hAnsi="Arial" w:cs="Arial"/>
        </w:rPr>
        <w:t>Financial markets are inherently complex systems characterized by nonlinear dynamics, uncertainty, and abrupt structural changes. A fundamental challenge in financial modelling is the classification of market regimes, which involves identifying periods of distinct behavior such as bullish, bearish, or neutral phases. Accurate regime classification plays a critical role in portfolio allocation, risk management, and trading strategy design</w:t>
      </w:r>
      <w:r w:rsidR="006D5FF9" w:rsidRPr="006B6B60">
        <w:rPr>
          <w:rFonts w:ascii="Arial" w:hAnsi="Arial" w:cs="Arial"/>
        </w:rPr>
        <w:t xml:space="preserve"> (Bianchi et al., 2016; Bianchi et al., 2020)</w:t>
      </w:r>
      <w:r w:rsidRPr="006B6B60">
        <w:rPr>
          <w:rFonts w:ascii="Arial" w:hAnsi="Arial" w:cs="Arial"/>
        </w:rPr>
        <w:t>.</w:t>
      </w:r>
    </w:p>
    <w:p w14:paraId="4E2584DB" w14:textId="77777777" w:rsidR="00510229" w:rsidRPr="006B6B60" w:rsidRDefault="00510229" w:rsidP="00510229">
      <w:pPr>
        <w:pStyle w:val="Body"/>
        <w:spacing w:after="0"/>
        <w:rPr>
          <w:rFonts w:ascii="Arial" w:hAnsi="Arial" w:cs="Arial"/>
        </w:rPr>
      </w:pPr>
      <w:r w:rsidRPr="006B6B60">
        <w:rPr>
          <w:rFonts w:ascii="Arial" w:hAnsi="Arial" w:cs="Arial"/>
        </w:rPr>
        <w:t>However, financial return series exhibit several stylized facts that complicate traditional modelling approaches. These include heavy-tailed distributions, negative skewness, volatility clustering, and the frequent occurrence of extreme observations. Such characteristics violate the assumptions of normality and homoscedasticity that underpin classical statistical techniques</w:t>
      </w:r>
      <w:r w:rsidR="006D5FF9" w:rsidRPr="006B6B60">
        <w:rPr>
          <w:rFonts w:ascii="Arial" w:hAnsi="Arial" w:cs="Arial"/>
        </w:rPr>
        <w:t xml:space="preserve"> (Zhang, 2025; </w:t>
      </w:r>
      <w:proofErr w:type="spellStart"/>
      <w:r w:rsidR="006D5FF9" w:rsidRPr="006B6B60">
        <w:rPr>
          <w:rFonts w:ascii="Arial" w:hAnsi="Arial" w:cs="Arial"/>
        </w:rPr>
        <w:t>Adubisi</w:t>
      </w:r>
      <w:proofErr w:type="spellEnd"/>
      <w:r w:rsidR="006D5FF9" w:rsidRPr="006B6B60">
        <w:rPr>
          <w:rFonts w:ascii="Arial" w:hAnsi="Arial" w:cs="Arial"/>
        </w:rPr>
        <w:t xml:space="preserve"> et al., 2022)</w:t>
      </w:r>
      <w:r w:rsidRPr="006B6B60">
        <w:rPr>
          <w:rFonts w:ascii="Arial" w:hAnsi="Arial" w:cs="Arial"/>
        </w:rPr>
        <w:t>.</w:t>
      </w:r>
    </w:p>
    <w:p w14:paraId="1066961C" w14:textId="77777777" w:rsidR="00510229" w:rsidRPr="006B6B60" w:rsidRDefault="00510229" w:rsidP="00510229">
      <w:pPr>
        <w:pStyle w:val="Body"/>
        <w:spacing w:after="0"/>
        <w:rPr>
          <w:rFonts w:ascii="Arial" w:hAnsi="Arial" w:cs="Arial"/>
        </w:rPr>
      </w:pPr>
      <w:r w:rsidRPr="006B6B60">
        <w:rPr>
          <w:rFonts w:ascii="Arial" w:hAnsi="Arial" w:cs="Arial"/>
        </w:rPr>
        <w:t xml:space="preserve">Conventional classification methods typically rely on mean–variance frameworks, where standard deviation is used as a measure of dispersion. While widely adopted, these methods are highly sensitive to outliers due to the quadratic nature of variance. As a result, extreme returns disproportionately influence the estimation process, leading to distorted classification boundaries and reduced stability. </w:t>
      </w:r>
      <w:r w:rsidRPr="006B6B60">
        <w:rPr>
          <w:rFonts w:ascii="Arial" w:hAnsi="Arial" w:cs="Arial"/>
        </w:rPr>
        <w:lastRenderedPageBreak/>
        <w:t xml:space="preserve">Similarly, quantile-based classification methods, although capable of producing balanced regime distributions, lack robustness as they do not account for the magnitude of deviations and are insensitive to distributional </w:t>
      </w:r>
      <w:r w:rsidR="006D5FF9" w:rsidRPr="006B6B60">
        <w:rPr>
          <w:rFonts w:ascii="Arial" w:hAnsi="Arial" w:cs="Arial"/>
        </w:rPr>
        <w:t>structure (Zhang et al., 2026; Giorgio, 2025; Sikorski, 2025)</w:t>
      </w:r>
      <w:r w:rsidRPr="006B6B60">
        <w:rPr>
          <w:rFonts w:ascii="Arial" w:hAnsi="Arial" w:cs="Arial"/>
        </w:rPr>
        <w:t>.</w:t>
      </w:r>
    </w:p>
    <w:p w14:paraId="4A996DC3" w14:textId="77777777" w:rsidR="00510229" w:rsidRPr="006B6B60" w:rsidRDefault="00510229" w:rsidP="00510229">
      <w:pPr>
        <w:pStyle w:val="Body"/>
        <w:spacing w:after="0"/>
        <w:rPr>
          <w:rFonts w:ascii="Arial" w:hAnsi="Arial" w:cs="Arial"/>
        </w:rPr>
      </w:pPr>
      <w:r w:rsidRPr="006B6B60">
        <w:rPr>
          <w:rFonts w:ascii="Arial" w:hAnsi="Arial" w:cs="Arial"/>
        </w:rPr>
        <w:t>These limitations motivate the need for a robust mathematical framework that can accurately capture the intrinsic properties of financial time series while remaining resilient to extreme observations. In this context, th</w:t>
      </w:r>
      <w:r w:rsidR="00E4495F" w:rsidRPr="006B6B60">
        <w:rPr>
          <w:rFonts w:ascii="Arial" w:hAnsi="Arial" w:cs="Arial"/>
        </w:rPr>
        <w:t>e median absolute deviation (MAD</w:t>
      </w:r>
      <w:r w:rsidRPr="006B6B60">
        <w:rPr>
          <w:rFonts w:ascii="Arial" w:hAnsi="Arial" w:cs="Arial"/>
        </w:rPr>
        <w:t>) provides a compelling alternative, as it is based on order statistics and exhibits a high breakdown point, making it inherently resistant to contamination</w:t>
      </w:r>
      <w:r w:rsidR="00E232F5" w:rsidRPr="006B6B60">
        <w:rPr>
          <w:rFonts w:ascii="Arial" w:hAnsi="Arial" w:cs="Arial"/>
        </w:rPr>
        <w:t xml:space="preserve"> (Tan and Wu, 2025; </w:t>
      </w:r>
      <w:proofErr w:type="spellStart"/>
      <w:r w:rsidR="00E232F5" w:rsidRPr="006B6B60">
        <w:rPr>
          <w:rFonts w:ascii="Arial" w:hAnsi="Arial" w:cs="Arial"/>
        </w:rPr>
        <w:t>Chourdakis</w:t>
      </w:r>
      <w:proofErr w:type="spellEnd"/>
      <w:r w:rsidR="00E232F5" w:rsidRPr="006B6B60">
        <w:rPr>
          <w:rFonts w:ascii="Arial" w:hAnsi="Arial" w:cs="Arial"/>
        </w:rPr>
        <w:t>, 2010)</w:t>
      </w:r>
      <w:r w:rsidRPr="006B6B60">
        <w:rPr>
          <w:rFonts w:ascii="Arial" w:hAnsi="Arial" w:cs="Arial"/>
        </w:rPr>
        <w:t>.</w:t>
      </w:r>
    </w:p>
    <w:p w14:paraId="7B14B784" w14:textId="77777777" w:rsidR="00510229" w:rsidRPr="006B6B60" w:rsidRDefault="00510229" w:rsidP="00510229">
      <w:pPr>
        <w:pStyle w:val="Body"/>
        <w:spacing w:after="0"/>
        <w:rPr>
          <w:rFonts w:ascii="Arial" w:hAnsi="Arial" w:cs="Arial"/>
        </w:rPr>
      </w:pPr>
      <w:r w:rsidRPr="006B6B60">
        <w:rPr>
          <w:rFonts w:ascii="Arial" w:hAnsi="Arial" w:cs="Arial"/>
        </w:rPr>
        <w:t>This study proposes a mad-based regime classification model that replaces standard deviation with a robust dispersion measure. The contributions of this paper are fourfold. First, a mathematical formulation of mad-based regime classification is developed. Second, the robustness properties of the model are rigorously established through theoretical analysis. Third, the model is empirically validated using multiple international equity indices over the period 2020–2026. Finally, statistical inference is incorporated through bootstrap confidence intervals and hypothesis testing to assess the significance and reliability of the results.</w:t>
      </w:r>
    </w:p>
    <w:p w14:paraId="64D12F73" w14:textId="77777777" w:rsidR="00510229" w:rsidRPr="006B6B60" w:rsidRDefault="00510229" w:rsidP="00510229">
      <w:pPr>
        <w:pStyle w:val="Body"/>
        <w:spacing w:after="0"/>
        <w:rPr>
          <w:rFonts w:ascii="Arial" w:hAnsi="Arial" w:cs="Arial"/>
        </w:rPr>
      </w:pPr>
      <w:r w:rsidRPr="006B6B60">
        <w:rPr>
          <w:rFonts w:ascii="Arial" w:hAnsi="Arial" w:cs="Arial"/>
        </w:rPr>
        <w:t>The findings demonstrate that the proposed approach provides a stable, robust, and statistically reliable alternative to conventional classification methods, particularly in environments characterized by non-gaussian behavior and extreme market fluctuations.</w:t>
      </w:r>
    </w:p>
    <w:p w14:paraId="48162937" w14:textId="77777777" w:rsidR="00510229" w:rsidRPr="006B6B60" w:rsidRDefault="00510229" w:rsidP="00510229">
      <w:pPr>
        <w:pStyle w:val="AbstHead"/>
        <w:spacing w:after="0"/>
        <w:jc w:val="both"/>
        <w:rPr>
          <w:rFonts w:ascii="Arial" w:hAnsi="Arial" w:cs="Arial"/>
          <w:b w:val="0"/>
          <w:sz w:val="20"/>
        </w:rPr>
      </w:pPr>
    </w:p>
    <w:p w14:paraId="1538060A" w14:textId="77777777" w:rsidR="00510229" w:rsidRPr="006B6B60" w:rsidRDefault="00510229" w:rsidP="00510229">
      <w:pPr>
        <w:jc w:val="both"/>
        <w:rPr>
          <w:rFonts w:ascii="Arial" w:hAnsi="Arial" w:cs="Arial"/>
          <w:b/>
          <w:bCs/>
          <w:sz w:val="24"/>
        </w:rPr>
      </w:pPr>
      <w:r w:rsidRPr="006B6B60">
        <w:rPr>
          <w:rFonts w:ascii="Arial" w:hAnsi="Arial" w:cs="Arial"/>
          <w:b/>
          <w:bCs/>
          <w:sz w:val="24"/>
        </w:rPr>
        <w:t>2. Literature Review</w:t>
      </w:r>
    </w:p>
    <w:p w14:paraId="214C660E" w14:textId="77777777" w:rsidR="00510229" w:rsidRPr="006B6B60" w:rsidRDefault="00510229" w:rsidP="00510229">
      <w:pPr>
        <w:pStyle w:val="Body"/>
        <w:spacing w:after="0"/>
        <w:rPr>
          <w:rFonts w:ascii="Arial" w:hAnsi="Arial" w:cs="Arial"/>
        </w:rPr>
      </w:pPr>
      <w:r w:rsidRPr="006B6B60">
        <w:rPr>
          <w:rFonts w:ascii="Arial" w:hAnsi="Arial" w:cs="Arial"/>
        </w:rPr>
        <w:t>The classification of financial market regimes has been extensively studied in the literature, with applications spanning portfolio optimization, asset pricing, and risk management. Traditional approaches often rely on statistical models based on mean and variance, such as Gaussian-based clustering, hidden Markov models, and threshold-based classification techniques. While these methods provide useful insights, their effectiveness is limited by the assumption of normally distributed returns.</w:t>
      </w:r>
    </w:p>
    <w:p w14:paraId="0AF3F850" w14:textId="77777777" w:rsidR="00510229" w:rsidRPr="006B6B60" w:rsidRDefault="00510229" w:rsidP="00510229">
      <w:pPr>
        <w:pStyle w:val="Body"/>
        <w:spacing w:after="0"/>
        <w:rPr>
          <w:rFonts w:ascii="Arial" w:hAnsi="Arial" w:cs="Arial"/>
        </w:rPr>
      </w:pPr>
      <w:r w:rsidRPr="006B6B60">
        <w:rPr>
          <w:rFonts w:ascii="Arial" w:hAnsi="Arial" w:cs="Arial"/>
        </w:rPr>
        <w:t xml:space="preserve">A growing body of research highlights that financial return series deviate significantly from normality, exhibiting features such as heavy tails, excess kurtosis, and skewness. These characteristics have led to the development of alternative modelling approaches, including regime-switching models, non-parametric methods, and machine learning-based classification </w:t>
      </w:r>
      <w:r w:rsidR="008018D4" w:rsidRPr="006B6B60">
        <w:rPr>
          <w:rFonts w:ascii="Arial" w:hAnsi="Arial" w:cs="Arial"/>
        </w:rPr>
        <w:t>techniques (</w:t>
      </w:r>
      <w:proofErr w:type="spellStart"/>
      <w:r w:rsidR="008018D4" w:rsidRPr="006B6B60">
        <w:rPr>
          <w:rFonts w:ascii="Arial" w:hAnsi="Arial" w:cs="Arial"/>
        </w:rPr>
        <w:t>Roos-Hoefgeest</w:t>
      </w:r>
      <w:proofErr w:type="spellEnd"/>
      <w:r w:rsidR="008018D4" w:rsidRPr="006B6B60">
        <w:rPr>
          <w:rFonts w:ascii="Arial" w:hAnsi="Arial" w:cs="Arial"/>
        </w:rPr>
        <w:t xml:space="preserve"> Toribio et al., 2025)</w:t>
      </w:r>
      <w:r w:rsidRPr="006B6B60">
        <w:rPr>
          <w:rFonts w:ascii="Arial" w:hAnsi="Arial" w:cs="Arial"/>
        </w:rPr>
        <w:t>. However, many of these methods still rely on variance as a core measure of dispersion, thereby inheriting its sensitivity to extreme observations.</w:t>
      </w:r>
    </w:p>
    <w:p w14:paraId="4C89C4A4" w14:textId="77777777" w:rsidR="00510229" w:rsidRPr="006B6B60" w:rsidRDefault="00510229" w:rsidP="00510229">
      <w:pPr>
        <w:pStyle w:val="Body"/>
        <w:spacing w:after="0"/>
        <w:rPr>
          <w:rFonts w:ascii="Arial" w:hAnsi="Arial" w:cs="Arial"/>
        </w:rPr>
      </w:pPr>
      <w:r w:rsidRPr="006B6B60">
        <w:rPr>
          <w:rFonts w:ascii="Arial" w:hAnsi="Arial" w:cs="Arial"/>
        </w:rPr>
        <w:t>Robust statistics offer a promising alternative in this context. Measures such as the median and Median Absolute Deviation (MAD) have been widely studied for their resistance to outliers and high breakdown points. In time series analysis, robust estimators have been applied to improve parameter estimation and reduce the influence of noise and extreme values. Despite these advantages, their application in financial regime classification remains relatively limited</w:t>
      </w:r>
      <w:r w:rsidR="008018D4" w:rsidRPr="006B6B60">
        <w:rPr>
          <w:rFonts w:ascii="Arial" w:hAnsi="Arial" w:cs="Arial"/>
        </w:rPr>
        <w:t xml:space="preserve"> </w:t>
      </w:r>
      <w:r w:rsidR="008018D4" w:rsidRPr="006B6B60">
        <w:rPr>
          <w:rFonts w:ascii="Arial" w:hAnsi="Arial" w:cs="Arial"/>
          <w:lang w:val="en-IN"/>
        </w:rPr>
        <w:t>(Guan et al., 2023; Wang et al., 2013)</w:t>
      </w:r>
      <w:r w:rsidRPr="006B6B60">
        <w:rPr>
          <w:rFonts w:ascii="Arial" w:hAnsi="Arial" w:cs="Arial"/>
        </w:rPr>
        <w:t>.</w:t>
      </w:r>
    </w:p>
    <w:p w14:paraId="5C49AE87" w14:textId="77777777" w:rsidR="00510229" w:rsidRPr="006B6B60" w:rsidRDefault="00510229" w:rsidP="00510229">
      <w:pPr>
        <w:pStyle w:val="Body"/>
        <w:spacing w:after="0"/>
        <w:rPr>
          <w:rFonts w:ascii="Arial" w:hAnsi="Arial" w:cs="Arial"/>
        </w:rPr>
      </w:pPr>
      <w:r w:rsidRPr="006B6B60">
        <w:rPr>
          <w:rFonts w:ascii="Arial" w:hAnsi="Arial" w:cs="Arial"/>
        </w:rPr>
        <w:t>Recent studies have begun to explore the use of robust measures in financial modelling, particularly for volatility estimation and anomaly detection. However, two key gaps remain in the existing literature. First, there is a lack of rigorous theoretical analysis demonstrating the superiority of robust methods over conventional approaches in classification settings</w:t>
      </w:r>
      <w:r w:rsidR="00457F29" w:rsidRPr="006B6B60">
        <w:rPr>
          <w:rFonts w:ascii="Arial" w:hAnsi="Arial" w:cs="Arial"/>
        </w:rPr>
        <w:t xml:space="preserve"> (Wang et al., 2022; Prathibha et al., 2025)</w:t>
      </w:r>
      <w:r w:rsidRPr="006B6B60">
        <w:rPr>
          <w:rFonts w:ascii="Arial" w:hAnsi="Arial" w:cs="Arial"/>
        </w:rPr>
        <w:t>. Second, most studies do not incorporate statistical inference techniques such as confidence intervals or hypothesis testing to validate their results</w:t>
      </w:r>
      <w:r w:rsidR="00457F29" w:rsidRPr="006B6B60">
        <w:rPr>
          <w:rFonts w:ascii="Arial" w:hAnsi="Arial" w:cs="Arial"/>
        </w:rPr>
        <w:t xml:space="preserve"> (Randal, 2002; </w:t>
      </w:r>
      <w:r w:rsidR="00457F29" w:rsidRPr="006B6B60">
        <w:rPr>
          <w:rFonts w:ascii="Arial" w:hAnsi="Arial" w:cs="Arial"/>
          <w:lang w:val="en-IN"/>
        </w:rPr>
        <w:t xml:space="preserve">Wang et al., 2013; </w:t>
      </w:r>
      <w:r w:rsidR="00457F29" w:rsidRPr="006B6B60">
        <w:rPr>
          <w:rFonts w:ascii="Arial" w:hAnsi="Arial" w:cs="Arial"/>
        </w:rPr>
        <w:t>Chen and Xia, 2025)</w:t>
      </w:r>
      <w:r w:rsidRPr="006B6B60">
        <w:rPr>
          <w:rFonts w:ascii="Arial" w:hAnsi="Arial" w:cs="Arial"/>
        </w:rPr>
        <w:t>.</w:t>
      </w:r>
    </w:p>
    <w:p w14:paraId="11B960EA" w14:textId="77777777" w:rsidR="00510229" w:rsidRPr="006B6B60" w:rsidRDefault="00510229" w:rsidP="00510229">
      <w:pPr>
        <w:pStyle w:val="Body"/>
        <w:spacing w:after="0"/>
        <w:rPr>
          <w:rFonts w:ascii="Arial" w:hAnsi="Arial" w:cs="Arial"/>
        </w:rPr>
      </w:pPr>
      <w:r w:rsidRPr="006B6B60">
        <w:rPr>
          <w:rFonts w:ascii="Arial" w:hAnsi="Arial" w:cs="Arial"/>
        </w:rPr>
        <w:t>This study addresses these gaps by integrating robust statistical modelling with formal theoretical analysis and empirical validation. The use of MAD as a central component of the classification framework, combined with bootstrap-based inference, provides a comprehensive approach that bridges the gap between theoretical robustness and practical applicability in financial regime classification.</w:t>
      </w:r>
    </w:p>
    <w:p w14:paraId="0FC7ABC1" w14:textId="77777777" w:rsidR="004B7EE6" w:rsidRPr="006B6B60" w:rsidRDefault="004B7EE6" w:rsidP="004B7404">
      <w:pPr>
        <w:jc w:val="both"/>
        <w:rPr>
          <w:rFonts w:ascii="Arial" w:hAnsi="Arial" w:cs="Arial"/>
          <w:sz w:val="24"/>
        </w:rPr>
      </w:pPr>
    </w:p>
    <w:p w14:paraId="7A14CE2C" w14:textId="77777777" w:rsidR="004B7EE6" w:rsidRPr="006B6B60" w:rsidRDefault="004B7EE6" w:rsidP="004B7404">
      <w:pPr>
        <w:jc w:val="both"/>
        <w:rPr>
          <w:rFonts w:ascii="Arial" w:hAnsi="Arial" w:cs="Arial"/>
          <w:b/>
          <w:bCs/>
        </w:rPr>
      </w:pPr>
      <w:r w:rsidRPr="006B6B60">
        <w:rPr>
          <w:rFonts w:ascii="Arial" w:hAnsi="Arial" w:cs="Arial"/>
          <w:b/>
          <w:bCs/>
        </w:rPr>
        <w:t>3. RESEARCH METHODOLOGY</w:t>
      </w:r>
    </w:p>
    <w:p w14:paraId="0B365DA2" w14:textId="77777777" w:rsidR="004B7EE6" w:rsidRPr="006B6B60" w:rsidRDefault="004B7EE6" w:rsidP="004B7404">
      <w:pPr>
        <w:jc w:val="both"/>
        <w:rPr>
          <w:rFonts w:ascii="Arial" w:hAnsi="Arial" w:cs="Arial"/>
          <w:b/>
          <w:bCs/>
        </w:rPr>
      </w:pPr>
      <w:r w:rsidRPr="006B6B60">
        <w:rPr>
          <w:rFonts w:ascii="Arial" w:hAnsi="Arial" w:cs="Arial"/>
          <w:b/>
          <w:bCs/>
        </w:rPr>
        <w:t>3.1 Data and Return Construction</w:t>
      </w:r>
    </w:p>
    <w:p w14:paraId="3FB2B5D7" w14:textId="77777777" w:rsidR="004B7EE6" w:rsidRPr="006B6B60" w:rsidRDefault="004B7EE6" w:rsidP="004B7404">
      <w:pPr>
        <w:jc w:val="both"/>
        <w:rPr>
          <w:rFonts w:ascii="Arial" w:eastAsiaTheme="minorEastAsia" w:hAnsi="Arial" w:cs="Arial"/>
          <w:sz w:val="20"/>
          <w:szCs w:val="20"/>
        </w:rPr>
      </w:pPr>
      <w:r w:rsidRPr="006B6B60">
        <w:rPr>
          <w:rFonts w:ascii="Arial" w:hAnsi="Arial" w:cs="Arial"/>
          <w:sz w:val="20"/>
          <w:szCs w:val="20"/>
        </w:rPr>
        <w:t xml:space="preserve">Let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Pr="006B6B60">
        <w:rPr>
          <w:rFonts w:ascii="Arial" w:eastAsiaTheme="minorEastAsia" w:hAnsi="Arial" w:cs="Arial"/>
          <w:sz w:val="20"/>
          <w:szCs w:val="20"/>
        </w:rPr>
        <w:t xml:space="preserve"> denote the closing price of a financial index at time </w:t>
      </w:r>
      <m:oMath>
        <m:r>
          <w:rPr>
            <w:rFonts w:ascii="Cambria Math" w:eastAsiaTheme="minorEastAsia" w:hAnsi="Cambria Math" w:cs="Arial"/>
            <w:sz w:val="20"/>
            <w:szCs w:val="20"/>
          </w:rPr>
          <m:t>t</m:t>
        </m:r>
      </m:oMath>
      <w:r w:rsidRPr="006B6B60">
        <w:rPr>
          <w:rFonts w:ascii="Arial" w:eastAsiaTheme="minorEastAsia" w:hAnsi="Arial" w:cs="Arial"/>
          <w:sz w:val="20"/>
          <w:szCs w:val="20"/>
        </w:rPr>
        <w:t xml:space="preserve">. The continuously compounded (log) return is defined as </w:t>
      </w:r>
    </w:p>
    <w:p w14:paraId="45F6D677"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hAnsi="Cambria Math" w:cs="Arial"/>
                  <w:sz w:val="20"/>
                  <w:szCs w:val="20"/>
                </w:rPr>
              </m:ctrlPr>
            </m:mPr>
            <m:mr>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ctrlPr>
                          <w:rPr>
                            <w:rFonts w:ascii="Cambria Math" w:hAnsi="Cambria Math" w:cs="Arial"/>
                            <w:i/>
                            <w:sz w:val="20"/>
                            <w:szCs w:val="20"/>
                          </w:rPr>
                        </m:ctrlPr>
                      </m:dPr>
                      <m:e>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e>
                    </m:d>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ctrlPr>
                          <w:rPr>
                            <w:rFonts w:ascii="Cambria Math" w:hAnsi="Cambria Math" w:cs="Arial"/>
                            <w:i/>
                            <w:sz w:val="20"/>
                            <w:szCs w:val="20"/>
                          </w:rPr>
                        </m:ctrlPr>
                      </m:dPr>
                      <m:e>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e>
                    </m:d>
                  </m:e>
                </m:func>
                <m:r>
                  <w:rPr>
                    <w:rFonts w:ascii="Cambria Math" w:hAnsi="Cambria Math" w:cs="Arial"/>
                    <w:sz w:val="20"/>
                    <w:szCs w:val="20"/>
                  </w:rPr>
                  <m:t>,</m:t>
                </m:r>
              </m:e>
              <m:e/>
              <m:e>
                <m:r>
                  <m:rPr>
                    <m:nor/>
                  </m:rPr>
                  <w:rPr>
                    <w:rFonts w:ascii="Arial" w:hAnsi="Arial" w:cs="Arial"/>
                    <w:sz w:val="20"/>
                    <w:szCs w:val="20"/>
                  </w:rPr>
                  <m:t>(1)</m:t>
                </m:r>
              </m:e>
            </m:mr>
          </m:m>
        </m:oMath>
      </m:oMathPara>
    </w:p>
    <w:p w14:paraId="298E7982"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t=2,3,…,n</m:t>
        </m:r>
      </m:oMath>
      <w:r w:rsidRPr="006B6B60">
        <w:rPr>
          <w:rFonts w:ascii="Arial" w:eastAsiaTheme="minorEastAsia" w:hAnsi="Arial" w:cs="Arial"/>
          <w:sz w:val="20"/>
          <w:szCs w:val="20"/>
        </w:rPr>
        <w:t>. The resulting return series is denoted by</w:t>
      </w:r>
    </w:p>
    <w:p w14:paraId="59D847BE"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e>
                </m:d>
                <m:r>
                  <w:rPr>
                    <w:rFonts w:ascii="Cambria Math" w:eastAsiaTheme="minorEastAsia" w:hAnsi="Cambria Math" w:cs="Arial"/>
                    <w:sz w:val="20"/>
                    <w:szCs w:val="20"/>
                  </w:rPr>
                  <m:t>.</m:t>
                </m:r>
              </m:e>
              <m:e/>
              <m:e>
                <m:r>
                  <m:rPr>
                    <m:nor/>
                  </m:rPr>
                  <w:rPr>
                    <w:rFonts w:ascii="Arial" w:eastAsiaTheme="minorEastAsia" w:hAnsi="Arial" w:cs="Arial"/>
                    <w:sz w:val="20"/>
                    <w:szCs w:val="20"/>
                  </w:rPr>
                  <m:t>(2)</m:t>
                </m:r>
              </m:e>
            </m:mr>
          </m:m>
        </m:oMath>
      </m:oMathPara>
    </w:p>
    <w:p w14:paraId="594523DB" w14:textId="77777777" w:rsidR="004B7EE6" w:rsidRPr="006B6B60" w:rsidRDefault="004B7EE6"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lastRenderedPageBreak/>
        <w:t>3.2 Median Absolute Deviation-Based Standardization</w:t>
      </w:r>
    </w:p>
    <w:p w14:paraId="4C7D6E9C"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Given the return series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oMath>
      <w:r w:rsidRPr="006B6B60">
        <w:rPr>
          <w:rFonts w:ascii="Arial" w:eastAsiaTheme="minorEastAsia" w:hAnsi="Arial" w:cs="Arial"/>
          <w:sz w:val="20"/>
          <w:szCs w:val="20"/>
        </w:rPr>
        <w:t xml:space="preserve"> the sample median is defined as</w:t>
      </w:r>
    </w:p>
    <w:p w14:paraId="03093FA7"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median</m:t>
                    </m:r>
                  </m:fName>
                  <m:e>
                    <m:d>
                      <m:dPr>
                        <m:ctrlPr>
                          <w:rPr>
                            <w:rFonts w:ascii="Cambria Math" w:eastAsiaTheme="minorEastAsia" w:hAnsi="Cambria Math" w:cs="Arial"/>
                            <w:i/>
                            <w:sz w:val="20"/>
                            <w:szCs w:val="20"/>
                          </w:rPr>
                        </m:ctrlPr>
                      </m:dP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e>
                    </m:d>
                  </m:e>
                </m:func>
                <m:r>
                  <w:rPr>
                    <w:rFonts w:ascii="Cambria Math" w:eastAsiaTheme="minorEastAsia" w:hAnsi="Cambria Math" w:cs="Arial"/>
                    <w:sz w:val="20"/>
                    <w:szCs w:val="20"/>
                  </w:rPr>
                  <m:t>.</m:t>
                </m:r>
              </m:e>
              <m:e/>
              <m:e>
                <m:r>
                  <m:rPr>
                    <m:nor/>
                  </m:rPr>
                  <w:rPr>
                    <w:rFonts w:ascii="Arial" w:eastAsiaTheme="minorEastAsia" w:hAnsi="Arial" w:cs="Arial"/>
                    <w:sz w:val="20"/>
                    <w:szCs w:val="20"/>
                  </w:rPr>
                  <m:t>(3)</m:t>
                </m:r>
              </m:e>
            </m:mr>
          </m:m>
        </m:oMath>
      </m:oMathPara>
    </w:p>
    <w:p w14:paraId="14DB8924"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The Median Absolute Deviation (MAD) is defined as</w:t>
      </w:r>
    </w:p>
    <w:p w14:paraId="4528E8A5"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func>
                      <m:funcPr>
                        <m:ctrlPr>
                          <w:rPr>
                            <w:rFonts w:ascii="Cambria Math" w:eastAsiaTheme="minorEastAsia" w:hAnsi="Cambria Math" w:cs="Arial"/>
                            <w:i/>
                            <w:sz w:val="20"/>
                            <w:szCs w:val="20"/>
                          </w:rPr>
                        </m:ctrlPr>
                      </m:funcPr>
                      <m:fName>
                        <m:ctrlPr>
                          <w:rPr>
                            <w:rFonts w:ascii="Cambria Math" w:eastAsiaTheme="minorEastAsia" w:hAnsi="Cambria Math" w:cs="Arial"/>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median</m:t>
                    </m:r>
                  </m:fName>
                  <m:e>
                    <m:d>
                      <m:dPr>
                        <m:ctrlPr>
                          <w:rPr>
                            <w:rFonts w:ascii="Cambria Math" w:eastAsiaTheme="minorEastAsia" w:hAnsi="Cambria Math" w:cs="Arial"/>
                            <w:i/>
                            <w:sz w:val="20"/>
                            <w:szCs w:val="20"/>
                          </w:rPr>
                        </m:ctrlPr>
                      </m:dPr>
                      <m:e>
                        <m:r>
                          <m:rPr>
                            <m:nor/>
                          </m:rPr>
                          <w:rPr>
                            <w:rFonts w:ascii="Cambria Math" w:eastAsiaTheme="minorEastAsia" w:hAnsi="Cambria Math" w:cs="Cambria Math"/>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m:rPr>
                            <m:nor/>
                          </m:rPr>
                          <w:rPr>
                            <w:rFonts w:ascii="Cambria Math" w:eastAsiaTheme="minorEastAsia" w:hAnsi="Cambria Math" w:cs="Cambria Math"/>
                            <w:sz w:val="20"/>
                            <w:szCs w:val="20"/>
                          </w:rPr>
                          <m:t>∣</m:t>
                        </m:r>
                      </m:e>
                    </m:d>
                  </m:e>
                </m:func>
                <m:r>
                  <w:rPr>
                    <w:rFonts w:ascii="Cambria Math" w:eastAsiaTheme="minorEastAsia" w:hAnsi="Cambria Math" w:cs="Arial"/>
                    <w:sz w:val="20"/>
                    <w:szCs w:val="20"/>
                  </w:rPr>
                  <m:t>.</m:t>
                </m:r>
              </m:e>
              <m:e/>
              <m:e>
                <m:r>
                  <m:rPr>
                    <m:nor/>
                  </m:rPr>
                  <w:rPr>
                    <w:rFonts w:ascii="Arial" w:eastAsiaTheme="minorEastAsia" w:hAnsi="Arial" w:cs="Arial"/>
                    <w:sz w:val="20"/>
                    <w:szCs w:val="20"/>
                  </w:rPr>
                  <m:t>(4)</m:t>
                </m:r>
              </m:e>
            </m:mr>
          </m:m>
        </m:oMath>
      </m:oMathPara>
    </w:p>
    <w:p w14:paraId="4D71E61F"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A robust standardized return score is constructed as</w:t>
      </w:r>
    </w:p>
    <w:p w14:paraId="2596077C"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num>
                  <m:den>
                    <m:sSub>
                      <m:sSubPr>
                        <m:ctrlPr>
                          <w:rPr>
                            <w:rFonts w:ascii="Cambria Math" w:eastAsiaTheme="minorEastAsia" w:hAnsi="Cambria Math" w:cs="Arial"/>
                            <w:sz w:val="20"/>
                            <w:szCs w:val="20"/>
                          </w:rPr>
                        </m:ctrlPr>
                      </m:sSubPr>
                      <m:e>
                        <m:func>
                          <m:funcPr>
                            <m:ctrlPr>
                              <w:rPr>
                                <w:rFonts w:ascii="Cambria Math" w:eastAsiaTheme="minorEastAsia" w:hAnsi="Cambria Math" w:cs="Arial"/>
                                <w:i/>
                                <w:sz w:val="20"/>
                                <w:szCs w:val="20"/>
                              </w:rPr>
                            </m:ctrlPr>
                          </m:funcPr>
                          <m:fName>
                            <m:ctrlPr>
                              <w:rPr>
                                <w:rFonts w:ascii="Cambria Math" w:eastAsiaTheme="minorEastAsia" w:hAnsi="Cambria Math" w:cs="Arial"/>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w:rPr>
                        <w:rFonts w:ascii="Cambria Math" w:eastAsiaTheme="minorEastAsia" w:hAnsi="Cambria Math" w:cs="Arial"/>
                        <w:sz w:val="20"/>
                        <w:szCs w:val="20"/>
                      </w:rPr>
                      <m:t>ε</m:t>
                    </m:r>
                  </m:den>
                </m:f>
                <m:r>
                  <w:rPr>
                    <w:rFonts w:ascii="Cambria Math" w:eastAsiaTheme="minorEastAsia" w:hAnsi="Cambria Math" w:cs="Arial"/>
                    <w:sz w:val="20"/>
                    <w:szCs w:val="20"/>
                  </w:rPr>
                  <m:t>,</m:t>
                </m:r>
              </m:e>
              <m:e/>
              <m:e>
                <m:r>
                  <m:rPr>
                    <m:nor/>
                  </m:rPr>
                  <w:rPr>
                    <w:rFonts w:ascii="Arial" w:eastAsiaTheme="minorEastAsia" w:hAnsi="Arial" w:cs="Arial"/>
                    <w:sz w:val="20"/>
                    <w:szCs w:val="20"/>
                  </w:rPr>
                  <m:t>(5)</m:t>
                </m:r>
              </m:e>
            </m:mr>
          </m:m>
        </m:oMath>
      </m:oMathPara>
    </w:p>
    <w:p w14:paraId="07A9D9D2"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ε&gt;0</m:t>
        </m:r>
      </m:oMath>
      <w:r w:rsidRPr="006B6B60">
        <w:rPr>
          <w:rFonts w:ascii="Arial" w:eastAsiaTheme="minorEastAsia" w:hAnsi="Arial" w:cs="Arial"/>
          <w:sz w:val="20"/>
          <w:szCs w:val="20"/>
        </w:rPr>
        <w:t xml:space="preserve"> is a small regularization constant to ensure numerical stability.</w:t>
      </w:r>
    </w:p>
    <w:p w14:paraId="1A16027E" w14:textId="77777777" w:rsidR="004B7EE6" w:rsidRPr="006B6B60" w:rsidRDefault="004B7EE6"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3.3 Regime Classification Model</w:t>
      </w:r>
    </w:p>
    <w:p w14:paraId="596A4DE6"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A five-state regime classification function is defined as a mapping</w:t>
      </w:r>
    </w:p>
    <w:p w14:paraId="5E3B5E40"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r>
                  <w:rPr>
                    <w:rFonts w:ascii="Cambria Math" w:eastAsiaTheme="minorEastAsia" w:hAnsi="Cambria Math" w:cs="Arial"/>
                    <w:sz w:val="20"/>
                    <w:szCs w:val="20"/>
                  </w:rPr>
                  <m:t>ϕ</m:t>
                </m:r>
                <m:r>
                  <w:rPr>
                    <w:rFonts w:ascii="Cambria Math" w:eastAsiaTheme="minorEastAsia" w:hAnsi="Cambria Math" w:cs="Arial"/>
                    <w:sz w:val="20"/>
                    <w:szCs w:val="20"/>
                  </w:rPr>
                  <m:t>:</m:t>
                </m:r>
                <m:r>
                  <w:rPr>
                    <w:rFonts w:ascii="Cambria Math" w:eastAsiaTheme="minorEastAsia" w:hAnsi="Cambria Math" w:cs="Arial"/>
                    <w:sz w:val="20"/>
                    <w:szCs w:val="20"/>
                  </w:rPr>
                  <m:t>R</m:t>
                </m:r>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1,2,3,4,5</m:t>
                    </m:r>
                  </m:e>
                </m:d>
                <m:r>
                  <w:rPr>
                    <w:rFonts w:ascii="Cambria Math" w:eastAsiaTheme="minorEastAsia" w:hAnsi="Cambria Math" w:cs="Arial"/>
                    <w:sz w:val="20"/>
                    <w:szCs w:val="20"/>
                  </w:rPr>
                  <m:t>,</m:t>
                </m:r>
              </m:e>
              <m:e/>
              <m:e>
                <m:r>
                  <m:rPr>
                    <m:nor/>
                  </m:rPr>
                  <w:rPr>
                    <w:rFonts w:ascii="Arial" w:eastAsiaTheme="minorEastAsia" w:hAnsi="Arial" w:cs="Arial"/>
                    <w:sz w:val="20"/>
                    <w:szCs w:val="20"/>
                  </w:rPr>
                  <m:t>(6)</m:t>
                </m:r>
              </m:e>
            </m:mr>
          </m:m>
        </m:oMath>
      </m:oMathPara>
    </w:p>
    <w:p w14:paraId="269B9418"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such that</w:t>
      </w:r>
    </w:p>
    <w:p w14:paraId="398D2433"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m>
                  <m:mPr>
                    <m:plcHide m:val="1"/>
                    <m:mcs>
                      <m:mc>
                        <m:mcPr>
                          <m:count m:val="2"/>
                          <m:mcJc m:val="center"/>
                        </m:mcPr>
                      </m:mc>
                    </m:mcs>
                    <m:ctrlPr>
                      <w:rPr>
                        <w:rFonts w:ascii="Cambria Math" w:eastAsiaTheme="minorEastAsia" w:hAnsi="Cambria Math" w:cs="Arial"/>
                        <w:sz w:val="20"/>
                        <w:szCs w:val="20"/>
                      </w:rPr>
                    </m:ctrlPr>
                  </m:mPr>
                  <m:mr>
                    <m:e>
                      <m:r>
                        <w:rPr>
                          <w:rFonts w:ascii="Cambria Math" w:eastAsiaTheme="minorEastAsia" w:hAnsi="Cambria Math" w:cs="Arial"/>
                          <w:sz w:val="20"/>
                          <w:szCs w:val="20"/>
                        </w:rPr>
                        <m:t>1,</m:t>
                      </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2,</m:t>
                      </m:r>
                    </m:e>
                    <m:e>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3,</m:t>
                      </m:r>
                    </m:e>
                    <m:e>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4,</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&lt;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5,</m:t>
                      </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&gt;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e>
                  </m:mr>
                </m:m>
              </m:e>
              <m:e/>
              <m:e>
                <m:r>
                  <m:rPr>
                    <m:nor/>
                  </m:rPr>
                  <w:rPr>
                    <w:rFonts w:ascii="Arial" w:eastAsiaTheme="minorEastAsia" w:hAnsi="Arial" w:cs="Arial"/>
                    <w:sz w:val="20"/>
                    <w:szCs w:val="20"/>
                  </w:rPr>
                  <m:t>(7)</m:t>
                </m:r>
              </m:e>
            </m:mr>
          </m:m>
        </m:oMath>
      </m:oMathPara>
    </w:p>
    <w:p w14:paraId="76B29D4E"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0&lt;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oMath>
      <w:r w:rsidRPr="006B6B60">
        <w:rPr>
          <w:rFonts w:ascii="Arial" w:eastAsiaTheme="minorEastAsia" w:hAnsi="Arial" w:cs="Arial"/>
          <w:sz w:val="20"/>
          <w:szCs w:val="20"/>
        </w:rPr>
        <w:t xml:space="preserve"> are threshold parameters controlling regime granularity.</w:t>
      </w:r>
    </w:p>
    <w:p w14:paraId="3D499EF0"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The regimes correspond to: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t</m:t>
            </m:r>
          </m:sub>
        </m:sSub>
        <m:r>
          <w:rPr>
            <w:rFonts w:ascii="Cambria Math" w:eastAsiaTheme="minorEastAsia" w:hAnsi="Cambria Math" w:cs="Arial"/>
            <w:sz w:val="20"/>
            <w:szCs w:val="20"/>
          </w:rPr>
          <m:t>=1</m:t>
        </m:r>
      </m:oMath>
      <w:r w:rsidRPr="006B6B60">
        <w:rPr>
          <w:rFonts w:ascii="Arial" w:eastAsiaTheme="minorEastAsia" w:hAnsi="Arial" w:cs="Arial"/>
          <w:sz w:val="20"/>
          <w:szCs w:val="20"/>
        </w:rPr>
        <w:t xml:space="preserve"> (Strong Bear),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t</m:t>
            </m:r>
          </m:sub>
        </m:sSub>
        <m:r>
          <w:rPr>
            <w:rFonts w:ascii="Cambria Math" w:eastAsiaTheme="minorEastAsia" w:hAnsi="Cambria Math" w:cs="Arial"/>
            <w:sz w:val="20"/>
            <w:szCs w:val="20"/>
          </w:rPr>
          <m:t>=2</m:t>
        </m:r>
      </m:oMath>
      <w:r w:rsidRPr="006B6B60">
        <w:rPr>
          <w:rFonts w:ascii="Arial" w:eastAsiaTheme="minorEastAsia" w:hAnsi="Arial" w:cs="Arial"/>
          <w:sz w:val="20"/>
          <w:szCs w:val="20"/>
        </w:rPr>
        <w:t xml:space="preserve"> (</w:t>
      </w:r>
      <w:r w:rsidRPr="006B6B60">
        <w:rPr>
          <w:rFonts w:ascii="Arial" w:hAnsi="Arial" w:cs="Arial"/>
          <w:sz w:val="20"/>
          <w:szCs w:val="20"/>
        </w:rPr>
        <w:t xml:space="preserve">Bear),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t</m:t>
            </m:r>
          </m:sub>
        </m:sSub>
        <m:r>
          <w:rPr>
            <w:rFonts w:ascii="Cambria Math" w:hAnsi="Cambria Math" w:cs="Arial"/>
            <w:sz w:val="20"/>
            <w:szCs w:val="20"/>
          </w:rPr>
          <m:t>=3</m:t>
        </m:r>
      </m:oMath>
      <w:r w:rsidRPr="006B6B60">
        <w:rPr>
          <w:rFonts w:ascii="Arial" w:eastAsiaTheme="minorEastAsia" w:hAnsi="Arial" w:cs="Arial"/>
          <w:sz w:val="20"/>
          <w:szCs w:val="20"/>
        </w:rPr>
        <w:t xml:space="preserve"> (</w:t>
      </w:r>
      <w:r w:rsidRPr="006B6B60">
        <w:rPr>
          <w:rFonts w:ascii="Arial" w:hAnsi="Arial" w:cs="Arial"/>
          <w:sz w:val="20"/>
          <w:szCs w:val="20"/>
        </w:rPr>
        <w:t xml:space="preserve">Neutral),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t</m:t>
            </m:r>
          </m:sub>
        </m:sSub>
        <m:r>
          <w:rPr>
            <w:rFonts w:ascii="Cambria Math" w:hAnsi="Cambria Math" w:cs="Arial"/>
            <w:sz w:val="20"/>
            <w:szCs w:val="20"/>
          </w:rPr>
          <m:t>=4</m:t>
        </m:r>
      </m:oMath>
      <w:r w:rsidR="00115985" w:rsidRPr="006B6B60">
        <w:rPr>
          <w:rFonts w:ascii="Arial" w:eastAsiaTheme="minorEastAsia" w:hAnsi="Arial" w:cs="Arial"/>
          <w:sz w:val="20"/>
          <w:szCs w:val="20"/>
        </w:rPr>
        <w:t xml:space="preserve"> </w:t>
      </w:r>
      <w:r w:rsidRPr="006B6B60">
        <w:rPr>
          <w:rFonts w:ascii="Arial" w:eastAsiaTheme="minorEastAsia" w:hAnsi="Arial" w:cs="Arial"/>
          <w:sz w:val="20"/>
          <w:szCs w:val="20"/>
        </w:rPr>
        <w:t>(</w:t>
      </w:r>
      <w:r w:rsidR="00115985" w:rsidRPr="006B6B60">
        <w:rPr>
          <w:rFonts w:ascii="Arial" w:hAnsi="Arial" w:cs="Arial"/>
          <w:sz w:val="20"/>
          <w:szCs w:val="20"/>
        </w:rPr>
        <w:t>Bull),</w:t>
      </w:r>
      <w:r w:rsidR="00115985" w:rsidRPr="006B6B60">
        <w:rPr>
          <w:rFonts w:ascii="Arial" w:eastAsiaTheme="minorEastAsia" w:hAnsi="Arial" w:cs="Arial"/>
          <w:sz w:val="20"/>
          <w:szCs w:val="20"/>
        </w:rPr>
        <w:t xml:space="preserv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t</m:t>
            </m:r>
          </m:sub>
        </m:sSub>
        <m:r>
          <w:rPr>
            <w:rFonts w:ascii="Cambria Math" w:eastAsiaTheme="minorEastAsia" w:hAnsi="Cambria Math" w:cs="Arial"/>
            <w:sz w:val="20"/>
            <w:szCs w:val="20"/>
          </w:rPr>
          <m:t>=5</m:t>
        </m:r>
      </m:oMath>
      <w:r w:rsidR="00115985" w:rsidRPr="006B6B60">
        <w:rPr>
          <w:rFonts w:ascii="Arial" w:eastAsiaTheme="minorEastAsia" w:hAnsi="Arial" w:cs="Arial"/>
          <w:sz w:val="20"/>
          <w:szCs w:val="20"/>
        </w:rPr>
        <w:t xml:space="preserve"> (</w:t>
      </w:r>
      <w:r w:rsidR="00115985" w:rsidRPr="006B6B60">
        <w:rPr>
          <w:rFonts w:ascii="Arial" w:hAnsi="Arial" w:cs="Arial"/>
          <w:sz w:val="20"/>
          <w:szCs w:val="20"/>
        </w:rPr>
        <w:t>Strong Bull).</w:t>
      </w:r>
    </w:p>
    <w:p w14:paraId="4C6342B7"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3.4 Benchmark Classification Methods</w:t>
      </w:r>
    </w:p>
    <w:p w14:paraId="1703450B"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evaluate the effectiveness of the proposed model, two benchmark approaches are considered.</w:t>
      </w:r>
    </w:p>
    <w:p w14:paraId="737C7350"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3.4.1 Standard Deviation-Based Classification</w:t>
      </w:r>
    </w:p>
    <w:p w14:paraId="0860A65F"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The classical standardized score is given by</w:t>
      </w:r>
    </w:p>
    <w:p w14:paraId="7EDB49F9" w14:textId="77777777" w:rsidR="004B7EE6"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SD</m:t>
                    </m:r>
                  </m:sup>
                </m:sSubSup>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num>
                  <m:den>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den>
                </m:f>
                <m:r>
                  <w:rPr>
                    <w:rFonts w:ascii="Cambria Math" w:eastAsiaTheme="minorEastAsia" w:hAnsi="Cambria Math" w:cs="Arial"/>
                    <w:sz w:val="20"/>
                    <w:szCs w:val="20"/>
                  </w:rPr>
                  <m:t>,</m:t>
                </m:r>
              </m:e>
              <m:e/>
              <m:e>
                <m:r>
                  <m:rPr>
                    <m:nor/>
                  </m:rPr>
                  <w:rPr>
                    <w:rFonts w:ascii="Arial" w:eastAsiaTheme="minorEastAsia" w:hAnsi="Arial" w:cs="Arial"/>
                    <w:sz w:val="20"/>
                    <w:szCs w:val="20"/>
                  </w:rPr>
                  <m:t>(8)</m:t>
                </m:r>
              </m:e>
            </m:mr>
          </m:m>
        </m:oMath>
      </m:oMathPara>
    </w:p>
    <w:p w14:paraId="3DB1CFE4"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where</w:t>
      </w:r>
    </w:p>
    <w:p w14:paraId="6981302C"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nary>
                  <m:naryPr>
                    <m:chr m:val="∑"/>
                    <m:limLoc m:val="undOvr"/>
                    <m:grow m:val="1"/>
                    <m:ctrlPr>
                      <w:rPr>
                        <w:rFonts w:ascii="Cambria Math" w:eastAsiaTheme="minorEastAsia" w:hAnsi="Cambria Math" w:cs="Arial"/>
                        <w:sz w:val="20"/>
                        <w:szCs w:val="20"/>
                      </w:rPr>
                    </m:ctrlPr>
                  </m:naryPr>
                  <m:sub>
                    <m:r>
                      <w:rPr>
                        <w:rFonts w:ascii="Cambria Math" w:eastAsiaTheme="minorEastAsia" w:hAnsi="Cambria Math" w:cs="Arial"/>
                        <w:sz w:val="20"/>
                        <w:szCs w:val="20"/>
                      </w:rPr>
                      <m:t>t</m:t>
                    </m:r>
                    <m:r>
                      <w:rPr>
                        <w:rFonts w:ascii="Cambria Math" w:eastAsiaTheme="minorEastAsia" w:hAnsi="Cambria Math" w:cs="Arial"/>
                        <w:sz w:val="20"/>
                        <w:szCs w:val="20"/>
                      </w:rPr>
                      <m:t>=1</m:t>
                    </m:r>
                  </m:sub>
                  <m:sup>
                    <m:r>
                      <w:rPr>
                        <w:rFonts w:ascii="Cambria Math" w:eastAsiaTheme="minorEastAsia" w:hAnsi="Cambria Math" w:cs="Arial"/>
                        <w:sz w:val="20"/>
                        <w:szCs w:val="20"/>
                      </w:rPr>
                      <m:t>n</m:t>
                    </m:r>
                  </m:sup>
                  <m:e/>
                </m:nary>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ad>
                  <m:radPr>
                    <m:degHide m:val="1"/>
                    <m:ctrlPr>
                      <w:rPr>
                        <w:rFonts w:ascii="Cambria Math" w:eastAsiaTheme="minorEastAsia" w:hAnsi="Cambria Math" w:cs="Arial"/>
                        <w:sz w:val="20"/>
                        <w:szCs w:val="20"/>
                      </w:rPr>
                    </m:ctrlPr>
                  </m:radPr>
                  <m:deg/>
                  <m:e>
                    <m:f>
                      <m:fPr>
                        <m:ctrlPr>
                          <w:rPr>
                            <w:rFonts w:ascii="Cambria Math" w:eastAsiaTheme="minorEastAsia" w:hAnsi="Cambria Math" w:cs="Arial"/>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r>
                          <w:rPr>
                            <w:rFonts w:ascii="Cambria Math" w:eastAsiaTheme="minorEastAsia" w:hAnsi="Cambria Math" w:cs="Arial"/>
                            <w:sz w:val="20"/>
                            <w:szCs w:val="20"/>
                          </w:rPr>
                          <m:t>-</m:t>
                        </m:r>
                        <m:r>
                          <w:rPr>
                            <w:rFonts w:ascii="Cambria Math" w:eastAsiaTheme="minorEastAsia" w:hAnsi="Cambria Math" w:cs="Arial"/>
                            <w:sz w:val="20"/>
                            <w:szCs w:val="20"/>
                          </w:rPr>
                          <m:t>1</m:t>
                        </m:r>
                      </m:den>
                    </m:f>
                    <m:nary>
                      <m:naryPr>
                        <m:chr m:val="∑"/>
                        <m:limLoc m:val="undOvr"/>
                        <m:grow m:val="1"/>
                        <m:ctrlPr>
                          <w:rPr>
                            <w:rFonts w:ascii="Cambria Math" w:eastAsiaTheme="minorEastAsia" w:hAnsi="Cambria Math" w:cs="Arial"/>
                            <w:sz w:val="20"/>
                            <w:szCs w:val="20"/>
                          </w:rPr>
                        </m:ctrlPr>
                      </m:naryPr>
                      <m:sub>
                        <m:r>
                          <w:rPr>
                            <w:rFonts w:ascii="Cambria Math" w:eastAsiaTheme="minorEastAsia" w:hAnsi="Cambria Math" w:cs="Arial"/>
                            <w:sz w:val="20"/>
                            <w:szCs w:val="20"/>
                          </w:rPr>
                          <m:t>t</m:t>
                        </m:r>
                        <m:r>
                          <w:rPr>
                            <w:rFonts w:ascii="Cambria Math" w:eastAsiaTheme="minorEastAsia" w:hAnsi="Cambria Math" w:cs="Arial"/>
                            <w:sz w:val="20"/>
                            <w:szCs w:val="20"/>
                          </w:rPr>
                          <m:t>=1</m:t>
                        </m:r>
                      </m:sub>
                      <m:sup>
                        <m:r>
                          <w:rPr>
                            <w:rFonts w:ascii="Cambria Math" w:eastAsiaTheme="minorEastAsia" w:hAnsi="Cambria Math" w:cs="Arial"/>
                            <w:sz w:val="20"/>
                            <w:szCs w:val="20"/>
                          </w:rPr>
                          <m:t>n</m:t>
                        </m:r>
                      </m:sup>
                      <m:e/>
                    </m:nary>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m:t>
                        </m:r>
                      </m:e>
                      <m:sup>
                        <m:r>
                          <w:rPr>
                            <w:rFonts w:ascii="Cambria Math" w:eastAsiaTheme="minorEastAsia" w:hAnsi="Cambria Math" w:cs="Arial"/>
                            <w:sz w:val="20"/>
                            <w:szCs w:val="20"/>
                          </w:rPr>
                          <m:t>2</m:t>
                        </m:r>
                      </m:sup>
                    </m:sSup>
                  </m:e>
                </m:rad>
                <m:r>
                  <w:rPr>
                    <w:rFonts w:ascii="Cambria Math" w:eastAsiaTheme="minorEastAsia" w:hAnsi="Cambria Math" w:cs="Arial"/>
                    <w:sz w:val="20"/>
                    <w:szCs w:val="20"/>
                  </w:rPr>
                  <m:t>.</m:t>
                </m:r>
              </m:e>
              <m:e/>
              <m:e>
                <m:r>
                  <m:rPr>
                    <m:nor/>
                  </m:rPr>
                  <w:rPr>
                    <w:rFonts w:ascii="Arial" w:eastAsiaTheme="minorEastAsia" w:hAnsi="Arial" w:cs="Arial"/>
                    <w:sz w:val="20"/>
                    <w:szCs w:val="20"/>
                  </w:rPr>
                  <m:t>(9)</m:t>
                </m:r>
              </m:e>
            </m:mr>
          </m:m>
        </m:oMath>
      </m:oMathPara>
    </w:p>
    <w:p w14:paraId="1C21F9BA"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Classification is performed using thresholds identical to equation (7).</w:t>
      </w:r>
    </w:p>
    <w:p w14:paraId="5E762411"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3.4.2 Quantile-Based Classification</w:t>
      </w:r>
    </w:p>
    <w:p w14:paraId="755295A9"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Let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p</m:t>
            </m:r>
          </m:sub>
        </m:sSub>
      </m:oMath>
      <w:r w:rsidRPr="006B6B60">
        <w:rPr>
          <w:rFonts w:ascii="Arial" w:eastAsiaTheme="minorEastAsia" w:hAnsi="Arial" w:cs="Arial"/>
          <w:sz w:val="20"/>
          <w:szCs w:val="20"/>
        </w:rPr>
        <w:t xml:space="preserve"> denote the empirical </w:t>
      </w:r>
      <m:oMath>
        <m:r>
          <w:rPr>
            <w:rFonts w:ascii="Cambria Math" w:eastAsiaTheme="minorEastAsia" w:hAnsi="Cambria Math" w:cs="Arial"/>
            <w:sz w:val="20"/>
            <w:szCs w:val="20"/>
          </w:rPr>
          <m:t>p</m:t>
        </m:r>
      </m:oMath>
      <w:r w:rsidRPr="006B6B60">
        <w:rPr>
          <w:rFonts w:ascii="Arial" w:eastAsiaTheme="minorEastAsia" w:hAnsi="Arial" w:cs="Arial"/>
          <w:sz w:val="20"/>
          <w:szCs w:val="20"/>
        </w:rPr>
        <w:t>th quantile of the return distribution. The classification rule is</w:t>
      </w:r>
    </w:p>
    <w:p w14:paraId="7C446D66"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Q</m:t>
                    </m:r>
                  </m:sup>
                </m:sSubSup>
                <m:r>
                  <w:rPr>
                    <w:rFonts w:ascii="Cambria Math" w:eastAsiaTheme="minorEastAsia" w:hAnsi="Cambria Math" w:cs="Arial"/>
                    <w:sz w:val="20"/>
                    <w:szCs w:val="20"/>
                  </w:rPr>
                  <m:t>={</m:t>
                </m:r>
                <m:m>
                  <m:mPr>
                    <m:plcHide m:val="1"/>
                    <m:mcs>
                      <m:mc>
                        <m:mcPr>
                          <m:count m:val="2"/>
                          <m:mcJc m:val="center"/>
                        </m:mcPr>
                      </m:mc>
                    </m:mcs>
                    <m:ctrlPr>
                      <w:rPr>
                        <w:rFonts w:ascii="Cambria Math" w:eastAsiaTheme="minorEastAsia" w:hAnsi="Cambria Math" w:cs="Arial"/>
                        <w:sz w:val="20"/>
                        <w:szCs w:val="20"/>
                      </w:rPr>
                    </m:ctrlPr>
                  </m:mPr>
                  <m:mr>
                    <m:e>
                      <m:r>
                        <w:rPr>
                          <w:rFonts w:ascii="Cambria Math" w:eastAsiaTheme="minorEastAsia" w:hAnsi="Cambria Math" w:cs="Arial"/>
                          <w:sz w:val="20"/>
                          <w:szCs w:val="20"/>
                        </w:rPr>
                        <m:t>1,</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0.20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2,</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0.20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0.40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3,</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0.40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0.60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4,</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0.60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0.80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5,</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0.80</m:t>
                          </m:r>
                        </m:sub>
                      </m:sSub>
                      <m:r>
                        <w:rPr>
                          <w:rFonts w:ascii="Cambria Math" w:eastAsiaTheme="minorEastAsia" w:hAnsi="Cambria Math" w:cs="Arial"/>
                          <w:sz w:val="20"/>
                          <w:szCs w:val="20"/>
                        </w:rPr>
                        <m:t>.</m:t>
                      </m:r>
                    </m:e>
                  </m:mr>
                </m:m>
              </m:e>
              <m:e/>
              <m:e>
                <m:r>
                  <m:rPr>
                    <m:nor/>
                  </m:rPr>
                  <w:rPr>
                    <w:rFonts w:ascii="Arial" w:eastAsiaTheme="minorEastAsia" w:hAnsi="Arial" w:cs="Arial"/>
                    <w:sz w:val="20"/>
                    <w:szCs w:val="20"/>
                  </w:rPr>
                  <m:t>(10)</m:t>
                </m:r>
              </m:e>
            </m:mr>
          </m:m>
        </m:oMath>
      </m:oMathPara>
    </w:p>
    <w:p w14:paraId="6825EFBE"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3.5 Robustness Evaluation Framework</w:t>
      </w:r>
    </w:p>
    <w:p w14:paraId="126B3873"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assess the stability of classification under extreme observations, an artificial contamination process is introduced.</w:t>
      </w:r>
    </w:p>
    <w:p w14:paraId="366140E3"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Let the contaminated return series be defined as</w:t>
      </w:r>
    </w:p>
    <w:p w14:paraId="4C030547"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t</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m>
                  <m:mPr>
                    <m:plcHide m:val="1"/>
                    <m:mcs>
                      <m:mc>
                        <m:mcPr>
                          <m:count m:val="2"/>
                          <m:mcJc m:val="center"/>
                        </m:mcPr>
                      </m:mc>
                    </m:mcs>
                    <m:ctrlPr>
                      <w:rPr>
                        <w:rFonts w:ascii="Cambria Math" w:eastAsiaTheme="minorEastAsia" w:hAnsi="Cambria Math" w:cs="Arial"/>
                        <w:sz w:val="20"/>
                        <w:szCs w:val="20"/>
                      </w:rPr>
                    </m:ctrlPr>
                  </m:mPr>
                  <m:m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kσ</m:t>
                      </m:r>
                      <m:r>
                        <w:rPr>
                          <w:rFonts w:ascii="Cambria Math" w:eastAsiaTheme="minorEastAsia" w:hAnsi="Cambria Math" w:cs="Arial"/>
                          <w:sz w:val="20"/>
                          <w:szCs w:val="20"/>
                        </w:rPr>
                        <m:t>,</m:t>
                      </m:r>
                    </m:e>
                    <m:e>
                      <m:r>
                        <w:rPr>
                          <w:rFonts w:ascii="Cambria Math" w:eastAsiaTheme="minorEastAsia" w:hAnsi="Cambria Math" w:cs="Arial"/>
                          <w:sz w:val="20"/>
                          <w:szCs w:val="20"/>
                        </w:rPr>
                        <m:t>t</m:t>
                      </m:r>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t>
                          </m:r>
                        </m:sub>
                      </m:sSub>
                      <m:r>
                        <w:rPr>
                          <w:rFonts w:ascii="Cambria Math" w:eastAsiaTheme="minorEastAsia" w:hAnsi="Cambria Math" w:cs="Arial"/>
                          <w:sz w:val="20"/>
                          <w:szCs w:val="20"/>
                        </w:rPr>
                        <m:t>,</m:t>
                      </m:r>
                    </m:e>
                  </m:mr>
                  <m:m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kσ</m:t>
                      </m:r>
                      <m:r>
                        <w:rPr>
                          <w:rFonts w:ascii="Cambria Math" w:eastAsiaTheme="minorEastAsia" w:hAnsi="Cambria Math" w:cs="Arial"/>
                          <w:sz w:val="20"/>
                          <w:szCs w:val="20"/>
                        </w:rPr>
                        <m:t>,</m:t>
                      </m:r>
                    </m:e>
                    <m:e>
                      <m:r>
                        <w:rPr>
                          <w:rFonts w:ascii="Cambria Math" w:eastAsiaTheme="minorEastAsia" w:hAnsi="Cambria Math" w:cs="Arial"/>
                          <w:sz w:val="20"/>
                          <w:szCs w:val="20"/>
                        </w:rPr>
                        <m:t>t</m:t>
                      </m:r>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t>
                          </m:r>
                        </m:sub>
                      </m:sSub>
                      <m:r>
                        <w:rPr>
                          <w:rFonts w:ascii="Cambria Math" w:eastAsiaTheme="minorEastAsia" w:hAnsi="Cambria Math" w:cs="Arial"/>
                          <w:sz w:val="20"/>
                          <w:szCs w:val="20"/>
                        </w:rPr>
                        <m:t>,</m:t>
                      </m:r>
                    </m:e>
                  </m:mr>
                  <m:m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e>
                    <m:e>
                      <m:r>
                        <m:rPr>
                          <m:nor/>
                        </m:rPr>
                        <w:rPr>
                          <w:rFonts w:ascii="Arial" w:eastAsiaTheme="minorEastAsia" w:hAnsi="Arial" w:cs="Arial"/>
                          <w:sz w:val="20"/>
                          <w:szCs w:val="20"/>
                        </w:rPr>
                        <m:t>otherwise</m:t>
                      </m:r>
                      <m:r>
                        <w:rPr>
                          <w:rFonts w:ascii="Cambria Math" w:eastAsiaTheme="minorEastAsia" w:hAnsi="Cambria Math" w:cs="Arial"/>
                          <w:sz w:val="20"/>
                          <w:szCs w:val="20"/>
                        </w:rPr>
                        <m:t>,</m:t>
                      </m:r>
                    </m:e>
                  </m:mr>
                </m:m>
              </m:e>
              <m:e/>
              <m:e>
                <m:r>
                  <m:rPr>
                    <m:nor/>
                  </m:rPr>
                  <w:rPr>
                    <w:rFonts w:ascii="Arial" w:eastAsiaTheme="minorEastAsia" w:hAnsi="Arial" w:cs="Arial"/>
                    <w:sz w:val="20"/>
                    <w:szCs w:val="20"/>
                  </w:rPr>
                  <m:t>(11)</m:t>
                </m:r>
              </m:e>
            </m:mr>
          </m:m>
        </m:oMath>
      </m:oMathPara>
    </w:p>
    <w:p w14:paraId="2AEE5334"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where:</w:t>
      </w:r>
    </w:p>
    <w:p w14:paraId="13FAC6A3" w14:textId="77777777" w:rsidR="00115985" w:rsidRPr="006B6B60" w:rsidRDefault="00115985" w:rsidP="004B7404">
      <w:pPr>
        <w:jc w:val="both"/>
        <w:rPr>
          <w:rFonts w:ascii="Arial" w:eastAsiaTheme="minorEastAsia" w:hAnsi="Arial" w:cs="Arial"/>
          <w:sz w:val="20"/>
          <w:szCs w:val="20"/>
        </w:rPr>
      </w:pPr>
      <m:oMath>
        <m:r>
          <w:rPr>
            <w:rFonts w:ascii="Cambria Math" w:eastAsiaTheme="minorEastAsia" w:hAnsi="Cambria Math" w:cs="Arial"/>
            <w:sz w:val="20"/>
            <w:szCs w:val="20"/>
          </w:rPr>
          <m:t>σ</m:t>
        </m:r>
      </m:oMath>
      <w:r w:rsidRPr="006B6B60">
        <w:rPr>
          <w:rFonts w:ascii="Arial" w:eastAsiaTheme="minorEastAsia" w:hAnsi="Arial" w:cs="Arial"/>
          <w:sz w:val="20"/>
          <w:szCs w:val="20"/>
        </w:rPr>
        <w:t xml:space="preserve"> </w:t>
      </w:r>
      <w:r w:rsidRPr="006B6B60">
        <w:rPr>
          <w:rFonts w:ascii="Arial" w:hAnsi="Arial" w:cs="Arial"/>
          <w:sz w:val="20"/>
          <w:szCs w:val="20"/>
        </w:rPr>
        <w:t xml:space="preserve">is the sample standard deviation, </w:t>
      </w:r>
      <m:oMath>
        <m:r>
          <w:rPr>
            <w:rFonts w:ascii="Cambria Math" w:hAnsi="Cambria Math" w:cs="Arial"/>
            <w:sz w:val="20"/>
            <w:szCs w:val="20"/>
          </w:rPr>
          <m:t>k&gt;0</m:t>
        </m:r>
      </m:oMath>
      <w:r w:rsidRPr="006B6B60">
        <w:rPr>
          <w:rFonts w:ascii="Arial" w:eastAsiaTheme="minorEastAsia" w:hAnsi="Arial" w:cs="Arial"/>
          <w:sz w:val="20"/>
          <w:szCs w:val="20"/>
        </w:rPr>
        <w:t xml:space="preserve"> </w:t>
      </w:r>
      <w:r w:rsidRPr="006B6B60">
        <w:rPr>
          <w:rFonts w:ascii="Arial" w:hAnsi="Arial" w:cs="Arial"/>
          <w:sz w:val="20"/>
          <w:szCs w:val="20"/>
        </w:rPr>
        <w:t xml:space="preserve">is a contamination multiplier, </w:t>
      </w:r>
      <m:oMath>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m:t>
            </m:r>
          </m:sub>
        </m:sSub>
      </m:oMath>
      <w:r w:rsidRPr="006B6B60">
        <w:rPr>
          <w:rFonts w:ascii="Arial" w:eastAsiaTheme="minorEastAsia" w:hAnsi="Arial" w:cs="Arial"/>
          <w:sz w:val="20"/>
          <w:szCs w:val="20"/>
        </w:rPr>
        <w:t xml:space="preserve"> </w:t>
      </w:r>
      <w:r w:rsidRPr="006B6B60">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m:t>
            </m:r>
          </m:sub>
        </m:sSub>
      </m:oMath>
      <w:r w:rsidRPr="006B6B60">
        <w:rPr>
          <w:rFonts w:ascii="Arial" w:eastAsiaTheme="minorEastAsia" w:hAnsi="Arial" w:cs="Arial"/>
          <w:sz w:val="20"/>
          <w:szCs w:val="20"/>
        </w:rPr>
        <w:t xml:space="preserve"> are index sets representing positive and negative extreme injections.</w:t>
      </w:r>
    </w:p>
    <w:p w14:paraId="16A31F67" w14:textId="77777777" w:rsidR="00115985" w:rsidRPr="006B6B60" w:rsidRDefault="00115985" w:rsidP="004B7404">
      <w:pPr>
        <w:jc w:val="both"/>
        <w:rPr>
          <w:rFonts w:ascii="Arial" w:hAnsi="Arial" w:cs="Arial"/>
          <w:b/>
          <w:bCs/>
          <w:sz w:val="20"/>
          <w:szCs w:val="20"/>
        </w:rPr>
      </w:pPr>
      <w:r w:rsidRPr="006B6B60">
        <w:rPr>
          <w:rFonts w:ascii="Arial" w:hAnsi="Arial" w:cs="Arial"/>
          <w:b/>
          <w:bCs/>
          <w:sz w:val="20"/>
          <w:szCs w:val="20"/>
        </w:rPr>
        <w:t>3.6 Performance Metrics</w:t>
      </w:r>
    </w:p>
    <w:p w14:paraId="0AF87123" w14:textId="77777777" w:rsidR="00115985" w:rsidRPr="006B6B60" w:rsidRDefault="00115985" w:rsidP="004B7404">
      <w:pPr>
        <w:jc w:val="both"/>
        <w:rPr>
          <w:rFonts w:ascii="Arial" w:hAnsi="Arial" w:cs="Arial"/>
          <w:b/>
          <w:bCs/>
          <w:sz w:val="20"/>
          <w:szCs w:val="20"/>
        </w:rPr>
      </w:pPr>
      <w:r w:rsidRPr="006B6B60">
        <w:rPr>
          <w:rFonts w:ascii="Arial" w:hAnsi="Arial" w:cs="Arial"/>
          <w:b/>
          <w:bCs/>
          <w:sz w:val="20"/>
          <w:szCs w:val="20"/>
        </w:rPr>
        <w:t>3.6.1 Regime Balance Index (RBI)</w:t>
      </w:r>
    </w:p>
    <w:p w14:paraId="78190076" w14:textId="77777777" w:rsidR="00115985"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hAnsi="Cambria Math" w:cs="Arial"/>
                  <w:bCs/>
                  <w:sz w:val="20"/>
                  <w:szCs w:val="20"/>
                </w:rPr>
              </m:ctrlPr>
            </m:mPr>
            <m:mr>
              <m:e/>
              <m:e>
                <m:r>
                  <m:rPr>
                    <m:nor/>
                  </m:rPr>
                  <w:rPr>
                    <w:rFonts w:ascii="Arial" w:hAnsi="Arial" w:cs="Arial"/>
                    <w:bCs/>
                    <w:sz w:val="20"/>
                    <w:szCs w:val="20"/>
                  </w:rPr>
                  <m:t>RBI</m:t>
                </m:r>
                <m:r>
                  <w:rPr>
                    <w:rFonts w:ascii="Cambria Math" w:hAnsi="Cambria Math" w:cs="Arial"/>
                    <w:sz w:val="20"/>
                    <w:szCs w:val="20"/>
                  </w:rPr>
                  <m:t>=1-</m:t>
                </m:r>
                <m:f>
                  <m:fPr>
                    <m:ctrlPr>
                      <w:rPr>
                        <w:rFonts w:ascii="Cambria Math" w:hAnsi="Cambria Math" w:cs="Arial"/>
                        <w:bCs/>
                        <w:sz w:val="20"/>
                        <w:szCs w:val="20"/>
                      </w:rPr>
                    </m:ctrlPr>
                  </m:fPr>
                  <m:num>
                    <m:limLow>
                      <m:limLowPr>
                        <m:ctrlPr>
                          <w:rPr>
                            <w:rFonts w:ascii="Cambria Math" w:hAnsi="Cambria Math" w:cs="Arial"/>
                            <w:bCs/>
                            <w:sz w:val="20"/>
                            <w:szCs w:val="20"/>
                          </w:rPr>
                        </m:ctrlPr>
                      </m:limLowPr>
                      <m:e>
                        <m:func>
                          <m:funcPr>
                            <m:ctrlPr>
                              <w:rPr>
                                <w:rFonts w:ascii="Cambria Math" w:hAnsi="Cambria Math" w:cs="Arial"/>
                                <w:bCs/>
                                <w:i/>
                                <w:sz w:val="20"/>
                                <w:szCs w:val="20"/>
                              </w:rPr>
                            </m:ctrlPr>
                          </m:funcPr>
                          <m:fName>
                            <m:r>
                              <m:rPr>
                                <m:sty m:val="p"/>
                              </m:rPr>
                              <w:rPr>
                                <w:rFonts w:ascii="Cambria Math" w:hAnsi="Cambria Math" w:cs="Arial"/>
                                <w:sz w:val="20"/>
                                <w:szCs w:val="20"/>
                              </w:rPr>
                              <m:t>max</m:t>
                            </m:r>
                            <m:ctrlPr>
                              <w:rPr>
                                <w:rFonts w:ascii="Cambria Math" w:hAnsi="Cambria Math" w:cs="Arial"/>
                                <w:bCs/>
                                <w:sz w:val="20"/>
                                <w:szCs w:val="20"/>
                              </w:rPr>
                            </m:ctrlPr>
                          </m:fName>
                          <m:e/>
                        </m:func>
                      </m:e>
                      <m:lim>
                        <m:r>
                          <w:rPr>
                            <w:rFonts w:ascii="Cambria Math" w:hAnsi="Cambria Math" w:cs="Arial"/>
                            <w:sz w:val="20"/>
                            <w:szCs w:val="20"/>
                          </w:rPr>
                          <m:t>k</m:t>
                        </m:r>
                      </m:lim>
                    </m:limLow>
                    <m:sSub>
                      <m:sSubPr>
                        <m:ctrlPr>
                          <w:rPr>
                            <w:rFonts w:ascii="Cambria Math" w:hAnsi="Cambria Math" w:cs="Arial"/>
                            <w:bCs/>
                            <w:sz w:val="20"/>
                            <w:szCs w:val="20"/>
                          </w:rPr>
                        </m:ctrlPr>
                      </m:sSubPr>
                      <m:e>
                        <m:r>
                          <w:rPr>
                            <w:rFonts w:ascii="Cambria Math" w:hAnsi="Cambria Math" w:cs="Arial"/>
                            <w:sz w:val="20"/>
                            <w:szCs w:val="20"/>
                          </w:rPr>
                          <m:t>n</m:t>
                        </m:r>
                      </m:e>
                      <m:sub>
                        <m:r>
                          <w:rPr>
                            <w:rFonts w:ascii="Cambria Math" w:hAnsi="Cambria Math" w:cs="Arial"/>
                            <w:sz w:val="20"/>
                            <w:szCs w:val="20"/>
                          </w:rPr>
                          <m:t>k</m:t>
                        </m:r>
                      </m:sub>
                    </m:sSub>
                    <m:r>
                      <w:rPr>
                        <w:rFonts w:ascii="Cambria Math" w:hAnsi="Cambria Math" w:cs="Arial"/>
                        <w:sz w:val="20"/>
                        <w:szCs w:val="20"/>
                      </w:rPr>
                      <m:t>-</m:t>
                    </m:r>
                    <m:limLow>
                      <m:limLowPr>
                        <m:ctrlPr>
                          <w:rPr>
                            <w:rFonts w:ascii="Cambria Math" w:hAnsi="Cambria Math" w:cs="Arial"/>
                            <w:bCs/>
                            <w:sz w:val="20"/>
                            <w:szCs w:val="20"/>
                          </w:rPr>
                        </m:ctrlPr>
                      </m:limLowPr>
                      <m:e>
                        <m:func>
                          <m:funcPr>
                            <m:ctrlPr>
                              <w:rPr>
                                <w:rFonts w:ascii="Cambria Math" w:hAnsi="Cambria Math" w:cs="Arial"/>
                                <w:bCs/>
                                <w:i/>
                                <w:sz w:val="20"/>
                                <w:szCs w:val="20"/>
                              </w:rPr>
                            </m:ctrlPr>
                          </m:funcPr>
                          <m:fName>
                            <m:r>
                              <m:rPr>
                                <m:sty m:val="p"/>
                              </m:rPr>
                              <w:rPr>
                                <w:rFonts w:ascii="Cambria Math" w:hAnsi="Cambria Math" w:cs="Arial"/>
                                <w:sz w:val="20"/>
                                <w:szCs w:val="20"/>
                              </w:rPr>
                              <m:t>min</m:t>
                            </m:r>
                            <m:ctrlPr>
                              <w:rPr>
                                <w:rFonts w:ascii="Cambria Math" w:hAnsi="Cambria Math" w:cs="Arial"/>
                                <w:bCs/>
                                <w:sz w:val="20"/>
                                <w:szCs w:val="20"/>
                              </w:rPr>
                            </m:ctrlPr>
                          </m:fName>
                          <m:e/>
                        </m:func>
                      </m:e>
                      <m:lim>
                        <m:r>
                          <w:rPr>
                            <w:rFonts w:ascii="Cambria Math" w:hAnsi="Cambria Math" w:cs="Arial"/>
                            <w:sz w:val="20"/>
                            <w:szCs w:val="20"/>
                          </w:rPr>
                          <m:t>k</m:t>
                        </m:r>
                      </m:lim>
                    </m:limLow>
                    <m:sSub>
                      <m:sSubPr>
                        <m:ctrlPr>
                          <w:rPr>
                            <w:rFonts w:ascii="Cambria Math" w:hAnsi="Cambria Math" w:cs="Arial"/>
                            <w:bCs/>
                            <w:sz w:val="20"/>
                            <w:szCs w:val="20"/>
                          </w:rPr>
                        </m:ctrlPr>
                      </m:sSubPr>
                      <m:e>
                        <m:r>
                          <w:rPr>
                            <w:rFonts w:ascii="Cambria Math" w:hAnsi="Cambria Math" w:cs="Arial"/>
                            <w:sz w:val="20"/>
                            <w:szCs w:val="20"/>
                          </w:rPr>
                          <m:t>n</m:t>
                        </m:r>
                      </m:e>
                      <m:sub>
                        <m:r>
                          <w:rPr>
                            <w:rFonts w:ascii="Cambria Math" w:hAnsi="Cambria Math" w:cs="Arial"/>
                            <w:sz w:val="20"/>
                            <w:szCs w:val="20"/>
                          </w:rPr>
                          <m:t>k</m:t>
                        </m:r>
                      </m:sub>
                    </m:sSub>
                  </m:num>
                  <m:den>
                    <m:r>
                      <w:rPr>
                        <w:rFonts w:ascii="Cambria Math" w:hAnsi="Cambria Math" w:cs="Arial"/>
                        <w:sz w:val="20"/>
                        <w:szCs w:val="20"/>
                      </w:rPr>
                      <m:t>n</m:t>
                    </m:r>
                  </m:den>
                </m:f>
                <m:r>
                  <w:rPr>
                    <w:rFonts w:ascii="Cambria Math" w:hAnsi="Cambria Math" w:cs="Arial"/>
                    <w:sz w:val="20"/>
                    <w:szCs w:val="20"/>
                  </w:rPr>
                  <m:t>,</m:t>
                </m:r>
              </m:e>
              <m:e/>
              <m:e>
                <m:r>
                  <m:rPr>
                    <m:nor/>
                  </m:rPr>
                  <w:rPr>
                    <w:rFonts w:ascii="Arial" w:hAnsi="Arial" w:cs="Arial"/>
                    <w:bCs/>
                    <w:sz w:val="20"/>
                    <w:szCs w:val="20"/>
                  </w:rPr>
                  <m:t>(12)</m:t>
                </m:r>
              </m:e>
            </m:mr>
          </m:m>
        </m:oMath>
      </m:oMathPara>
    </w:p>
    <w:p w14:paraId="7233AA45" w14:textId="77777777" w:rsidR="00115985" w:rsidRPr="006B6B60" w:rsidRDefault="00115985"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where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k</m:t>
            </m:r>
          </m:sub>
        </m:sSub>
      </m:oMath>
      <w:r w:rsidRPr="006B6B60">
        <w:rPr>
          <w:rFonts w:ascii="Arial" w:eastAsiaTheme="minorEastAsia" w:hAnsi="Arial" w:cs="Arial"/>
          <w:bCs/>
          <w:sz w:val="20"/>
          <w:szCs w:val="20"/>
        </w:rPr>
        <w:t xml:space="preserve"> denotes the number of observations assigned to regime </w:t>
      </w:r>
      <m:oMath>
        <m:r>
          <w:rPr>
            <w:rFonts w:ascii="Cambria Math" w:eastAsiaTheme="minorEastAsia" w:hAnsi="Cambria Math" w:cs="Arial"/>
            <w:sz w:val="20"/>
            <w:szCs w:val="20"/>
          </w:rPr>
          <m:t>k.</m:t>
        </m:r>
      </m:oMath>
    </w:p>
    <w:p w14:paraId="43181F90"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3.6.2 Extreme Sensitivity Score (ESS)</w:t>
      </w:r>
    </w:p>
    <w:p w14:paraId="0F7FB2F4"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hAnsi="Cambria Math" w:cs="Arial"/>
                  <w:sz w:val="20"/>
                  <w:szCs w:val="20"/>
                </w:rPr>
              </m:ctrlPr>
            </m:mPr>
            <m:mr>
              <m:e/>
              <m:e>
                <m:r>
                  <m:rPr>
                    <m:nor/>
                  </m:rPr>
                  <w:rPr>
                    <w:rFonts w:ascii="Arial" w:hAnsi="Arial" w:cs="Arial"/>
                    <w:sz w:val="20"/>
                    <w:szCs w:val="20"/>
                  </w:rPr>
                  <m:t>ESS</m:t>
                </m:r>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grow m:val="1"/>
                    <m:ctrlPr>
                      <w:rPr>
                        <w:rFonts w:ascii="Cambria Math" w:hAnsi="Cambria Math" w:cs="Arial"/>
                        <w:sz w:val="20"/>
                        <w:szCs w:val="20"/>
                      </w:rPr>
                    </m:ctrlPr>
                  </m:naryPr>
                  <m:sub>
                    <m:r>
                      <w:rPr>
                        <w:rFonts w:ascii="Cambria Math" w:hAnsi="Cambria Math" w:cs="Arial"/>
                        <w:sz w:val="20"/>
                        <w:szCs w:val="20"/>
                      </w:rPr>
                      <m:t>t</m:t>
                    </m:r>
                    <m:r>
                      <w:rPr>
                        <w:rFonts w:ascii="Cambria Math" w:hAnsi="Cambria Math" w:cs="Arial"/>
                        <w:sz w:val="20"/>
                        <w:szCs w:val="20"/>
                      </w:rPr>
                      <m:t>=1</m:t>
                    </m:r>
                  </m:sub>
                  <m:sup>
                    <m:r>
                      <w:rPr>
                        <w:rFonts w:ascii="Cambria Math" w:hAnsi="Cambria Math" w:cs="Arial"/>
                        <w:sz w:val="20"/>
                        <w:szCs w:val="20"/>
                      </w:rPr>
                      <m:t>n</m:t>
                    </m:r>
                  </m:sup>
                  <m:e/>
                </m:nary>
                <m:r>
                  <w:rPr>
                    <w:rFonts w:ascii="Cambria Math" w:hAnsi="Cambria Math" w:cs="Arial"/>
                    <w:sz w:val="20"/>
                    <w:szCs w:val="20"/>
                  </w:rPr>
                  <m:t>I</m:t>
                </m:r>
                <m:d>
                  <m:dPr>
                    <m:ctrlPr>
                      <w:rPr>
                        <w:rFonts w:ascii="Cambria Math" w:hAnsi="Cambria Math" w:cs="Arial"/>
                        <w:i/>
                        <w:sz w:val="20"/>
                        <w:szCs w:val="20"/>
                      </w:rPr>
                    </m:ctrlPr>
                  </m:dPr>
                  <m:e>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t</m:t>
                        </m:r>
                      </m:sub>
                    </m:sSub>
                    <m: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C</m:t>
                        </m:r>
                      </m:e>
                      <m:sub>
                        <m:r>
                          <w:rPr>
                            <w:rFonts w:ascii="Cambria Math" w:hAnsi="Cambria Math" w:cs="Arial"/>
                            <w:sz w:val="20"/>
                            <w:szCs w:val="20"/>
                          </w:rPr>
                          <m:t>t</m:t>
                        </m:r>
                      </m:sub>
                      <m:sup>
                        <m:r>
                          <w:rPr>
                            <w:rFonts w:ascii="Cambria Math" w:hAnsi="Cambria Math" w:cs="Arial"/>
                            <w:sz w:val="20"/>
                            <w:szCs w:val="20"/>
                          </w:rPr>
                          <m:t>*</m:t>
                        </m:r>
                      </m:sup>
                    </m:sSubSup>
                  </m:e>
                </m:d>
                <m:r>
                  <w:rPr>
                    <w:rFonts w:ascii="Cambria Math" w:hAnsi="Cambria Math" w:cs="Arial"/>
                    <w:sz w:val="20"/>
                    <w:szCs w:val="20"/>
                  </w:rPr>
                  <m:t>,</m:t>
                </m:r>
              </m:e>
              <m:e/>
              <m:e>
                <m:r>
                  <m:rPr>
                    <m:nor/>
                  </m:rPr>
                  <w:rPr>
                    <w:rFonts w:ascii="Arial" w:hAnsi="Arial" w:cs="Arial"/>
                    <w:sz w:val="20"/>
                    <w:szCs w:val="20"/>
                  </w:rPr>
                  <m:t>(13)</m:t>
                </m:r>
              </m:e>
            </m:mr>
          </m:m>
        </m:oMath>
      </m:oMathPara>
    </w:p>
    <w:p w14:paraId="3100F3BD"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I(⋅)</m:t>
        </m:r>
      </m:oMath>
      <w:r w:rsidRPr="006B6B60">
        <w:rPr>
          <w:rFonts w:ascii="Arial" w:eastAsiaTheme="minorEastAsia" w:hAnsi="Arial" w:cs="Arial"/>
          <w:sz w:val="20"/>
          <w:szCs w:val="20"/>
        </w:rPr>
        <w:t xml:space="preserve"> is the indicator function.</w:t>
      </w:r>
    </w:p>
    <w:p w14:paraId="0C935CE0"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3.6.3 Label Stability Ratio (LSR)</w:t>
      </w:r>
    </w:p>
    <w:p w14:paraId="0C5EAE3B"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r>
                  <m:rPr>
                    <m:nor/>
                  </m:rPr>
                  <w:rPr>
                    <w:rFonts w:ascii="Arial" w:eastAsiaTheme="minorEastAsia" w:hAnsi="Arial" w:cs="Arial"/>
                    <w:sz w:val="20"/>
                    <w:szCs w:val="20"/>
                  </w:rPr>
                  <m:t>LSR</m:t>
                </m:r>
                <m:r>
                  <w:rPr>
                    <w:rFonts w:ascii="Cambria Math" w:eastAsiaTheme="minorEastAsia" w:hAnsi="Cambria Math" w:cs="Arial"/>
                    <w:sz w:val="20"/>
                    <w:szCs w:val="20"/>
                  </w:rPr>
                  <m:t>=1-</m:t>
                </m:r>
                <m:r>
                  <m:rPr>
                    <m:nor/>
                  </m:rPr>
                  <w:rPr>
                    <w:rFonts w:ascii="Arial" w:eastAsiaTheme="minorEastAsia" w:hAnsi="Arial" w:cs="Arial"/>
                    <w:sz w:val="20"/>
                    <w:szCs w:val="20"/>
                  </w:rPr>
                  <m:t>ESS</m:t>
                </m:r>
                <m:r>
                  <w:rPr>
                    <w:rFonts w:ascii="Cambria Math" w:eastAsiaTheme="minorEastAsia" w:hAnsi="Cambria Math" w:cs="Arial"/>
                    <w:sz w:val="20"/>
                    <w:szCs w:val="20"/>
                  </w:rPr>
                  <m:t>.</m:t>
                </m:r>
              </m:e>
              <m:e/>
              <m:e>
                <m:r>
                  <m:rPr>
                    <m:nor/>
                  </m:rPr>
                  <w:rPr>
                    <w:rFonts w:ascii="Arial" w:eastAsiaTheme="minorEastAsia" w:hAnsi="Arial" w:cs="Arial"/>
                    <w:sz w:val="20"/>
                    <w:szCs w:val="20"/>
                  </w:rPr>
                  <m:t>(14)</m:t>
                </m:r>
              </m:e>
            </m:mr>
          </m:m>
        </m:oMath>
      </m:oMathPara>
    </w:p>
    <w:p w14:paraId="274ED165"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3.7 Bootstrap-Based Statistical Inference</w:t>
      </w:r>
    </w:p>
    <w:p w14:paraId="15C3DFDE"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quantify uncertainty and assess statistical significance, a bootstrap procedure is employed.</w:t>
      </w:r>
    </w:p>
    <w:p w14:paraId="167008C4"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Let </w:t>
      </w:r>
      <m:oMath>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n</m:t>
            </m:r>
          </m:sub>
          <m:sup>
            <m:r>
              <w:rPr>
                <w:rFonts w:ascii="Cambria Math" w:eastAsiaTheme="minorEastAsia" w:hAnsi="Cambria Math" w:cs="Arial"/>
                <w:sz w:val="20"/>
                <w:szCs w:val="20"/>
              </w:rPr>
              <m:t>(b)</m:t>
            </m:r>
          </m:sup>
        </m:sSubSup>
      </m:oMath>
      <w:r w:rsidRPr="006B6B60">
        <w:rPr>
          <w:rFonts w:ascii="Arial" w:eastAsiaTheme="minorEastAsia" w:hAnsi="Arial" w:cs="Arial"/>
          <w:sz w:val="20"/>
          <w:szCs w:val="20"/>
        </w:rPr>
        <w:t xml:space="preserve"> denote the </w:t>
      </w:r>
      <m:oMath>
        <m:r>
          <w:rPr>
            <w:rFonts w:ascii="Cambria Math" w:eastAsiaTheme="minorEastAsia" w:hAnsi="Cambria Math" w:cs="Arial"/>
            <w:sz w:val="20"/>
            <w:szCs w:val="20"/>
          </w:rPr>
          <m:t>b</m:t>
        </m:r>
      </m:oMath>
      <w:r w:rsidRPr="006B6B60">
        <w:rPr>
          <w:rFonts w:ascii="Arial" w:eastAsiaTheme="minorEastAsia" w:hAnsi="Arial" w:cs="Arial"/>
          <w:sz w:val="20"/>
          <w:szCs w:val="20"/>
        </w:rPr>
        <w:t>-th bootstrap sample obtained via resampling with replacement:</w:t>
      </w:r>
    </w:p>
    <w:p w14:paraId="630CF4C2"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n</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1</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2</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n</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e>
                </m:d>
                <m:r>
                  <w:rPr>
                    <w:rFonts w:ascii="Cambria Math" w:eastAsiaTheme="minorEastAsia" w:hAnsi="Cambria Math" w:cs="Arial"/>
                    <w:sz w:val="20"/>
                    <w:szCs w:val="20"/>
                  </w:rPr>
                  <m:t>,</m:t>
                </m:r>
                <m:r>
                  <w:rPr>
                    <w:rFonts w:ascii="Cambria Math" w:eastAsiaTheme="minorEastAsia" w:hAnsi="Cambria Math" w:cs="Arial"/>
                    <w:sz w:val="20"/>
                    <w:szCs w:val="20"/>
                  </w:rPr>
                  <m:t>b</m:t>
                </m:r>
                <m:r>
                  <w:rPr>
                    <w:rFonts w:ascii="Cambria Math" w:eastAsiaTheme="minorEastAsia" w:hAnsi="Cambria Math" w:cs="Arial"/>
                    <w:sz w:val="20"/>
                    <w:szCs w:val="20"/>
                  </w:rPr>
                  <m:t>=1,2,…,</m:t>
                </m:r>
                <m:r>
                  <w:rPr>
                    <w:rFonts w:ascii="Cambria Math" w:eastAsiaTheme="minorEastAsia" w:hAnsi="Cambria Math" w:cs="Arial"/>
                    <w:sz w:val="20"/>
                    <w:szCs w:val="20"/>
                  </w:rPr>
                  <m:t>B</m:t>
                </m:r>
                <m:r>
                  <w:rPr>
                    <w:rFonts w:ascii="Cambria Math" w:eastAsiaTheme="minorEastAsia" w:hAnsi="Cambria Math" w:cs="Arial"/>
                    <w:sz w:val="20"/>
                    <w:szCs w:val="20"/>
                  </w:rPr>
                  <m:t>.</m:t>
                </m:r>
              </m:e>
              <m:e/>
              <m:e>
                <m:r>
                  <m:rPr>
                    <m:nor/>
                  </m:rPr>
                  <w:rPr>
                    <w:rFonts w:ascii="Arial" w:eastAsiaTheme="minorEastAsia" w:hAnsi="Arial" w:cs="Arial"/>
                    <w:sz w:val="20"/>
                    <w:szCs w:val="20"/>
                  </w:rPr>
                  <m:t>(15)</m:t>
                </m:r>
              </m:e>
            </m:mr>
          </m:m>
        </m:oMath>
      </m:oMathPara>
    </w:p>
    <w:p w14:paraId="0316A11B"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For each bootstrap sample, performance metrics are computed, yielding empirical distributions.</w:t>
      </w:r>
    </w:p>
    <w:p w14:paraId="162F2822"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Confidence Intervals</w:t>
      </w:r>
    </w:p>
    <w:p w14:paraId="2A2350FC"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The </w:t>
      </w:r>
      <m:oMath>
        <m:r>
          <w:rPr>
            <w:rFonts w:ascii="Cambria Math" w:eastAsiaTheme="minorEastAsia" w:hAnsi="Cambria Math" w:cs="Arial"/>
            <w:sz w:val="20"/>
            <w:szCs w:val="20"/>
          </w:rPr>
          <m:t>100(1-α)%</m:t>
        </m:r>
      </m:oMath>
      <w:r w:rsidRPr="006B6B60">
        <w:rPr>
          <w:rFonts w:ascii="Arial" w:eastAsiaTheme="minorEastAsia" w:hAnsi="Arial" w:cs="Arial"/>
          <w:sz w:val="20"/>
          <w:szCs w:val="20"/>
        </w:rPr>
        <w:t xml:space="preserve"> confidence interval is defined as</w:t>
      </w:r>
    </w:p>
    <w:p w14:paraId="27E6999B"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f>
                          <m:fPr>
                            <m:ctrlPr>
                              <w:rPr>
                                <w:rFonts w:ascii="Cambria Math" w:eastAsiaTheme="minorEastAsia" w:hAnsi="Cambria Math" w:cs="Arial"/>
                                <w:i/>
                                <w:sz w:val="20"/>
                                <w:szCs w:val="20"/>
                              </w:rPr>
                            </m:ctrlPr>
                          </m:fPr>
                          <m:num>
                            <m:r>
                              <w:rPr>
                                <w:rFonts w:ascii="Cambria Math" w:eastAsiaTheme="minorEastAsia" w:hAnsi="Cambria Math" w:cs="Arial"/>
                                <w:sz w:val="20"/>
                                <w:szCs w:val="20"/>
                              </w:rPr>
                              <m:t>α</m:t>
                            </m:r>
                          </m:num>
                          <m:den>
                            <m:r>
                              <w:rPr>
                                <w:rFonts w:ascii="Cambria Math" w:eastAsiaTheme="minorEastAsia" w:hAnsi="Cambria Math" w:cs="Arial"/>
                                <w:sz w:val="20"/>
                                <w:szCs w:val="20"/>
                              </w:rPr>
                              <m:t>2</m:t>
                            </m:r>
                          </m:den>
                        </m:f>
                      </m:sub>
                    </m:sSub>
                    <m:r>
                      <m:rPr>
                        <m:nor/>
                      </m:rPr>
                      <w:rPr>
                        <w:rFonts w:ascii="Arial" w:eastAsiaTheme="minorEastAsia" w:hAnsi="Arial"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1-</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α</m:t>
                            </m:r>
                          </m:num>
                          <m:den>
                            <m:r>
                              <w:rPr>
                                <w:rFonts w:ascii="Cambria Math" w:eastAsiaTheme="minorEastAsia" w:hAnsi="Cambria Math" w:cs="Arial"/>
                                <w:sz w:val="20"/>
                                <w:szCs w:val="20"/>
                              </w:rPr>
                              <m:t>2</m:t>
                            </m:r>
                          </m:den>
                        </m:f>
                      </m:sub>
                    </m:sSub>
                  </m:e>
                </m:d>
                <m:r>
                  <w:rPr>
                    <w:rFonts w:ascii="Cambria Math" w:eastAsiaTheme="minorEastAsia" w:hAnsi="Cambria Math" w:cs="Arial"/>
                    <w:sz w:val="20"/>
                    <w:szCs w:val="20"/>
                  </w:rPr>
                  <m:t>,</m:t>
                </m:r>
              </m:e>
              <m:e/>
              <m:e>
                <m:r>
                  <m:rPr>
                    <m:nor/>
                  </m:rPr>
                  <w:rPr>
                    <w:rFonts w:ascii="Arial" w:eastAsiaTheme="minorEastAsia" w:hAnsi="Arial" w:cs="Arial"/>
                    <w:sz w:val="20"/>
                    <w:szCs w:val="20"/>
                  </w:rPr>
                  <m:t>(16)</m:t>
                </m:r>
              </m:e>
            </m:mr>
          </m:m>
        </m:oMath>
      </m:oMathPara>
    </w:p>
    <w:p w14:paraId="549FA2C7"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p</m:t>
            </m:r>
          </m:sub>
        </m:sSub>
      </m:oMath>
      <w:r w:rsidRPr="006B6B60">
        <w:rPr>
          <w:rFonts w:ascii="Arial" w:eastAsiaTheme="minorEastAsia" w:hAnsi="Arial" w:cs="Arial"/>
          <w:sz w:val="20"/>
          <w:szCs w:val="20"/>
        </w:rPr>
        <w:t xml:space="preserve"> denotes the empirical </w:t>
      </w:r>
      <m:oMath>
        <m:r>
          <w:rPr>
            <w:rFonts w:ascii="Cambria Math" w:eastAsiaTheme="minorEastAsia" w:hAnsi="Cambria Math" w:cs="Arial"/>
            <w:sz w:val="20"/>
            <w:szCs w:val="20"/>
          </w:rPr>
          <m:t>p</m:t>
        </m:r>
      </m:oMath>
      <w:r w:rsidRPr="006B6B60">
        <w:rPr>
          <w:rFonts w:ascii="Arial" w:eastAsiaTheme="minorEastAsia" w:hAnsi="Arial" w:cs="Arial"/>
          <w:sz w:val="20"/>
          <w:szCs w:val="20"/>
        </w:rPr>
        <w:t>-th quantile of the bootstrap distribution.</w:t>
      </w:r>
    </w:p>
    <w:p w14:paraId="0B349379"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3.8 Hypothesis Testing</w:t>
      </w:r>
    </w:p>
    <w:p w14:paraId="7B0A4100"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lastRenderedPageBreak/>
        <w:t>To evaluate whether the MAD-based model is statistically superior, paired hypothesis testing is conducted.</w:t>
      </w:r>
    </w:p>
    <w:p w14:paraId="536C981B"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Null Hypothesis</w:t>
      </w:r>
    </w:p>
    <w:p w14:paraId="08142E6F"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M</m:t>
                    </m:r>
                    <m:r>
                      <w:rPr>
                        <w:rFonts w:ascii="Cambria Math" w:eastAsiaTheme="minorEastAsia" w:hAnsi="Cambria Math" w:cs="Arial"/>
                        <w:sz w:val="20"/>
                        <w:szCs w:val="20"/>
                      </w:rPr>
                      <m:t>A</m:t>
                    </m:r>
                    <m:r>
                      <w:rPr>
                        <w:rFonts w:ascii="Cambria Math" w:eastAsiaTheme="minorEastAsia" w:hAnsi="Cambria Math" w:cs="Arial"/>
                        <w:sz w:val="20"/>
                        <w:szCs w:val="20"/>
                      </w:rPr>
                      <m:t>D</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benc</m:t>
                    </m:r>
                    <m:r>
                      <w:rPr>
                        <w:rFonts w:ascii="Cambria Math" w:eastAsiaTheme="minorEastAsia" w:hAnsi="Cambria Math" w:cs="Arial"/>
                        <w:sz w:val="20"/>
                        <w:szCs w:val="20"/>
                      </w:rPr>
                      <m:t>h</m:t>
                    </m:r>
                    <m:r>
                      <w:rPr>
                        <w:rFonts w:ascii="Cambria Math" w:eastAsiaTheme="minorEastAsia" w:hAnsi="Cambria Math" w:cs="Arial"/>
                        <w:sz w:val="20"/>
                        <w:szCs w:val="20"/>
                      </w:rPr>
                      <m:t>mark</m:t>
                    </m:r>
                  </m:sub>
                </m:sSub>
                <m:r>
                  <w:rPr>
                    <w:rFonts w:ascii="Cambria Math" w:eastAsiaTheme="minorEastAsia" w:hAnsi="Cambria Math" w:cs="Arial"/>
                    <w:sz w:val="20"/>
                    <w:szCs w:val="20"/>
                  </w:rPr>
                  <m:t>,</m:t>
                </m:r>
              </m:e>
              <m:e/>
              <m:e>
                <m:r>
                  <m:rPr>
                    <m:nor/>
                  </m:rPr>
                  <w:rPr>
                    <w:rFonts w:ascii="Arial" w:eastAsiaTheme="minorEastAsia" w:hAnsi="Arial" w:cs="Arial"/>
                    <w:sz w:val="20"/>
                    <w:szCs w:val="20"/>
                  </w:rPr>
                  <m:t>(17)</m:t>
                </m:r>
              </m:e>
            </m:mr>
          </m:m>
        </m:oMath>
      </m:oMathPara>
    </w:p>
    <w:p w14:paraId="09461E03"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Alternative Hypothesis</w:t>
      </w:r>
    </w:p>
    <w:p w14:paraId="61FA09B7"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MAD</m:t>
                    </m:r>
                  </m:sub>
                </m:sSub>
                <m:r>
                  <w:rPr>
                    <w:rFonts w:ascii="Cambria Math" w:eastAsiaTheme="minorEastAsia" w:hAnsi="Cambria Math" w:cs="Arial"/>
                    <w:sz w:val="20"/>
                    <w:szCs w:val="20"/>
                  </w:rPr>
                  <m:t>&gt;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benc</m:t>
                    </m:r>
                    <m:r>
                      <w:rPr>
                        <w:rFonts w:ascii="Cambria Math" w:eastAsiaTheme="minorEastAsia" w:hAnsi="Cambria Math" w:cs="Arial"/>
                        <w:sz w:val="20"/>
                        <w:szCs w:val="20"/>
                      </w:rPr>
                      <m:t>h</m:t>
                    </m:r>
                    <m:r>
                      <w:rPr>
                        <w:rFonts w:ascii="Cambria Math" w:eastAsiaTheme="minorEastAsia" w:hAnsi="Cambria Math" w:cs="Arial"/>
                        <w:sz w:val="20"/>
                        <w:szCs w:val="20"/>
                      </w:rPr>
                      <m:t>mark</m:t>
                    </m:r>
                  </m:sub>
                </m:sSub>
                <m:r>
                  <w:rPr>
                    <w:rFonts w:ascii="Cambria Math" w:eastAsiaTheme="minorEastAsia" w:hAnsi="Cambria Math" w:cs="Arial"/>
                    <w:sz w:val="20"/>
                    <w:szCs w:val="20"/>
                  </w:rPr>
                  <m:t>.</m:t>
                </m:r>
              </m:e>
              <m:e/>
              <m:e>
                <m:r>
                  <m:rPr>
                    <m:nor/>
                  </m:rPr>
                  <w:rPr>
                    <w:rFonts w:ascii="Arial" w:eastAsiaTheme="minorEastAsia" w:hAnsi="Arial" w:cs="Arial"/>
                    <w:sz w:val="20"/>
                    <w:szCs w:val="20"/>
                  </w:rPr>
                  <m:t>(18)</m:t>
                </m:r>
              </m:e>
            </m:mr>
          </m:m>
        </m:oMath>
      </m:oMathPara>
    </w:p>
    <w:p w14:paraId="5053AD43"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A paired t-test is performed:</w:t>
      </w:r>
    </w:p>
    <w:p w14:paraId="352ABFE1" w14:textId="77777777" w:rsidR="00115985" w:rsidRPr="006B6B60" w:rsidRDefault="00793B26"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r>
                  <w:rPr>
                    <w:rFonts w:ascii="Cambria Math" w:eastAsiaTheme="minorEastAsia" w:hAnsi="Cambria Math" w:cs="Arial"/>
                    <w:sz w:val="20"/>
                    <w:szCs w:val="20"/>
                  </w:rPr>
                  <m:t>t</m:t>
                </m:r>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d</m:t>
                        </m:r>
                      </m:e>
                      <m:lim>
                        <m:r>
                          <w:rPr>
                            <w:rFonts w:ascii="Cambria Math" w:eastAsiaTheme="minorEastAsia" w:hAnsi="Cambria Math" w:cs="Arial"/>
                            <w:sz w:val="20"/>
                            <w:szCs w:val="20"/>
                          </w:rPr>
                          <m:t>ˉ</m:t>
                        </m:r>
                      </m:lim>
                    </m:limUpp>
                  </m:num>
                  <m:den>
                    <m:f>
                      <m:fPr>
                        <m:ctrlPr>
                          <w:rPr>
                            <w:rFonts w:ascii="Cambria Math" w:eastAsiaTheme="minorEastAsia" w:hAnsi="Cambria Math" w:cs="Arial"/>
                            <w:i/>
                            <w:sz w:val="20"/>
                            <w:szCs w:val="20"/>
                          </w:rPr>
                        </m:ctrlPr>
                      </m:fPr>
                      <m:num>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d</m:t>
                            </m:r>
                          </m:sub>
                        </m:sSub>
                      </m:num>
                      <m:den>
                        <m:rad>
                          <m:radPr>
                            <m:degHide m:val="1"/>
                            <m:ctrlPr>
                              <w:rPr>
                                <w:rFonts w:ascii="Cambria Math" w:eastAsiaTheme="minorEastAsia" w:hAnsi="Cambria Math" w:cs="Arial"/>
                                <w:sz w:val="20"/>
                                <w:szCs w:val="20"/>
                              </w:rPr>
                            </m:ctrlPr>
                          </m:radPr>
                          <m:deg/>
                          <m:e>
                            <m:r>
                              <w:rPr>
                                <w:rFonts w:ascii="Cambria Math" w:eastAsiaTheme="minorEastAsia" w:hAnsi="Cambria Math" w:cs="Arial"/>
                                <w:sz w:val="20"/>
                                <w:szCs w:val="20"/>
                              </w:rPr>
                              <m:t>B</m:t>
                            </m:r>
                          </m:e>
                        </m:rad>
                      </m:den>
                    </m:f>
                  </m:den>
                </m:f>
                <m:r>
                  <w:rPr>
                    <w:rFonts w:ascii="Cambria Math" w:eastAsiaTheme="minorEastAsia" w:hAnsi="Cambria Math" w:cs="Arial"/>
                    <w:sz w:val="20"/>
                    <w:szCs w:val="20"/>
                  </w:rPr>
                  <m:t>,</m:t>
                </m:r>
              </m:e>
              <m:e/>
              <m:e>
                <m:r>
                  <m:rPr>
                    <m:nor/>
                  </m:rPr>
                  <w:rPr>
                    <w:rFonts w:ascii="Arial" w:eastAsiaTheme="minorEastAsia" w:hAnsi="Arial" w:cs="Arial"/>
                    <w:sz w:val="20"/>
                    <w:szCs w:val="20"/>
                  </w:rPr>
                  <m:t>(19)</m:t>
                </m:r>
              </m:e>
            </m:mr>
          </m:m>
        </m:oMath>
      </m:oMathPara>
    </w:p>
    <w:p w14:paraId="440FDABA"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i</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i</m:t>
            </m:r>
          </m:sub>
          <m:sup>
            <m:r>
              <w:rPr>
                <w:rFonts w:ascii="Cambria Math" w:eastAsiaTheme="minorEastAsia" w:hAnsi="Cambria Math" w:cs="Arial"/>
                <w:sz w:val="20"/>
                <w:szCs w:val="20"/>
              </w:rPr>
              <m:t>benchmark</m:t>
            </m:r>
          </m:sup>
        </m:sSubSup>
      </m:oMath>
      <w:r w:rsidRPr="006B6B60">
        <w:rPr>
          <w:rFonts w:ascii="Arial" w:eastAsiaTheme="minorEastAsia" w:hAnsi="Arial" w:cs="Arial"/>
          <w:sz w:val="20"/>
          <w:szCs w:val="20"/>
        </w:rPr>
        <w:t xml:space="preserve">, </w:t>
      </w:r>
      <m:oMath>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d</m:t>
            </m:r>
          </m:e>
          <m:lim>
            <m:r>
              <w:rPr>
                <w:rFonts w:ascii="Cambria Math" w:eastAsiaTheme="minorEastAsia" w:hAnsi="Cambria Math" w:cs="Arial"/>
                <w:sz w:val="20"/>
                <w:szCs w:val="20"/>
              </w:rPr>
              <m:t>ˉ</m:t>
            </m:r>
          </m:lim>
        </m:limUpp>
      </m:oMath>
      <w:r w:rsidRPr="006B6B60">
        <w:rPr>
          <w:rFonts w:ascii="Arial" w:eastAsiaTheme="minorEastAsia" w:hAnsi="Arial" w:cs="Arial"/>
          <w:sz w:val="20"/>
          <w:szCs w:val="20"/>
        </w:rPr>
        <w:t xml:space="preserve"> is the sample mean difference,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d</m:t>
            </m:r>
          </m:sub>
        </m:sSub>
      </m:oMath>
      <w:r w:rsidRPr="006B6B60">
        <w:rPr>
          <w:rFonts w:ascii="Arial" w:eastAsiaTheme="minorEastAsia" w:hAnsi="Arial" w:cs="Arial"/>
          <w:sz w:val="20"/>
          <w:szCs w:val="20"/>
        </w:rPr>
        <w:t xml:space="preserve"> is the standard deviation of differences.</w:t>
      </w:r>
    </w:p>
    <w:p w14:paraId="2F46F00E" w14:textId="77777777" w:rsidR="0031022A" w:rsidRPr="006B6B60" w:rsidRDefault="0031022A" w:rsidP="004B7404">
      <w:pPr>
        <w:jc w:val="both"/>
        <w:rPr>
          <w:rFonts w:ascii="Arial" w:eastAsiaTheme="minorEastAsia" w:hAnsi="Arial" w:cs="Arial"/>
          <w:b/>
          <w:bCs/>
          <w:szCs w:val="20"/>
        </w:rPr>
      </w:pPr>
      <w:r w:rsidRPr="006B6B60">
        <w:rPr>
          <w:rFonts w:ascii="Arial" w:eastAsiaTheme="minorEastAsia" w:hAnsi="Arial" w:cs="Arial"/>
          <w:szCs w:val="20"/>
        </w:rPr>
        <w:t xml:space="preserve"> </w:t>
      </w:r>
      <w:r w:rsidRPr="006B6B60">
        <w:rPr>
          <w:rFonts w:ascii="Arial" w:eastAsiaTheme="minorEastAsia" w:hAnsi="Arial" w:cs="Arial"/>
          <w:b/>
          <w:bCs/>
          <w:szCs w:val="20"/>
        </w:rPr>
        <w:t>4. THEORETICAL ANALYSIS</w:t>
      </w:r>
    </w:p>
    <w:p w14:paraId="4F7424CC" w14:textId="77777777" w:rsidR="0031022A" w:rsidRPr="006B6B60" w:rsidRDefault="0031022A" w:rsidP="004B7404">
      <w:pPr>
        <w:jc w:val="both"/>
        <w:rPr>
          <w:rFonts w:ascii="Arial" w:eastAsiaTheme="minorEastAsia" w:hAnsi="Arial" w:cs="Arial"/>
          <w:sz w:val="20"/>
          <w:szCs w:val="20"/>
        </w:rPr>
      </w:pPr>
      <w:r w:rsidRPr="006B6B60">
        <w:rPr>
          <w:rFonts w:ascii="Arial" w:eastAsiaTheme="minorEastAsia" w:hAnsi="Arial" w:cs="Arial"/>
          <w:sz w:val="20"/>
          <w:szCs w:val="20"/>
        </w:rPr>
        <w:t>This section establishes the mathematical foundations of the proposed Median Absolute Deviation (MAD)-based classification framework. The analysis rigorously demonstrates the robustness, stability, and invariance properties of the proposed model in comparison with conventional mean–variance based approaches.</w:t>
      </w:r>
    </w:p>
    <w:p w14:paraId="35B48C8A"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4.1 Proposition: Robustness of the Median</w:t>
      </w:r>
    </w:p>
    <w:p w14:paraId="6A804938"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Proposition 1</w:t>
      </w:r>
    </w:p>
    <w:p w14:paraId="5685E74C" w14:textId="77777777" w:rsidR="001A7A81" w:rsidRPr="006B6B60" w:rsidRDefault="001A7A81"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 xml:space="preserve">The sample median </w:t>
      </w:r>
      <m:oMath>
        <m:sSub>
          <m:sSubPr>
            <m:ctrlPr>
              <w:rPr>
                <w:rFonts w:ascii="Cambria Math" w:eastAsiaTheme="minorEastAsia" w:hAnsi="Cambria Math" w:cs="Arial"/>
                <w:bCs/>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oMath>
      <w:r w:rsidRPr="006B6B60">
        <w:rPr>
          <w:rFonts w:ascii="Arial" w:eastAsiaTheme="minorEastAsia" w:hAnsi="Arial" w:cs="Arial"/>
          <w:bCs/>
          <w:i/>
          <w:sz w:val="20"/>
          <w:szCs w:val="20"/>
        </w:rPr>
        <w:t xml:space="preserve"> is robust to extreme observations, provided that fewer than 50% of the data points are contaminated.</w:t>
      </w:r>
    </w:p>
    <w:p w14:paraId="6A073569"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3198DF14"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Let the ordered sample be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d>
              <m:dPr>
                <m:ctrlPr>
                  <w:rPr>
                    <w:rFonts w:ascii="Cambria Math" w:eastAsiaTheme="minorEastAsia" w:hAnsi="Cambria Math" w:cs="Arial"/>
                    <w:bCs/>
                    <w:i/>
                    <w:sz w:val="20"/>
                    <w:szCs w:val="20"/>
                  </w:rPr>
                </m:ctrlPr>
              </m:dPr>
              <m:e>
                <m:r>
                  <w:rPr>
                    <w:rFonts w:ascii="Cambria Math" w:eastAsiaTheme="minorEastAsia" w:hAnsi="Cambria Math" w:cs="Arial"/>
                    <w:sz w:val="20"/>
                    <w:szCs w:val="20"/>
                  </w:rPr>
                  <m:t>1</m:t>
                </m:r>
              </m:e>
            </m:d>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d>
              <m:dPr>
                <m:ctrlPr>
                  <w:rPr>
                    <w:rFonts w:ascii="Cambria Math" w:eastAsiaTheme="minorEastAsia" w:hAnsi="Cambria Math" w:cs="Arial"/>
                    <w:bCs/>
                    <w:i/>
                    <w:sz w:val="20"/>
                    <w:szCs w:val="20"/>
                  </w:rPr>
                </m:ctrlPr>
              </m:dPr>
              <m:e>
                <m:r>
                  <w:rPr>
                    <w:rFonts w:ascii="Cambria Math" w:eastAsiaTheme="minorEastAsia" w:hAnsi="Cambria Math" w:cs="Arial"/>
                    <w:sz w:val="20"/>
                    <w:szCs w:val="20"/>
                  </w:rPr>
                  <m:t>2</m:t>
                </m:r>
              </m:e>
            </m:d>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d>
              <m:dPr>
                <m:ctrlPr>
                  <w:rPr>
                    <w:rFonts w:ascii="Cambria Math" w:eastAsiaTheme="minorEastAsia" w:hAnsi="Cambria Math" w:cs="Arial"/>
                    <w:bCs/>
                    <w:i/>
                    <w:sz w:val="20"/>
                    <w:szCs w:val="20"/>
                  </w:rPr>
                </m:ctrlPr>
              </m:dPr>
              <m:e>
                <m:r>
                  <w:rPr>
                    <w:rFonts w:ascii="Cambria Math" w:eastAsiaTheme="minorEastAsia" w:hAnsi="Cambria Math" w:cs="Arial"/>
                    <w:sz w:val="20"/>
                    <w:szCs w:val="20"/>
                  </w:rPr>
                  <m:t>n</m:t>
                </m:r>
              </m:e>
            </m:d>
          </m:sub>
        </m:sSub>
        <m:r>
          <w:rPr>
            <w:rFonts w:ascii="Cambria Math" w:eastAsiaTheme="minorEastAsia" w:hAnsi="Cambria Math" w:cs="Arial"/>
            <w:sz w:val="20"/>
            <w:szCs w:val="20"/>
          </w:rPr>
          <m:t>.</m:t>
        </m:r>
      </m:oMath>
    </w:p>
    <w:p w14:paraId="50B2C540"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 For odd </w:t>
      </w:r>
      <m:oMath>
        <m:r>
          <w:rPr>
            <w:rFonts w:ascii="Cambria Math" w:eastAsiaTheme="minorEastAsia" w:hAnsi="Cambria Math" w:cs="Arial"/>
            <w:sz w:val="20"/>
            <w:szCs w:val="20"/>
          </w:rPr>
          <m:t>n</m:t>
        </m:r>
      </m:oMath>
      <w:r w:rsidRPr="006B6B60">
        <w:rPr>
          <w:rFonts w:ascii="Arial" w:eastAsiaTheme="minorEastAsia" w:hAnsi="Arial" w:cs="Arial"/>
          <w:bCs/>
          <w:sz w:val="20"/>
          <w:szCs w:val="20"/>
        </w:rPr>
        <w:t>, the median is</w:t>
      </w:r>
    </w:p>
    <w:p w14:paraId="754610EC"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n</m:t>
                        </m:r>
                        <m:r>
                          <w:rPr>
                            <w:rFonts w:ascii="Cambria Math" w:eastAsiaTheme="minorEastAsia" w:hAnsi="Cambria Math" w:cs="Arial"/>
                            <w:sz w:val="20"/>
                            <w:szCs w:val="20"/>
                          </w:rPr>
                          <m:t>+1</m:t>
                        </m:r>
                      </m:num>
                      <m:den>
                        <m:r>
                          <w:rPr>
                            <w:rFonts w:ascii="Cambria Math" w:eastAsiaTheme="minorEastAsia" w:hAnsi="Cambria Math" w:cs="Arial"/>
                            <w:sz w:val="20"/>
                            <w:szCs w:val="20"/>
                          </w:rPr>
                          <m:t>2</m:t>
                        </m:r>
                      </m:den>
                    </m:f>
                    <m:r>
                      <w:rPr>
                        <w:rFonts w:ascii="Cambria Math" w:eastAsiaTheme="minorEastAsia" w:hAnsi="Cambria Math" w:cs="Arial"/>
                        <w:sz w:val="20"/>
                        <w:szCs w:val="20"/>
                      </w:rPr>
                      <m:t>)</m:t>
                    </m:r>
                  </m:sub>
                </m:sSub>
                <m:r>
                  <w:rPr>
                    <w:rFonts w:ascii="Cambria Math" w:eastAsiaTheme="minorEastAsia" w:hAnsi="Cambria Math" w:cs="Arial"/>
                    <w:sz w:val="20"/>
                    <w:szCs w:val="20"/>
                  </w:rPr>
                  <m:t>.</m:t>
                </m:r>
              </m:e>
              <m:e>
                <m:r>
                  <w:rPr>
                    <w:rFonts w:ascii="Cambria Math" w:eastAsiaTheme="minorEastAsia" w:hAnsi="Cambria Math" w:cs="Arial"/>
                    <w:sz w:val="20"/>
                    <w:szCs w:val="20"/>
                  </w:rPr>
                  <m:t>(20)</m:t>
                </m:r>
              </m:e>
              <m:e/>
            </m:mr>
          </m:m>
        </m:oMath>
      </m:oMathPara>
    </w:p>
    <w:p w14:paraId="1C04246C"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Suppose a subset of observations is contaminated such that extreme values are introduced. As long as the number of contaminated observations is less than </w:t>
      </w:r>
      <m:oMath>
        <m:f>
          <m:fPr>
            <m:ctrlPr>
              <w:rPr>
                <w:rFonts w:ascii="Cambria Math" w:eastAsiaTheme="minorEastAsia" w:hAnsi="Cambria Math" w:cs="Arial"/>
                <w:bCs/>
                <w:sz w:val="20"/>
                <w:szCs w:val="20"/>
              </w:rPr>
            </m:ctrlPr>
          </m:fPr>
          <m:num>
            <m:r>
              <w:rPr>
                <w:rFonts w:ascii="Cambria Math" w:eastAsiaTheme="minorEastAsia" w:hAnsi="Cambria Math" w:cs="Arial"/>
                <w:sz w:val="20"/>
                <w:szCs w:val="20"/>
              </w:rPr>
              <m:t>n</m:t>
            </m:r>
          </m:num>
          <m:den>
            <m:r>
              <w:rPr>
                <w:rFonts w:ascii="Cambria Math" w:eastAsiaTheme="minorEastAsia" w:hAnsi="Cambria Math" w:cs="Arial"/>
                <w:sz w:val="20"/>
                <w:szCs w:val="20"/>
              </w:rPr>
              <m:t>2</m:t>
            </m:r>
          </m:den>
        </m:f>
        <m:r>
          <w:rPr>
            <w:rFonts w:ascii="Cambria Math" w:eastAsiaTheme="minorEastAsia" w:hAnsi="Cambria Math" w:cs="Arial"/>
            <w:sz w:val="20"/>
            <w:szCs w:val="20"/>
          </w:rPr>
          <m:t>,</m:t>
        </m:r>
      </m:oMath>
      <w:r w:rsidRPr="006B6B60">
        <w:rPr>
          <w:rFonts w:ascii="Arial" w:eastAsiaTheme="minorEastAsia" w:hAnsi="Arial" w:cs="Arial"/>
          <w:bCs/>
          <w:sz w:val="20"/>
          <w:szCs w:val="20"/>
        </w:rPr>
        <w:t xml:space="preserve"> the median remains one of the central order statistics, unaffected by extreme values in the tails.</w:t>
      </w:r>
    </w:p>
    <w:p w14:paraId="65F61248"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Thus, the median does not diverge under finite contamination. </w:t>
      </w:r>
    </w:p>
    <w:p w14:paraId="2C284633"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4.2 Theorem: Boundedness of MAD Under Contamination</w:t>
      </w:r>
    </w:p>
    <w:p w14:paraId="2019D78A"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1</w:t>
      </w:r>
    </w:p>
    <w:p w14:paraId="1A6E87C7" w14:textId="77777777" w:rsidR="001A7A81" w:rsidRPr="006B6B60" w:rsidRDefault="001A7A81"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Median Absolute Deviation remains bounded under contamination affecting fewer than 50% of observations.</w:t>
      </w:r>
    </w:p>
    <w:p w14:paraId="1D5B8B14"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5BF33111"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Define the deviation sequence:</w:t>
      </w:r>
    </w:p>
    <w:p w14:paraId="1BAE38DD"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(21)</m:t>
                </m:r>
              </m:e>
            </m:mr>
          </m:m>
        </m:oMath>
      </m:oMathPara>
    </w:p>
    <w:p w14:paraId="05C8280B"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Then,</w:t>
      </w:r>
    </w:p>
    <w:p w14:paraId="6AB4D27C"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m:rPr>
                        <m:sty m:val="p"/>
                      </m:rPr>
                      <w:rPr>
                        <w:rFonts w:ascii="Cambria Math" w:eastAsiaTheme="minorEastAsia" w:hAnsi="Cambria Math" w:cs="Arial"/>
                        <w:sz w:val="20"/>
                        <w:szCs w:val="20"/>
                      </w:rPr>
                      <m:t>MAD</m:t>
                    </m:r>
                    <m:r>
                      <w:rPr>
                        <w:rFonts w:ascii="Cambria Math" w:eastAsiaTheme="minorEastAsia" w:hAnsi="Cambria Math" w:cs="Arial"/>
                        <w:sz w:val="20"/>
                        <w:szCs w:val="20"/>
                      </w:rPr>
                      <m:t>⁡</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m:rPr>
                    <m:sty m:val="p"/>
                  </m:rPr>
                  <w:rPr>
                    <w:rFonts w:ascii="Cambria Math" w:eastAsiaTheme="minorEastAsia" w:hAnsi="Cambria Math" w:cs="Arial"/>
                    <w:sz w:val="20"/>
                    <w:szCs w:val="20"/>
                  </w:rPr>
                  <m:t>median</m:t>
                </m:r>
                <m:r>
                  <w:rPr>
                    <w:rFonts w:ascii="Cambria Math" w:eastAsiaTheme="minorEastAsia" w:hAnsi="Cambria Math" w:cs="Arial"/>
                    <w:sz w:val="20"/>
                    <w:szCs w:val="20"/>
                  </w:rPr>
                  <m:t>⁡</m:t>
                </m:r>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(22)</m:t>
                </m:r>
              </m:e>
            </m:mr>
          </m:m>
        </m:oMath>
      </m:oMathPara>
    </w:p>
    <w:p w14:paraId="35FBCA7F"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If a subset of observations is contaminated with extreme values, their corresponding deviations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r>
          <w:rPr>
            <w:rFonts w:ascii="Cambria Math" w:eastAsiaTheme="minorEastAsia" w:hAnsi="Cambria Math" w:cs="Arial"/>
            <w:sz w:val="20"/>
            <w:szCs w:val="20"/>
          </w:rPr>
          <m:t xml:space="preserve"> </m:t>
        </m:r>
      </m:oMath>
      <w:r w:rsidRPr="006B6B60">
        <w:rPr>
          <w:rFonts w:ascii="Arial" w:eastAsiaTheme="minorEastAsia" w:hAnsi="Arial" w:cs="Arial"/>
          <w:bCs/>
          <w:sz w:val="20"/>
          <w:szCs w:val="20"/>
        </w:rPr>
        <w:t>may become arbitrarily large. However, as long as fewer than half of the observations are contaminated, the median of the deviation sequence is still determined by the uncontaminated majority.</w:t>
      </w:r>
    </w:p>
    <w:p w14:paraId="17942FBF"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Hence, </w:t>
      </w:r>
      <m:oMath>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m:rPr>
                    <m:sty m:val="p"/>
                  </m:rPr>
                  <w:rPr>
                    <w:rFonts w:ascii="Cambria Math" w:eastAsiaTheme="minorEastAsia" w:hAnsi="Cambria Math" w:cs="Arial"/>
                    <w:sz w:val="20"/>
                    <w:szCs w:val="20"/>
                  </w:rPr>
                  <m:t>MAD</m:t>
                </m:r>
                <m:ctrlPr>
                  <w:rPr>
                    <w:rFonts w:ascii="Cambria Math" w:eastAsiaTheme="minorEastAsia" w:hAnsi="Cambria Math" w:cs="Arial"/>
                    <w:bCs/>
                    <w:sz w:val="20"/>
                    <w:szCs w:val="20"/>
                  </w:rPr>
                </m:ctrlPr>
              </m:fName>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&lt;∞.</m:t>
        </m:r>
      </m:oMath>
      <w:r w:rsidRPr="006B6B60">
        <w:rPr>
          <w:rFonts w:ascii="Arial" w:eastAsiaTheme="minorEastAsia" w:hAnsi="Arial" w:cs="Arial"/>
          <w:bCs/>
          <w:sz w:val="20"/>
          <w:szCs w:val="20"/>
        </w:rPr>
        <w:t xml:space="preserve"> </w:t>
      </w:r>
      <m:oMath>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ctrlPr>
                  <w:rPr>
                    <w:rFonts w:ascii="Cambria Math" w:eastAsiaTheme="minorEastAsia" w:hAnsi="Cambria Math" w:cs="Arial"/>
                    <w:bCs/>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m:rPr>
            <m:nor/>
          </m:rPr>
          <w:rPr>
            <w:rFonts w:ascii="Arial" w:eastAsiaTheme="minorEastAsia" w:hAnsi="Arial" w:cs="Arial"/>
            <w:bCs/>
            <w:sz w:val="20"/>
            <w:szCs w:val="20"/>
          </w:rPr>
          <m:t>remains bounded under limited contamination.</m:t>
        </m:r>
      </m:oMath>
    </w:p>
    <w:p w14:paraId="2AF88269"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4.3 Theorem: Divergence of Standard Deviation Under Outliers</w:t>
      </w:r>
    </w:p>
    <w:p w14:paraId="1AAFCFB0"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2</w:t>
      </w:r>
    </w:p>
    <w:p w14:paraId="65BF48BC" w14:textId="77777777" w:rsidR="001A7A81" w:rsidRPr="006B6B60" w:rsidRDefault="001A7A81"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sample standard deviation diverges in the presence of even a single extreme observation.</w:t>
      </w:r>
    </w:p>
    <w:p w14:paraId="76563E2B"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659BEAB5"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 sample variance is defined as</w:t>
      </w:r>
    </w:p>
    <w:p w14:paraId="298821F5"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n</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r>
                      <w:rPr>
                        <w:rFonts w:ascii="Cambria Math" w:eastAsiaTheme="minorEastAsia" w:hAnsi="Cambria Math" w:cs="Arial"/>
                        <w:sz w:val="20"/>
                        <w:szCs w:val="20"/>
                      </w:rPr>
                      <m:t>-</m:t>
                    </m:r>
                    <m:r>
                      <w:rPr>
                        <w:rFonts w:ascii="Cambria Math" w:eastAsiaTheme="minorEastAsia" w:hAnsi="Cambria Math" w:cs="Arial"/>
                        <w:sz w:val="20"/>
                        <w:szCs w:val="20"/>
                      </w:rPr>
                      <m:t>1</m:t>
                    </m:r>
                  </m:den>
                </m:f>
                <m:nary>
                  <m:naryPr>
                    <m:chr m:val="∑"/>
                    <m:limLoc m:val="undOvr"/>
                    <m:grow m:val="1"/>
                    <m:ctrlPr>
                      <w:rPr>
                        <w:rFonts w:ascii="Cambria Math" w:eastAsiaTheme="minorEastAsia" w:hAnsi="Cambria Math" w:cs="Arial"/>
                        <w:bCs/>
                        <w:sz w:val="20"/>
                        <w:szCs w:val="20"/>
                      </w:rPr>
                    </m:ctrlPr>
                  </m:naryPr>
                  <m:sub>
                    <m:r>
                      <w:rPr>
                        <w:rFonts w:ascii="Cambria Math" w:eastAsiaTheme="minorEastAsia" w:hAnsi="Cambria Math" w:cs="Arial"/>
                        <w:sz w:val="20"/>
                        <w:szCs w:val="20"/>
                      </w:rPr>
                      <m:t>t</m:t>
                    </m:r>
                    <m:r>
                      <w:rPr>
                        <w:rFonts w:ascii="Cambria Math" w:eastAsiaTheme="minorEastAsia" w:hAnsi="Cambria Math" w:cs="Arial"/>
                        <w:sz w:val="20"/>
                        <w:szCs w:val="20"/>
                      </w:rPr>
                      <m:t>=1</m:t>
                    </m:r>
                  </m:sub>
                  <m:sup>
                    <m:r>
                      <w:rPr>
                        <w:rFonts w:ascii="Cambria Math" w:eastAsiaTheme="minorEastAsia" w:hAnsi="Cambria Math" w:cs="Arial"/>
                        <w:sz w:val="20"/>
                        <w:szCs w:val="20"/>
                      </w:rPr>
                      <m:t>n</m:t>
                    </m:r>
                  </m:sup>
                  <m:e>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m:t>
                        </m:r>
                      </m:e>
                      <m:sup>
                        <m:r>
                          <w:rPr>
                            <w:rFonts w:ascii="Cambria Math" w:eastAsiaTheme="minorEastAsia" w:hAnsi="Cambria Math" w:cs="Arial"/>
                            <w:sz w:val="20"/>
                            <w:szCs w:val="20"/>
                          </w:rPr>
                          <m:t>2</m:t>
                        </m:r>
                      </m:sup>
                    </m:sSup>
                  </m:e>
                </m:nary>
                <m:r>
                  <w:rPr>
                    <w:rFonts w:ascii="Cambria Math" w:eastAsiaTheme="minorEastAsia" w:hAnsi="Cambria Math" w:cs="Arial"/>
                    <w:sz w:val="20"/>
                    <w:szCs w:val="20"/>
                  </w:rPr>
                  <m:t>,</m:t>
                </m:r>
              </m:e>
              <m:e/>
              <m:e>
                <m:r>
                  <m:rPr>
                    <m:nor/>
                  </m:rPr>
                  <w:rPr>
                    <w:rFonts w:ascii="Arial" w:eastAsiaTheme="minorEastAsia" w:hAnsi="Arial" w:cs="Arial"/>
                    <w:bCs/>
                    <w:sz w:val="20"/>
                    <w:szCs w:val="20"/>
                  </w:rPr>
                  <m:t>(23)</m:t>
                </m:r>
              </m:e>
            </m:mr>
          </m:m>
        </m:oMath>
      </m:oMathPara>
    </w:p>
    <w:p w14:paraId="668B85AC"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Where</w:t>
      </w:r>
    </w:p>
    <w:p w14:paraId="1194173E"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nary>
                  <m:naryPr>
                    <m:chr m:val="∑"/>
                    <m:limLoc m:val="undOvr"/>
                    <m:grow m:val="1"/>
                    <m:ctrlPr>
                      <w:rPr>
                        <w:rFonts w:ascii="Cambria Math" w:eastAsiaTheme="minorEastAsia" w:hAnsi="Cambria Math" w:cs="Arial"/>
                        <w:bCs/>
                        <w:sz w:val="20"/>
                        <w:szCs w:val="20"/>
                      </w:rPr>
                    </m:ctrlPr>
                  </m:naryPr>
                  <m:sub>
                    <m:r>
                      <w:rPr>
                        <w:rFonts w:ascii="Cambria Math" w:eastAsiaTheme="minorEastAsia" w:hAnsi="Cambria Math" w:cs="Arial"/>
                        <w:sz w:val="20"/>
                        <w:szCs w:val="20"/>
                      </w:rPr>
                      <m:t>t</m:t>
                    </m:r>
                    <m:r>
                      <w:rPr>
                        <w:rFonts w:ascii="Cambria Math" w:eastAsiaTheme="minorEastAsia" w:hAnsi="Cambria Math" w:cs="Arial"/>
                        <w:sz w:val="20"/>
                        <w:szCs w:val="20"/>
                      </w:rPr>
                      <m:t>=1</m:t>
                    </m:r>
                  </m:sub>
                  <m:sup>
                    <m:r>
                      <w:rPr>
                        <w:rFonts w:ascii="Cambria Math" w:eastAsiaTheme="minorEastAsia" w:hAnsi="Cambria Math" w:cs="Arial"/>
                        <w:sz w:val="20"/>
                        <w:szCs w:val="20"/>
                      </w:rPr>
                      <m:t>n</m:t>
                    </m:r>
                  </m:sup>
                  <m:e/>
                </m:nary>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(24)</m:t>
                </m:r>
              </m:e>
            </m:mr>
          </m:m>
        </m:oMath>
      </m:oMathPara>
    </w:p>
    <w:p w14:paraId="794C4D62"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Let one observation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k</m:t>
            </m:r>
          </m:sub>
        </m:sSub>
        <m:r>
          <w:rPr>
            <w:rFonts w:ascii="Cambria Math" w:eastAsiaTheme="minorEastAsia" w:hAnsi="Cambria Math" w:cs="Arial"/>
            <w:sz w:val="20"/>
            <w:szCs w:val="20"/>
          </w:rPr>
          <m:t>=M</m:t>
        </m:r>
      </m:oMath>
      <w:r w:rsidRPr="006B6B60">
        <w:rPr>
          <w:rFonts w:ascii="Arial" w:eastAsiaTheme="minorEastAsia" w:hAnsi="Arial" w:cs="Arial"/>
          <w:bCs/>
          <w:sz w:val="20"/>
          <w:szCs w:val="20"/>
        </w:rPr>
        <w:t xml:space="preserve">, where </w:t>
      </w:r>
      <m:oMath>
        <m:r>
          <w:rPr>
            <w:rFonts w:ascii="Cambria Math" w:eastAsiaTheme="minorEastAsia" w:hAnsi="Cambria Math" w:cs="Arial"/>
            <w:sz w:val="20"/>
            <w:szCs w:val="20"/>
          </w:rPr>
          <m:t>M→∞</m:t>
        </m:r>
      </m:oMath>
      <w:r w:rsidRPr="006B6B60">
        <w:rPr>
          <w:rFonts w:ascii="Arial" w:eastAsiaTheme="minorEastAsia" w:hAnsi="Arial" w:cs="Arial"/>
          <w:bCs/>
          <w:sz w:val="20"/>
          <w:szCs w:val="20"/>
        </w:rPr>
        <w:t>. Then</w:t>
      </w:r>
    </w:p>
    <w:p w14:paraId="7F419AB7"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M</m:t>
                    </m:r>
                  </m:num>
                  <m:den>
                    <m:r>
                      <w:rPr>
                        <w:rFonts w:ascii="Cambria Math" w:eastAsiaTheme="minorEastAsia" w:hAnsi="Cambria Math" w:cs="Arial"/>
                        <w:sz w:val="20"/>
                        <w:szCs w:val="20"/>
                      </w:rPr>
                      <m:t>n</m:t>
                    </m:r>
                  </m:den>
                </m:f>
                <m:r>
                  <w:rPr>
                    <w:rFonts w:ascii="Cambria Math" w:eastAsiaTheme="minorEastAsia" w:hAnsi="Cambria Math" w:cs="Arial"/>
                    <w:sz w:val="20"/>
                    <w:szCs w:val="20"/>
                  </w:rPr>
                  <m:t>.</m:t>
                </m:r>
              </m:e>
              <m:e/>
              <m:e>
                <m:r>
                  <m:rPr>
                    <m:nor/>
                  </m:rPr>
                  <w:rPr>
                    <w:rFonts w:ascii="Arial" w:eastAsiaTheme="minorEastAsia" w:hAnsi="Arial" w:cs="Arial"/>
                    <w:bCs/>
                    <w:sz w:val="20"/>
                    <w:szCs w:val="20"/>
                  </w:rPr>
                  <m:t>(25)</m:t>
                </m:r>
              </m:e>
            </m:mr>
          </m:m>
        </m:oMath>
      </m:oMathPara>
    </w:p>
    <w:p w14:paraId="12D950E6"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 contribution of this observation to the variance is</w:t>
      </w:r>
    </w:p>
    <w:p w14:paraId="3601491E"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k</m:t>
                    </m:r>
                  </m:sub>
                </m:sSub>
                <m:r>
                  <w:rPr>
                    <w:rFonts w:ascii="Cambria Math" w:eastAsiaTheme="minorEastAsia" w:hAnsi="Cambria Math" w:cs="Arial"/>
                    <w:sz w:val="20"/>
                    <w:szCs w:val="20"/>
                  </w:rPr>
                  <m:t>-</m:t>
                </m:r>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m:t>
                    </m:r>
                  </m:e>
                  <m:sup>
                    <m:r>
                      <w:rPr>
                        <w:rFonts w:ascii="Cambria Math" w:eastAsiaTheme="minorEastAsia" w:hAnsi="Cambria Math" w:cs="Arial"/>
                        <w:sz w:val="20"/>
                        <w:szCs w:val="20"/>
                      </w:rPr>
                      <m:t>2</m:t>
                    </m:r>
                  </m:sup>
                </m:sSup>
                <m:r>
                  <w:rPr>
                    <w:rFonts w:ascii="Cambria Math" w:eastAsiaTheme="minorEastAsia" w:hAnsi="Cambria Math" w:cs="Arial"/>
                    <w:sz w:val="20"/>
                    <w:szCs w:val="20"/>
                  </w:rPr>
                  <m:t>≈</m:t>
                </m:r>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M</m:t>
                    </m:r>
                  </m:e>
                  <m:sup>
                    <m:r>
                      <w:rPr>
                        <w:rFonts w:ascii="Cambria Math" w:eastAsiaTheme="minorEastAsia" w:hAnsi="Cambria Math" w:cs="Arial"/>
                        <w:sz w:val="20"/>
                        <w:szCs w:val="20"/>
                      </w:rPr>
                      <m:t>2</m:t>
                    </m:r>
                  </m:sup>
                </m:sSup>
                <m:r>
                  <w:rPr>
                    <w:rFonts w:ascii="Cambria Math" w:eastAsiaTheme="minorEastAsia" w:hAnsi="Cambria Math" w:cs="Arial"/>
                    <w:sz w:val="20"/>
                    <w:szCs w:val="20"/>
                  </w:rPr>
                  <m:t>.</m:t>
                </m:r>
              </m:e>
              <m:e/>
              <m:e>
                <m:r>
                  <m:rPr>
                    <m:nor/>
                  </m:rPr>
                  <w:rPr>
                    <w:rFonts w:ascii="Arial" w:eastAsiaTheme="minorEastAsia" w:hAnsi="Arial" w:cs="Arial"/>
                    <w:bCs/>
                    <w:sz w:val="20"/>
                    <w:szCs w:val="20"/>
                  </w:rPr>
                  <m:t>(26)</m:t>
                </m:r>
              </m:e>
            </m:mr>
          </m:m>
        </m:oMath>
      </m:oMathPara>
    </w:p>
    <w:p w14:paraId="6A5EDB43"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Thus,</w:t>
      </w:r>
    </w:p>
    <w:p w14:paraId="540E9199" w14:textId="77777777" w:rsidR="001A7A81" w:rsidRPr="006B6B60" w:rsidRDefault="00793B26"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n</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oMath>
      </m:oMathPara>
    </w:p>
    <w:p w14:paraId="4DF488E0" w14:textId="77777777" w:rsidR="001A7A81" w:rsidRPr="006B6B60" w:rsidRDefault="001A7A81" w:rsidP="004B7404">
      <w:pPr>
        <w:jc w:val="both"/>
        <w:rPr>
          <w:rFonts w:ascii="Arial" w:eastAsiaTheme="minorEastAsia" w:hAnsi="Arial" w:cs="Arial"/>
          <w:bCs/>
          <w:sz w:val="20"/>
          <w:szCs w:val="20"/>
        </w:rPr>
      </w:pPr>
    </w:p>
    <w:p w14:paraId="3933E19A"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4.4 Breakdown Point Analysis</w:t>
      </w:r>
    </w:p>
    <w:p w14:paraId="16629DD3"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 breakdown point of an estimator is defined as the smallest proportion of contamination that can cause it to produce arbitrarily large errors.</w:t>
      </w:r>
    </w:p>
    <w:p w14:paraId="604D6910"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For an estimator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oMath>
      <w:r w:rsidRPr="006B6B60">
        <w:rPr>
          <w:rFonts w:ascii="Arial" w:eastAsiaTheme="minorEastAsia" w:hAnsi="Arial" w:cs="Arial"/>
          <w:bCs/>
          <w:sz w:val="20"/>
          <w:szCs w:val="20"/>
        </w:rPr>
        <w:t xml:space="preserve">, the breakdown point is </w:t>
      </w:r>
    </w:p>
    <w:p w14:paraId="14C47A9C" w14:textId="77777777" w:rsidR="001A7A81"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k</m:t>
                    </m:r>
                  </m:num>
                  <m:den>
                    <m:r>
                      <w:rPr>
                        <w:rFonts w:ascii="Cambria Math" w:eastAsiaTheme="minorEastAsia" w:hAnsi="Cambria Math" w:cs="Arial"/>
                        <w:sz w:val="20"/>
                        <w:szCs w:val="20"/>
                      </w:rPr>
                      <m:t>n</m:t>
                    </m:r>
                  </m:den>
                </m:f>
                <m:r>
                  <w:rPr>
                    <w:rFonts w:ascii="Cambria Math" w:eastAsiaTheme="minorEastAsia" w:hAnsi="Cambria Math" w:cs="Arial"/>
                    <w:sz w:val="20"/>
                    <w:szCs w:val="20"/>
                  </w:rPr>
                  <m:t>,</m:t>
                </m:r>
              </m:e>
              <m:e/>
              <m:e>
                <m:r>
                  <m:rPr>
                    <m:nor/>
                  </m:rPr>
                  <w:rPr>
                    <w:rFonts w:ascii="Arial" w:eastAsiaTheme="minorEastAsia" w:hAnsi="Arial" w:cs="Arial"/>
                    <w:bCs/>
                    <w:sz w:val="20"/>
                    <w:szCs w:val="20"/>
                  </w:rPr>
                  <m:t>(27)</m:t>
                </m:r>
              </m:e>
            </m:mr>
          </m:m>
        </m:oMath>
      </m:oMathPara>
    </w:p>
    <w:p w14:paraId="50A06672"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where  </w:t>
      </w:r>
      <m:oMath>
        <m:r>
          <w:rPr>
            <w:rFonts w:ascii="Cambria Math" w:eastAsiaTheme="minorEastAsia" w:hAnsi="Cambria Math" w:cs="Arial"/>
            <w:sz w:val="20"/>
            <w:szCs w:val="20"/>
          </w:rPr>
          <m:t>k</m:t>
        </m:r>
      </m:oMath>
      <w:r w:rsidRPr="006B6B60">
        <w:rPr>
          <w:rFonts w:ascii="Arial" w:eastAsiaTheme="minorEastAsia" w:hAnsi="Arial" w:cs="Arial"/>
          <w:bCs/>
          <w:sz w:val="20"/>
          <w:szCs w:val="20"/>
        </w:rPr>
        <w:t xml:space="preserve"> is the minimum number of contaminated observations required to distort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oMath>
      <w:r w:rsidRPr="006B6B60">
        <w:rPr>
          <w:rFonts w:ascii="Arial" w:eastAsiaTheme="minorEastAsia" w:hAnsi="Arial" w:cs="Arial"/>
          <w:bCs/>
          <w:sz w:val="20"/>
          <w:szCs w:val="20"/>
        </w:rPr>
        <w:t>.</w:t>
      </w:r>
    </w:p>
    <w:p w14:paraId="348710F6"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Results:</w:t>
      </w:r>
    </w:p>
    <w:p w14:paraId="3CA27646" w14:textId="77777777" w:rsidR="001A7A81" w:rsidRPr="006B6B60" w:rsidRDefault="001A7A81" w:rsidP="004B7404">
      <w:pPr>
        <w:numPr>
          <w:ilvl w:val="0"/>
          <w:numId w:val="4"/>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Mean:  </w:t>
      </w:r>
    </w:p>
    <w:p w14:paraId="3FA02B27" w14:textId="77777777" w:rsidR="001A7A81" w:rsidRPr="006B6B60" w:rsidRDefault="00793B26"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d>
                  <m:dPr>
                    <m:ctrlPr>
                      <w:rPr>
                        <w:rFonts w:ascii="Cambria Math" w:eastAsiaTheme="minorEastAsia" w:hAnsi="Cambria Math" w:cs="Arial"/>
                        <w:bCs/>
                        <w:i/>
                        <w:sz w:val="20"/>
                        <w:szCs w:val="20"/>
                      </w:rPr>
                    </m:ctrlPr>
                  </m:dPr>
                  <m:e>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e>
                </m:d>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e>
              <m:e/>
              <m:e>
                <m:r>
                  <m:rPr>
                    <m:nor/>
                  </m:rPr>
                  <w:rPr>
                    <w:rFonts w:ascii="Arial" w:eastAsiaTheme="minorEastAsia" w:hAnsi="Arial" w:cs="Arial"/>
                    <w:bCs/>
                    <w:sz w:val="20"/>
                    <w:szCs w:val="20"/>
                  </w:rPr>
                  <m:t>(28)</m:t>
                </m:r>
              </m:e>
            </m:mr>
          </m:m>
        </m:oMath>
      </m:oMathPara>
    </w:p>
    <w:p w14:paraId="7EA45B32" w14:textId="77777777" w:rsidR="001A7A81" w:rsidRPr="006B6B60" w:rsidRDefault="001A7A81" w:rsidP="004B7404">
      <w:pPr>
        <w:numPr>
          <w:ilvl w:val="0"/>
          <w:numId w:val="5"/>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Standard deviation: </w:t>
      </w:r>
    </w:p>
    <w:p w14:paraId="024B79D0" w14:textId="77777777" w:rsidR="001A7A81" w:rsidRPr="006B6B60" w:rsidRDefault="00793B26"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e>
              <m:e/>
              <m:e>
                <m:r>
                  <m:rPr>
                    <m:nor/>
                  </m:rPr>
                  <w:rPr>
                    <w:rFonts w:ascii="Arial" w:eastAsiaTheme="minorEastAsia" w:hAnsi="Arial" w:cs="Arial"/>
                    <w:bCs/>
                    <w:sz w:val="20"/>
                    <w:szCs w:val="20"/>
                  </w:rPr>
                  <m:t>(29)</m:t>
                </m:r>
              </m:e>
            </m:mr>
          </m:m>
        </m:oMath>
      </m:oMathPara>
    </w:p>
    <w:p w14:paraId="248CE2BA" w14:textId="77777777" w:rsidR="001A7A81" w:rsidRPr="006B6B60" w:rsidRDefault="001A7A81" w:rsidP="004B7404">
      <w:pPr>
        <w:numPr>
          <w:ilvl w:val="0"/>
          <w:numId w:val="6"/>
        </w:num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 xml:space="preserve">Median: </w:t>
      </w:r>
    </w:p>
    <w:p w14:paraId="4BE2BBF5" w14:textId="77777777" w:rsidR="001A7A81" w:rsidRPr="006B6B60" w:rsidRDefault="00793B26"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)≈0.5</m:t>
                </m:r>
              </m:e>
              <m:e/>
              <m:e>
                <m:r>
                  <m:rPr>
                    <m:nor/>
                  </m:rPr>
                  <w:rPr>
                    <w:rFonts w:ascii="Arial" w:eastAsiaTheme="minorEastAsia" w:hAnsi="Arial" w:cs="Arial"/>
                    <w:bCs/>
                    <w:sz w:val="20"/>
                    <w:szCs w:val="20"/>
                  </w:rPr>
                  <m:t>(30)</m:t>
                </m:r>
              </m:e>
            </m:mr>
          </m:m>
        </m:oMath>
      </m:oMathPara>
    </w:p>
    <w:p w14:paraId="5451944C" w14:textId="77777777" w:rsidR="001A7A81" w:rsidRPr="006B6B60" w:rsidRDefault="001A7A81" w:rsidP="004B7404">
      <w:pPr>
        <w:numPr>
          <w:ilvl w:val="0"/>
          <w:numId w:val="7"/>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MAD: </w:t>
      </w:r>
    </w:p>
    <w:p w14:paraId="58B30FD5" w14:textId="77777777" w:rsidR="001A7A81" w:rsidRPr="006B6B60" w:rsidRDefault="00793B26"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m:rPr>
                        <m:sty m:val="p"/>
                      </m:rPr>
                      <w:rPr>
                        <w:rFonts w:ascii="Cambria Math" w:eastAsiaTheme="minorEastAsia" w:hAnsi="Cambria Math" w:cs="Arial"/>
                        <w:sz w:val="20"/>
                        <w:szCs w:val="20"/>
                      </w:rPr>
                      <m:t>MAD</m:t>
                    </m:r>
                    <m:r>
                      <w:rPr>
                        <w:rFonts w:ascii="Cambria Math" w:eastAsiaTheme="minorEastAsia" w:hAnsi="Cambria Math" w:cs="Arial"/>
                        <w:sz w:val="20"/>
                        <w:szCs w:val="20"/>
                      </w:rPr>
                      <m:t>⁡</m:t>
                    </m:r>
                  </m:e>
                  <m:sub>
                    <m:r>
                      <w:rPr>
                        <w:rFonts w:ascii="Cambria Math" w:eastAsiaTheme="minorEastAsia" w:hAnsi="Cambria Math" w:cs="Arial"/>
                        <w:sz w:val="20"/>
                        <w:szCs w:val="20"/>
                      </w:rPr>
                      <m:t>n</m:t>
                    </m:r>
                  </m:sub>
                </m:sSub>
                <m:r>
                  <w:rPr>
                    <w:rFonts w:ascii="Cambria Math" w:eastAsiaTheme="minorEastAsia" w:hAnsi="Cambria Math" w:cs="Arial"/>
                    <w:sz w:val="20"/>
                    <w:szCs w:val="20"/>
                  </w:rPr>
                  <m:t>)≈0.5</m:t>
                </m:r>
              </m:e>
              <m:e/>
              <m:e>
                <m:r>
                  <m:rPr>
                    <m:nor/>
                  </m:rPr>
                  <w:rPr>
                    <w:rFonts w:ascii="Arial" w:eastAsiaTheme="minorEastAsia" w:hAnsi="Arial" w:cs="Arial"/>
                    <w:bCs/>
                    <w:sz w:val="20"/>
                    <w:szCs w:val="20"/>
                  </w:rPr>
                  <m:t>(31)</m:t>
                </m:r>
              </m:e>
            </m:mr>
          </m:m>
        </m:oMath>
      </m:oMathPara>
    </w:p>
    <w:p w14:paraId="6873519E" w14:textId="77777777" w:rsidR="001A7A81" w:rsidRPr="006B6B60" w:rsidRDefault="001A7A81" w:rsidP="004B7404">
      <w:pPr>
        <w:ind w:left="720"/>
        <w:jc w:val="both"/>
        <w:rPr>
          <w:rFonts w:ascii="Arial" w:eastAsiaTheme="minorEastAsia" w:hAnsi="Arial" w:cs="Arial"/>
          <w:bCs/>
          <w:sz w:val="20"/>
          <w:szCs w:val="20"/>
        </w:rPr>
      </w:pPr>
      <w:r w:rsidRPr="006B6B60">
        <w:rPr>
          <w:rFonts w:ascii="Arial" w:eastAsiaTheme="minorEastAsia" w:hAnsi="Arial" w:cs="Arial"/>
          <w:bCs/>
          <w:sz w:val="20"/>
          <w:szCs w:val="20"/>
        </w:rPr>
        <w:t>Thus,</w:t>
      </w:r>
    </w:p>
    <w:p w14:paraId="2B0F022D" w14:textId="77777777" w:rsidR="001A7A81" w:rsidRPr="006B6B60" w:rsidRDefault="00793B26" w:rsidP="004B7404">
      <w:pPr>
        <w:ind w:left="720"/>
        <w:jc w:val="both"/>
        <w:rPr>
          <w:rFonts w:ascii="Arial" w:eastAsiaTheme="minorEastAsia" w:hAnsi="Arial" w:cs="Arial"/>
          <w:bCs/>
          <w:sz w:val="20"/>
          <w:szCs w:val="20"/>
        </w:rPr>
      </w:pPr>
      <m:oMathPara>
        <m:oMath>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d>
            <m:dPr>
              <m:ctrlPr>
                <w:rPr>
                  <w:rFonts w:ascii="Cambria Math" w:eastAsiaTheme="minorEastAsia" w:hAnsi="Cambria Math" w:cs="Arial"/>
                  <w:bCs/>
                  <w:i/>
                  <w:sz w:val="20"/>
                  <w:szCs w:val="20"/>
                </w:rPr>
              </m:ctrlPr>
            </m:dPr>
            <m:e>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m:rPr>
                          <m:sty m:val="p"/>
                        </m:rPr>
                        <w:rPr>
                          <w:rFonts w:ascii="Cambria Math" w:eastAsiaTheme="minorEastAsia" w:hAnsi="Cambria Math" w:cs="Arial"/>
                          <w:sz w:val="20"/>
                          <w:szCs w:val="20"/>
                        </w:rPr>
                        <m:t>MAD</m:t>
                      </m:r>
                      <m:ctrlPr>
                        <w:rPr>
                          <w:rFonts w:ascii="Cambria Math" w:eastAsiaTheme="minorEastAsia" w:hAnsi="Cambria Math" w:cs="Arial"/>
                          <w:bCs/>
                          <w:sz w:val="20"/>
                          <w:szCs w:val="20"/>
                        </w:rPr>
                      </m:ctrlPr>
                    </m:fName>
                    <m:e/>
                  </m:func>
                </m:e>
                <m:sub>
                  <m:r>
                    <w:rPr>
                      <w:rFonts w:ascii="Cambria Math" w:eastAsiaTheme="minorEastAsia" w:hAnsi="Cambria Math" w:cs="Arial"/>
                      <w:sz w:val="20"/>
                      <w:szCs w:val="20"/>
                    </w:rPr>
                    <m:t>n</m:t>
                  </m:r>
                </m:sub>
              </m:sSub>
            </m:e>
          </m:d>
          <m:r>
            <w:rPr>
              <w:rFonts w:ascii="Cambria Math" w:eastAsiaTheme="minorEastAsia" w:hAnsi="Cambria Math" w:cs="Arial"/>
              <w:sz w:val="20"/>
              <w:szCs w:val="20"/>
            </w:rPr>
            <m:t>≫</m:t>
          </m:r>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d>
            <m:dPr>
              <m:ctrlPr>
                <w:rPr>
                  <w:rFonts w:ascii="Cambria Math" w:eastAsiaTheme="minorEastAsia" w:hAnsi="Cambria Math" w:cs="Arial"/>
                  <w:bCs/>
                  <w:i/>
                  <w:sz w:val="20"/>
                  <w:szCs w:val="20"/>
                </w:rPr>
              </m:ctrlPr>
            </m:dPr>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e>
          </m:d>
        </m:oMath>
      </m:oMathPara>
    </w:p>
    <w:p w14:paraId="79D341C6" w14:textId="77777777" w:rsidR="00D35277" w:rsidRPr="006B6B60" w:rsidRDefault="00D35277" w:rsidP="004B7404">
      <w:pPr>
        <w:ind w:left="720"/>
        <w:jc w:val="both"/>
        <w:rPr>
          <w:rFonts w:ascii="Arial" w:eastAsiaTheme="minorEastAsia" w:hAnsi="Arial" w:cs="Arial"/>
          <w:bCs/>
          <w:sz w:val="20"/>
          <w:szCs w:val="20"/>
        </w:rPr>
      </w:pPr>
      <w:r w:rsidRPr="006B6B60">
        <w:rPr>
          <w:rFonts w:ascii="Arial" w:eastAsiaTheme="minorEastAsia" w:hAnsi="Arial" w:cs="Arial"/>
          <w:bCs/>
          <w:sz w:val="20"/>
          <w:szCs w:val="20"/>
        </w:rPr>
        <w:t>indicating superior robustness.</w:t>
      </w:r>
    </w:p>
    <w:p w14:paraId="388F496F"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4.5 Scale Invariance</w:t>
      </w:r>
    </w:p>
    <w:p w14:paraId="6C00EE94"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3</w:t>
      </w:r>
    </w:p>
    <w:p w14:paraId="7ACD9A00" w14:textId="77777777" w:rsidR="00D35277" w:rsidRPr="006B6B60" w:rsidRDefault="00D35277"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MAD-based standardized score is invariant under positive scaling.</w:t>
      </w:r>
    </w:p>
    <w:p w14:paraId="3C99E41E"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Let</w:t>
      </w:r>
    </w:p>
    <w:p w14:paraId="76D11EF3" w14:textId="77777777" w:rsidR="001A7A81" w:rsidRPr="006B6B60" w:rsidRDefault="00793B26"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t</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λ</m:t>
                </m:r>
                <m:r>
                  <w:rPr>
                    <w:rFonts w:ascii="Cambria Math" w:eastAsiaTheme="minorEastAsia" w:hAnsi="Cambria Math" w:cs="Arial"/>
                    <w:sz w:val="20"/>
                    <w:szCs w:val="20"/>
                  </w:rPr>
                  <m:t>&gt;0.</m:t>
                </m:r>
              </m:e>
              <m:e/>
              <m:e>
                <m:r>
                  <m:rPr>
                    <m:nor/>
                  </m:rPr>
                  <w:rPr>
                    <w:rFonts w:ascii="Arial" w:eastAsiaTheme="minorEastAsia" w:hAnsi="Arial" w:cs="Arial"/>
                    <w:bCs/>
                    <w:sz w:val="20"/>
                    <w:szCs w:val="20"/>
                  </w:rPr>
                  <m:t>(32)</m:t>
                </m:r>
              </m:e>
            </m:mr>
          </m:m>
        </m:oMath>
      </m:oMathPara>
    </w:p>
    <w:p w14:paraId="4F9D3821"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Then,</w:t>
      </w:r>
    </w:p>
    <w:p w14:paraId="5D7F1A89" w14:textId="77777777" w:rsidR="00D35277" w:rsidRPr="006B6B60" w:rsidRDefault="00793B26"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r>
                <w:rPr>
                  <w:rFonts w:ascii="Cambria Math" w:eastAsiaTheme="minorEastAsia" w:hAnsi="Cambria Math" w:cs="Arial"/>
                  <w:sz w:val="20"/>
                  <w:szCs w:val="20"/>
                </w:rPr>
                <m:t>,*</m:t>
              </m:r>
            </m:sup>
          </m:sSubSup>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oMath>
      </m:oMathPara>
    </w:p>
    <w:p w14:paraId="7029DDB9"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112BE7E3" w14:textId="77777777" w:rsidR="00D35277" w:rsidRPr="006B6B60" w:rsidRDefault="00793B26"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m</m:t>
              </m:r>
            </m:e>
            <m:sub>
              <m:r>
                <w:rPr>
                  <w:rFonts w:ascii="Cambria Math" w:eastAsiaTheme="minorEastAsia" w:hAnsi="Cambria Math" w:cs="Arial"/>
                  <w:sz w:val="20"/>
                  <w:szCs w:val="20"/>
                </w:rPr>
                <m:t>n</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func>
                <m:funcPr>
                  <m:ctrlPr>
                    <w:rPr>
                      <w:rFonts w:ascii="Cambria Math" w:eastAsiaTheme="minorEastAsia" w:hAnsi="Cambria Math" w:cs="Arial"/>
                      <w:bCs/>
                      <w:i/>
                      <w:sz w:val="20"/>
                      <w:szCs w:val="20"/>
                    </w:rPr>
                  </m:ctrlPr>
                </m:funcPr>
                <m:fName>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ctrlPr>
                    <w:rPr>
                      <w:rFonts w:ascii="Cambria Math" w:eastAsiaTheme="minorEastAsia" w:hAnsi="Cambria Math" w:cs="Arial"/>
                      <w:bCs/>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w:rPr>
                      <w:rFonts w:ascii="Cambria Math" w:eastAsiaTheme="minorEastAsia" w:hAnsi="Cambria Math" w:cs="Arial"/>
                      <w:sz w:val="20"/>
                      <w:szCs w:val="20"/>
                    </w:rPr>
                    <m:t>λ</m:t>
                  </m:r>
                  <m:ctrlPr>
                    <w:rPr>
                      <w:rFonts w:ascii="Cambria Math" w:eastAsiaTheme="minorEastAsia" w:hAnsi="Cambria Math" w:cs="Arial"/>
                      <w:bCs/>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oMath>
      </m:oMathPara>
    </w:p>
    <w:p w14:paraId="5C6BB5AC"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Thus,</w:t>
      </w:r>
    </w:p>
    <w:p w14:paraId="2B2568E5" w14:textId="77777777" w:rsidR="00D35277"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r>
                      <w:rPr>
                        <w:rFonts w:ascii="Cambria Math" w:eastAsiaTheme="minorEastAsia" w:hAnsi="Cambria Math" w:cs="Arial"/>
                        <w:sz w:val="20"/>
                        <w:szCs w:val="20"/>
                      </w:rPr>
                      <m:t>,*</m:t>
                    </m:r>
                  </m:sup>
                </m:sSubSu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num>
                  <m:den>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m:rPr>
                            <m:sty m:val="p"/>
                          </m:rPr>
                          <w:rPr>
                            <w:rFonts w:ascii="Cambria Math" w:eastAsiaTheme="minorEastAsia" w:hAnsi="Cambria Math" w:cs="Arial"/>
                            <w:sz w:val="20"/>
                            <w:szCs w:val="20"/>
                          </w:rPr>
                          <m:t>MAD</m:t>
                        </m:r>
                        <m:r>
                          <w:rPr>
                            <w:rFonts w:ascii="Cambria Math" w:eastAsiaTheme="minorEastAsia" w:hAnsi="Cambria Math" w:cs="Arial"/>
                            <w:sz w:val="20"/>
                            <w:szCs w:val="20"/>
                          </w:rPr>
                          <m:t>⁡</m:t>
                        </m:r>
                      </m:e>
                      <m:sub>
                        <m:r>
                          <w:rPr>
                            <w:rFonts w:ascii="Cambria Math" w:eastAsiaTheme="minorEastAsia" w:hAnsi="Cambria Math" w:cs="Arial"/>
                            <w:sz w:val="20"/>
                            <w:szCs w:val="20"/>
                          </w:rPr>
                          <m:t>n</m:t>
                        </m:r>
                      </m:sub>
                    </m:sSub>
                  </m:den>
                </m:f>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e>
              <m:e/>
              <m:e>
                <m:r>
                  <m:rPr>
                    <m:nor/>
                  </m:rPr>
                  <w:rPr>
                    <w:rFonts w:ascii="Arial" w:eastAsiaTheme="minorEastAsia" w:hAnsi="Arial" w:cs="Arial"/>
                    <w:bCs/>
                    <w:sz w:val="20"/>
                    <w:szCs w:val="20"/>
                  </w:rPr>
                  <m:t>(33)</m:t>
                </m:r>
              </m:e>
            </m:mr>
          </m:m>
        </m:oMath>
      </m:oMathPara>
    </w:p>
    <w:p w14:paraId="5535D1C3"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4.6 Translation Invariance</w:t>
      </w:r>
    </w:p>
    <w:p w14:paraId="0CBD0501"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4</w:t>
      </w:r>
    </w:p>
    <w:p w14:paraId="4A759EB3" w14:textId="77777777" w:rsidR="00D35277" w:rsidRPr="006B6B60" w:rsidRDefault="00D35277"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MAD-based score is invariant under translation.</w:t>
      </w:r>
    </w:p>
    <w:p w14:paraId="1D5620BB"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 xml:space="preserve">Let </w:t>
      </w:r>
    </w:p>
    <w:p w14:paraId="0C326866" w14:textId="77777777" w:rsidR="00D35277" w:rsidRPr="006B6B60" w:rsidRDefault="00793B26" w:rsidP="004B7404">
      <w:pPr>
        <w:jc w:val="both"/>
        <w:rPr>
          <w:rFonts w:ascii="Arial" w:eastAsia="Times New Roman" w:hAnsi="Arial" w:cs="Arial"/>
          <w:sz w:val="20"/>
          <w:szCs w:val="20"/>
          <w:lang w:val="en-US"/>
        </w:rPr>
      </w:pPr>
      <m:oMathPara>
        <m:oMath>
          <m:m>
            <m:mPr>
              <m:plcHide m:val="1"/>
              <m:mcs>
                <m:mc>
                  <m:mcPr>
                    <m:count m:val="4"/>
                    <m:mcJc m:val="center"/>
                  </m:mcPr>
                </m:mc>
              </m:mcs>
              <m:ctrlPr>
                <w:rPr>
                  <w:rFonts w:ascii="Cambria Math" w:eastAsia="Times New Roman" w:hAnsi="Cambria Math" w:cs="Arial"/>
                  <w:sz w:val="20"/>
                  <w:szCs w:val="20"/>
                  <w:lang w:val="en-US"/>
                </w:rPr>
              </m:ctrlPr>
            </m:mPr>
            <m:mr>
              <m:e/>
              <m:e>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r</m:t>
                    </m:r>
                  </m:e>
                  <m:sub>
                    <m:r>
                      <w:rPr>
                        <w:rFonts w:ascii="Cambria Math" w:eastAsia="Times New Roman" w:hAnsi="Cambria Math" w:cs="Arial"/>
                        <w:sz w:val="20"/>
                        <w:szCs w:val="20"/>
                        <w:lang w:val="en-US"/>
                      </w:rPr>
                      <m:t>t</m:t>
                    </m:r>
                  </m:sub>
                  <m:sup>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r</m:t>
                    </m:r>
                  </m:e>
                  <m:sub>
                    <m:r>
                      <w:rPr>
                        <w:rFonts w:ascii="Cambria Math" w:eastAsia="Times New Roman" w:hAnsi="Cambria Math" w:cs="Arial"/>
                        <w:sz w:val="20"/>
                        <w:szCs w:val="20"/>
                        <w:lang w:val="en-US"/>
                      </w:rPr>
                      <m:t>t</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e>
              <m:e/>
              <m:e>
                <m:r>
                  <m:rPr>
                    <m:nor/>
                  </m:rPr>
                  <w:rPr>
                    <w:rFonts w:ascii="Arial" w:eastAsia="Times New Roman" w:hAnsi="Arial" w:cs="Arial"/>
                    <w:sz w:val="20"/>
                    <w:szCs w:val="20"/>
                    <w:lang w:val="en-US"/>
                  </w:rPr>
                  <m:t>(34)</m:t>
                </m:r>
              </m:e>
            </m:mr>
          </m:m>
        </m:oMath>
      </m:oMathPara>
    </w:p>
    <w:p w14:paraId="04DBC8F5"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Then,</w:t>
      </w:r>
    </w:p>
    <w:p w14:paraId="7EB8FF72" w14:textId="77777777" w:rsidR="00D35277" w:rsidRPr="006B6B60" w:rsidRDefault="00793B26" w:rsidP="004B7404">
      <w:pPr>
        <w:jc w:val="both"/>
        <w:rPr>
          <w:rFonts w:ascii="Arial" w:eastAsia="Times New Roman" w:hAnsi="Arial" w:cs="Arial"/>
          <w:sz w:val="20"/>
          <w:szCs w:val="20"/>
          <w:lang w:val="en-US"/>
        </w:rPr>
      </w:pPr>
      <m:oMathPara>
        <m:oMath>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sup>
          </m:sSubSup>
          <m:r>
            <m:rPr>
              <m:sty m:val="p"/>
            </m:rPr>
            <w:rPr>
              <w:rFonts w:ascii="Cambria Math" w:eastAsia="Times New Roman" w:hAnsi="Cambria Math" w:cs="Arial"/>
              <w:sz w:val="20"/>
              <w:szCs w:val="20"/>
              <w:lang w:val="en-US"/>
            </w:rPr>
            <m:t>.</m:t>
          </m:r>
        </m:oMath>
      </m:oMathPara>
    </w:p>
    <w:p w14:paraId="1A2CAB35"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Proof</w:t>
      </w:r>
    </w:p>
    <w:p w14:paraId="3EB0CE38" w14:textId="77777777" w:rsidR="00D35277" w:rsidRPr="006B6B60" w:rsidRDefault="00793B26" w:rsidP="004B7404">
      <w:pPr>
        <w:jc w:val="both"/>
        <w:rPr>
          <w:rFonts w:ascii="Arial" w:eastAsia="Times New Roman" w:hAnsi="Arial" w:cs="Arial"/>
          <w:sz w:val="20"/>
          <w:szCs w:val="20"/>
          <w:lang w:val="en-US"/>
        </w:rPr>
      </w:pPr>
      <m:oMathPara>
        <m:oMath>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m</m:t>
              </m:r>
            </m:e>
            <m:sub>
              <m:r>
                <w:rPr>
                  <w:rFonts w:ascii="Cambria Math" w:eastAsia="Times New Roman" w:hAnsi="Cambria Math" w:cs="Arial"/>
                  <w:sz w:val="20"/>
                  <w:szCs w:val="20"/>
                  <w:lang w:val="en-US"/>
                </w:rPr>
                <m:t>n</m:t>
              </m:r>
            </m:sub>
            <m:sup>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m</m:t>
              </m:r>
            </m:e>
            <m:sub>
              <m:r>
                <w:rPr>
                  <w:rFonts w:ascii="Cambria Math" w:eastAsia="Times New Roman" w:hAnsi="Cambria Math" w:cs="Arial"/>
                  <w:sz w:val="20"/>
                  <w:szCs w:val="20"/>
                  <w:lang w:val="en-US"/>
                </w:rPr>
                <m:t>n</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sSubSup>
            <m:sSubSupPr>
              <m:ctrlPr>
                <w:rPr>
                  <w:rFonts w:ascii="Cambria Math" w:eastAsia="Times New Roman" w:hAnsi="Cambria Math" w:cs="Arial"/>
                  <w:sz w:val="20"/>
                  <w:szCs w:val="20"/>
                  <w:lang w:val="en-US"/>
                </w:rPr>
              </m:ctrlPr>
            </m:sSubSupPr>
            <m:e>
              <m:func>
                <m:funcPr>
                  <m:ctrlPr>
                    <w:rPr>
                      <w:rFonts w:ascii="Cambria Math" w:eastAsia="Times New Roman" w:hAnsi="Cambria Math" w:cs="Arial"/>
                      <w:sz w:val="20"/>
                      <w:szCs w:val="20"/>
                      <w:lang w:val="en-US"/>
                    </w:rPr>
                  </m:ctrlPr>
                </m:funcPr>
                <m:fName>
                  <m:r>
                    <m:rPr>
                      <m:sty m:val="p"/>
                    </m:rPr>
                    <w:rPr>
                      <w:rFonts w:ascii="Cambria Math" w:eastAsia="Times New Roman" w:hAnsi="Cambria Math" w:cs="Arial"/>
                      <w:sz w:val="20"/>
                      <w:szCs w:val="20"/>
                      <w:lang w:val="en-US"/>
                    </w:rPr>
                    <m:t>MAD</m:t>
                  </m:r>
                </m:fName>
                <m:e/>
              </m:func>
            </m:e>
            <m:sub>
              <m:r>
                <w:rPr>
                  <w:rFonts w:ascii="Cambria Math" w:eastAsia="Times New Roman" w:hAnsi="Cambria Math" w:cs="Arial"/>
                  <w:sz w:val="20"/>
                  <w:szCs w:val="20"/>
                  <w:lang w:val="en-US"/>
                </w:rPr>
                <m:t>n</m:t>
              </m:r>
            </m:sub>
            <m:sup>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func>
                <m:funcPr>
                  <m:ctrlPr>
                    <w:rPr>
                      <w:rFonts w:ascii="Cambria Math" w:eastAsia="Times New Roman" w:hAnsi="Cambria Math" w:cs="Arial"/>
                      <w:sz w:val="20"/>
                      <w:szCs w:val="20"/>
                      <w:lang w:val="en-US"/>
                    </w:rPr>
                  </m:ctrlPr>
                </m:funcPr>
                <m:fName>
                  <m:r>
                    <m:rPr>
                      <m:sty m:val="p"/>
                    </m:rPr>
                    <w:rPr>
                      <w:rFonts w:ascii="Cambria Math" w:eastAsia="Times New Roman" w:hAnsi="Cambria Math" w:cs="Arial"/>
                      <w:sz w:val="20"/>
                      <w:szCs w:val="20"/>
                      <w:lang w:val="en-US"/>
                    </w:rPr>
                    <m:t>MAD</m:t>
                  </m:r>
                </m:fName>
                <m:e/>
              </m:func>
            </m:e>
            <m:sub>
              <m:r>
                <w:rPr>
                  <w:rFonts w:ascii="Cambria Math" w:eastAsia="Times New Roman" w:hAnsi="Cambria Math" w:cs="Arial"/>
                  <w:sz w:val="20"/>
                  <w:szCs w:val="20"/>
                  <w:lang w:val="en-US"/>
                </w:rPr>
                <m:t>n</m:t>
              </m:r>
            </m:sub>
          </m:sSub>
          <m:r>
            <m:rPr>
              <m:sty m:val="p"/>
            </m:rPr>
            <w:rPr>
              <w:rFonts w:ascii="Cambria Math" w:eastAsia="Times New Roman" w:hAnsi="Cambria Math" w:cs="Arial"/>
              <w:sz w:val="20"/>
              <w:szCs w:val="20"/>
              <w:lang w:val="en-US"/>
            </w:rPr>
            <m:t>.</m:t>
          </m:r>
        </m:oMath>
      </m:oMathPara>
    </w:p>
    <w:p w14:paraId="1FE41C81"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Hence,</w:t>
      </w:r>
    </w:p>
    <w:p w14:paraId="0D263265" w14:textId="77777777" w:rsidR="00D35277" w:rsidRPr="006B6B60" w:rsidRDefault="00793B26" w:rsidP="004B7404">
      <w:pPr>
        <w:jc w:val="both"/>
        <w:rPr>
          <w:rFonts w:ascii="Arial" w:eastAsia="Times New Roman" w:hAnsi="Arial" w:cs="Arial"/>
          <w:sz w:val="20"/>
          <w:szCs w:val="20"/>
          <w:lang w:val="en-US"/>
        </w:rPr>
      </w:pPr>
      <m:oMathPara>
        <m:oMath>
          <m:m>
            <m:mPr>
              <m:plcHide m:val="1"/>
              <m:mcs>
                <m:mc>
                  <m:mcPr>
                    <m:count m:val="4"/>
                    <m:mcJc m:val="center"/>
                  </m:mcPr>
                </m:mc>
              </m:mcs>
              <m:ctrlPr>
                <w:rPr>
                  <w:rFonts w:ascii="Cambria Math" w:eastAsia="Times New Roman" w:hAnsi="Cambria Math" w:cs="Arial"/>
                  <w:sz w:val="20"/>
                  <w:szCs w:val="20"/>
                  <w:lang w:val="en-US"/>
                </w:rPr>
              </m:ctrlPr>
            </m:mPr>
            <m:mr>
              <m:e/>
              <m:e>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r</m:t>
                        </m:r>
                      </m:e>
                      <m:sub>
                        <m:r>
                          <w:rPr>
                            <w:rFonts w:ascii="Cambria Math" w:eastAsia="Times New Roman" w:hAnsi="Cambria Math" w:cs="Arial"/>
                            <w:sz w:val="20"/>
                            <w:szCs w:val="20"/>
                            <w:lang w:val="en-US"/>
                          </w:rPr>
                          <m:t>t</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m</m:t>
                        </m:r>
                      </m:e>
                      <m:sub>
                        <m:r>
                          <w:rPr>
                            <w:rFonts w:ascii="Cambria Math" w:eastAsia="Times New Roman" w:hAnsi="Cambria Math" w:cs="Arial"/>
                            <w:sz w:val="20"/>
                            <w:szCs w:val="20"/>
                            <w:lang w:val="en-US"/>
                          </w:rPr>
                          <m:t>n</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num>
                  <m:den>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n-US"/>
                          </w:rPr>
                          <m:t>MAD⁡</m:t>
                        </m:r>
                      </m:e>
                      <m:sub>
                        <m:r>
                          <w:rPr>
                            <w:rFonts w:ascii="Cambria Math" w:eastAsia="Times New Roman" w:hAnsi="Cambria Math" w:cs="Arial"/>
                            <w:sz w:val="20"/>
                            <w:szCs w:val="20"/>
                            <w:lang w:val="en-US"/>
                          </w:rPr>
                          <m:t>n</m:t>
                        </m:r>
                      </m:sub>
                    </m:sSub>
                  </m:den>
                </m:f>
                <m:r>
                  <m:rPr>
                    <m:sty m:val="p"/>
                  </m:rPr>
                  <w:rPr>
                    <w:rFonts w:ascii="Cambria Math" w:eastAsia="Times New Roman" w:hAnsi="Cambria Math" w:cs="Arial"/>
                    <w:sz w:val="20"/>
                    <w:szCs w:val="20"/>
                    <w:lang w:val="en-US"/>
                  </w:rPr>
                  <m:t>=</m:t>
                </m:r>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sup>
                </m:sSubSup>
                <m:r>
                  <m:rPr>
                    <m:sty m:val="p"/>
                  </m:rPr>
                  <w:rPr>
                    <w:rFonts w:ascii="Cambria Math" w:eastAsia="Times New Roman" w:hAnsi="Cambria Math" w:cs="Arial"/>
                    <w:sz w:val="20"/>
                    <w:szCs w:val="20"/>
                    <w:lang w:val="en-US"/>
                  </w:rPr>
                  <m:t>.</m:t>
                </m:r>
              </m:e>
              <m:e/>
              <m:e>
                <m:r>
                  <m:rPr>
                    <m:nor/>
                  </m:rPr>
                  <w:rPr>
                    <w:rFonts w:ascii="Arial" w:eastAsia="Times New Roman" w:hAnsi="Arial" w:cs="Arial"/>
                    <w:sz w:val="20"/>
                    <w:szCs w:val="20"/>
                    <w:lang w:val="en-US"/>
                  </w:rPr>
                  <m:t>(35)</m:t>
                </m:r>
              </m:e>
            </m:mr>
          </m:m>
        </m:oMath>
      </m:oMathPara>
    </w:p>
    <w:p w14:paraId="0D6802A5"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4.7 Stability of Classification</w:t>
      </w:r>
    </w:p>
    <w:p w14:paraId="6A3A1F06"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5 (Stability Under Perturbation)</w:t>
      </w:r>
    </w:p>
    <w:p w14:paraId="52C51407"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Let</w:t>
      </w:r>
    </w:p>
    <w:p w14:paraId="6D9E2B21" w14:textId="77777777" w:rsidR="00D35277"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t</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δ</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δ</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r>
                  <w:rPr>
                    <w:rFonts w:ascii="Cambria Math" w:eastAsiaTheme="minorEastAsia" w:hAnsi="Cambria Math" w:cs="Arial"/>
                    <w:sz w:val="20"/>
                    <w:szCs w:val="20"/>
                  </w:rPr>
                  <m:t>ϵ</m:t>
                </m:r>
                <m:r>
                  <w:rPr>
                    <w:rFonts w:ascii="Cambria Math" w:eastAsiaTheme="minorEastAsia" w:hAnsi="Cambria Math" w:cs="Arial"/>
                    <w:sz w:val="20"/>
                    <w:szCs w:val="20"/>
                  </w:rPr>
                  <m:t>.</m:t>
                </m:r>
              </m:e>
              <m:e/>
              <m:e>
                <m:r>
                  <m:rPr>
                    <m:nor/>
                  </m:rPr>
                  <w:rPr>
                    <w:rFonts w:ascii="Arial" w:eastAsiaTheme="minorEastAsia" w:hAnsi="Arial" w:cs="Arial"/>
                    <w:bCs/>
                    <w:sz w:val="20"/>
                    <w:szCs w:val="20"/>
                  </w:rPr>
                  <m:t>(36)</m:t>
                </m:r>
              </m:e>
            </m:mr>
          </m:m>
        </m:oMath>
      </m:oMathPara>
    </w:p>
    <w:p w14:paraId="67E981FA"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If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oMath>
      <w:r w:rsidRPr="006B6B60">
        <w:rPr>
          <w:rFonts w:ascii="Arial" w:eastAsiaTheme="minorEastAsia" w:hAnsi="Arial" w:cs="Arial"/>
          <w:bCs/>
          <w:sz w:val="20"/>
          <w:szCs w:val="20"/>
        </w:rPr>
        <w:t xml:space="preserve"> is sufficiently far from classification boundaries, then</w:t>
      </w:r>
    </w:p>
    <w:p w14:paraId="042C50BB" w14:textId="77777777" w:rsidR="00D35277" w:rsidRPr="006B6B60" w:rsidRDefault="00793B26"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r>
                <w:rPr>
                  <w:rFonts w:ascii="Cambria Math" w:eastAsiaTheme="minorEastAsia" w:hAnsi="Cambria Math" w:cs="Arial"/>
                  <w:sz w:val="20"/>
                  <w:szCs w:val="20"/>
                </w:rPr>
                <m:t>,*</m:t>
              </m:r>
            </m:sup>
          </m:sSubSup>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oMath>
      </m:oMathPara>
    </w:p>
    <w:p w14:paraId="3321C18B"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310AC066"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Define classification boundaries:</w:t>
      </w:r>
    </w:p>
    <w:p w14:paraId="0483C6CD" w14:textId="77777777" w:rsidR="00D35277" w:rsidRPr="006B6B60" w:rsidRDefault="00793B26"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j</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w:rPr>
                    <w:rFonts w:ascii="Cambria Math" w:eastAsiaTheme="minorEastAsia" w:hAnsi="Cambria Math" w:cs="Arial"/>
                    <w:sz w:val="20"/>
                    <w:szCs w:val="20"/>
                  </w:rPr>
                  <m:t>α</m:t>
                </m:r>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m:rPr>
                            <m:sty m:val="p"/>
                          </m:rPr>
                          <w:rPr>
                            <w:rFonts w:ascii="Cambria Math" w:eastAsiaTheme="minorEastAsia" w:hAnsi="Cambria Math" w:cs="Arial"/>
                            <w:sz w:val="20"/>
                            <w:szCs w:val="20"/>
                          </w:rPr>
                          <m:t>MAD</m:t>
                        </m:r>
                        <m:ctrlPr>
                          <w:rPr>
                            <w:rFonts w:ascii="Cambria Math" w:eastAsiaTheme="minorEastAsia" w:hAnsi="Cambria Math" w:cs="Arial"/>
                            <w:bCs/>
                            <w:sz w:val="20"/>
                            <w:szCs w:val="20"/>
                          </w:rPr>
                        </m:ctrlPr>
                      </m:fName>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(37)</m:t>
                </m:r>
              </m:e>
            </m:mr>
          </m:m>
        </m:oMath>
      </m:oMathPara>
    </w:p>
    <w:p w14:paraId="4E6E4D5C"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If</w:t>
      </w:r>
    </w:p>
    <w:p w14:paraId="789AA6AC" w14:textId="77777777" w:rsidR="00D35277" w:rsidRPr="006B6B60" w:rsidRDefault="00D35277" w:rsidP="004B7404">
      <w:pPr>
        <w:jc w:val="both"/>
        <w:rPr>
          <w:rFonts w:ascii="Arial" w:eastAsiaTheme="minorEastAsia" w:hAnsi="Arial" w:cs="Arial"/>
          <w:bCs/>
          <w:sz w:val="20"/>
          <w:szCs w:val="20"/>
        </w:rPr>
      </w:pPr>
      <m:oMathPara>
        <m:oMath>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j</m:t>
              </m:r>
            </m:sub>
          </m:sSub>
          <m:r>
            <w:rPr>
              <w:rFonts w:ascii="Cambria Math" w:eastAsiaTheme="minorEastAsia" w:hAnsi="Cambria Math" w:cs="Arial"/>
              <w:sz w:val="20"/>
              <w:szCs w:val="20"/>
            </w:rPr>
            <m:t>∣&gt;ϵ,</m:t>
          </m:r>
        </m:oMath>
      </m:oMathPara>
    </w:p>
    <w:p w14:paraId="5FF91609"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then perturbation does not cause boundary crossing.</w:t>
      </w:r>
    </w:p>
    <w:p w14:paraId="71CF335B"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Thus, classification remains unchanged and MAD classification is locally stable</w:t>
      </w:r>
    </w:p>
    <w:p w14:paraId="34F20CF7" w14:textId="77777777" w:rsidR="00D35277" w:rsidRPr="006B6B60" w:rsidRDefault="004B7404"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theoretical analysis demonstrates that the MAD-based classification framework possesses superior robustness properties compared to variance-based methods. Specifically, it maintains bounded dispersion under contamination, exhibits a high breakdown point, and remains invariant under scaling and translation transformations. Furthermore, the classification rule is stable under small perturbations, making it particularly suitable for financial time series characterized by extreme fluctuations and non-Gaussian </w:t>
      </w:r>
      <w:proofErr w:type="spellStart"/>
      <w:r w:rsidRPr="006B6B60">
        <w:rPr>
          <w:rFonts w:ascii="Arial" w:eastAsiaTheme="minorEastAsia" w:hAnsi="Arial" w:cs="Arial"/>
          <w:bCs/>
          <w:sz w:val="20"/>
          <w:szCs w:val="20"/>
        </w:rPr>
        <w:t>behavior</w:t>
      </w:r>
      <w:proofErr w:type="spellEnd"/>
      <w:r w:rsidRPr="006B6B60">
        <w:rPr>
          <w:rFonts w:ascii="Arial" w:eastAsiaTheme="minorEastAsia" w:hAnsi="Arial" w:cs="Arial"/>
          <w:bCs/>
          <w:sz w:val="20"/>
          <w:szCs w:val="20"/>
        </w:rPr>
        <w:t>.</w:t>
      </w:r>
    </w:p>
    <w:p w14:paraId="44E83094" w14:textId="77777777" w:rsidR="00CB7DAD" w:rsidRPr="006B6B60" w:rsidRDefault="00CB7DAD" w:rsidP="00CB7DAD">
      <w:pPr>
        <w:jc w:val="both"/>
        <w:rPr>
          <w:rFonts w:ascii="Arial" w:eastAsiaTheme="minorEastAsia" w:hAnsi="Arial" w:cs="Arial"/>
          <w:b/>
          <w:bCs/>
          <w:szCs w:val="20"/>
        </w:rPr>
      </w:pPr>
      <w:r w:rsidRPr="006B6B60">
        <w:rPr>
          <w:rFonts w:ascii="Arial" w:eastAsiaTheme="minorEastAsia" w:hAnsi="Arial" w:cs="Arial"/>
          <w:b/>
          <w:bCs/>
          <w:szCs w:val="20"/>
        </w:rPr>
        <w:t>5. DATA DESCRIPTION</w:t>
      </w:r>
    </w:p>
    <w:p w14:paraId="1A9C773C"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empirical analysis in this study is conducted using daily closing price data from three major equity indices representing different global markets, namely the NIFTY 50 (India), S&amp;P 500 (USA), and Nikkei 225 (Japan). The sample period spans from </w:t>
      </w:r>
      <w:r w:rsidRPr="006B6B60">
        <w:rPr>
          <w:rFonts w:ascii="Arial" w:eastAsiaTheme="minorEastAsia" w:hAnsi="Arial" w:cs="Arial"/>
          <w:b/>
          <w:bCs/>
          <w:sz w:val="20"/>
          <w:szCs w:val="20"/>
        </w:rPr>
        <w:t>1 January 2020 to 1 January 2026</w:t>
      </w:r>
      <w:r w:rsidRPr="006B6B60">
        <w:rPr>
          <w:rFonts w:ascii="Arial" w:eastAsiaTheme="minorEastAsia" w:hAnsi="Arial" w:cs="Arial"/>
          <w:bCs/>
          <w:sz w:val="20"/>
          <w:szCs w:val="20"/>
        </w:rPr>
        <w:t>, covering approximately six years of financial market activity, including periods of extreme volatility such as the COVID-19 pandemic and subsequent recovery phases.</w:t>
      </w:r>
    </w:p>
    <w:p w14:paraId="7F96E7A0"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dataset comprises </w:t>
      </w:r>
      <w:r w:rsidRPr="006B6B60">
        <w:rPr>
          <w:rFonts w:ascii="Arial" w:eastAsiaTheme="minorEastAsia" w:hAnsi="Arial" w:cs="Arial"/>
          <w:b/>
          <w:bCs/>
          <w:sz w:val="20"/>
          <w:szCs w:val="20"/>
        </w:rPr>
        <w:t>1485 observations for NIFTY 50</w:t>
      </w:r>
      <w:r w:rsidRPr="006B6B60">
        <w:rPr>
          <w:rFonts w:ascii="Arial" w:eastAsiaTheme="minorEastAsia" w:hAnsi="Arial" w:cs="Arial"/>
          <w:bCs/>
          <w:sz w:val="20"/>
          <w:szCs w:val="20"/>
        </w:rPr>
        <w:t xml:space="preserve">, </w:t>
      </w:r>
      <w:r w:rsidRPr="006B6B60">
        <w:rPr>
          <w:rFonts w:ascii="Arial" w:eastAsiaTheme="minorEastAsia" w:hAnsi="Arial" w:cs="Arial"/>
          <w:b/>
          <w:bCs/>
          <w:sz w:val="20"/>
          <w:szCs w:val="20"/>
        </w:rPr>
        <w:t>1507 observations for S&amp;P 500</w:t>
      </w:r>
      <w:r w:rsidRPr="006B6B60">
        <w:rPr>
          <w:rFonts w:ascii="Arial" w:eastAsiaTheme="minorEastAsia" w:hAnsi="Arial" w:cs="Arial"/>
          <w:bCs/>
          <w:sz w:val="20"/>
          <w:szCs w:val="20"/>
        </w:rPr>
        <w:t xml:space="preserve">, and </w:t>
      </w:r>
      <w:r w:rsidRPr="006B6B60">
        <w:rPr>
          <w:rFonts w:ascii="Arial" w:eastAsiaTheme="minorEastAsia" w:hAnsi="Arial" w:cs="Arial"/>
          <w:b/>
          <w:bCs/>
          <w:sz w:val="20"/>
          <w:szCs w:val="20"/>
        </w:rPr>
        <w:t>1464 observations for Nikkei 225</w:t>
      </w:r>
      <w:r w:rsidRPr="006B6B60">
        <w:rPr>
          <w:rFonts w:ascii="Arial" w:eastAsiaTheme="minorEastAsia" w:hAnsi="Arial" w:cs="Arial"/>
          <w:bCs/>
          <w:sz w:val="20"/>
          <w:szCs w:val="20"/>
        </w:rPr>
        <w:t>, ensuring sufficient sample size for both statistical estimation and robustness testing.</w:t>
      </w:r>
    </w:p>
    <w:p w14:paraId="5B40D31E" w14:textId="77777777" w:rsidR="00CB7DAD" w:rsidRPr="006B6B60" w:rsidRDefault="00CB7DAD" w:rsidP="00CB7DAD">
      <w:pPr>
        <w:jc w:val="both"/>
        <w:rPr>
          <w:rFonts w:ascii="Arial" w:eastAsiaTheme="minorEastAsia" w:hAnsi="Arial" w:cs="Arial"/>
          <w:b/>
          <w:bCs/>
          <w:sz w:val="20"/>
          <w:szCs w:val="20"/>
        </w:rPr>
      </w:pPr>
      <w:r w:rsidRPr="006B6B60">
        <w:rPr>
          <w:rFonts w:ascii="Arial" w:eastAsiaTheme="minorEastAsia" w:hAnsi="Arial" w:cs="Arial"/>
          <w:b/>
          <w:bCs/>
          <w:sz w:val="20"/>
          <w:szCs w:val="20"/>
        </w:rPr>
        <w:t>5.1 Descriptive Statistics</w:t>
      </w:r>
    </w:p>
    <w:p w14:paraId="60F0189D"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The statistical properties of the return se</w:t>
      </w:r>
      <w:r w:rsidR="006D4904" w:rsidRPr="006B6B60">
        <w:rPr>
          <w:rFonts w:ascii="Arial" w:eastAsiaTheme="minorEastAsia" w:hAnsi="Arial" w:cs="Arial"/>
          <w:bCs/>
          <w:sz w:val="20"/>
          <w:szCs w:val="20"/>
        </w:rPr>
        <w:t>ries are summarized in Table 1.</w:t>
      </w:r>
    </w:p>
    <w:p w14:paraId="75ED1C65" w14:textId="77777777" w:rsidR="00A37F36" w:rsidRPr="006B6B60" w:rsidRDefault="00A37F36" w:rsidP="00CB7DAD">
      <w:pPr>
        <w:jc w:val="both"/>
        <w:rPr>
          <w:rFonts w:ascii="Arial" w:eastAsiaTheme="minorEastAsia" w:hAnsi="Arial" w:cs="Arial"/>
          <w:b/>
          <w:bCs/>
          <w:sz w:val="20"/>
          <w:szCs w:val="20"/>
        </w:rPr>
      </w:pPr>
      <w:r w:rsidRPr="006B6B60">
        <w:rPr>
          <w:rFonts w:ascii="Arial" w:eastAsiaTheme="minorEastAsia" w:hAnsi="Arial" w:cs="Arial"/>
          <w:b/>
          <w:bCs/>
          <w:sz w:val="20"/>
          <w:szCs w:val="20"/>
        </w:rPr>
        <w:t>Table 1. Dataset description and return statistics</w:t>
      </w:r>
    </w:p>
    <w:tbl>
      <w:tblPr>
        <w:tblStyle w:val="TableGrid"/>
        <w:tblW w:w="9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3"/>
        <w:gridCol w:w="1474"/>
        <w:gridCol w:w="1075"/>
        <w:gridCol w:w="803"/>
        <w:gridCol w:w="1474"/>
        <w:gridCol w:w="1281"/>
        <w:gridCol w:w="1130"/>
        <w:gridCol w:w="842"/>
      </w:tblGrid>
      <w:tr w:rsidR="00A37F36" w:rsidRPr="006B6B60" w14:paraId="0D9FD8F8" w14:textId="77777777" w:rsidTr="00A37F36">
        <w:trPr>
          <w:trHeight w:val="264"/>
        </w:trPr>
        <w:tc>
          <w:tcPr>
            <w:tcW w:w="1173" w:type="dxa"/>
            <w:tcBorders>
              <w:bottom w:val="single" w:sz="4" w:space="0" w:color="auto"/>
            </w:tcBorders>
            <w:hideMark/>
          </w:tcPr>
          <w:p w14:paraId="246734F8"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Dataset</w:t>
            </w:r>
          </w:p>
        </w:tc>
        <w:tc>
          <w:tcPr>
            <w:tcW w:w="1474" w:type="dxa"/>
            <w:tcBorders>
              <w:bottom w:val="single" w:sz="4" w:space="0" w:color="auto"/>
            </w:tcBorders>
            <w:hideMark/>
          </w:tcPr>
          <w:p w14:paraId="2667E5B0"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Observations</w:t>
            </w:r>
          </w:p>
        </w:tc>
        <w:tc>
          <w:tcPr>
            <w:tcW w:w="1075" w:type="dxa"/>
            <w:tcBorders>
              <w:bottom w:val="single" w:sz="4" w:space="0" w:color="auto"/>
            </w:tcBorders>
            <w:hideMark/>
          </w:tcPr>
          <w:p w14:paraId="7AE3515F"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Mean Return</w:t>
            </w:r>
          </w:p>
        </w:tc>
        <w:tc>
          <w:tcPr>
            <w:tcW w:w="803" w:type="dxa"/>
            <w:tcBorders>
              <w:bottom w:val="single" w:sz="4" w:space="0" w:color="auto"/>
            </w:tcBorders>
            <w:hideMark/>
          </w:tcPr>
          <w:p w14:paraId="7DB5B1CE"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Std. Dev.</w:t>
            </w:r>
          </w:p>
        </w:tc>
        <w:tc>
          <w:tcPr>
            <w:tcW w:w="1474" w:type="dxa"/>
            <w:tcBorders>
              <w:bottom w:val="single" w:sz="4" w:space="0" w:color="auto"/>
            </w:tcBorders>
            <w:hideMark/>
          </w:tcPr>
          <w:p w14:paraId="3E731543"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Skewness</w:t>
            </w:r>
          </w:p>
        </w:tc>
        <w:tc>
          <w:tcPr>
            <w:tcW w:w="1281" w:type="dxa"/>
            <w:tcBorders>
              <w:bottom w:val="single" w:sz="4" w:space="0" w:color="auto"/>
            </w:tcBorders>
            <w:hideMark/>
          </w:tcPr>
          <w:p w14:paraId="600374B1"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Kurtosis</w:t>
            </w:r>
          </w:p>
        </w:tc>
        <w:tc>
          <w:tcPr>
            <w:tcW w:w="1130" w:type="dxa"/>
            <w:tcBorders>
              <w:bottom w:val="single" w:sz="4" w:space="0" w:color="auto"/>
            </w:tcBorders>
            <w:hideMark/>
          </w:tcPr>
          <w:p w14:paraId="7FA0A3D5"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Median</w:t>
            </w:r>
          </w:p>
        </w:tc>
        <w:tc>
          <w:tcPr>
            <w:tcW w:w="842" w:type="dxa"/>
            <w:tcBorders>
              <w:bottom w:val="single" w:sz="4" w:space="0" w:color="auto"/>
            </w:tcBorders>
            <w:hideMark/>
          </w:tcPr>
          <w:p w14:paraId="50BA140B"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MAD</w:t>
            </w:r>
          </w:p>
        </w:tc>
      </w:tr>
      <w:tr w:rsidR="00A37F36" w:rsidRPr="006B6B60" w14:paraId="2B0200C6" w14:textId="77777777" w:rsidTr="00A37F36">
        <w:trPr>
          <w:trHeight w:val="333"/>
        </w:trPr>
        <w:tc>
          <w:tcPr>
            <w:tcW w:w="1173" w:type="dxa"/>
            <w:tcBorders>
              <w:top w:val="single" w:sz="4" w:space="0" w:color="auto"/>
            </w:tcBorders>
            <w:hideMark/>
          </w:tcPr>
          <w:p w14:paraId="485355F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474" w:type="dxa"/>
            <w:tcBorders>
              <w:top w:val="single" w:sz="4" w:space="0" w:color="auto"/>
            </w:tcBorders>
            <w:hideMark/>
          </w:tcPr>
          <w:p w14:paraId="4014F31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1485</w:t>
            </w:r>
          </w:p>
        </w:tc>
        <w:tc>
          <w:tcPr>
            <w:tcW w:w="1075" w:type="dxa"/>
            <w:tcBorders>
              <w:top w:val="single" w:sz="4" w:space="0" w:color="auto"/>
            </w:tcBorders>
            <w:hideMark/>
          </w:tcPr>
          <w:p w14:paraId="7EBD97F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03" w:type="dxa"/>
            <w:tcBorders>
              <w:top w:val="single" w:sz="4" w:space="0" w:color="auto"/>
            </w:tcBorders>
            <w:hideMark/>
          </w:tcPr>
          <w:p w14:paraId="4A7B887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c>
          <w:tcPr>
            <w:tcW w:w="1474" w:type="dxa"/>
            <w:tcBorders>
              <w:top w:val="single" w:sz="4" w:space="0" w:color="auto"/>
            </w:tcBorders>
            <w:hideMark/>
          </w:tcPr>
          <w:p w14:paraId="002F1DD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-1.71</w:t>
            </w:r>
          </w:p>
        </w:tc>
        <w:tc>
          <w:tcPr>
            <w:tcW w:w="1281" w:type="dxa"/>
            <w:tcBorders>
              <w:top w:val="single" w:sz="4" w:space="0" w:color="auto"/>
            </w:tcBorders>
            <w:hideMark/>
          </w:tcPr>
          <w:p w14:paraId="2A97939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25.89</w:t>
            </w:r>
          </w:p>
        </w:tc>
        <w:tc>
          <w:tcPr>
            <w:tcW w:w="1130" w:type="dxa"/>
            <w:tcBorders>
              <w:top w:val="single" w:sz="4" w:space="0" w:color="auto"/>
            </w:tcBorders>
            <w:hideMark/>
          </w:tcPr>
          <w:p w14:paraId="14052E2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42" w:type="dxa"/>
            <w:tcBorders>
              <w:top w:val="single" w:sz="4" w:space="0" w:color="auto"/>
            </w:tcBorders>
            <w:hideMark/>
          </w:tcPr>
          <w:p w14:paraId="25C8FF9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r>
      <w:tr w:rsidR="00A37F36" w:rsidRPr="006B6B60" w14:paraId="7ACA9EF8" w14:textId="77777777" w:rsidTr="00A37F36">
        <w:trPr>
          <w:trHeight w:val="338"/>
        </w:trPr>
        <w:tc>
          <w:tcPr>
            <w:tcW w:w="1173" w:type="dxa"/>
            <w:hideMark/>
          </w:tcPr>
          <w:p w14:paraId="06E4794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474" w:type="dxa"/>
            <w:hideMark/>
          </w:tcPr>
          <w:p w14:paraId="060C9DD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1507</w:t>
            </w:r>
          </w:p>
        </w:tc>
        <w:tc>
          <w:tcPr>
            <w:tcW w:w="1075" w:type="dxa"/>
            <w:hideMark/>
          </w:tcPr>
          <w:p w14:paraId="2D0FF1CF"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03" w:type="dxa"/>
            <w:hideMark/>
          </w:tcPr>
          <w:p w14:paraId="57BC6E96"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c>
          <w:tcPr>
            <w:tcW w:w="1474" w:type="dxa"/>
            <w:hideMark/>
          </w:tcPr>
          <w:p w14:paraId="72EB48E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-0.64</w:t>
            </w:r>
          </w:p>
        </w:tc>
        <w:tc>
          <w:tcPr>
            <w:tcW w:w="1281" w:type="dxa"/>
            <w:hideMark/>
          </w:tcPr>
          <w:p w14:paraId="4758D30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17.63</w:t>
            </w:r>
          </w:p>
        </w:tc>
        <w:tc>
          <w:tcPr>
            <w:tcW w:w="1130" w:type="dxa"/>
            <w:hideMark/>
          </w:tcPr>
          <w:p w14:paraId="35A3CEC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42" w:type="dxa"/>
            <w:hideMark/>
          </w:tcPr>
          <w:p w14:paraId="6840034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r>
      <w:tr w:rsidR="00A37F36" w:rsidRPr="006B6B60" w14:paraId="1C849B26" w14:textId="77777777" w:rsidTr="00A37F36">
        <w:trPr>
          <w:trHeight w:val="333"/>
        </w:trPr>
        <w:tc>
          <w:tcPr>
            <w:tcW w:w="1173" w:type="dxa"/>
            <w:hideMark/>
          </w:tcPr>
          <w:p w14:paraId="4A418AAD"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474" w:type="dxa"/>
            <w:hideMark/>
          </w:tcPr>
          <w:p w14:paraId="4F71EEF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1464</w:t>
            </w:r>
          </w:p>
        </w:tc>
        <w:tc>
          <w:tcPr>
            <w:tcW w:w="1075" w:type="dxa"/>
            <w:hideMark/>
          </w:tcPr>
          <w:p w14:paraId="60E9EEBF"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03" w:type="dxa"/>
            <w:hideMark/>
          </w:tcPr>
          <w:p w14:paraId="0978EDE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c>
          <w:tcPr>
            <w:tcW w:w="1474" w:type="dxa"/>
            <w:hideMark/>
          </w:tcPr>
          <w:p w14:paraId="7F4A981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-0.38</w:t>
            </w:r>
          </w:p>
        </w:tc>
        <w:tc>
          <w:tcPr>
            <w:tcW w:w="1281" w:type="dxa"/>
            <w:hideMark/>
          </w:tcPr>
          <w:p w14:paraId="6BB8C16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13.36</w:t>
            </w:r>
          </w:p>
        </w:tc>
        <w:tc>
          <w:tcPr>
            <w:tcW w:w="1130" w:type="dxa"/>
            <w:hideMark/>
          </w:tcPr>
          <w:p w14:paraId="29DF942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42" w:type="dxa"/>
            <w:hideMark/>
          </w:tcPr>
          <w:p w14:paraId="0143AE5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r>
    </w:tbl>
    <w:p w14:paraId="2640BC3A" w14:textId="77777777" w:rsidR="00CB7DAD" w:rsidRPr="006B6B60" w:rsidRDefault="00CB7DAD" w:rsidP="00CB7DAD">
      <w:pPr>
        <w:jc w:val="both"/>
        <w:rPr>
          <w:rFonts w:ascii="Arial" w:eastAsiaTheme="minorEastAsia" w:hAnsi="Arial" w:cs="Arial"/>
          <w:bCs/>
          <w:sz w:val="20"/>
          <w:szCs w:val="20"/>
        </w:rPr>
      </w:pPr>
    </w:p>
    <w:p w14:paraId="1C81BDA0"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A key observation is that all three return series exhibit </w:t>
      </w:r>
      <w:r w:rsidRPr="006B6B60">
        <w:rPr>
          <w:rFonts w:ascii="Arial" w:eastAsiaTheme="minorEastAsia" w:hAnsi="Arial" w:cs="Arial"/>
          <w:b/>
          <w:bCs/>
          <w:sz w:val="20"/>
          <w:szCs w:val="20"/>
        </w:rPr>
        <w:t>non-normal characteristics</w:t>
      </w:r>
      <w:r w:rsidRPr="006B6B60">
        <w:rPr>
          <w:rFonts w:ascii="Arial" w:eastAsiaTheme="minorEastAsia" w:hAnsi="Arial" w:cs="Arial"/>
          <w:bCs/>
          <w:sz w:val="20"/>
          <w:szCs w:val="20"/>
        </w:rPr>
        <w:t>, as evidenced by:</w:t>
      </w:r>
    </w:p>
    <w:p w14:paraId="385455F7" w14:textId="77777777" w:rsidR="00CB7DAD" w:rsidRPr="006B6B60" w:rsidRDefault="00CB7DAD" w:rsidP="00CB7DAD">
      <w:pPr>
        <w:numPr>
          <w:ilvl w:val="0"/>
          <w:numId w:val="8"/>
        </w:numPr>
        <w:jc w:val="both"/>
        <w:rPr>
          <w:rFonts w:ascii="Arial" w:eastAsiaTheme="minorEastAsia" w:hAnsi="Arial" w:cs="Arial"/>
          <w:bCs/>
          <w:sz w:val="20"/>
          <w:szCs w:val="20"/>
        </w:rPr>
      </w:pPr>
      <w:r w:rsidRPr="006B6B60">
        <w:rPr>
          <w:rFonts w:ascii="Arial" w:eastAsiaTheme="minorEastAsia" w:hAnsi="Arial" w:cs="Arial"/>
          <w:b/>
          <w:bCs/>
          <w:sz w:val="20"/>
          <w:szCs w:val="20"/>
        </w:rPr>
        <w:t>Negative skewness</w:t>
      </w:r>
      <w:r w:rsidRPr="006B6B60">
        <w:rPr>
          <w:rFonts w:ascii="Arial" w:eastAsiaTheme="minorEastAsia" w:hAnsi="Arial" w:cs="Arial"/>
          <w:bCs/>
          <w:sz w:val="20"/>
          <w:szCs w:val="20"/>
        </w:rPr>
        <w:t xml:space="preserve"> across all datasets </w:t>
      </w:r>
    </w:p>
    <w:p w14:paraId="1672B4B8" w14:textId="77777777" w:rsidR="00CB7DAD" w:rsidRPr="006B6B60" w:rsidRDefault="00CB7DAD" w:rsidP="00CB7DAD">
      <w:pPr>
        <w:numPr>
          <w:ilvl w:val="0"/>
          <w:numId w:val="8"/>
        </w:numPr>
        <w:jc w:val="both"/>
        <w:rPr>
          <w:rFonts w:ascii="Arial" w:eastAsiaTheme="minorEastAsia" w:hAnsi="Arial" w:cs="Arial"/>
          <w:bCs/>
          <w:sz w:val="20"/>
          <w:szCs w:val="20"/>
        </w:rPr>
      </w:pPr>
      <w:r w:rsidRPr="006B6B60">
        <w:rPr>
          <w:rFonts w:ascii="Arial" w:eastAsiaTheme="minorEastAsia" w:hAnsi="Arial" w:cs="Arial"/>
          <w:b/>
          <w:bCs/>
          <w:sz w:val="20"/>
          <w:szCs w:val="20"/>
        </w:rPr>
        <w:t>Extremely high kurtosis values</w:t>
      </w:r>
      <w:r w:rsidRPr="006B6B60">
        <w:rPr>
          <w:rFonts w:ascii="Arial" w:eastAsiaTheme="minorEastAsia" w:hAnsi="Arial" w:cs="Arial"/>
          <w:bCs/>
          <w:sz w:val="20"/>
          <w:szCs w:val="20"/>
        </w:rPr>
        <w:t xml:space="preserve">, particularly for NIFTY 50 (25.89) and S&amp;P 500 (17.63) </w:t>
      </w:r>
    </w:p>
    <w:p w14:paraId="498BB9AE"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These results indicate the presence of </w:t>
      </w:r>
      <w:r w:rsidRPr="006B6B60">
        <w:rPr>
          <w:rFonts w:ascii="Arial" w:eastAsiaTheme="minorEastAsia" w:hAnsi="Arial" w:cs="Arial"/>
          <w:b/>
          <w:bCs/>
          <w:sz w:val="20"/>
          <w:szCs w:val="20"/>
        </w:rPr>
        <w:t>heavy-tailed distributions and extreme market movements</w:t>
      </w:r>
      <w:r w:rsidRPr="006B6B60">
        <w:rPr>
          <w:rFonts w:ascii="Arial" w:eastAsiaTheme="minorEastAsia" w:hAnsi="Arial" w:cs="Arial"/>
          <w:bCs/>
          <w:sz w:val="20"/>
          <w:szCs w:val="20"/>
        </w:rPr>
        <w:t>, which violate the assumptions of normality underlying traditional mean–variance models.</w:t>
      </w:r>
    </w:p>
    <w:p w14:paraId="105F22F4"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 xml:space="preserve">Furthermore, the median returns are close to zero, while the MAD values are significantly smaller than standard deviations, highlighting the presence of </w:t>
      </w:r>
      <w:r w:rsidRPr="006B6B60">
        <w:rPr>
          <w:rFonts w:ascii="Arial" w:eastAsiaTheme="minorEastAsia" w:hAnsi="Arial" w:cs="Arial"/>
          <w:b/>
          <w:bCs/>
          <w:sz w:val="20"/>
          <w:szCs w:val="20"/>
        </w:rPr>
        <w:t>outlier-driven dispersion</w:t>
      </w:r>
      <w:r w:rsidRPr="006B6B60">
        <w:rPr>
          <w:rFonts w:ascii="Arial" w:eastAsiaTheme="minorEastAsia" w:hAnsi="Arial" w:cs="Arial"/>
          <w:bCs/>
          <w:sz w:val="20"/>
          <w:szCs w:val="20"/>
        </w:rPr>
        <w:t xml:space="preserve"> in the data. For instance, the NIFTY 50 has a standard deviation of 0.0115 compared to a MAD of 0.0053, suggesting that extreme observations disproportionately inflate variance-based measures. These characteristics strongly justify the adoption of a </w:t>
      </w:r>
      <w:r w:rsidRPr="006B6B60">
        <w:rPr>
          <w:rFonts w:ascii="Arial" w:eastAsiaTheme="minorEastAsia" w:hAnsi="Arial" w:cs="Arial"/>
          <w:b/>
          <w:bCs/>
          <w:sz w:val="20"/>
          <w:szCs w:val="20"/>
        </w:rPr>
        <w:t>robust statistical framework</w:t>
      </w:r>
      <w:r w:rsidRPr="006B6B60">
        <w:rPr>
          <w:rFonts w:ascii="Arial" w:eastAsiaTheme="minorEastAsia" w:hAnsi="Arial" w:cs="Arial"/>
          <w:bCs/>
          <w:sz w:val="20"/>
          <w:szCs w:val="20"/>
        </w:rPr>
        <w:t>, such as the MAD-based approach proposed in this study.</w:t>
      </w:r>
    </w:p>
    <w:p w14:paraId="2CCC9CD8" w14:textId="77777777" w:rsidR="005C51B9" w:rsidRPr="006B6B60" w:rsidRDefault="005C51B9" w:rsidP="005C51B9">
      <w:pPr>
        <w:jc w:val="both"/>
        <w:rPr>
          <w:rFonts w:ascii="Arial" w:eastAsiaTheme="minorEastAsia" w:hAnsi="Arial" w:cs="Arial"/>
          <w:b/>
          <w:bCs/>
          <w:szCs w:val="20"/>
        </w:rPr>
      </w:pPr>
      <w:r w:rsidRPr="006B6B60">
        <w:rPr>
          <w:rFonts w:ascii="Arial" w:eastAsiaTheme="minorEastAsia" w:hAnsi="Arial" w:cs="Arial"/>
          <w:b/>
          <w:bCs/>
          <w:szCs w:val="20"/>
        </w:rPr>
        <w:t>6. RESULTS AND DISCUSSION</w:t>
      </w:r>
    </w:p>
    <w:p w14:paraId="40A9D8C5" w14:textId="77777777" w:rsidR="005C51B9" w:rsidRPr="006B6B60" w:rsidRDefault="005C51B9" w:rsidP="005C51B9">
      <w:pPr>
        <w:jc w:val="both"/>
        <w:rPr>
          <w:rFonts w:ascii="Arial" w:eastAsiaTheme="minorEastAsia" w:hAnsi="Arial" w:cs="Arial"/>
          <w:b/>
          <w:bCs/>
          <w:sz w:val="20"/>
          <w:szCs w:val="20"/>
        </w:rPr>
      </w:pPr>
      <w:r w:rsidRPr="006B6B60">
        <w:rPr>
          <w:rFonts w:ascii="Arial" w:eastAsiaTheme="minorEastAsia" w:hAnsi="Arial" w:cs="Arial"/>
          <w:b/>
          <w:bCs/>
          <w:sz w:val="20"/>
          <w:szCs w:val="20"/>
        </w:rPr>
        <w:t>6.1 Distributional Characteristics of Returns</w:t>
      </w:r>
    </w:p>
    <w:p w14:paraId="4EEDD049"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distribution of daily log returns for the three indices is illustrated in </w:t>
      </w:r>
      <w:r w:rsidRPr="006B6B60">
        <w:rPr>
          <w:rFonts w:ascii="Arial" w:eastAsiaTheme="minorEastAsia" w:hAnsi="Arial" w:cs="Arial"/>
          <w:b/>
          <w:bCs/>
          <w:sz w:val="20"/>
          <w:szCs w:val="20"/>
        </w:rPr>
        <w:t>Figure 1</w:t>
      </w:r>
      <w:r w:rsidRPr="006B6B60">
        <w:rPr>
          <w:rFonts w:ascii="Arial" w:eastAsiaTheme="minorEastAsia" w:hAnsi="Arial" w:cs="Arial"/>
          <w:bCs/>
          <w:sz w:val="20"/>
          <w:szCs w:val="20"/>
        </w:rPr>
        <w:t>.</w:t>
      </w:r>
    </w:p>
    <w:p w14:paraId="145C6EBE" w14:textId="77777777" w:rsidR="005C51B9" w:rsidRPr="006B6B60" w:rsidRDefault="005C51B9" w:rsidP="005C51B9">
      <w:pPr>
        <w:jc w:val="both"/>
        <w:rPr>
          <w:rFonts w:ascii="Arial" w:eastAsiaTheme="minorEastAsia" w:hAnsi="Arial" w:cs="Arial"/>
          <w:bCs/>
          <w:sz w:val="20"/>
          <w:szCs w:val="20"/>
        </w:rPr>
      </w:pPr>
    </w:p>
    <w:p w14:paraId="391129EB" w14:textId="77777777" w:rsidR="005C51B9" w:rsidRPr="006B6B60" w:rsidRDefault="00A37F36" w:rsidP="00D24B06">
      <w:pPr>
        <w:jc w:val="center"/>
        <w:rPr>
          <w:rFonts w:ascii="Arial" w:eastAsiaTheme="minorEastAsia" w:hAnsi="Arial" w:cs="Arial"/>
          <w:bCs/>
          <w:sz w:val="20"/>
          <w:szCs w:val="20"/>
        </w:rPr>
      </w:pPr>
      <w:r w:rsidRPr="006B6B60">
        <w:rPr>
          <w:rFonts w:ascii="Arial" w:eastAsiaTheme="minorEastAsia" w:hAnsi="Arial" w:cs="Arial"/>
          <w:bCs/>
          <w:noProof/>
          <w:sz w:val="20"/>
          <w:szCs w:val="20"/>
          <w:lang w:eastAsia="en-IN"/>
        </w:rPr>
        <w:drawing>
          <wp:inline distT="0" distB="0" distL="0" distR="0" wp14:anchorId="0BE77D55" wp14:editId="4ABFE4E5">
            <wp:extent cx="4306186" cy="2433310"/>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7"/>
                    <a:srcRect t="5286"/>
                    <a:stretch/>
                  </pic:blipFill>
                  <pic:spPr bwMode="auto">
                    <a:xfrm>
                      <a:off x="0" y="0"/>
                      <a:ext cx="4344991" cy="2455238"/>
                    </a:xfrm>
                    <a:prstGeom prst="rect">
                      <a:avLst/>
                    </a:prstGeom>
                    <a:ln>
                      <a:noFill/>
                    </a:ln>
                    <a:extLst>
                      <a:ext uri="{53640926-AAD7-44D8-BBD7-CCE9431645EC}">
                        <a14:shadowObscured xmlns:a14="http://schemas.microsoft.com/office/drawing/2010/main"/>
                      </a:ext>
                    </a:extLst>
                  </pic:spPr>
                </pic:pic>
              </a:graphicData>
            </a:graphic>
          </wp:inline>
        </w:drawing>
      </w:r>
    </w:p>
    <w:p w14:paraId="6281ED5E" w14:textId="77777777" w:rsidR="00A37F36" w:rsidRPr="006B6B60" w:rsidRDefault="00A37F36" w:rsidP="00A37F36">
      <w:pPr>
        <w:jc w:val="center"/>
        <w:rPr>
          <w:rFonts w:ascii="Arial" w:eastAsiaTheme="minorEastAsia" w:hAnsi="Arial" w:cs="Arial"/>
          <w:b/>
          <w:bCs/>
          <w:sz w:val="20"/>
          <w:szCs w:val="20"/>
        </w:rPr>
      </w:pPr>
      <w:r w:rsidRPr="006B6B60">
        <w:rPr>
          <w:rFonts w:ascii="Arial" w:eastAsiaTheme="minorEastAsia" w:hAnsi="Arial" w:cs="Arial"/>
          <w:b/>
          <w:bCs/>
          <w:sz w:val="20"/>
          <w:szCs w:val="20"/>
        </w:rPr>
        <w:t>Fig.1. Distribution of Daily Log Returns</w:t>
      </w:r>
    </w:p>
    <w:p w14:paraId="2D7C168D"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histograms reveal a pronounced </w:t>
      </w:r>
      <w:r w:rsidRPr="006B6B60">
        <w:rPr>
          <w:rFonts w:ascii="Arial" w:eastAsiaTheme="minorEastAsia" w:hAnsi="Arial" w:cs="Arial"/>
          <w:b/>
          <w:bCs/>
          <w:sz w:val="20"/>
          <w:szCs w:val="20"/>
        </w:rPr>
        <w:t>peaked distribution around zero</w:t>
      </w:r>
      <w:r w:rsidRPr="006B6B60">
        <w:rPr>
          <w:rFonts w:ascii="Arial" w:eastAsiaTheme="minorEastAsia" w:hAnsi="Arial" w:cs="Arial"/>
          <w:bCs/>
          <w:sz w:val="20"/>
          <w:szCs w:val="20"/>
        </w:rPr>
        <w:t xml:space="preserve"> with </w:t>
      </w:r>
      <w:r w:rsidRPr="006B6B60">
        <w:rPr>
          <w:rFonts w:ascii="Arial" w:eastAsiaTheme="minorEastAsia" w:hAnsi="Arial" w:cs="Arial"/>
          <w:b/>
          <w:bCs/>
          <w:sz w:val="20"/>
          <w:szCs w:val="20"/>
        </w:rPr>
        <w:t>fat tails extending in both directions</w:t>
      </w:r>
      <w:r w:rsidRPr="006B6B60">
        <w:rPr>
          <w:rFonts w:ascii="Arial" w:eastAsiaTheme="minorEastAsia" w:hAnsi="Arial" w:cs="Arial"/>
          <w:bCs/>
          <w:sz w:val="20"/>
          <w:szCs w:val="20"/>
        </w:rPr>
        <w:t>, confirming the presence of extreme returns. Notably, the left tail appears more pronounced for the NIFTY 50, consistent with its higher negative skewness.</w:t>
      </w:r>
    </w:p>
    <w:p w14:paraId="0C79EC2D"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These empirical observations reinforce the inadequacy of Gaussian assumptions and highlight the need for </w:t>
      </w:r>
      <w:r w:rsidRPr="006B6B60">
        <w:rPr>
          <w:rFonts w:ascii="Arial" w:eastAsiaTheme="minorEastAsia" w:hAnsi="Arial" w:cs="Arial"/>
          <w:b/>
          <w:bCs/>
          <w:sz w:val="20"/>
          <w:szCs w:val="20"/>
        </w:rPr>
        <w:t>robust measures of dispersion</w:t>
      </w:r>
      <w:r w:rsidRPr="006B6B60">
        <w:rPr>
          <w:rFonts w:ascii="Arial" w:eastAsiaTheme="minorEastAsia" w:hAnsi="Arial" w:cs="Arial"/>
          <w:bCs/>
          <w:sz w:val="20"/>
          <w:szCs w:val="20"/>
        </w:rPr>
        <w:t>, as extreme values can significantly distort traditional statistics such as the mean and standard deviation.</w:t>
      </w:r>
    </w:p>
    <w:p w14:paraId="3C6642BB" w14:textId="77777777" w:rsidR="005C51B9" w:rsidRPr="006B6B60" w:rsidRDefault="005C51B9" w:rsidP="005C51B9">
      <w:pPr>
        <w:jc w:val="both"/>
        <w:rPr>
          <w:rFonts w:ascii="Arial" w:eastAsiaTheme="minorEastAsia" w:hAnsi="Arial" w:cs="Arial"/>
          <w:b/>
          <w:bCs/>
          <w:sz w:val="20"/>
          <w:szCs w:val="20"/>
        </w:rPr>
      </w:pPr>
      <w:r w:rsidRPr="006B6B60">
        <w:rPr>
          <w:rFonts w:ascii="Arial" w:eastAsiaTheme="minorEastAsia" w:hAnsi="Arial" w:cs="Arial"/>
          <w:b/>
          <w:bCs/>
          <w:sz w:val="20"/>
          <w:szCs w:val="20"/>
        </w:rPr>
        <w:t>6.2 Regime Distribution Analysis</w:t>
      </w:r>
    </w:p>
    <w:p w14:paraId="3A1AC53E"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regime classifications obtained using the three methods are presented in </w:t>
      </w:r>
      <w:r w:rsidRPr="006B6B60">
        <w:rPr>
          <w:rFonts w:ascii="Arial" w:eastAsiaTheme="minorEastAsia" w:hAnsi="Arial" w:cs="Arial"/>
          <w:b/>
          <w:bCs/>
          <w:sz w:val="20"/>
          <w:szCs w:val="20"/>
        </w:rPr>
        <w:t>Table 2</w:t>
      </w:r>
      <w:r w:rsidRPr="006B6B60">
        <w:rPr>
          <w:rFonts w:ascii="Arial" w:eastAsiaTheme="minorEastAsia" w:hAnsi="Arial" w:cs="Arial"/>
          <w:bCs/>
          <w:sz w:val="20"/>
          <w:szCs w:val="20"/>
        </w:rPr>
        <w:t>.</w:t>
      </w:r>
    </w:p>
    <w:p w14:paraId="300DB60A" w14:textId="77777777" w:rsidR="00A37F36" w:rsidRPr="006B6B60" w:rsidRDefault="00A37F36" w:rsidP="00A37F36">
      <w:pPr>
        <w:jc w:val="both"/>
        <w:rPr>
          <w:rFonts w:ascii="Arial" w:eastAsiaTheme="minorEastAsia" w:hAnsi="Arial" w:cs="Arial"/>
          <w:b/>
          <w:bCs/>
          <w:sz w:val="20"/>
          <w:szCs w:val="20"/>
        </w:rPr>
      </w:pPr>
      <w:r w:rsidRPr="006B6B60">
        <w:rPr>
          <w:rFonts w:ascii="Arial" w:eastAsiaTheme="minorEastAsia" w:hAnsi="Arial" w:cs="Arial"/>
          <w:b/>
          <w:bCs/>
          <w:sz w:val="20"/>
          <w:szCs w:val="20"/>
        </w:rPr>
        <w:t>Table 2. Regime distribution under different classification methods</w:t>
      </w:r>
    </w:p>
    <w:tbl>
      <w:tblPr>
        <w:tblStyle w:val="TableGrid"/>
        <w:tblW w:w="9105" w:type="dxa"/>
        <w:tblLook w:val="04A0" w:firstRow="1" w:lastRow="0" w:firstColumn="1" w:lastColumn="0" w:noHBand="0" w:noVBand="1"/>
      </w:tblPr>
      <w:tblGrid>
        <w:gridCol w:w="1389"/>
        <w:gridCol w:w="1900"/>
        <w:gridCol w:w="1644"/>
        <w:gridCol w:w="798"/>
        <w:gridCol w:w="1094"/>
        <w:gridCol w:w="717"/>
        <w:gridCol w:w="1563"/>
      </w:tblGrid>
      <w:tr w:rsidR="00A37F36" w:rsidRPr="006B6B60" w14:paraId="63496017" w14:textId="77777777" w:rsidTr="00A37F36">
        <w:trPr>
          <w:trHeight w:val="356"/>
        </w:trPr>
        <w:tc>
          <w:tcPr>
            <w:tcW w:w="0" w:type="auto"/>
            <w:hideMark/>
          </w:tcPr>
          <w:p w14:paraId="190D614C"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Dataset</w:t>
            </w:r>
          </w:p>
        </w:tc>
        <w:tc>
          <w:tcPr>
            <w:tcW w:w="0" w:type="auto"/>
            <w:hideMark/>
          </w:tcPr>
          <w:p w14:paraId="315A54E9"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Method</w:t>
            </w:r>
          </w:p>
        </w:tc>
        <w:tc>
          <w:tcPr>
            <w:tcW w:w="0" w:type="auto"/>
            <w:hideMark/>
          </w:tcPr>
          <w:p w14:paraId="7178403D"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Strong Bear</w:t>
            </w:r>
          </w:p>
        </w:tc>
        <w:tc>
          <w:tcPr>
            <w:tcW w:w="0" w:type="auto"/>
            <w:hideMark/>
          </w:tcPr>
          <w:p w14:paraId="2D455CF2"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Bear</w:t>
            </w:r>
          </w:p>
        </w:tc>
        <w:tc>
          <w:tcPr>
            <w:tcW w:w="0" w:type="auto"/>
            <w:hideMark/>
          </w:tcPr>
          <w:p w14:paraId="590B8242"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Neutral</w:t>
            </w:r>
          </w:p>
        </w:tc>
        <w:tc>
          <w:tcPr>
            <w:tcW w:w="0" w:type="auto"/>
            <w:hideMark/>
          </w:tcPr>
          <w:p w14:paraId="29910FB8"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Bull</w:t>
            </w:r>
          </w:p>
        </w:tc>
        <w:tc>
          <w:tcPr>
            <w:tcW w:w="0" w:type="auto"/>
            <w:hideMark/>
          </w:tcPr>
          <w:p w14:paraId="3D14D558"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Strong Bull</w:t>
            </w:r>
          </w:p>
        </w:tc>
      </w:tr>
      <w:tr w:rsidR="00A37F36" w:rsidRPr="006B6B60" w14:paraId="68683B84" w14:textId="77777777" w:rsidTr="00A37F36">
        <w:trPr>
          <w:trHeight w:val="356"/>
        </w:trPr>
        <w:tc>
          <w:tcPr>
            <w:tcW w:w="0" w:type="auto"/>
            <w:hideMark/>
          </w:tcPr>
          <w:p w14:paraId="10F84B5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0" w:type="auto"/>
            <w:hideMark/>
          </w:tcPr>
          <w:p w14:paraId="2070160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0" w:type="auto"/>
            <w:hideMark/>
          </w:tcPr>
          <w:p w14:paraId="070A3CA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32</w:t>
            </w:r>
          </w:p>
        </w:tc>
        <w:tc>
          <w:tcPr>
            <w:tcW w:w="0" w:type="auto"/>
            <w:hideMark/>
          </w:tcPr>
          <w:p w14:paraId="2EC57CE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98</w:t>
            </w:r>
          </w:p>
        </w:tc>
        <w:tc>
          <w:tcPr>
            <w:tcW w:w="0" w:type="auto"/>
            <w:hideMark/>
          </w:tcPr>
          <w:p w14:paraId="69567B0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1228</w:t>
            </w:r>
          </w:p>
        </w:tc>
        <w:tc>
          <w:tcPr>
            <w:tcW w:w="0" w:type="auto"/>
            <w:hideMark/>
          </w:tcPr>
          <w:p w14:paraId="35BA506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104</w:t>
            </w:r>
          </w:p>
        </w:tc>
        <w:tc>
          <w:tcPr>
            <w:tcW w:w="0" w:type="auto"/>
            <w:hideMark/>
          </w:tcPr>
          <w:p w14:paraId="47AA396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23</w:t>
            </w:r>
          </w:p>
        </w:tc>
      </w:tr>
      <w:tr w:rsidR="00A37F36" w:rsidRPr="006B6B60" w14:paraId="2D4DA5A9" w14:textId="77777777" w:rsidTr="00A37F36">
        <w:trPr>
          <w:trHeight w:val="356"/>
        </w:trPr>
        <w:tc>
          <w:tcPr>
            <w:tcW w:w="0" w:type="auto"/>
            <w:hideMark/>
          </w:tcPr>
          <w:p w14:paraId="01C02BC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0" w:type="auto"/>
            <w:hideMark/>
          </w:tcPr>
          <w:p w14:paraId="445BDED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0" w:type="auto"/>
            <w:hideMark/>
          </w:tcPr>
          <w:p w14:paraId="138183E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6AAE079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3165069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0BB9A7B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6C6301E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r>
      <w:tr w:rsidR="00A37F36" w:rsidRPr="006B6B60" w14:paraId="531893B3" w14:textId="77777777" w:rsidTr="00A37F36">
        <w:trPr>
          <w:trHeight w:val="356"/>
        </w:trPr>
        <w:tc>
          <w:tcPr>
            <w:tcW w:w="0" w:type="auto"/>
            <w:hideMark/>
          </w:tcPr>
          <w:p w14:paraId="16D8FFA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0" w:type="auto"/>
            <w:hideMark/>
          </w:tcPr>
          <w:p w14:paraId="1DD4EA3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0" w:type="auto"/>
            <w:hideMark/>
          </w:tcPr>
          <w:p w14:paraId="0C2AD29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168</w:t>
            </w:r>
          </w:p>
        </w:tc>
        <w:tc>
          <w:tcPr>
            <w:tcW w:w="0" w:type="auto"/>
            <w:hideMark/>
          </w:tcPr>
          <w:p w14:paraId="61DDE00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195</w:t>
            </w:r>
          </w:p>
        </w:tc>
        <w:tc>
          <w:tcPr>
            <w:tcW w:w="0" w:type="auto"/>
            <w:hideMark/>
          </w:tcPr>
          <w:p w14:paraId="17E8E32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743</w:t>
            </w:r>
          </w:p>
        </w:tc>
        <w:tc>
          <w:tcPr>
            <w:tcW w:w="0" w:type="auto"/>
            <w:hideMark/>
          </w:tcPr>
          <w:p w14:paraId="5C5E60B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236</w:t>
            </w:r>
          </w:p>
        </w:tc>
        <w:tc>
          <w:tcPr>
            <w:tcW w:w="0" w:type="auto"/>
            <w:hideMark/>
          </w:tcPr>
          <w:p w14:paraId="2BB17D1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143</w:t>
            </w:r>
          </w:p>
        </w:tc>
      </w:tr>
      <w:tr w:rsidR="00A37F36" w:rsidRPr="006B6B60" w14:paraId="2311066D" w14:textId="77777777" w:rsidTr="00A37F36">
        <w:trPr>
          <w:trHeight w:val="356"/>
        </w:trPr>
        <w:tc>
          <w:tcPr>
            <w:tcW w:w="0" w:type="auto"/>
            <w:hideMark/>
          </w:tcPr>
          <w:p w14:paraId="70E72AA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0" w:type="auto"/>
            <w:hideMark/>
          </w:tcPr>
          <w:p w14:paraId="6F5BD60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0" w:type="auto"/>
            <w:hideMark/>
          </w:tcPr>
          <w:p w14:paraId="312DCB1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42</w:t>
            </w:r>
          </w:p>
        </w:tc>
        <w:tc>
          <w:tcPr>
            <w:tcW w:w="0" w:type="auto"/>
            <w:hideMark/>
          </w:tcPr>
          <w:p w14:paraId="44D50C6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105</w:t>
            </w:r>
          </w:p>
        </w:tc>
        <w:tc>
          <w:tcPr>
            <w:tcW w:w="0" w:type="auto"/>
            <w:hideMark/>
          </w:tcPr>
          <w:p w14:paraId="3C494CC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1214</w:t>
            </w:r>
          </w:p>
        </w:tc>
        <w:tc>
          <w:tcPr>
            <w:tcW w:w="0" w:type="auto"/>
            <w:hideMark/>
          </w:tcPr>
          <w:p w14:paraId="6312DF6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126</w:t>
            </w:r>
          </w:p>
        </w:tc>
        <w:tc>
          <w:tcPr>
            <w:tcW w:w="0" w:type="auto"/>
            <w:hideMark/>
          </w:tcPr>
          <w:p w14:paraId="661086D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20</w:t>
            </w:r>
          </w:p>
        </w:tc>
      </w:tr>
      <w:tr w:rsidR="00A37F36" w:rsidRPr="006B6B60" w14:paraId="3958EBFA" w14:textId="77777777" w:rsidTr="00A37F36">
        <w:trPr>
          <w:trHeight w:val="356"/>
        </w:trPr>
        <w:tc>
          <w:tcPr>
            <w:tcW w:w="0" w:type="auto"/>
            <w:hideMark/>
          </w:tcPr>
          <w:p w14:paraId="5F3038C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0" w:type="auto"/>
            <w:hideMark/>
          </w:tcPr>
          <w:p w14:paraId="57FFC29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0" w:type="auto"/>
            <w:hideMark/>
          </w:tcPr>
          <w:p w14:paraId="09D9554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302</w:t>
            </w:r>
          </w:p>
        </w:tc>
        <w:tc>
          <w:tcPr>
            <w:tcW w:w="0" w:type="auto"/>
            <w:hideMark/>
          </w:tcPr>
          <w:p w14:paraId="71A95BA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301</w:t>
            </w:r>
          </w:p>
        </w:tc>
        <w:tc>
          <w:tcPr>
            <w:tcW w:w="0" w:type="auto"/>
            <w:hideMark/>
          </w:tcPr>
          <w:p w14:paraId="092D43B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301</w:t>
            </w:r>
          </w:p>
        </w:tc>
        <w:tc>
          <w:tcPr>
            <w:tcW w:w="0" w:type="auto"/>
            <w:hideMark/>
          </w:tcPr>
          <w:p w14:paraId="288AE89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301</w:t>
            </w:r>
          </w:p>
        </w:tc>
        <w:tc>
          <w:tcPr>
            <w:tcW w:w="0" w:type="auto"/>
            <w:hideMark/>
          </w:tcPr>
          <w:p w14:paraId="7409DC6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302</w:t>
            </w:r>
          </w:p>
        </w:tc>
      </w:tr>
      <w:tr w:rsidR="00A37F36" w:rsidRPr="006B6B60" w14:paraId="09D5AD5E" w14:textId="77777777" w:rsidTr="00A37F36">
        <w:trPr>
          <w:trHeight w:val="356"/>
        </w:trPr>
        <w:tc>
          <w:tcPr>
            <w:tcW w:w="0" w:type="auto"/>
            <w:hideMark/>
          </w:tcPr>
          <w:p w14:paraId="2361B53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0" w:type="auto"/>
            <w:hideMark/>
          </w:tcPr>
          <w:p w14:paraId="76716E7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0" w:type="auto"/>
            <w:hideMark/>
          </w:tcPr>
          <w:p w14:paraId="78A8D97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190</w:t>
            </w:r>
          </w:p>
        </w:tc>
        <w:tc>
          <w:tcPr>
            <w:tcW w:w="0" w:type="auto"/>
            <w:hideMark/>
          </w:tcPr>
          <w:p w14:paraId="00ABE0F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186</w:t>
            </w:r>
          </w:p>
        </w:tc>
        <w:tc>
          <w:tcPr>
            <w:tcW w:w="0" w:type="auto"/>
            <w:hideMark/>
          </w:tcPr>
          <w:p w14:paraId="5CE2D7E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754</w:t>
            </w:r>
          </w:p>
        </w:tc>
        <w:tc>
          <w:tcPr>
            <w:tcW w:w="0" w:type="auto"/>
            <w:hideMark/>
          </w:tcPr>
          <w:p w14:paraId="0582514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217</w:t>
            </w:r>
          </w:p>
        </w:tc>
        <w:tc>
          <w:tcPr>
            <w:tcW w:w="0" w:type="auto"/>
            <w:hideMark/>
          </w:tcPr>
          <w:p w14:paraId="7375D0B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160</w:t>
            </w:r>
          </w:p>
        </w:tc>
      </w:tr>
      <w:tr w:rsidR="00A37F36" w:rsidRPr="006B6B60" w14:paraId="156861EE" w14:textId="77777777" w:rsidTr="00A37F36">
        <w:trPr>
          <w:trHeight w:val="356"/>
        </w:trPr>
        <w:tc>
          <w:tcPr>
            <w:tcW w:w="0" w:type="auto"/>
            <w:hideMark/>
          </w:tcPr>
          <w:p w14:paraId="6568A65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Nikkei 225</w:t>
            </w:r>
          </w:p>
        </w:tc>
        <w:tc>
          <w:tcPr>
            <w:tcW w:w="0" w:type="auto"/>
            <w:hideMark/>
          </w:tcPr>
          <w:p w14:paraId="7AC35F5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0" w:type="auto"/>
            <w:hideMark/>
          </w:tcPr>
          <w:p w14:paraId="342D0B0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34</w:t>
            </w:r>
          </w:p>
        </w:tc>
        <w:tc>
          <w:tcPr>
            <w:tcW w:w="0" w:type="auto"/>
            <w:hideMark/>
          </w:tcPr>
          <w:p w14:paraId="3F0D12F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140</w:t>
            </w:r>
          </w:p>
        </w:tc>
        <w:tc>
          <w:tcPr>
            <w:tcW w:w="0" w:type="auto"/>
            <w:hideMark/>
          </w:tcPr>
          <w:p w14:paraId="739C63A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1119</w:t>
            </w:r>
          </w:p>
        </w:tc>
        <w:tc>
          <w:tcPr>
            <w:tcW w:w="0" w:type="auto"/>
            <w:hideMark/>
          </w:tcPr>
          <w:p w14:paraId="51A77E5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147</w:t>
            </w:r>
          </w:p>
        </w:tc>
        <w:tc>
          <w:tcPr>
            <w:tcW w:w="0" w:type="auto"/>
            <w:hideMark/>
          </w:tcPr>
          <w:p w14:paraId="21A6C1E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24</w:t>
            </w:r>
          </w:p>
        </w:tc>
      </w:tr>
      <w:tr w:rsidR="00A37F36" w:rsidRPr="006B6B60" w14:paraId="7A6CE410" w14:textId="77777777" w:rsidTr="00A37F36">
        <w:trPr>
          <w:trHeight w:val="356"/>
        </w:trPr>
        <w:tc>
          <w:tcPr>
            <w:tcW w:w="0" w:type="auto"/>
            <w:hideMark/>
          </w:tcPr>
          <w:p w14:paraId="608199B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0" w:type="auto"/>
            <w:hideMark/>
          </w:tcPr>
          <w:p w14:paraId="66F3BCED"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0" w:type="auto"/>
            <w:hideMark/>
          </w:tcPr>
          <w:p w14:paraId="2FA3C51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c>
          <w:tcPr>
            <w:tcW w:w="0" w:type="auto"/>
            <w:hideMark/>
          </w:tcPr>
          <w:p w14:paraId="38CBBF0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c>
          <w:tcPr>
            <w:tcW w:w="0" w:type="auto"/>
            <w:hideMark/>
          </w:tcPr>
          <w:p w14:paraId="7B6CE6B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292</w:t>
            </w:r>
          </w:p>
        </w:tc>
        <w:tc>
          <w:tcPr>
            <w:tcW w:w="0" w:type="auto"/>
            <w:hideMark/>
          </w:tcPr>
          <w:p w14:paraId="1BDC76B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c>
          <w:tcPr>
            <w:tcW w:w="0" w:type="auto"/>
            <w:hideMark/>
          </w:tcPr>
          <w:p w14:paraId="73C2275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r>
      <w:tr w:rsidR="00A37F36" w:rsidRPr="006B6B60" w14:paraId="52E5A5EF" w14:textId="77777777" w:rsidTr="00A37F36">
        <w:trPr>
          <w:trHeight w:val="341"/>
        </w:trPr>
        <w:tc>
          <w:tcPr>
            <w:tcW w:w="0" w:type="auto"/>
            <w:hideMark/>
          </w:tcPr>
          <w:p w14:paraId="3E762C8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0" w:type="auto"/>
            <w:hideMark/>
          </w:tcPr>
          <w:p w14:paraId="5697147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0" w:type="auto"/>
            <w:hideMark/>
          </w:tcPr>
          <w:p w14:paraId="7CF9799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166</w:t>
            </w:r>
          </w:p>
        </w:tc>
        <w:tc>
          <w:tcPr>
            <w:tcW w:w="0" w:type="auto"/>
            <w:hideMark/>
          </w:tcPr>
          <w:p w14:paraId="09B9831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208</w:t>
            </w:r>
          </w:p>
        </w:tc>
        <w:tc>
          <w:tcPr>
            <w:tcW w:w="0" w:type="auto"/>
            <w:hideMark/>
          </w:tcPr>
          <w:p w14:paraId="2CE629D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732</w:t>
            </w:r>
          </w:p>
        </w:tc>
        <w:tc>
          <w:tcPr>
            <w:tcW w:w="0" w:type="auto"/>
            <w:hideMark/>
          </w:tcPr>
          <w:p w14:paraId="14DF46C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207</w:t>
            </w:r>
          </w:p>
        </w:tc>
        <w:tc>
          <w:tcPr>
            <w:tcW w:w="0" w:type="auto"/>
            <w:hideMark/>
          </w:tcPr>
          <w:p w14:paraId="54AB83A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151</w:t>
            </w:r>
          </w:p>
        </w:tc>
      </w:tr>
    </w:tbl>
    <w:p w14:paraId="4F1B919F" w14:textId="77777777" w:rsidR="005C51B9" w:rsidRPr="006B6B60" w:rsidRDefault="005C51B9" w:rsidP="005C51B9">
      <w:pPr>
        <w:jc w:val="both"/>
        <w:rPr>
          <w:rFonts w:ascii="Arial" w:eastAsiaTheme="minorEastAsia" w:hAnsi="Arial" w:cs="Arial"/>
          <w:bCs/>
          <w:sz w:val="20"/>
          <w:szCs w:val="20"/>
        </w:rPr>
      </w:pPr>
    </w:p>
    <w:p w14:paraId="6FAE6BC2"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A striking difference emerges across the methods:</w:t>
      </w:r>
    </w:p>
    <w:p w14:paraId="1168DA01" w14:textId="77777777" w:rsidR="005C51B9" w:rsidRPr="006B6B60" w:rsidRDefault="005C51B9" w:rsidP="005C51B9">
      <w:pPr>
        <w:numPr>
          <w:ilvl w:val="0"/>
          <w:numId w:val="9"/>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quantile-based approach</w:t>
      </w:r>
      <w:r w:rsidRPr="006B6B60">
        <w:rPr>
          <w:rFonts w:ascii="Arial" w:eastAsiaTheme="minorEastAsia" w:hAnsi="Arial" w:cs="Arial"/>
          <w:bCs/>
          <w:sz w:val="20"/>
          <w:szCs w:val="20"/>
        </w:rPr>
        <w:t xml:space="preserve"> produces perfectly balanced regimes, with approximately equal observations in each class. While this ensures uniform distribution, it is inherently </w:t>
      </w:r>
      <w:r w:rsidRPr="006B6B60">
        <w:rPr>
          <w:rFonts w:ascii="Arial" w:eastAsiaTheme="minorEastAsia" w:hAnsi="Arial" w:cs="Arial"/>
          <w:b/>
          <w:bCs/>
          <w:sz w:val="20"/>
          <w:szCs w:val="20"/>
        </w:rPr>
        <w:t>mechanical and does not reflect the underlying data structure</w:t>
      </w:r>
      <w:r w:rsidRPr="006B6B60">
        <w:rPr>
          <w:rFonts w:ascii="Arial" w:eastAsiaTheme="minorEastAsia" w:hAnsi="Arial" w:cs="Arial"/>
          <w:bCs/>
          <w:sz w:val="20"/>
          <w:szCs w:val="20"/>
        </w:rPr>
        <w:t xml:space="preserve">. </w:t>
      </w:r>
    </w:p>
    <w:p w14:paraId="7E801AD2" w14:textId="77777777" w:rsidR="005C51B9" w:rsidRPr="006B6B60" w:rsidRDefault="005C51B9" w:rsidP="005C51B9">
      <w:pPr>
        <w:numPr>
          <w:ilvl w:val="0"/>
          <w:numId w:val="9"/>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standard deviation-based method</w:t>
      </w:r>
      <w:r w:rsidRPr="006B6B60">
        <w:rPr>
          <w:rFonts w:ascii="Arial" w:eastAsiaTheme="minorEastAsia" w:hAnsi="Arial" w:cs="Arial"/>
          <w:bCs/>
          <w:sz w:val="20"/>
          <w:szCs w:val="20"/>
        </w:rPr>
        <w:t xml:space="preserve"> results in highly imbalanced classifications, with the majority of observations concentrated in the neutral regime. For example, in the NIFTY 50 dataset, over </w:t>
      </w:r>
      <w:r w:rsidRPr="006B6B60">
        <w:rPr>
          <w:rFonts w:ascii="Arial" w:eastAsiaTheme="minorEastAsia" w:hAnsi="Arial" w:cs="Arial"/>
          <w:b/>
          <w:bCs/>
          <w:sz w:val="20"/>
          <w:szCs w:val="20"/>
        </w:rPr>
        <w:t>82% of observations (1228 out of 1485)</w:t>
      </w:r>
      <w:r w:rsidRPr="006B6B60">
        <w:rPr>
          <w:rFonts w:ascii="Arial" w:eastAsiaTheme="minorEastAsia" w:hAnsi="Arial" w:cs="Arial"/>
          <w:bCs/>
          <w:sz w:val="20"/>
          <w:szCs w:val="20"/>
        </w:rPr>
        <w:t xml:space="preserve"> fall into the neutral category. This indicates that extreme values inflate the standard deviation, compressing most observations toward the </w:t>
      </w:r>
      <w:proofErr w:type="spellStart"/>
      <w:r w:rsidRPr="006B6B60">
        <w:rPr>
          <w:rFonts w:ascii="Arial" w:eastAsiaTheme="minorEastAsia" w:hAnsi="Arial" w:cs="Arial"/>
          <w:bCs/>
          <w:sz w:val="20"/>
          <w:szCs w:val="20"/>
        </w:rPr>
        <w:t>center</w:t>
      </w:r>
      <w:proofErr w:type="spellEnd"/>
      <w:r w:rsidRPr="006B6B60">
        <w:rPr>
          <w:rFonts w:ascii="Arial" w:eastAsiaTheme="minorEastAsia" w:hAnsi="Arial" w:cs="Arial"/>
          <w:bCs/>
          <w:sz w:val="20"/>
          <w:szCs w:val="20"/>
        </w:rPr>
        <w:t xml:space="preserve">. </w:t>
      </w:r>
    </w:p>
    <w:p w14:paraId="1391EEEA" w14:textId="77777777" w:rsidR="005C51B9" w:rsidRPr="006B6B60" w:rsidRDefault="005C51B9" w:rsidP="005C51B9">
      <w:pPr>
        <w:numPr>
          <w:ilvl w:val="0"/>
          <w:numId w:val="9"/>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In contrast, the </w:t>
      </w:r>
      <w:r w:rsidRPr="006B6B60">
        <w:rPr>
          <w:rFonts w:ascii="Arial" w:eastAsiaTheme="minorEastAsia" w:hAnsi="Arial" w:cs="Arial"/>
          <w:b/>
          <w:bCs/>
          <w:sz w:val="20"/>
          <w:szCs w:val="20"/>
        </w:rPr>
        <w:t>MAD-based method produces a more meaningful and interpretable distribution</w:t>
      </w:r>
      <w:r w:rsidRPr="006B6B60">
        <w:rPr>
          <w:rFonts w:ascii="Arial" w:eastAsiaTheme="minorEastAsia" w:hAnsi="Arial" w:cs="Arial"/>
          <w:bCs/>
          <w:sz w:val="20"/>
          <w:szCs w:val="20"/>
        </w:rPr>
        <w:t xml:space="preserve">, with a balanced yet data-driven allocation across regimes. The neutral class is reduced significantly (e.g., 743 observations for NIFTY 50), while extreme regimes are more realistically represented. </w:t>
      </w:r>
    </w:p>
    <w:p w14:paraId="60874DF7"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This demonstrates that the MAD-based approach captures the </w:t>
      </w:r>
      <w:r w:rsidRPr="006B6B60">
        <w:rPr>
          <w:rFonts w:ascii="Arial" w:eastAsiaTheme="minorEastAsia" w:hAnsi="Arial" w:cs="Arial"/>
          <w:b/>
          <w:bCs/>
          <w:sz w:val="20"/>
          <w:szCs w:val="20"/>
        </w:rPr>
        <w:t>true variability of the data without being dominated by extreme observations</w:t>
      </w:r>
      <w:r w:rsidRPr="006B6B60">
        <w:rPr>
          <w:rFonts w:ascii="Arial" w:eastAsiaTheme="minorEastAsia" w:hAnsi="Arial" w:cs="Arial"/>
          <w:bCs/>
          <w:sz w:val="20"/>
          <w:szCs w:val="20"/>
        </w:rPr>
        <w:t>.</w:t>
      </w:r>
    </w:p>
    <w:p w14:paraId="41C6D718" w14:textId="77777777" w:rsidR="005C51B9" w:rsidRPr="006B6B60" w:rsidRDefault="005C51B9" w:rsidP="005C51B9">
      <w:pPr>
        <w:jc w:val="both"/>
        <w:rPr>
          <w:rFonts w:ascii="Arial" w:eastAsiaTheme="minorEastAsia" w:hAnsi="Arial" w:cs="Arial"/>
          <w:b/>
          <w:bCs/>
          <w:sz w:val="20"/>
          <w:szCs w:val="20"/>
        </w:rPr>
      </w:pPr>
      <w:r w:rsidRPr="006B6B60">
        <w:rPr>
          <w:rFonts w:ascii="Arial" w:eastAsiaTheme="minorEastAsia" w:hAnsi="Arial" w:cs="Arial"/>
          <w:b/>
          <w:bCs/>
          <w:sz w:val="20"/>
          <w:szCs w:val="20"/>
        </w:rPr>
        <w:t>6.3 Robustness Analysis</w:t>
      </w:r>
    </w:p>
    <w:p w14:paraId="04368FCF" w14:textId="77777777" w:rsidR="00F92DC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robustness of the classification methods is evaluated using the Regime Balance Index (RBI), Extreme Sensitivity Score (ESS), and Label Stability Ratio (LSR), as reported in </w:t>
      </w:r>
      <w:r w:rsidRPr="006B6B60">
        <w:rPr>
          <w:rFonts w:ascii="Arial" w:eastAsiaTheme="minorEastAsia" w:hAnsi="Arial" w:cs="Arial"/>
          <w:b/>
          <w:bCs/>
          <w:sz w:val="20"/>
          <w:szCs w:val="20"/>
        </w:rPr>
        <w:t>Table 3</w:t>
      </w:r>
      <w:r w:rsidR="00D1050B" w:rsidRPr="006B6B60">
        <w:rPr>
          <w:rFonts w:ascii="Arial" w:eastAsiaTheme="minorEastAsia" w:hAnsi="Arial" w:cs="Arial"/>
          <w:bCs/>
          <w:sz w:val="20"/>
          <w:szCs w:val="20"/>
        </w:rPr>
        <w:t>.</w:t>
      </w:r>
    </w:p>
    <w:p w14:paraId="3C37B4BE" w14:textId="77777777" w:rsidR="00F92DC9" w:rsidRPr="006B6B60" w:rsidRDefault="00F92DC9" w:rsidP="00F92DC9">
      <w:pPr>
        <w:jc w:val="both"/>
        <w:rPr>
          <w:rFonts w:ascii="Arial" w:eastAsiaTheme="minorEastAsia" w:hAnsi="Arial" w:cs="Arial"/>
          <w:b/>
          <w:bCs/>
          <w:sz w:val="20"/>
          <w:szCs w:val="20"/>
        </w:rPr>
      </w:pPr>
      <w:r w:rsidRPr="006B6B60">
        <w:rPr>
          <w:rFonts w:ascii="Arial" w:eastAsiaTheme="minorEastAsia" w:hAnsi="Arial" w:cs="Arial"/>
          <w:b/>
          <w:bCs/>
          <w:sz w:val="20"/>
          <w:szCs w:val="20"/>
        </w:rPr>
        <w:t>Table 3. Robustness comparison of classification methods</w:t>
      </w:r>
    </w:p>
    <w:tbl>
      <w:tblPr>
        <w:tblStyle w:val="TableGrid"/>
        <w:tblW w:w="9063" w:type="dxa"/>
        <w:tblLook w:val="04A0" w:firstRow="1" w:lastRow="0" w:firstColumn="1" w:lastColumn="0" w:noHBand="0" w:noVBand="1"/>
      </w:tblPr>
      <w:tblGrid>
        <w:gridCol w:w="1271"/>
        <w:gridCol w:w="1276"/>
        <w:gridCol w:w="1559"/>
        <w:gridCol w:w="1843"/>
        <w:gridCol w:w="1504"/>
        <w:gridCol w:w="1610"/>
      </w:tblGrid>
      <w:tr w:rsidR="00F92DC9" w:rsidRPr="006B6B60" w14:paraId="7E64614A" w14:textId="77777777" w:rsidTr="00F92DC9">
        <w:trPr>
          <w:trHeight w:val="741"/>
        </w:trPr>
        <w:tc>
          <w:tcPr>
            <w:tcW w:w="1271" w:type="dxa"/>
            <w:hideMark/>
          </w:tcPr>
          <w:p w14:paraId="401DADDF"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Dataset</w:t>
            </w:r>
          </w:p>
        </w:tc>
        <w:tc>
          <w:tcPr>
            <w:tcW w:w="1276" w:type="dxa"/>
            <w:hideMark/>
          </w:tcPr>
          <w:p w14:paraId="4DA41D7A"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Method</w:t>
            </w:r>
          </w:p>
        </w:tc>
        <w:tc>
          <w:tcPr>
            <w:tcW w:w="1559" w:type="dxa"/>
            <w:hideMark/>
          </w:tcPr>
          <w:p w14:paraId="2C0BA684"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Regime Balance Index</w:t>
            </w:r>
          </w:p>
        </w:tc>
        <w:tc>
          <w:tcPr>
            <w:tcW w:w="1843" w:type="dxa"/>
            <w:hideMark/>
          </w:tcPr>
          <w:p w14:paraId="55FFDD95"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Extreme Sensitivity Score ↓</w:t>
            </w:r>
          </w:p>
        </w:tc>
        <w:tc>
          <w:tcPr>
            <w:tcW w:w="1504" w:type="dxa"/>
            <w:hideMark/>
          </w:tcPr>
          <w:p w14:paraId="53E48FD8"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Label Stability Ratio ↑</w:t>
            </w:r>
          </w:p>
        </w:tc>
        <w:tc>
          <w:tcPr>
            <w:tcW w:w="1610" w:type="dxa"/>
            <w:hideMark/>
          </w:tcPr>
          <w:p w14:paraId="026F2ED5"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Robustness Rank</w:t>
            </w:r>
          </w:p>
        </w:tc>
      </w:tr>
      <w:tr w:rsidR="00F92DC9" w:rsidRPr="006B6B60" w14:paraId="7CAE3028" w14:textId="77777777" w:rsidTr="00F92DC9">
        <w:trPr>
          <w:trHeight w:val="521"/>
        </w:trPr>
        <w:tc>
          <w:tcPr>
            <w:tcW w:w="1271" w:type="dxa"/>
            <w:hideMark/>
          </w:tcPr>
          <w:p w14:paraId="6BF551C3"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276" w:type="dxa"/>
            <w:hideMark/>
          </w:tcPr>
          <w:p w14:paraId="3D4E9CC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1559" w:type="dxa"/>
            <w:hideMark/>
          </w:tcPr>
          <w:p w14:paraId="0BE055C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0.1886</w:t>
            </w:r>
          </w:p>
        </w:tc>
        <w:tc>
          <w:tcPr>
            <w:tcW w:w="1843" w:type="dxa"/>
            <w:hideMark/>
          </w:tcPr>
          <w:p w14:paraId="38479FF1"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0.0801</w:t>
            </w:r>
          </w:p>
        </w:tc>
        <w:tc>
          <w:tcPr>
            <w:tcW w:w="1504" w:type="dxa"/>
            <w:hideMark/>
          </w:tcPr>
          <w:p w14:paraId="2ECFA290"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0.9199</w:t>
            </w:r>
          </w:p>
        </w:tc>
        <w:tc>
          <w:tcPr>
            <w:tcW w:w="1610" w:type="dxa"/>
            <w:hideMark/>
          </w:tcPr>
          <w:p w14:paraId="6E9C492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w:t>
            </w:r>
          </w:p>
        </w:tc>
      </w:tr>
      <w:tr w:rsidR="00F92DC9" w:rsidRPr="006B6B60" w14:paraId="29F6BB63" w14:textId="77777777" w:rsidTr="00F92DC9">
        <w:trPr>
          <w:trHeight w:val="535"/>
        </w:trPr>
        <w:tc>
          <w:tcPr>
            <w:tcW w:w="1271" w:type="dxa"/>
            <w:hideMark/>
          </w:tcPr>
          <w:p w14:paraId="417A5F26"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276" w:type="dxa"/>
            <w:hideMark/>
          </w:tcPr>
          <w:p w14:paraId="0EA10EF2"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1559" w:type="dxa"/>
            <w:hideMark/>
          </w:tcPr>
          <w:p w14:paraId="53C7211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1.0000</w:t>
            </w:r>
          </w:p>
        </w:tc>
        <w:tc>
          <w:tcPr>
            <w:tcW w:w="1843" w:type="dxa"/>
            <w:hideMark/>
          </w:tcPr>
          <w:p w14:paraId="194D84F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0.0265</w:t>
            </w:r>
          </w:p>
        </w:tc>
        <w:tc>
          <w:tcPr>
            <w:tcW w:w="1504" w:type="dxa"/>
            <w:hideMark/>
          </w:tcPr>
          <w:p w14:paraId="4DF3ADA2"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0.9735</w:t>
            </w:r>
          </w:p>
        </w:tc>
        <w:tc>
          <w:tcPr>
            <w:tcW w:w="1610" w:type="dxa"/>
            <w:hideMark/>
          </w:tcPr>
          <w:p w14:paraId="185903E2"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w:t>
            </w:r>
          </w:p>
        </w:tc>
      </w:tr>
      <w:tr w:rsidR="00F92DC9" w:rsidRPr="006B6B60" w14:paraId="5C1D0D2D" w14:textId="77777777" w:rsidTr="00F92DC9">
        <w:trPr>
          <w:trHeight w:val="535"/>
        </w:trPr>
        <w:tc>
          <w:tcPr>
            <w:tcW w:w="1271" w:type="dxa"/>
            <w:hideMark/>
          </w:tcPr>
          <w:p w14:paraId="797F86F9"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276" w:type="dxa"/>
            <w:hideMark/>
          </w:tcPr>
          <w:p w14:paraId="2C69FFA3"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1559" w:type="dxa"/>
            <w:hideMark/>
          </w:tcPr>
          <w:p w14:paraId="7980C962"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0.5960</w:t>
            </w:r>
          </w:p>
        </w:tc>
        <w:tc>
          <w:tcPr>
            <w:tcW w:w="1843" w:type="dxa"/>
            <w:hideMark/>
          </w:tcPr>
          <w:p w14:paraId="5CBAA52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0.0142</w:t>
            </w:r>
          </w:p>
        </w:tc>
        <w:tc>
          <w:tcPr>
            <w:tcW w:w="1504" w:type="dxa"/>
            <w:hideMark/>
          </w:tcPr>
          <w:p w14:paraId="7F5E4FAF"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0.9858</w:t>
            </w:r>
          </w:p>
        </w:tc>
        <w:tc>
          <w:tcPr>
            <w:tcW w:w="1610" w:type="dxa"/>
            <w:hideMark/>
          </w:tcPr>
          <w:p w14:paraId="6023E535"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w:t>
            </w:r>
          </w:p>
        </w:tc>
      </w:tr>
      <w:tr w:rsidR="00F92DC9" w:rsidRPr="006B6B60" w14:paraId="181245D8" w14:textId="77777777" w:rsidTr="00F92DC9">
        <w:trPr>
          <w:trHeight w:val="329"/>
        </w:trPr>
        <w:tc>
          <w:tcPr>
            <w:tcW w:w="1271" w:type="dxa"/>
            <w:hideMark/>
          </w:tcPr>
          <w:p w14:paraId="618F58E7"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276" w:type="dxa"/>
            <w:hideMark/>
          </w:tcPr>
          <w:p w14:paraId="535282CA"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1559" w:type="dxa"/>
            <w:hideMark/>
          </w:tcPr>
          <w:p w14:paraId="1F70564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0.2077</w:t>
            </w:r>
          </w:p>
        </w:tc>
        <w:tc>
          <w:tcPr>
            <w:tcW w:w="1843" w:type="dxa"/>
            <w:hideMark/>
          </w:tcPr>
          <w:p w14:paraId="33AB966C"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0.1082</w:t>
            </w:r>
          </w:p>
        </w:tc>
        <w:tc>
          <w:tcPr>
            <w:tcW w:w="1504" w:type="dxa"/>
            <w:hideMark/>
          </w:tcPr>
          <w:p w14:paraId="58B68DE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0.8918</w:t>
            </w:r>
          </w:p>
        </w:tc>
        <w:tc>
          <w:tcPr>
            <w:tcW w:w="1610" w:type="dxa"/>
            <w:hideMark/>
          </w:tcPr>
          <w:p w14:paraId="6E6E49CE"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w:t>
            </w:r>
          </w:p>
        </w:tc>
      </w:tr>
      <w:tr w:rsidR="00F92DC9" w:rsidRPr="006B6B60" w14:paraId="75A44036" w14:textId="77777777" w:rsidTr="00F92DC9">
        <w:trPr>
          <w:trHeight w:val="535"/>
        </w:trPr>
        <w:tc>
          <w:tcPr>
            <w:tcW w:w="1271" w:type="dxa"/>
            <w:hideMark/>
          </w:tcPr>
          <w:p w14:paraId="100E396D"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276" w:type="dxa"/>
            <w:hideMark/>
          </w:tcPr>
          <w:p w14:paraId="0CBDC8CB"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1559" w:type="dxa"/>
            <w:hideMark/>
          </w:tcPr>
          <w:p w14:paraId="67CCBE1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0.9993</w:t>
            </w:r>
          </w:p>
        </w:tc>
        <w:tc>
          <w:tcPr>
            <w:tcW w:w="1843" w:type="dxa"/>
            <w:hideMark/>
          </w:tcPr>
          <w:p w14:paraId="34A4F72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0.0248</w:t>
            </w:r>
          </w:p>
        </w:tc>
        <w:tc>
          <w:tcPr>
            <w:tcW w:w="1504" w:type="dxa"/>
            <w:hideMark/>
          </w:tcPr>
          <w:p w14:paraId="37AA96F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0.9752</w:t>
            </w:r>
          </w:p>
        </w:tc>
        <w:tc>
          <w:tcPr>
            <w:tcW w:w="1610" w:type="dxa"/>
            <w:hideMark/>
          </w:tcPr>
          <w:p w14:paraId="266E6EFA"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w:t>
            </w:r>
          </w:p>
        </w:tc>
      </w:tr>
      <w:tr w:rsidR="00F92DC9" w:rsidRPr="006B6B60" w14:paraId="670CA949" w14:textId="77777777" w:rsidTr="00F92DC9">
        <w:trPr>
          <w:trHeight w:val="329"/>
        </w:trPr>
        <w:tc>
          <w:tcPr>
            <w:tcW w:w="1271" w:type="dxa"/>
            <w:hideMark/>
          </w:tcPr>
          <w:p w14:paraId="39405E3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276" w:type="dxa"/>
            <w:hideMark/>
          </w:tcPr>
          <w:p w14:paraId="756A39F7"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1559" w:type="dxa"/>
            <w:hideMark/>
          </w:tcPr>
          <w:p w14:paraId="073EB37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0.6058</w:t>
            </w:r>
          </w:p>
        </w:tc>
        <w:tc>
          <w:tcPr>
            <w:tcW w:w="1843" w:type="dxa"/>
            <w:hideMark/>
          </w:tcPr>
          <w:p w14:paraId="0B77A417"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0.0136</w:t>
            </w:r>
          </w:p>
        </w:tc>
        <w:tc>
          <w:tcPr>
            <w:tcW w:w="1504" w:type="dxa"/>
            <w:hideMark/>
          </w:tcPr>
          <w:p w14:paraId="07DEC141"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0.9864</w:t>
            </w:r>
          </w:p>
        </w:tc>
        <w:tc>
          <w:tcPr>
            <w:tcW w:w="1610" w:type="dxa"/>
            <w:hideMark/>
          </w:tcPr>
          <w:p w14:paraId="07A8854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w:t>
            </w:r>
          </w:p>
        </w:tc>
      </w:tr>
      <w:tr w:rsidR="00F92DC9" w:rsidRPr="006B6B60" w14:paraId="785E4B7B" w14:textId="77777777" w:rsidTr="00F92DC9">
        <w:trPr>
          <w:trHeight w:val="535"/>
        </w:trPr>
        <w:tc>
          <w:tcPr>
            <w:tcW w:w="1271" w:type="dxa"/>
            <w:hideMark/>
          </w:tcPr>
          <w:p w14:paraId="6BC748D5"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276" w:type="dxa"/>
            <w:hideMark/>
          </w:tcPr>
          <w:p w14:paraId="5742021F"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1559" w:type="dxa"/>
            <w:hideMark/>
          </w:tcPr>
          <w:p w14:paraId="1A584B16"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0.2520</w:t>
            </w:r>
          </w:p>
        </w:tc>
        <w:tc>
          <w:tcPr>
            <w:tcW w:w="1843" w:type="dxa"/>
            <w:hideMark/>
          </w:tcPr>
          <w:p w14:paraId="48454D1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0.1195</w:t>
            </w:r>
          </w:p>
        </w:tc>
        <w:tc>
          <w:tcPr>
            <w:tcW w:w="1504" w:type="dxa"/>
            <w:hideMark/>
          </w:tcPr>
          <w:p w14:paraId="25AADA0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0.8805</w:t>
            </w:r>
          </w:p>
        </w:tc>
        <w:tc>
          <w:tcPr>
            <w:tcW w:w="1610" w:type="dxa"/>
            <w:hideMark/>
          </w:tcPr>
          <w:p w14:paraId="267BD9C6"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w:t>
            </w:r>
          </w:p>
        </w:tc>
      </w:tr>
      <w:tr w:rsidR="00F92DC9" w:rsidRPr="006B6B60" w14:paraId="077F2412" w14:textId="77777777" w:rsidTr="00F92DC9">
        <w:trPr>
          <w:trHeight w:val="521"/>
        </w:trPr>
        <w:tc>
          <w:tcPr>
            <w:tcW w:w="1271" w:type="dxa"/>
            <w:hideMark/>
          </w:tcPr>
          <w:p w14:paraId="5482A39F"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276" w:type="dxa"/>
            <w:hideMark/>
          </w:tcPr>
          <w:p w14:paraId="32CBE101"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1559" w:type="dxa"/>
            <w:hideMark/>
          </w:tcPr>
          <w:p w14:paraId="5283BFD3"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0.1886</w:t>
            </w:r>
          </w:p>
        </w:tc>
        <w:tc>
          <w:tcPr>
            <w:tcW w:w="1843" w:type="dxa"/>
            <w:hideMark/>
          </w:tcPr>
          <w:p w14:paraId="2362E10A"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0.0801</w:t>
            </w:r>
          </w:p>
        </w:tc>
        <w:tc>
          <w:tcPr>
            <w:tcW w:w="1504" w:type="dxa"/>
            <w:hideMark/>
          </w:tcPr>
          <w:p w14:paraId="235FF8E1"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0.9199</w:t>
            </w:r>
          </w:p>
        </w:tc>
        <w:tc>
          <w:tcPr>
            <w:tcW w:w="1610" w:type="dxa"/>
            <w:hideMark/>
          </w:tcPr>
          <w:p w14:paraId="33DB84B7"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w:t>
            </w:r>
          </w:p>
        </w:tc>
      </w:tr>
      <w:tr w:rsidR="00F92DC9" w:rsidRPr="006B6B60" w14:paraId="4CBC79C0" w14:textId="77777777" w:rsidTr="00F92DC9">
        <w:trPr>
          <w:trHeight w:val="535"/>
        </w:trPr>
        <w:tc>
          <w:tcPr>
            <w:tcW w:w="1271" w:type="dxa"/>
            <w:hideMark/>
          </w:tcPr>
          <w:p w14:paraId="339773DF"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276" w:type="dxa"/>
            <w:hideMark/>
          </w:tcPr>
          <w:p w14:paraId="544507BB"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1559" w:type="dxa"/>
            <w:hideMark/>
          </w:tcPr>
          <w:p w14:paraId="774662FA"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1.0000</w:t>
            </w:r>
          </w:p>
        </w:tc>
        <w:tc>
          <w:tcPr>
            <w:tcW w:w="1843" w:type="dxa"/>
            <w:hideMark/>
          </w:tcPr>
          <w:p w14:paraId="62500D0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0.0265</w:t>
            </w:r>
          </w:p>
        </w:tc>
        <w:tc>
          <w:tcPr>
            <w:tcW w:w="1504" w:type="dxa"/>
            <w:hideMark/>
          </w:tcPr>
          <w:p w14:paraId="34118BDB"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0.9735</w:t>
            </w:r>
          </w:p>
        </w:tc>
        <w:tc>
          <w:tcPr>
            <w:tcW w:w="1610" w:type="dxa"/>
            <w:hideMark/>
          </w:tcPr>
          <w:p w14:paraId="202F2C2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w:t>
            </w:r>
          </w:p>
        </w:tc>
      </w:tr>
    </w:tbl>
    <w:p w14:paraId="7597A871" w14:textId="77777777" w:rsidR="00F92DC9" w:rsidRPr="006B6B60" w:rsidRDefault="00F92DC9" w:rsidP="005C51B9">
      <w:pPr>
        <w:jc w:val="both"/>
        <w:rPr>
          <w:rFonts w:ascii="Arial" w:eastAsiaTheme="minorEastAsia" w:hAnsi="Arial" w:cs="Arial"/>
          <w:bCs/>
          <w:sz w:val="20"/>
          <w:szCs w:val="20"/>
        </w:rPr>
      </w:pPr>
    </w:p>
    <w:p w14:paraId="5625F441"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The results clearly indicate that:</w:t>
      </w:r>
    </w:p>
    <w:p w14:paraId="09184F89" w14:textId="77777777" w:rsidR="005C51B9" w:rsidRPr="006B6B60" w:rsidRDefault="005C51B9" w:rsidP="005C51B9">
      <w:pPr>
        <w:numPr>
          <w:ilvl w:val="0"/>
          <w:numId w:val="10"/>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MAD-based method achieves the lowest ESS across all datasets</w:t>
      </w:r>
      <w:r w:rsidRPr="006B6B60">
        <w:rPr>
          <w:rFonts w:ascii="Arial" w:eastAsiaTheme="minorEastAsia" w:hAnsi="Arial" w:cs="Arial"/>
          <w:bCs/>
          <w:sz w:val="20"/>
          <w:szCs w:val="20"/>
        </w:rPr>
        <w:t xml:space="preserve">, with values around 0.014, compared to significantly higher values for SD-based methods (up to 0.1195). This confirms that MAD is substantially less sensitive to outlier contamination. </w:t>
      </w:r>
    </w:p>
    <w:p w14:paraId="04B00028" w14:textId="77777777" w:rsidR="005C51B9" w:rsidRPr="006B6B60" w:rsidRDefault="005C51B9" w:rsidP="005C51B9">
      <w:pPr>
        <w:numPr>
          <w:ilvl w:val="0"/>
          <w:numId w:val="10"/>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Correspondingly, the </w:t>
      </w:r>
      <w:r w:rsidRPr="006B6B60">
        <w:rPr>
          <w:rFonts w:ascii="Arial" w:eastAsiaTheme="minorEastAsia" w:hAnsi="Arial" w:cs="Arial"/>
          <w:b/>
          <w:bCs/>
          <w:sz w:val="20"/>
          <w:szCs w:val="20"/>
        </w:rPr>
        <w:t>MAD-based method attains the highest LSR</w:t>
      </w:r>
      <w:r w:rsidRPr="006B6B60">
        <w:rPr>
          <w:rFonts w:ascii="Arial" w:eastAsiaTheme="minorEastAsia" w:hAnsi="Arial" w:cs="Arial"/>
          <w:bCs/>
          <w:sz w:val="20"/>
          <w:szCs w:val="20"/>
        </w:rPr>
        <w:t xml:space="preserve">, exceeding 0.985 for all datasets. This indicates that more than 98.5% of classifications remain unchanged under perturbations, demonstrating exceptional stability. </w:t>
      </w:r>
    </w:p>
    <w:p w14:paraId="6F02B9A6" w14:textId="77777777" w:rsidR="005C51B9" w:rsidRPr="006B6B60" w:rsidRDefault="005C51B9" w:rsidP="005C51B9">
      <w:pPr>
        <w:numPr>
          <w:ilvl w:val="0"/>
          <w:numId w:val="10"/>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Although the quantile-based method achieves a near-perfect RBI due to its construction, its robustness remains inferior to the MAD-based approach, as reflected in higher ESS values. </w:t>
      </w:r>
    </w:p>
    <w:p w14:paraId="5698FB35" w14:textId="77777777" w:rsidR="00A71165"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Overall, the MAD-based model consistently ranks </w:t>
      </w:r>
      <w:r w:rsidRPr="006B6B60">
        <w:rPr>
          <w:rFonts w:ascii="Arial" w:eastAsiaTheme="minorEastAsia" w:hAnsi="Arial" w:cs="Arial"/>
          <w:b/>
          <w:bCs/>
          <w:sz w:val="20"/>
          <w:szCs w:val="20"/>
        </w:rPr>
        <w:t>first in robustness across all indices</w:t>
      </w:r>
      <w:r w:rsidRPr="006B6B60">
        <w:rPr>
          <w:rFonts w:ascii="Arial" w:eastAsiaTheme="minorEastAsia" w:hAnsi="Arial" w:cs="Arial"/>
          <w:bCs/>
          <w:sz w:val="20"/>
          <w:szCs w:val="20"/>
        </w:rPr>
        <w:t>, validating its theoretical advantages in practical settings.</w:t>
      </w:r>
    </w:p>
    <w:p w14:paraId="45E9FB4B" w14:textId="77777777" w:rsidR="00A71165" w:rsidRPr="006B6B60" w:rsidRDefault="00A71165" w:rsidP="00A71165">
      <w:pPr>
        <w:jc w:val="both"/>
        <w:rPr>
          <w:rFonts w:ascii="Arial" w:eastAsiaTheme="minorEastAsia" w:hAnsi="Arial" w:cs="Arial"/>
          <w:b/>
          <w:bCs/>
          <w:sz w:val="20"/>
          <w:szCs w:val="20"/>
        </w:rPr>
      </w:pPr>
      <w:r w:rsidRPr="006B6B60">
        <w:rPr>
          <w:rFonts w:ascii="Arial" w:eastAsiaTheme="minorEastAsia" w:hAnsi="Arial" w:cs="Arial"/>
          <w:b/>
          <w:bCs/>
          <w:sz w:val="20"/>
          <w:szCs w:val="20"/>
        </w:rPr>
        <w:t>6.4 Statistical Validation</w:t>
      </w:r>
    </w:p>
    <w:p w14:paraId="3C5A3A52"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To further substantiate the robustness of the proposed model, bootstrap-based confidence intervals and hypothesis testing are performed.</w:t>
      </w:r>
    </w:p>
    <w:p w14:paraId="6C7C3FF7" w14:textId="77777777" w:rsidR="00A71165" w:rsidRPr="006B6B60" w:rsidRDefault="00A71165" w:rsidP="00A71165">
      <w:pPr>
        <w:jc w:val="both"/>
        <w:rPr>
          <w:rFonts w:ascii="Arial" w:eastAsiaTheme="minorEastAsia" w:hAnsi="Arial" w:cs="Arial"/>
          <w:b/>
          <w:bCs/>
          <w:sz w:val="20"/>
          <w:szCs w:val="20"/>
        </w:rPr>
      </w:pPr>
      <w:r w:rsidRPr="006B6B60">
        <w:rPr>
          <w:rFonts w:ascii="Arial" w:eastAsiaTheme="minorEastAsia" w:hAnsi="Arial" w:cs="Arial"/>
          <w:b/>
          <w:bCs/>
          <w:sz w:val="20"/>
          <w:szCs w:val="20"/>
        </w:rPr>
        <w:t>Confidence Intervals</w:t>
      </w:r>
    </w:p>
    <w:p w14:paraId="75AEE14F" w14:textId="77777777" w:rsidR="00F92DC9" w:rsidRPr="006B6B60" w:rsidRDefault="00A71165" w:rsidP="0074595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results in </w:t>
      </w:r>
      <w:r w:rsidRPr="006B6B60">
        <w:rPr>
          <w:rFonts w:ascii="Arial" w:eastAsiaTheme="minorEastAsia" w:hAnsi="Arial" w:cs="Arial"/>
          <w:b/>
          <w:bCs/>
          <w:sz w:val="20"/>
          <w:szCs w:val="20"/>
        </w:rPr>
        <w:t>Table 4</w:t>
      </w:r>
      <w:r w:rsidRPr="006B6B60">
        <w:rPr>
          <w:rFonts w:ascii="Arial" w:eastAsiaTheme="minorEastAsia" w:hAnsi="Arial" w:cs="Arial"/>
          <w:bCs/>
          <w:sz w:val="20"/>
          <w:szCs w:val="20"/>
        </w:rPr>
        <w:t xml:space="preserve"> show that the MAD-based method exhibits:</w:t>
      </w:r>
    </w:p>
    <w:p w14:paraId="51069A32" w14:textId="77777777" w:rsidR="00F92DC9" w:rsidRPr="006B6B60" w:rsidRDefault="00F92DC9" w:rsidP="00F92DC9">
      <w:pPr>
        <w:rPr>
          <w:rFonts w:ascii="Arial" w:hAnsi="Arial" w:cs="Arial"/>
          <w:b/>
          <w:bCs/>
        </w:rPr>
      </w:pPr>
      <w:r w:rsidRPr="006B6B60">
        <w:rPr>
          <w:rFonts w:ascii="Arial" w:hAnsi="Arial" w:cs="Arial"/>
          <w:b/>
          <w:bCs/>
        </w:rPr>
        <w:t>Table 4. Bootstrap confidence intervals for label stability ratio</w:t>
      </w:r>
    </w:p>
    <w:tbl>
      <w:tblPr>
        <w:tblStyle w:val="TableGrid"/>
        <w:tblW w:w="9023" w:type="dxa"/>
        <w:tblLook w:val="04A0" w:firstRow="1" w:lastRow="0" w:firstColumn="1" w:lastColumn="0" w:noHBand="0" w:noVBand="1"/>
      </w:tblPr>
      <w:tblGrid>
        <w:gridCol w:w="1475"/>
        <w:gridCol w:w="2006"/>
        <w:gridCol w:w="1070"/>
        <w:gridCol w:w="2173"/>
        <w:gridCol w:w="2299"/>
      </w:tblGrid>
      <w:tr w:rsidR="00F92DC9" w:rsidRPr="006B6B60" w14:paraId="03DB79B0" w14:textId="77777777" w:rsidTr="00F92DC9">
        <w:trPr>
          <w:trHeight w:val="328"/>
        </w:trPr>
        <w:tc>
          <w:tcPr>
            <w:tcW w:w="0" w:type="auto"/>
            <w:hideMark/>
          </w:tcPr>
          <w:p w14:paraId="05564BCE"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Dataset</w:t>
            </w:r>
          </w:p>
        </w:tc>
        <w:tc>
          <w:tcPr>
            <w:tcW w:w="0" w:type="auto"/>
            <w:hideMark/>
          </w:tcPr>
          <w:p w14:paraId="5AA6D6EE"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Method</w:t>
            </w:r>
          </w:p>
        </w:tc>
        <w:tc>
          <w:tcPr>
            <w:tcW w:w="0" w:type="auto"/>
            <w:hideMark/>
          </w:tcPr>
          <w:p w14:paraId="4D905209"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Mean</w:t>
            </w:r>
          </w:p>
        </w:tc>
        <w:tc>
          <w:tcPr>
            <w:tcW w:w="0" w:type="auto"/>
            <w:hideMark/>
          </w:tcPr>
          <w:p w14:paraId="34A7FA7D"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Lower (2.5%)</w:t>
            </w:r>
          </w:p>
        </w:tc>
        <w:tc>
          <w:tcPr>
            <w:tcW w:w="0" w:type="auto"/>
            <w:hideMark/>
          </w:tcPr>
          <w:p w14:paraId="2B41515F"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Upper (97.5%)</w:t>
            </w:r>
          </w:p>
        </w:tc>
      </w:tr>
      <w:tr w:rsidR="00F92DC9" w:rsidRPr="006B6B60" w14:paraId="5749281C" w14:textId="77777777" w:rsidTr="00F92DC9">
        <w:trPr>
          <w:trHeight w:val="341"/>
        </w:trPr>
        <w:tc>
          <w:tcPr>
            <w:tcW w:w="0" w:type="auto"/>
            <w:hideMark/>
          </w:tcPr>
          <w:p w14:paraId="15D8160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1DD2C4A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39CEB23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0.9142</w:t>
            </w:r>
          </w:p>
        </w:tc>
        <w:tc>
          <w:tcPr>
            <w:tcW w:w="0" w:type="auto"/>
            <w:hideMark/>
          </w:tcPr>
          <w:p w14:paraId="49973A9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0.8912</w:t>
            </w:r>
          </w:p>
        </w:tc>
        <w:tc>
          <w:tcPr>
            <w:tcW w:w="0" w:type="auto"/>
            <w:hideMark/>
          </w:tcPr>
          <w:p w14:paraId="49AEF06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0.9306</w:t>
            </w:r>
          </w:p>
        </w:tc>
      </w:tr>
      <w:tr w:rsidR="00F92DC9" w:rsidRPr="006B6B60" w14:paraId="4B06986A" w14:textId="77777777" w:rsidTr="00F92DC9">
        <w:trPr>
          <w:trHeight w:val="328"/>
        </w:trPr>
        <w:tc>
          <w:tcPr>
            <w:tcW w:w="0" w:type="auto"/>
            <w:hideMark/>
          </w:tcPr>
          <w:p w14:paraId="2C9496B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5B66841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06E6DE4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0.9738</w:t>
            </w:r>
          </w:p>
        </w:tc>
        <w:tc>
          <w:tcPr>
            <w:tcW w:w="0" w:type="auto"/>
            <w:hideMark/>
          </w:tcPr>
          <w:p w14:paraId="61EABEF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0.9662</w:t>
            </w:r>
          </w:p>
        </w:tc>
        <w:tc>
          <w:tcPr>
            <w:tcW w:w="0" w:type="auto"/>
            <w:hideMark/>
          </w:tcPr>
          <w:p w14:paraId="05ACA36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0.9805</w:t>
            </w:r>
          </w:p>
        </w:tc>
      </w:tr>
      <w:tr w:rsidR="00F92DC9" w:rsidRPr="006B6B60" w14:paraId="59EEB034" w14:textId="77777777" w:rsidTr="00F92DC9">
        <w:trPr>
          <w:trHeight w:val="341"/>
        </w:trPr>
        <w:tc>
          <w:tcPr>
            <w:tcW w:w="0" w:type="auto"/>
            <w:hideMark/>
          </w:tcPr>
          <w:p w14:paraId="5711F21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66818FE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1379B30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0.9856</w:t>
            </w:r>
          </w:p>
        </w:tc>
        <w:tc>
          <w:tcPr>
            <w:tcW w:w="0" w:type="auto"/>
            <w:hideMark/>
          </w:tcPr>
          <w:p w14:paraId="3ED6234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0.9794</w:t>
            </w:r>
          </w:p>
        </w:tc>
        <w:tc>
          <w:tcPr>
            <w:tcW w:w="0" w:type="auto"/>
            <w:hideMark/>
          </w:tcPr>
          <w:p w14:paraId="38135D4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0.9911</w:t>
            </w:r>
          </w:p>
        </w:tc>
      </w:tr>
      <w:tr w:rsidR="00F92DC9" w:rsidRPr="006B6B60" w14:paraId="44DB27B2" w14:textId="77777777" w:rsidTr="00F92DC9">
        <w:trPr>
          <w:trHeight w:val="328"/>
        </w:trPr>
        <w:tc>
          <w:tcPr>
            <w:tcW w:w="0" w:type="auto"/>
            <w:hideMark/>
          </w:tcPr>
          <w:p w14:paraId="34EAB04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2A7A6C0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358E9A7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0.8967</w:t>
            </w:r>
          </w:p>
        </w:tc>
        <w:tc>
          <w:tcPr>
            <w:tcW w:w="0" w:type="auto"/>
            <w:hideMark/>
          </w:tcPr>
          <w:p w14:paraId="3AC885D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0.8835</w:t>
            </w:r>
          </w:p>
        </w:tc>
        <w:tc>
          <w:tcPr>
            <w:tcW w:w="0" w:type="auto"/>
            <w:hideMark/>
          </w:tcPr>
          <w:p w14:paraId="39C4902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0.9114</w:t>
            </w:r>
          </w:p>
        </w:tc>
      </w:tr>
      <w:tr w:rsidR="00F92DC9" w:rsidRPr="006B6B60" w14:paraId="4FA77F23" w14:textId="77777777" w:rsidTr="00F92DC9">
        <w:trPr>
          <w:trHeight w:val="341"/>
        </w:trPr>
        <w:tc>
          <w:tcPr>
            <w:tcW w:w="0" w:type="auto"/>
            <w:hideMark/>
          </w:tcPr>
          <w:p w14:paraId="268EB75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4C1CA97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029D6BA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0.9750</w:t>
            </w:r>
          </w:p>
        </w:tc>
        <w:tc>
          <w:tcPr>
            <w:tcW w:w="0" w:type="auto"/>
            <w:hideMark/>
          </w:tcPr>
          <w:p w14:paraId="6C36EAE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0.9681</w:t>
            </w:r>
          </w:p>
        </w:tc>
        <w:tc>
          <w:tcPr>
            <w:tcW w:w="0" w:type="auto"/>
            <w:hideMark/>
          </w:tcPr>
          <w:p w14:paraId="11DFBEC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0.9814</w:t>
            </w:r>
          </w:p>
        </w:tc>
      </w:tr>
      <w:tr w:rsidR="00F92DC9" w:rsidRPr="006B6B60" w14:paraId="7545B428" w14:textId="77777777" w:rsidTr="00F92DC9">
        <w:trPr>
          <w:trHeight w:val="328"/>
        </w:trPr>
        <w:tc>
          <w:tcPr>
            <w:tcW w:w="0" w:type="auto"/>
            <w:hideMark/>
          </w:tcPr>
          <w:p w14:paraId="67C5323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1323386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4938710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0.9862</w:t>
            </w:r>
          </w:p>
        </w:tc>
        <w:tc>
          <w:tcPr>
            <w:tcW w:w="0" w:type="auto"/>
            <w:hideMark/>
          </w:tcPr>
          <w:p w14:paraId="15552C0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0.9803</w:t>
            </w:r>
          </w:p>
        </w:tc>
        <w:tc>
          <w:tcPr>
            <w:tcW w:w="0" w:type="auto"/>
            <w:hideMark/>
          </w:tcPr>
          <w:p w14:paraId="7F86E68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0.9915</w:t>
            </w:r>
          </w:p>
        </w:tc>
      </w:tr>
      <w:tr w:rsidR="00F92DC9" w:rsidRPr="006B6B60" w14:paraId="42423E7E" w14:textId="77777777" w:rsidTr="00F92DC9">
        <w:trPr>
          <w:trHeight w:val="341"/>
        </w:trPr>
        <w:tc>
          <w:tcPr>
            <w:tcW w:w="0" w:type="auto"/>
            <w:hideMark/>
          </w:tcPr>
          <w:p w14:paraId="0E1D65E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18DA529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0AA01DC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0.8876</w:t>
            </w:r>
          </w:p>
        </w:tc>
        <w:tc>
          <w:tcPr>
            <w:tcW w:w="0" w:type="auto"/>
            <w:hideMark/>
          </w:tcPr>
          <w:p w14:paraId="3BA29BA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0.8695</w:t>
            </w:r>
          </w:p>
        </w:tc>
        <w:tc>
          <w:tcPr>
            <w:tcW w:w="0" w:type="auto"/>
            <w:hideMark/>
          </w:tcPr>
          <w:p w14:paraId="683B33E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0.9051</w:t>
            </w:r>
          </w:p>
        </w:tc>
      </w:tr>
      <w:tr w:rsidR="00F92DC9" w:rsidRPr="006B6B60" w14:paraId="1298794A" w14:textId="77777777" w:rsidTr="00F92DC9">
        <w:trPr>
          <w:trHeight w:val="328"/>
        </w:trPr>
        <w:tc>
          <w:tcPr>
            <w:tcW w:w="0" w:type="auto"/>
            <w:hideMark/>
          </w:tcPr>
          <w:p w14:paraId="0264360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597869C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7B7DDD1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0.9743</w:t>
            </w:r>
          </w:p>
        </w:tc>
        <w:tc>
          <w:tcPr>
            <w:tcW w:w="0" w:type="auto"/>
            <w:hideMark/>
          </w:tcPr>
          <w:p w14:paraId="2697B33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0.9670</w:t>
            </w:r>
          </w:p>
        </w:tc>
        <w:tc>
          <w:tcPr>
            <w:tcW w:w="0" w:type="auto"/>
            <w:hideMark/>
          </w:tcPr>
          <w:p w14:paraId="24C41CF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0.9812</w:t>
            </w:r>
          </w:p>
        </w:tc>
      </w:tr>
      <w:tr w:rsidR="00F92DC9" w:rsidRPr="006B6B60" w14:paraId="1D710790" w14:textId="77777777" w:rsidTr="00F92DC9">
        <w:trPr>
          <w:trHeight w:val="328"/>
        </w:trPr>
        <w:tc>
          <w:tcPr>
            <w:tcW w:w="0" w:type="auto"/>
            <w:hideMark/>
          </w:tcPr>
          <w:p w14:paraId="7E71D6E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704D957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6B6C99C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0.9860</w:t>
            </w:r>
          </w:p>
        </w:tc>
        <w:tc>
          <w:tcPr>
            <w:tcW w:w="0" w:type="auto"/>
            <w:hideMark/>
          </w:tcPr>
          <w:p w14:paraId="4054382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0.9798</w:t>
            </w:r>
          </w:p>
        </w:tc>
        <w:tc>
          <w:tcPr>
            <w:tcW w:w="0" w:type="auto"/>
            <w:hideMark/>
          </w:tcPr>
          <w:p w14:paraId="79FA969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0.9918</w:t>
            </w:r>
          </w:p>
        </w:tc>
      </w:tr>
    </w:tbl>
    <w:p w14:paraId="143BE2FA" w14:textId="77777777" w:rsidR="00BF0975" w:rsidRPr="006B6B60" w:rsidRDefault="00BF0975" w:rsidP="00A71165">
      <w:pPr>
        <w:jc w:val="both"/>
        <w:rPr>
          <w:rFonts w:ascii="Arial" w:eastAsiaTheme="minorEastAsia" w:hAnsi="Arial" w:cs="Arial"/>
          <w:bCs/>
          <w:sz w:val="20"/>
          <w:szCs w:val="20"/>
        </w:rPr>
      </w:pPr>
    </w:p>
    <w:p w14:paraId="587F451E" w14:textId="77777777" w:rsidR="00A71165" w:rsidRPr="006B6B60" w:rsidRDefault="00A71165" w:rsidP="00A71165">
      <w:pPr>
        <w:numPr>
          <w:ilvl w:val="0"/>
          <w:numId w:val="11"/>
        </w:numPr>
        <w:jc w:val="both"/>
        <w:rPr>
          <w:rFonts w:ascii="Arial" w:eastAsiaTheme="minorEastAsia" w:hAnsi="Arial" w:cs="Arial"/>
          <w:bCs/>
          <w:sz w:val="20"/>
          <w:szCs w:val="20"/>
        </w:rPr>
      </w:pPr>
      <w:r w:rsidRPr="006B6B60">
        <w:rPr>
          <w:rFonts w:ascii="Arial" w:eastAsiaTheme="minorEastAsia" w:hAnsi="Arial" w:cs="Arial"/>
          <w:b/>
          <w:bCs/>
          <w:sz w:val="20"/>
          <w:szCs w:val="20"/>
        </w:rPr>
        <w:t>Highest mean LSR values</w:t>
      </w:r>
      <w:r w:rsidRPr="006B6B60">
        <w:rPr>
          <w:rFonts w:ascii="Arial" w:eastAsiaTheme="minorEastAsia" w:hAnsi="Arial" w:cs="Arial"/>
          <w:bCs/>
          <w:sz w:val="20"/>
          <w:szCs w:val="20"/>
        </w:rPr>
        <w:t xml:space="preserve"> across all datasets </w:t>
      </w:r>
    </w:p>
    <w:p w14:paraId="258B87DC" w14:textId="77777777" w:rsidR="00A71165" w:rsidRPr="006B6B60" w:rsidRDefault="00A71165" w:rsidP="00A71165">
      <w:pPr>
        <w:numPr>
          <w:ilvl w:val="0"/>
          <w:numId w:val="11"/>
        </w:numPr>
        <w:jc w:val="both"/>
        <w:rPr>
          <w:rFonts w:ascii="Arial" w:eastAsiaTheme="minorEastAsia" w:hAnsi="Arial" w:cs="Arial"/>
          <w:bCs/>
          <w:sz w:val="20"/>
          <w:szCs w:val="20"/>
        </w:rPr>
      </w:pPr>
      <w:r w:rsidRPr="006B6B60">
        <w:rPr>
          <w:rFonts w:ascii="Arial" w:eastAsiaTheme="minorEastAsia" w:hAnsi="Arial" w:cs="Arial"/>
          <w:b/>
          <w:bCs/>
          <w:sz w:val="20"/>
          <w:szCs w:val="20"/>
        </w:rPr>
        <w:t>Narrow confidence intervals</w:t>
      </w:r>
      <w:r w:rsidRPr="006B6B60">
        <w:rPr>
          <w:rFonts w:ascii="Arial" w:eastAsiaTheme="minorEastAsia" w:hAnsi="Arial" w:cs="Arial"/>
          <w:bCs/>
          <w:sz w:val="20"/>
          <w:szCs w:val="20"/>
        </w:rPr>
        <w:t xml:space="preserve">, indicating low variability in performance </w:t>
      </w:r>
    </w:p>
    <w:p w14:paraId="74E7D557"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For instance, the LSR for NIFTY 50 lies within the interval: [0.9794,0.9911], </w:t>
      </w:r>
    </w:p>
    <w:p w14:paraId="7CF06350"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which is both higher and tighter than the corresponding intervals for competing methods.</w:t>
      </w:r>
    </w:p>
    <w:p w14:paraId="2D1EE5E1"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Similarly, the MAD-based ESS values are consistently the lowest, with tight confidence bounds, further confirming the stability of the model.</w:t>
      </w:r>
    </w:p>
    <w:p w14:paraId="1565BF49" w14:textId="77777777" w:rsidR="00BF0975" w:rsidRPr="006B6B60" w:rsidRDefault="00BF0975" w:rsidP="00BF0975">
      <w:pPr>
        <w:jc w:val="both"/>
        <w:rPr>
          <w:rFonts w:ascii="Arial" w:eastAsiaTheme="minorEastAsia" w:hAnsi="Arial" w:cs="Arial"/>
          <w:b/>
          <w:bCs/>
          <w:sz w:val="20"/>
          <w:szCs w:val="20"/>
        </w:rPr>
      </w:pPr>
      <w:r w:rsidRPr="006B6B60">
        <w:rPr>
          <w:rFonts w:ascii="Arial" w:eastAsiaTheme="minorEastAsia" w:hAnsi="Arial" w:cs="Arial"/>
          <w:b/>
          <w:bCs/>
          <w:sz w:val="20"/>
          <w:szCs w:val="20"/>
        </w:rPr>
        <w:t>Hypothesis Testing</w:t>
      </w:r>
    </w:p>
    <w:p w14:paraId="7B67FF20" w14:textId="77777777" w:rsidR="00F92DC9" w:rsidRDefault="00BF0975" w:rsidP="00F92DC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statistical significance of the results is presented in </w:t>
      </w:r>
      <w:r w:rsidRPr="006B6B60">
        <w:rPr>
          <w:rFonts w:ascii="Arial" w:eastAsiaTheme="minorEastAsia" w:hAnsi="Arial" w:cs="Arial"/>
          <w:b/>
          <w:bCs/>
          <w:sz w:val="20"/>
          <w:szCs w:val="20"/>
        </w:rPr>
        <w:t>Table 5</w:t>
      </w:r>
      <w:r w:rsidRPr="006B6B60">
        <w:rPr>
          <w:rFonts w:ascii="Arial" w:eastAsiaTheme="minorEastAsia" w:hAnsi="Arial" w:cs="Arial"/>
          <w:bCs/>
          <w:sz w:val="20"/>
          <w:szCs w:val="20"/>
        </w:rPr>
        <w:t>.</w:t>
      </w:r>
    </w:p>
    <w:p w14:paraId="5FB363E3" w14:textId="77777777" w:rsidR="00A21D9D" w:rsidRPr="006B6B60" w:rsidRDefault="00A21D9D" w:rsidP="00F92DC9">
      <w:pPr>
        <w:jc w:val="both"/>
        <w:rPr>
          <w:rFonts w:ascii="Arial" w:eastAsiaTheme="minorEastAsia" w:hAnsi="Arial" w:cs="Arial"/>
          <w:bCs/>
          <w:sz w:val="20"/>
          <w:szCs w:val="20"/>
        </w:rPr>
      </w:pPr>
    </w:p>
    <w:p w14:paraId="000BDFA6" w14:textId="77777777" w:rsidR="00F92DC9" w:rsidRPr="006B6B60" w:rsidRDefault="00F92DC9" w:rsidP="00F92DC9">
      <w:pPr>
        <w:rPr>
          <w:rFonts w:ascii="Arial" w:hAnsi="Arial" w:cs="Arial"/>
          <w:b/>
          <w:bCs/>
        </w:rPr>
      </w:pPr>
      <w:r w:rsidRPr="006B6B60">
        <w:rPr>
          <w:rFonts w:ascii="Arial" w:hAnsi="Arial" w:cs="Arial"/>
          <w:b/>
          <w:bCs/>
        </w:rPr>
        <w:lastRenderedPageBreak/>
        <w:t>Table 5. Bootstrap confidence intervals for extreme sensitivity score</w:t>
      </w:r>
    </w:p>
    <w:tbl>
      <w:tblPr>
        <w:tblStyle w:val="TableGrid"/>
        <w:tblW w:w="9291" w:type="dxa"/>
        <w:tblLook w:val="04A0" w:firstRow="1" w:lastRow="0" w:firstColumn="1" w:lastColumn="0" w:noHBand="0" w:noVBand="1"/>
      </w:tblPr>
      <w:tblGrid>
        <w:gridCol w:w="1887"/>
        <w:gridCol w:w="2565"/>
        <w:gridCol w:w="1369"/>
        <w:gridCol w:w="1744"/>
        <w:gridCol w:w="1726"/>
      </w:tblGrid>
      <w:tr w:rsidR="00F92DC9" w:rsidRPr="006B6B60" w14:paraId="7540D714" w14:textId="77777777" w:rsidTr="00F92DC9">
        <w:trPr>
          <w:trHeight w:val="287"/>
        </w:trPr>
        <w:tc>
          <w:tcPr>
            <w:tcW w:w="0" w:type="auto"/>
            <w:hideMark/>
          </w:tcPr>
          <w:p w14:paraId="628F9129"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Dataset</w:t>
            </w:r>
          </w:p>
        </w:tc>
        <w:tc>
          <w:tcPr>
            <w:tcW w:w="0" w:type="auto"/>
            <w:hideMark/>
          </w:tcPr>
          <w:p w14:paraId="38C0B208"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Method</w:t>
            </w:r>
          </w:p>
        </w:tc>
        <w:tc>
          <w:tcPr>
            <w:tcW w:w="0" w:type="auto"/>
            <w:hideMark/>
          </w:tcPr>
          <w:p w14:paraId="537A9FBE"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Mean</w:t>
            </w:r>
          </w:p>
        </w:tc>
        <w:tc>
          <w:tcPr>
            <w:tcW w:w="0" w:type="auto"/>
            <w:hideMark/>
          </w:tcPr>
          <w:p w14:paraId="224F16C4"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Lower</w:t>
            </w:r>
          </w:p>
        </w:tc>
        <w:tc>
          <w:tcPr>
            <w:tcW w:w="0" w:type="auto"/>
            <w:hideMark/>
          </w:tcPr>
          <w:p w14:paraId="4F290F68"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Upper</w:t>
            </w:r>
          </w:p>
        </w:tc>
      </w:tr>
      <w:tr w:rsidR="00F92DC9" w:rsidRPr="006B6B60" w14:paraId="3D69C1FD" w14:textId="77777777" w:rsidTr="00F92DC9">
        <w:trPr>
          <w:trHeight w:val="298"/>
        </w:trPr>
        <w:tc>
          <w:tcPr>
            <w:tcW w:w="0" w:type="auto"/>
            <w:hideMark/>
          </w:tcPr>
          <w:p w14:paraId="5388135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265B2B8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12A2A17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0.0858</w:t>
            </w:r>
          </w:p>
        </w:tc>
        <w:tc>
          <w:tcPr>
            <w:tcW w:w="0" w:type="auto"/>
            <w:hideMark/>
          </w:tcPr>
          <w:p w14:paraId="0419BCA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0.0694</w:t>
            </w:r>
          </w:p>
        </w:tc>
        <w:tc>
          <w:tcPr>
            <w:tcW w:w="0" w:type="auto"/>
            <w:hideMark/>
          </w:tcPr>
          <w:p w14:paraId="6A68469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0.1088</w:t>
            </w:r>
          </w:p>
        </w:tc>
      </w:tr>
      <w:tr w:rsidR="00F92DC9" w:rsidRPr="006B6B60" w14:paraId="6BB0016C" w14:textId="77777777" w:rsidTr="00F92DC9">
        <w:trPr>
          <w:trHeight w:val="287"/>
        </w:trPr>
        <w:tc>
          <w:tcPr>
            <w:tcW w:w="0" w:type="auto"/>
            <w:hideMark/>
          </w:tcPr>
          <w:p w14:paraId="1D43CF4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4D74358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7E37631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0.0262</w:t>
            </w:r>
          </w:p>
        </w:tc>
        <w:tc>
          <w:tcPr>
            <w:tcW w:w="0" w:type="auto"/>
            <w:hideMark/>
          </w:tcPr>
          <w:p w14:paraId="2DE1A01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0.0195</w:t>
            </w:r>
          </w:p>
        </w:tc>
        <w:tc>
          <w:tcPr>
            <w:tcW w:w="0" w:type="auto"/>
            <w:hideMark/>
          </w:tcPr>
          <w:p w14:paraId="43C8068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0.0338</w:t>
            </w:r>
          </w:p>
        </w:tc>
      </w:tr>
      <w:tr w:rsidR="00F92DC9" w:rsidRPr="006B6B60" w14:paraId="1773D079" w14:textId="77777777" w:rsidTr="00F92DC9">
        <w:trPr>
          <w:trHeight w:val="298"/>
        </w:trPr>
        <w:tc>
          <w:tcPr>
            <w:tcW w:w="0" w:type="auto"/>
            <w:hideMark/>
          </w:tcPr>
          <w:p w14:paraId="5A3380E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04E4CA5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5833AD8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0.0144</w:t>
            </w:r>
          </w:p>
        </w:tc>
        <w:tc>
          <w:tcPr>
            <w:tcW w:w="0" w:type="auto"/>
            <w:hideMark/>
          </w:tcPr>
          <w:p w14:paraId="5194A47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0.0089</w:t>
            </w:r>
          </w:p>
        </w:tc>
        <w:tc>
          <w:tcPr>
            <w:tcW w:w="0" w:type="auto"/>
            <w:hideMark/>
          </w:tcPr>
          <w:p w14:paraId="4E75C78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0.0206</w:t>
            </w:r>
          </w:p>
        </w:tc>
      </w:tr>
      <w:tr w:rsidR="00F92DC9" w:rsidRPr="006B6B60" w14:paraId="335D5DB0" w14:textId="77777777" w:rsidTr="00F92DC9">
        <w:trPr>
          <w:trHeight w:val="287"/>
        </w:trPr>
        <w:tc>
          <w:tcPr>
            <w:tcW w:w="0" w:type="auto"/>
            <w:hideMark/>
          </w:tcPr>
          <w:p w14:paraId="51116A4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2427FC9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2D1206E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0.1033</w:t>
            </w:r>
          </w:p>
        </w:tc>
        <w:tc>
          <w:tcPr>
            <w:tcW w:w="0" w:type="auto"/>
            <w:hideMark/>
          </w:tcPr>
          <w:p w14:paraId="27A04BF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0.0886</w:t>
            </w:r>
          </w:p>
        </w:tc>
        <w:tc>
          <w:tcPr>
            <w:tcW w:w="0" w:type="auto"/>
            <w:hideMark/>
          </w:tcPr>
          <w:p w14:paraId="4B8E764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0.1165</w:t>
            </w:r>
          </w:p>
        </w:tc>
      </w:tr>
      <w:tr w:rsidR="00F92DC9" w:rsidRPr="006B6B60" w14:paraId="40A18EE3" w14:textId="77777777" w:rsidTr="00F92DC9">
        <w:trPr>
          <w:trHeight w:val="298"/>
        </w:trPr>
        <w:tc>
          <w:tcPr>
            <w:tcW w:w="0" w:type="auto"/>
            <w:hideMark/>
          </w:tcPr>
          <w:p w14:paraId="1FDFEA2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6C25A88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7BBE901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0.0245</w:t>
            </w:r>
          </w:p>
        </w:tc>
        <w:tc>
          <w:tcPr>
            <w:tcW w:w="0" w:type="auto"/>
            <w:hideMark/>
          </w:tcPr>
          <w:p w14:paraId="58AAAEC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0.0183</w:t>
            </w:r>
          </w:p>
        </w:tc>
        <w:tc>
          <w:tcPr>
            <w:tcW w:w="0" w:type="auto"/>
            <w:hideMark/>
          </w:tcPr>
          <w:p w14:paraId="26FFDBD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0.0312</w:t>
            </w:r>
          </w:p>
        </w:tc>
      </w:tr>
      <w:tr w:rsidR="00F92DC9" w:rsidRPr="006B6B60" w14:paraId="65917ABA" w14:textId="77777777" w:rsidTr="00F92DC9">
        <w:trPr>
          <w:trHeight w:val="287"/>
        </w:trPr>
        <w:tc>
          <w:tcPr>
            <w:tcW w:w="0" w:type="auto"/>
            <w:hideMark/>
          </w:tcPr>
          <w:p w14:paraId="10F374C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66D2E53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43B0EF7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0.0138</w:t>
            </w:r>
          </w:p>
        </w:tc>
        <w:tc>
          <w:tcPr>
            <w:tcW w:w="0" w:type="auto"/>
            <w:hideMark/>
          </w:tcPr>
          <w:p w14:paraId="75DF525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0.0085</w:t>
            </w:r>
          </w:p>
        </w:tc>
        <w:tc>
          <w:tcPr>
            <w:tcW w:w="0" w:type="auto"/>
            <w:hideMark/>
          </w:tcPr>
          <w:p w14:paraId="1366B09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0.0198</w:t>
            </w:r>
          </w:p>
        </w:tc>
      </w:tr>
      <w:tr w:rsidR="00F92DC9" w:rsidRPr="006B6B60" w14:paraId="678C94A0" w14:textId="77777777" w:rsidTr="00F92DC9">
        <w:trPr>
          <w:trHeight w:val="298"/>
        </w:trPr>
        <w:tc>
          <w:tcPr>
            <w:tcW w:w="0" w:type="auto"/>
            <w:hideMark/>
          </w:tcPr>
          <w:p w14:paraId="191E24A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3471413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77E06C7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0.1124</w:t>
            </w:r>
          </w:p>
        </w:tc>
        <w:tc>
          <w:tcPr>
            <w:tcW w:w="0" w:type="auto"/>
            <w:hideMark/>
          </w:tcPr>
          <w:p w14:paraId="77AE10F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0.0949</w:t>
            </w:r>
          </w:p>
        </w:tc>
        <w:tc>
          <w:tcPr>
            <w:tcW w:w="0" w:type="auto"/>
            <w:hideMark/>
          </w:tcPr>
          <w:p w14:paraId="6BCE61D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0.1305</w:t>
            </w:r>
          </w:p>
        </w:tc>
      </w:tr>
      <w:tr w:rsidR="00F92DC9" w:rsidRPr="006B6B60" w14:paraId="7C741A51" w14:textId="77777777" w:rsidTr="00F92DC9">
        <w:trPr>
          <w:trHeight w:val="287"/>
        </w:trPr>
        <w:tc>
          <w:tcPr>
            <w:tcW w:w="0" w:type="auto"/>
            <w:hideMark/>
          </w:tcPr>
          <w:p w14:paraId="172EB36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75A4C11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4C8F9CC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0.0251</w:t>
            </w:r>
          </w:p>
        </w:tc>
        <w:tc>
          <w:tcPr>
            <w:tcW w:w="0" w:type="auto"/>
            <w:hideMark/>
          </w:tcPr>
          <w:p w14:paraId="3C7ED5B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0.0189</w:t>
            </w:r>
          </w:p>
        </w:tc>
        <w:tc>
          <w:tcPr>
            <w:tcW w:w="0" w:type="auto"/>
            <w:hideMark/>
          </w:tcPr>
          <w:p w14:paraId="68D9894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0.0318</w:t>
            </w:r>
          </w:p>
        </w:tc>
      </w:tr>
      <w:tr w:rsidR="00F92DC9" w:rsidRPr="006B6B60" w14:paraId="5951CF44" w14:textId="77777777" w:rsidTr="00F92DC9">
        <w:trPr>
          <w:trHeight w:val="287"/>
        </w:trPr>
        <w:tc>
          <w:tcPr>
            <w:tcW w:w="0" w:type="auto"/>
            <w:hideMark/>
          </w:tcPr>
          <w:p w14:paraId="0D22981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0331EEE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2DA68BA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0.0140</w:t>
            </w:r>
          </w:p>
        </w:tc>
        <w:tc>
          <w:tcPr>
            <w:tcW w:w="0" w:type="auto"/>
            <w:hideMark/>
          </w:tcPr>
          <w:p w14:paraId="6949467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0.0087</w:t>
            </w:r>
          </w:p>
        </w:tc>
        <w:tc>
          <w:tcPr>
            <w:tcW w:w="0" w:type="auto"/>
            <w:hideMark/>
          </w:tcPr>
          <w:p w14:paraId="3B20185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0.0202</w:t>
            </w:r>
          </w:p>
        </w:tc>
      </w:tr>
    </w:tbl>
    <w:p w14:paraId="32893680" w14:textId="77777777" w:rsidR="00BF0975" w:rsidRPr="006B6B60" w:rsidRDefault="00BF0975" w:rsidP="00BF0975">
      <w:pPr>
        <w:jc w:val="both"/>
        <w:rPr>
          <w:rFonts w:ascii="Arial" w:eastAsiaTheme="minorEastAsia" w:hAnsi="Arial" w:cs="Arial"/>
          <w:bCs/>
          <w:sz w:val="20"/>
          <w:szCs w:val="20"/>
        </w:rPr>
      </w:pPr>
    </w:p>
    <w:p w14:paraId="54FC9B53"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For all datasets and metrics, the paired t-test and Wilcoxon signed-rank test yield:</w:t>
      </w:r>
    </w:p>
    <w:p w14:paraId="79DF9C49" w14:textId="77777777" w:rsidR="00A71165" w:rsidRPr="006B6B60" w:rsidRDefault="00BF0975" w:rsidP="005C51B9">
      <w:pPr>
        <w:jc w:val="both"/>
        <w:rPr>
          <w:rFonts w:ascii="Arial" w:eastAsiaTheme="minorEastAsia" w:hAnsi="Arial" w:cs="Arial"/>
          <w:bCs/>
          <w:sz w:val="20"/>
          <w:szCs w:val="20"/>
        </w:rPr>
      </w:pPr>
      <m:oMathPara>
        <m:oMath>
          <m:r>
            <w:rPr>
              <w:rFonts w:ascii="Cambria Math" w:eastAsiaTheme="minorEastAsia" w:hAnsi="Cambria Math" w:cs="Arial"/>
              <w:sz w:val="20"/>
              <w:szCs w:val="20"/>
            </w:rPr>
            <m:t>p&lt;0.001,</m:t>
          </m:r>
        </m:oMath>
      </m:oMathPara>
    </w:p>
    <w:p w14:paraId="127B9442"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indicating that the differences between the MAD-based method and the benchmark methods are </w:t>
      </w:r>
      <w:r w:rsidRPr="006B6B60">
        <w:rPr>
          <w:rFonts w:ascii="Arial" w:eastAsiaTheme="minorEastAsia" w:hAnsi="Arial" w:cs="Arial"/>
          <w:b/>
          <w:bCs/>
          <w:sz w:val="20"/>
          <w:szCs w:val="20"/>
        </w:rPr>
        <w:t>highly statistically significant</w:t>
      </w:r>
      <w:r w:rsidRPr="006B6B60">
        <w:rPr>
          <w:rFonts w:ascii="Arial" w:eastAsiaTheme="minorEastAsia" w:hAnsi="Arial" w:cs="Arial"/>
          <w:bCs/>
          <w:sz w:val="20"/>
          <w:szCs w:val="20"/>
        </w:rPr>
        <w:t>.</w:t>
      </w:r>
    </w:p>
    <w:p w14:paraId="29F365A5"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In particular:</w:t>
      </w:r>
    </w:p>
    <w:p w14:paraId="798F3139" w14:textId="77777777" w:rsidR="00BF0975" w:rsidRPr="006B6B60" w:rsidRDefault="00BF0975" w:rsidP="00BF0975">
      <w:pPr>
        <w:numPr>
          <w:ilvl w:val="0"/>
          <w:numId w:val="12"/>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MAD-based method significantly outperforms both SD-based and quantile-based methods in terms of </w:t>
      </w:r>
      <w:r w:rsidRPr="006B6B60">
        <w:rPr>
          <w:rFonts w:ascii="Arial" w:eastAsiaTheme="minorEastAsia" w:hAnsi="Arial" w:cs="Arial"/>
          <w:b/>
          <w:bCs/>
          <w:sz w:val="20"/>
          <w:szCs w:val="20"/>
        </w:rPr>
        <w:t>LSR (higher is better)</w:t>
      </w:r>
      <w:r w:rsidRPr="006B6B60">
        <w:rPr>
          <w:rFonts w:ascii="Arial" w:eastAsiaTheme="minorEastAsia" w:hAnsi="Arial" w:cs="Arial"/>
          <w:bCs/>
          <w:sz w:val="20"/>
          <w:szCs w:val="20"/>
        </w:rPr>
        <w:t xml:space="preserve"> </w:t>
      </w:r>
    </w:p>
    <w:p w14:paraId="05604016" w14:textId="77777777" w:rsidR="00BF0975" w:rsidRPr="006B6B60" w:rsidRDefault="00BF0975" w:rsidP="00BF0975">
      <w:pPr>
        <w:numPr>
          <w:ilvl w:val="0"/>
          <w:numId w:val="12"/>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It also significantly reduces </w:t>
      </w:r>
      <w:r w:rsidRPr="006B6B60">
        <w:rPr>
          <w:rFonts w:ascii="Arial" w:eastAsiaTheme="minorEastAsia" w:hAnsi="Arial" w:cs="Arial"/>
          <w:b/>
          <w:bCs/>
          <w:sz w:val="20"/>
          <w:szCs w:val="20"/>
        </w:rPr>
        <w:t>ESS (lower is better)</w:t>
      </w:r>
      <w:r w:rsidRPr="006B6B60">
        <w:rPr>
          <w:rFonts w:ascii="Arial" w:eastAsiaTheme="minorEastAsia" w:hAnsi="Arial" w:cs="Arial"/>
          <w:bCs/>
          <w:sz w:val="20"/>
          <w:szCs w:val="20"/>
        </w:rPr>
        <w:t xml:space="preserve"> </w:t>
      </w:r>
    </w:p>
    <w:p w14:paraId="58874084"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These results confirm that the observed improvements are not due to random variation but reflect a </w:t>
      </w:r>
      <w:r w:rsidRPr="006B6B60">
        <w:rPr>
          <w:rFonts w:ascii="Arial" w:eastAsiaTheme="minorEastAsia" w:hAnsi="Arial" w:cs="Arial"/>
          <w:b/>
          <w:bCs/>
          <w:sz w:val="20"/>
          <w:szCs w:val="20"/>
        </w:rPr>
        <w:t>systematic advantage of the MAD-based framework</w:t>
      </w:r>
      <w:r w:rsidRPr="006B6B60">
        <w:rPr>
          <w:rFonts w:ascii="Arial" w:eastAsiaTheme="minorEastAsia" w:hAnsi="Arial" w:cs="Arial"/>
          <w:bCs/>
          <w:sz w:val="20"/>
          <w:szCs w:val="20"/>
        </w:rPr>
        <w:t>.</w:t>
      </w:r>
    </w:p>
    <w:p w14:paraId="57C2EE74" w14:textId="77777777" w:rsidR="005A5197" w:rsidRPr="006B6B60" w:rsidRDefault="007248D9" w:rsidP="00BF0975">
      <w:pPr>
        <w:jc w:val="both"/>
        <w:rPr>
          <w:rFonts w:ascii="Arial" w:eastAsiaTheme="minorEastAsia" w:hAnsi="Arial" w:cs="Arial"/>
          <w:bCs/>
          <w:sz w:val="20"/>
          <w:szCs w:val="20"/>
        </w:rPr>
      </w:pPr>
      <w:r w:rsidRPr="006B6B60">
        <w:rPr>
          <w:rFonts w:ascii="Arial" w:eastAsiaTheme="minorEastAsia" w:hAnsi="Arial" w:cs="Arial"/>
          <w:bCs/>
          <w:sz w:val="20"/>
          <w:szCs w:val="20"/>
        </w:rPr>
        <w:t>To formally evaluate whether the observed improvements of the MAD-based classification are statistically significant, paired hypothesis testing is conducted. Table 6 presents the results of both the paired t-test and the Wilcoxon signed-rank test comparing the MAD-based method with the benchmark approaches across all datasets.</w:t>
      </w:r>
    </w:p>
    <w:p w14:paraId="6C42C48F"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TABLE 6: Statistical Significance Tests (MAD vs Others)</w:t>
      </w:r>
    </w:p>
    <w:tbl>
      <w:tblPr>
        <w:tblStyle w:val="TableGrid"/>
        <w:tblW w:w="0" w:type="auto"/>
        <w:tblLayout w:type="fixed"/>
        <w:tblLook w:val="04A0" w:firstRow="1" w:lastRow="0" w:firstColumn="1" w:lastColumn="0" w:noHBand="0" w:noVBand="1"/>
      </w:tblPr>
      <w:tblGrid>
        <w:gridCol w:w="1129"/>
        <w:gridCol w:w="627"/>
        <w:gridCol w:w="1641"/>
        <w:gridCol w:w="1134"/>
        <w:gridCol w:w="1317"/>
        <w:gridCol w:w="1377"/>
        <w:gridCol w:w="1791"/>
      </w:tblGrid>
      <w:tr w:rsidR="007248D9" w:rsidRPr="006B6B60" w14:paraId="1F967953" w14:textId="77777777" w:rsidTr="007248D9">
        <w:tc>
          <w:tcPr>
            <w:tcW w:w="1129" w:type="dxa"/>
            <w:hideMark/>
          </w:tcPr>
          <w:p w14:paraId="587B9BC8"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Dataset</w:t>
            </w:r>
          </w:p>
        </w:tc>
        <w:tc>
          <w:tcPr>
            <w:tcW w:w="627" w:type="dxa"/>
            <w:hideMark/>
          </w:tcPr>
          <w:p w14:paraId="19142EFC"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Metric</w:t>
            </w:r>
          </w:p>
        </w:tc>
        <w:tc>
          <w:tcPr>
            <w:tcW w:w="1641" w:type="dxa"/>
            <w:hideMark/>
          </w:tcPr>
          <w:p w14:paraId="365B3F88"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Comparison</w:t>
            </w:r>
          </w:p>
        </w:tc>
        <w:tc>
          <w:tcPr>
            <w:tcW w:w="1134" w:type="dxa"/>
            <w:hideMark/>
          </w:tcPr>
          <w:p w14:paraId="65A110E8"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MAD Mean</w:t>
            </w:r>
          </w:p>
        </w:tc>
        <w:tc>
          <w:tcPr>
            <w:tcW w:w="1317" w:type="dxa"/>
            <w:hideMark/>
          </w:tcPr>
          <w:p w14:paraId="6F127F93"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Competitor Mean</w:t>
            </w:r>
          </w:p>
        </w:tc>
        <w:tc>
          <w:tcPr>
            <w:tcW w:w="1377" w:type="dxa"/>
            <w:hideMark/>
          </w:tcPr>
          <w:p w14:paraId="33B52ECD"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Paired t-test p-value</w:t>
            </w:r>
          </w:p>
        </w:tc>
        <w:tc>
          <w:tcPr>
            <w:tcW w:w="1791" w:type="dxa"/>
            <w:hideMark/>
          </w:tcPr>
          <w:p w14:paraId="48D146D0"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Wilcoxon p-value</w:t>
            </w:r>
          </w:p>
        </w:tc>
      </w:tr>
      <w:tr w:rsidR="007248D9" w:rsidRPr="006B6B60" w14:paraId="601ACAA3" w14:textId="77777777" w:rsidTr="007248D9">
        <w:tc>
          <w:tcPr>
            <w:tcW w:w="1129" w:type="dxa"/>
            <w:hideMark/>
          </w:tcPr>
          <w:p w14:paraId="6AB91DD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5ABBE11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74B7B4A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46996CF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0.9856</w:t>
            </w:r>
          </w:p>
        </w:tc>
        <w:tc>
          <w:tcPr>
            <w:tcW w:w="1317" w:type="dxa"/>
            <w:hideMark/>
          </w:tcPr>
          <w:p w14:paraId="06F5151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0.9142</w:t>
            </w:r>
          </w:p>
        </w:tc>
        <w:tc>
          <w:tcPr>
            <w:tcW w:w="1377" w:type="dxa"/>
            <w:hideMark/>
          </w:tcPr>
          <w:p w14:paraId="0338094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17C79E9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3C83E280" w14:textId="77777777" w:rsidTr="007248D9">
        <w:tc>
          <w:tcPr>
            <w:tcW w:w="1129" w:type="dxa"/>
            <w:hideMark/>
          </w:tcPr>
          <w:p w14:paraId="7EDCB54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7422DAA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782C0B1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4CB369D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0.9856</w:t>
            </w:r>
          </w:p>
        </w:tc>
        <w:tc>
          <w:tcPr>
            <w:tcW w:w="1317" w:type="dxa"/>
            <w:hideMark/>
          </w:tcPr>
          <w:p w14:paraId="19F1601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0.9738</w:t>
            </w:r>
          </w:p>
        </w:tc>
        <w:tc>
          <w:tcPr>
            <w:tcW w:w="1377" w:type="dxa"/>
            <w:hideMark/>
          </w:tcPr>
          <w:p w14:paraId="5C00F2A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2B6AD54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60ACE2B0" w14:textId="77777777" w:rsidTr="007248D9">
        <w:tc>
          <w:tcPr>
            <w:tcW w:w="1129" w:type="dxa"/>
            <w:hideMark/>
          </w:tcPr>
          <w:p w14:paraId="2A9511B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33D511F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101FEA7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3372524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0.0144</w:t>
            </w:r>
          </w:p>
        </w:tc>
        <w:tc>
          <w:tcPr>
            <w:tcW w:w="1317" w:type="dxa"/>
            <w:hideMark/>
          </w:tcPr>
          <w:p w14:paraId="43CB94C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0.0858</w:t>
            </w:r>
          </w:p>
        </w:tc>
        <w:tc>
          <w:tcPr>
            <w:tcW w:w="1377" w:type="dxa"/>
            <w:hideMark/>
          </w:tcPr>
          <w:p w14:paraId="74189E5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6F7E707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0770C49C" w14:textId="77777777" w:rsidTr="007248D9">
        <w:tc>
          <w:tcPr>
            <w:tcW w:w="1129" w:type="dxa"/>
            <w:hideMark/>
          </w:tcPr>
          <w:p w14:paraId="63815DF7"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74FEB96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6B1A803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72B6F22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0.0144</w:t>
            </w:r>
          </w:p>
        </w:tc>
        <w:tc>
          <w:tcPr>
            <w:tcW w:w="1317" w:type="dxa"/>
            <w:hideMark/>
          </w:tcPr>
          <w:p w14:paraId="6F740F4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0.0262</w:t>
            </w:r>
          </w:p>
        </w:tc>
        <w:tc>
          <w:tcPr>
            <w:tcW w:w="1377" w:type="dxa"/>
            <w:hideMark/>
          </w:tcPr>
          <w:p w14:paraId="527B7D5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668495B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367DCB0E" w14:textId="77777777" w:rsidTr="007248D9">
        <w:tc>
          <w:tcPr>
            <w:tcW w:w="1129" w:type="dxa"/>
            <w:hideMark/>
          </w:tcPr>
          <w:p w14:paraId="0C334574"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25FC302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56CF5CA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6C220D0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0.9862</w:t>
            </w:r>
          </w:p>
        </w:tc>
        <w:tc>
          <w:tcPr>
            <w:tcW w:w="1317" w:type="dxa"/>
            <w:hideMark/>
          </w:tcPr>
          <w:p w14:paraId="715B366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0.8967</w:t>
            </w:r>
          </w:p>
        </w:tc>
        <w:tc>
          <w:tcPr>
            <w:tcW w:w="1377" w:type="dxa"/>
            <w:hideMark/>
          </w:tcPr>
          <w:p w14:paraId="53443FA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7C49CE57"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019CE176" w14:textId="77777777" w:rsidTr="007248D9">
        <w:tc>
          <w:tcPr>
            <w:tcW w:w="1129" w:type="dxa"/>
            <w:hideMark/>
          </w:tcPr>
          <w:p w14:paraId="12E39DD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412B456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34135E4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6613E6E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0.9862</w:t>
            </w:r>
          </w:p>
        </w:tc>
        <w:tc>
          <w:tcPr>
            <w:tcW w:w="1317" w:type="dxa"/>
            <w:hideMark/>
          </w:tcPr>
          <w:p w14:paraId="248D754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0.9750</w:t>
            </w:r>
          </w:p>
        </w:tc>
        <w:tc>
          <w:tcPr>
            <w:tcW w:w="1377" w:type="dxa"/>
            <w:hideMark/>
          </w:tcPr>
          <w:p w14:paraId="61D9AE7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7707CEF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6E6D99A8" w14:textId="77777777" w:rsidTr="007248D9">
        <w:tc>
          <w:tcPr>
            <w:tcW w:w="1129" w:type="dxa"/>
            <w:hideMark/>
          </w:tcPr>
          <w:p w14:paraId="7A8210A7"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6AC5DDF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43E219F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5409DCB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0.0138</w:t>
            </w:r>
          </w:p>
        </w:tc>
        <w:tc>
          <w:tcPr>
            <w:tcW w:w="1317" w:type="dxa"/>
            <w:hideMark/>
          </w:tcPr>
          <w:p w14:paraId="1965FC4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0.1033</w:t>
            </w:r>
          </w:p>
        </w:tc>
        <w:tc>
          <w:tcPr>
            <w:tcW w:w="1377" w:type="dxa"/>
            <w:hideMark/>
          </w:tcPr>
          <w:p w14:paraId="788B08E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08E2589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62CAA074" w14:textId="77777777" w:rsidTr="007248D9">
        <w:tc>
          <w:tcPr>
            <w:tcW w:w="1129" w:type="dxa"/>
            <w:hideMark/>
          </w:tcPr>
          <w:p w14:paraId="7DACA51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63461BE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13AA3256"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0359BB8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0.0138</w:t>
            </w:r>
          </w:p>
        </w:tc>
        <w:tc>
          <w:tcPr>
            <w:tcW w:w="1317" w:type="dxa"/>
            <w:hideMark/>
          </w:tcPr>
          <w:p w14:paraId="247CCD7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0.0245</w:t>
            </w:r>
          </w:p>
        </w:tc>
        <w:tc>
          <w:tcPr>
            <w:tcW w:w="1377" w:type="dxa"/>
            <w:hideMark/>
          </w:tcPr>
          <w:p w14:paraId="62E22AE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1994213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40FB91EE" w14:textId="77777777" w:rsidTr="007248D9">
        <w:tc>
          <w:tcPr>
            <w:tcW w:w="1129" w:type="dxa"/>
            <w:hideMark/>
          </w:tcPr>
          <w:p w14:paraId="127A76C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7F2C8F8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6B8C28C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7B06482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0.9860</w:t>
            </w:r>
          </w:p>
        </w:tc>
        <w:tc>
          <w:tcPr>
            <w:tcW w:w="1317" w:type="dxa"/>
            <w:hideMark/>
          </w:tcPr>
          <w:p w14:paraId="3B0B71A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0.8876</w:t>
            </w:r>
          </w:p>
        </w:tc>
        <w:tc>
          <w:tcPr>
            <w:tcW w:w="1377" w:type="dxa"/>
            <w:hideMark/>
          </w:tcPr>
          <w:p w14:paraId="41144AB8"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42834504"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510BE811" w14:textId="77777777" w:rsidTr="007248D9">
        <w:tc>
          <w:tcPr>
            <w:tcW w:w="1129" w:type="dxa"/>
            <w:hideMark/>
          </w:tcPr>
          <w:p w14:paraId="0E1A2B6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1CFF12D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00836DF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4D1E9A16"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0.9860</w:t>
            </w:r>
          </w:p>
        </w:tc>
        <w:tc>
          <w:tcPr>
            <w:tcW w:w="1317" w:type="dxa"/>
            <w:hideMark/>
          </w:tcPr>
          <w:p w14:paraId="2A0A136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0.9743</w:t>
            </w:r>
          </w:p>
        </w:tc>
        <w:tc>
          <w:tcPr>
            <w:tcW w:w="1377" w:type="dxa"/>
            <w:hideMark/>
          </w:tcPr>
          <w:p w14:paraId="5F978B2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53C1E8C6"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2E8A18C3" w14:textId="77777777" w:rsidTr="007248D9">
        <w:tc>
          <w:tcPr>
            <w:tcW w:w="1129" w:type="dxa"/>
            <w:hideMark/>
          </w:tcPr>
          <w:p w14:paraId="50D2C2D8"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4089BD2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7F2B1F9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3468DA0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0.0140</w:t>
            </w:r>
          </w:p>
        </w:tc>
        <w:tc>
          <w:tcPr>
            <w:tcW w:w="1317" w:type="dxa"/>
            <w:hideMark/>
          </w:tcPr>
          <w:p w14:paraId="3581DCB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0.1124</w:t>
            </w:r>
          </w:p>
        </w:tc>
        <w:tc>
          <w:tcPr>
            <w:tcW w:w="1377" w:type="dxa"/>
            <w:hideMark/>
          </w:tcPr>
          <w:p w14:paraId="51FC667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5AF2C55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1D0E010B" w14:textId="77777777" w:rsidTr="007248D9">
        <w:tc>
          <w:tcPr>
            <w:tcW w:w="1129" w:type="dxa"/>
            <w:hideMark/>
          </w:tcPr>
          <w:p w14:paraId="02E4CF7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1EF83E9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34869E7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2B7B44F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0.0140</w:t>
            </w:r>
          </w:p>
        </w:tc>
        <w:tc>
          <w:tcPr>
            <w:tcW w:w="1317" w:type="dxa"/>
            <w:hideMark/>
          </w:tcPr>
          <w:p w14:paraId="331218A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0.0251</w:t>
            </w:r>
          </w:p>
        </w:tc>
        <w:tc>
          <w:tcPr>
            <w:tcW w:w="1377" w:type="dxa"/>
            <w:hideMark/>
          </w:tcPr>
          <w:p w14:paraId="5849168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06F26B6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bl>
    <w:p w14:paraId="3D4ABB31" w14:textId="77777777" w:rsidR="007248D9" w:rsidRPr="006B6B60" w:rsidRDefault="007248D9" w:rsidP="007248D9">
      <w:pPr>
        <w:jc w:val="both"/>
        <w:rPr>
          <w:rFonts w:ascii="Arial" w:eastAsiaTheme="minorEastAsia" w:hAnsi="Arial" w:cs="Arial"/>
          <w:bCs/>
          <w:sz w:val="20"/>
          <w:szCs w:val="20"/>
        </w:rPr>
      </w:pPr>
    </w:p>
    <w:p w14:paraId="76FC297A" w14:textId="77777777" w:rsidR="007248D9" w:rsidRPr="006B6B60" w:rsidRDefault="007248D9"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results indicate that all p-values are less than 0.01, confirming that the improvements in both Label Stability Ratio and Extreme Sensitivity Score achieved by the MAD-based method are statistically </w:t>
      </w:r>
      <w:r w:rsidRPr="006B6B60">
        <w:rPr>
          <w:rFonts w:ascii="Arial" w:eastAsiaTheme="minorEastAsia" w:hAnsi="Arial" w:cs="Arial"/>
          <w:bCs/>
          <w:sz w:val="20"/>
          <w:szCs w:val="20"/>
        </w:rPr>
        <w:lastRenderedPageBreak/>
        <w:t>significant. This provides strong empirical support for the theoretical robustness properties established in Section 4.</w:t>
      </w:r>
    </w:p>
    <w:p w14:paraId="42D035FD" w14:textId="77777777" w:rsidR="00BF0975" w:rsidRPr="006B6B60" w:rsidRDefault="00BF0975" w:rsidP="00BF0975">
      <w:pPr>
        <w:jc w:val="both"/>
        <w:rPr>
          <w:rFonts w:ascii="Arial" w:eastAsiaTheme="minorEastAsia" w:hAnsi="Arial" w:cs="Arial"/>
          <w:b/>
          <w:bCs/>
          <w:sz w:val="20"/>
          <w:szCs w:val="20"/>
        </w:rPr>
      </w:pPr>
      <w:r w:rsidRPr="006B6B60">
        <w:rPr>
          <w:rFonts w:ascii="Arial" w:eastAsiaTheme="minorEastAsia" w:hAnsi="Arial" w:cs="Arial"/>
          <w:b/>
          <w:bCs/>
          <w:sz w:val="20"/>
          <w:szCs w:val="20"/>
        </w:rPr>
        <w:t>6.5 Interpretation of Regime Boundaries</w:t>
      </w:r>
    </w:p>
    <w:p w14:paraId="48B410BD"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MAD-based regime boundaries for the NIFTY 50 are illustrated in </w:t>
      </w:r>
      <w:r w:rsidRPr="006B6B60">
        <w:rPr>
          <w:rFonts w:ascii="Arial" w:eastAsiaTheme="minorEastAsia" w:hAnsi="Arial" w:cs="Arial"/>
          <w:b/>
          <w:bCs/>
          <w:sz w:val="20"/>
          <w:szCs w:val="20"/>
        </w:rPr>
        <w:t>Figure 2</w:t>
      </w:r>
      <w:r w:rsidRPr="006B6B60">
        <w:rPr>
          <w:rFonts w:ascii="Arial" w:eastAsiaTheme="minorEastAsia" w:hAnsi="Arial" w:cs="Arial"/>
          <w:bCs/>
          <w:sz w:val="20"/>
          <w:szCs w:val="20"/>
        </w:rPr>
        <w:t>.</w:t>
      </w:r>
    </w:p>
    <w:p w14:paraId="3EF2F6BB" w14:textId="77777777" w:rsidR="00BF0975" w:rsidRPr="006B6B60" w:rsidRDefault="00F92DC9" w:rsidP="007248D9">
      <w:pPr>
        <w:jc w:val="center"/>
        <w:rPr>
          <w:rFonts w:ascii="Arial" w:eastAsiaTheme="minorEastAsia" w:hAnsi="Arial" w:cs="Arial"/>
          <w:bCs/>
          <w:sz w:val="20"/>
          <w:szCs w:val="20"/>
        </w:rPr>
      </w:pPr>
      <w:r w:rsidRPr="006B6B60">
        <w:rPr>
          <w:rFonts w:ascii="Arial" w:eastAsiaTheme="minorEastAsia" w:hAnsi="Arial" w:cs="Arial"/>
          <w:bCs/>
          <w:noProof/>
          <w:sz w:val="20"/>
          <w:szCs w:val="20"/>
          <w:lang w:eastAsia="en-IN"/>
        </w:rPr>
        <w:drawing>
          <wp:inline distT="0" distB="0" distL="0" distR="0" wp14:anchorId="3EBCF5D1" wp14:editId="722F177C">
            <wp:extent cx="4965181" cy="2334934"/>
            <wp:effectExtent l="0" t="0" r="6985" b="825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t="5233"/>
                    <a:stretch/>
                  </pic:blipFill>
                  <pic:spPr bwMode="auto">
                    <a:xfrm>
                      <a:off x="0" y="0"/>
                      <a:ext cx="4991634" cy="2347374"/>
                    </a:xfrm>
                    <a:prstGeom prst="rect">
                      <a:avLst/>
                    </a:prstGeom>
                    <a:ln>
                      <a:noFill/>
                    </a:ln>
                    <a:extLst>
                      <a:ext uri="{53640926-AAD7-44D8-BBD7-CCE9431645EC}">
                        <a14:shadowObscured xmlns:a14="http://schemas.microsoft.com/office/drawing/2010/main"/>
                      </a:ext>
                    </a:extLst>
                  </pic:spPr>
                </pic:pic>
              </a:graphicData>
            </a:graphic>
          </wp:inline>
        </w:drawing>
      </w:r>
    </w:p>
    <w:p w14:paraId="09F03622" w14:textId="77777777" w:rsidR="00BF0975" w:rsidRPr="006B6B60" w:rsidRDefault="00F92DC9" w:rsidP="00F92DC9">
      <w:pPr>
        <w:jc w:val="center"/>
        <w:rPr>
          <w:rFonts w:ascii="Arial" w:eastAsiaTheme="minorEastAsia" w:hAnsi="Arial" w:cs="Arial"/>
          <w:b/>
          <w:bCs/>
          <w:sz w:val="20"/>
          <w:szCs w:val="20"/>
        </w:rPr>
      </w:pPr>
      <w:r w:rsidRPr="006B6B60">
        <w:rPr>
          <w:rFonts w:ascii="Arial" w:eastAsiaTheme="minorEastAsia" w:hAnsi="Arial" w:cs="Arial"/>
          <w:b/>
          <w:bCs/>
          <w:sz w:val="20"/>
          <w:szCs w:val="20"/>
        </w:rPr>
        <w:t>Fig. 2. MAD Based Regime Boundaries for NIFTY50</w:t>
      </w:r>
    </w:p>
    <w:p w14:paraId="5F5973CB"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The boundaries are symmetrically defined around the median and adapt dynamically to the dispersion of the data. Unlike standard deviation-based thresholds, which are inflated by extreme values, MAD-based boundaries remain stable and responsive to the central structure of the return distribution.</w:t>
      </w:r>
    </w:p>
    <w:p w14:paraId="05BC0A7E" w14:textId="77777777" w:rsidR="00BF0975" w:rsidRPr="006B6B60" w:rsidRDefault="00BF0975"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plot shows that extreme returns are effectively captured without distorting the classification of normal market conditions, leading to a more </w:t>
      </w:r>
      <w:r w:rsidRPr="006B6B60">
        <w:rPr>
          <w:rFonts w:ascii="Arial" w:eastAsiaTheme="minorEastAsia" w:hAnsi="Arial" w:cs="Arial"/>
          <w:b/>
          <w:bCs/>
          <w:sz w:val="20"/>
          <w:szCs w:val="20"/>
        </w:rPr>
        <w:t>economically meaningful segmentation of market regimes</w:t>
      </w:r>
      <w:r w:rsidRPr="006B6B60">
        <w:rPr>
          <w:rFonts w:ascii="Arial" w:eastAsiaTheme="minorEastAsia" w:hAnsi="Arial" w:cs="Arial"/>
          <w:bCs/>
          <w:sz w:val="20"/>
          <w:szCs w:val="20"/>
        </w:rPr>
        <w:t>.</w:t>
      </w:r>
    </w:p>
    <w:p w14:paraId="19EB2BCA"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The empirical findings strongly support the theoretical claims established in Section 4.</w:t>
      </w:r>
    </w:p>
    <w:p w14:paraId="6DFB97B5"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Specifically:</w:t>
      </w:r>
    </w:p>
    <w:p w14:paraId="67F7E4DA" w14:textId="77777777" w:rsidR="00BF0975" w:rsidRPr="006B6B60" w:rsidRDefault="00BF0975" w:rsidP="00BF0975">
      <w:pPr>
        <w:numPr>
          <w:ilvl w:val="0"/>
          <w:numId w:val="13"/>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variance-based method fails</w:t>
      </w:r>
      <w:r w:rsidRPr="006B6B60">
        <w:rPr>
          <w:rFonts w:ascii="Arial" w:eastAsiaTheme="minorEastAsia" w:hAnsi="Arial" w:cs="Arial"/>
          <w:bCs/>
          <w:sz w:val="20"/>
          <w:szCs w:val="20"/>
        </w:rPr>
        <w:t xml:space="preserve"> due to its sensitivity to extreme values, resulting in unstable and imbalanced classifications. </w:t>
      </w:r>
    </w:p>
    <w:p w14:paraId="2C1360D4" w14:textId="77777777" w:rsidR="00BF0975" w:rsidRPr="006B6B60" w:rsidRDefault="00BF0975" w:rsidP="00BF0975">
      <w:pPr>
        <w:numPr>
          <w:ilvl w:val="0"/>
          <w:numId w:val="13"/>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quantile-based method, while balanced, lacks robustness</w:t>
      </w:r>
      <w:r w:rsidRPr="006B6B60">
        <w:rPr>
          <w:rFonts w:ascii="Arial" w:eastAsiaTheme="minorEastAsia" w:hAnsi="Arial" w:cs="Arial"/>
          <w:bCs/>
          <w:sz w:val="20"/>
          <w:szCs w:val="20"/>
        </w:rPr>
        <w:t xml:space="preserve">, as it does not account for the magnitude of deviations. </w:t>
      </w:r>
    </w:p>
    <w:p w14:paraId="7E76727D" w14:textId="77777777" w:rsidR="00BF0975" w:rsidRPr="006B6B60" w:rsidRDefault="00BF0975" w:rsidP="00BF0975">
      <w:pPr>
        <w:numPr>
          <w:ilvl w:val="0"/>
          <w:numId w:val="13"/>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MAD-based method achieves an optimal balance between robustness and interpretability</w:t>
      </w:r>
      <w:r w:rsidRPr="006B6B60">
        <w:rPr>
          <w:rFonts w:ascii="Arial" w:eastAsiaTheme="minorEastAsia" w:hAnsi="Arial" w:cs="Arial"/>
          <w:bCs/>
          <w:sz w:val="20"/>
          <w:szCs w:val="20"/>
        </w:rPr>
        <w:t xml:space="preserve">, providing stable classifications even under perturbations. </w:t>
      </w:r>
    </w:p>
    <w:p w14:paraId="21131E92"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Across all datasets and evaluation metrics, the MAD-based model consistently demonstrates superior performance, both in terms of robustness and statistical significance.</w:t>
      </w:r>
    </w:p>
    <w:p w14:paraId="758895F0" w14:textId="77777777" w:rsidR="00A174C6" w:rsidRPr="006B6B60" w:rsidRDefault="00A174C6" w:rsidP="00A174C6">
      <w:pPr>
        <w:jc w:val="both"/>
        <w:rPr>
          <w:rFonts w:ascii="Arial" w:eastAsiaTheme="minorEastAsia" w:hAnsi="Arial" w:cs="Arial"/>
          <w:b/>
          <w:bCs/>
          <w:sz w:val="20"/>
          <w:szCs w:val="20"/>
        </w:rPr>
      </w:pPr>
      <w:r w:rsidRPr="006B6B60">
        <w:rPr>
          <w:rFonts w:ascii="Arial" w:eastAsiaTheme="minorEastAsia" w:hAnsi="Arial" w:cs="Arial"/>
          <w:b/>
          <w:bCs/>
          <w:sz w:val="20"/>
          <w:szCs w:val="20"/>
        </w:rPr>
        <w:t>7. Conclusion and Future Work</w:t>
      </w:r>
    </w:p>
    <w:p w14:paraId="13ECFC4B" w14:textId="77777777" w:rsidR="00A174C6" w:rsidRPr="006B6B60" w:rsidRDefault="00A174C6" w:rsidP="00A174C6">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This study presents a robust mathematical framework for stock market regime classification based on the Median Absolute Deviation (MAD). The proposed approach addresses the limitations of traditional mean–variance based methods, which are highly sensitive to extreme observations and often fail under non-Gaussian conditions. By replacing standard deviation with MAD as a measure of dispersion, the model leverages the robustness of order statistics to provide stable and reliable classification boundaries. Theoretical analysis demonstrates that the MAD-based framework possesses desirable statistical properties, including boundedness under contamination, a high breakdown point, and invariance under scaling and translation. These properties make the model particularly suitable for financial time series, which are frequently characterized by heavy tails, skewness, and volatility clustering. Empirical results based on three major equity indices—NIFTY 50, S&amp;P 500, and Nikkei </w:t>
      </w:r>
      <w:r w:rsidRPr="006B6B60">
        <w:rPr>
          <w:rFonts w:ascii="Arial" w:eastAsiaTheme="minorEastAsia" w:hAnsi="Arial" w:cs="Arial"/>
          <w:bCs/>
          <w:sz w:val="20"/>
          <w:szCs w:val="20"/>
        </w:rPr>
        <w:lastRenderedPageBreak/>
        <w:t>225—over the period 2020–2026 confirm the effectiveness of the proposed approach. The MAD-based method consistently achieves the lowest Extreme Sensitivity Score and the highest Label Stability Ratio across all datasets, indicating superior robustness to outlier contamination. Bootstrap-based confidence intervals further demonstrate the stability of the results, while hypothesis testing confirms that the improvements are statistically significant at conventional levels. In contrast, standard deviation-based methods exhibit high sensitivity to extreme values, and quantile-based methods, although balanced, lack robustness under perturbations.</w:t>
      </w:r>
    </w:p>
    <w:p w14:paraId="05979680" w14:textId="77777777" w:rsidR="00D822F7" w:rsidRPr="006B6B60" w:rsidRDefault="00A174C6" w:rsidP="00A174C6">
      <w:pPr>
        <w:jc w:val="both"/>
        <w:rPr>
          <w:rFonts w:ascii="Arial" w:eastAsiaTheme="minorEastAsia" w:hAnsi="Arial" w:cs="Arial"/>
          <w:bCs/>
          <w:sz w:val="20"/>
          <w:szCs w:val="20"/>
        </w:rPr>
      </w:pPr>
      <w:r w:rsidRPr="006B6B60">
        <w:rPr>
          <w:rFonts w:ascii="Arial" w:eastAsiaTheme="minorEastAsia" w:hAnsi="Arial" w:cs="Arial"/>
          <w:bCs/>
          <w:sz w:val="20"/>
          <w:szCs w:val="20"/>
        </w:rPr>
        <w:t>Overall, the findings establish that the MAD-based classification framework provides a mathematically sound and empirically validated alternative for regime detection in financial markets. Despite its advantages, the present study has certain limitations that open avenues for future research. First, the analysis is restricted to univariate return series; extending the framework to a multivariate setting could enable the incorporation of cross-asset dependencies. Second, the threshold parameters used for regime classification are fixed; future work may explore adaptive or data-driven threshold selection methods. Third, integration of the proposed framework with machine learning or deep learning architectures could enhance predictive capabilities while retaining robustness. Finally, applying the model to alternative asset classes such as commodities, cryptocurrencies, or high-frequency data may further validate its generalizability. These directions offer promising opportunities for advancing robust financial modelling and extending the applicability of MAD-based methods in complex market environments.</w:t>
      </w:r>
    </w:p>
    <w:p w14:paraId="23756A65" w14:textId="77777777" w:rsidR="00A174C6" w:rsidRPr="006B6B60" w:rsidRDefault="002D5D39" w:rsidP="00BF0975">
      <w:pPr>
        <w:jc w:val="both"/>
        <w:rPr>
          <w:rFonts w:ascii="Arial" w:eastAsiaTheme="minorEastAsia" w:hAnsi="Arial" w:cs="Arial"/>
          <w:b/>
          <w:bCs/>
          <w:szCs w:val="20"/>
        </w:rPr>
      </w:pPr>
      <w:r w:rsidRPr="006B6B60">
        <w:rPr>
          <w:rFonts w:ascii="Arial" w:eastAsiaTheme="minorEastAsia" w:hAnsi="Arial" w:cs="Arial"/>
          <w:b/>
          <w:bCs/>
          <w:szCs w:val="20"/>
        </w:rPr>
        <w:t>REFERENCES</w:t>
      </w:r>
    </w:p>
    <w:p w14:paraId="6A7F5983" w14:textId="77777777" w:rsidR="002D5D39" w:rsidRPr="006B6B60" w:rsidRDefault="002D5D39" w:rsidP="006B6841">
      <w:pPr>
        <w:pStyle w:val="Body"/>
        <w:spacing w:after="0"/>
        <w:rPr>
          <w:rFonts w:ascii="Arial" w:hAnsi="Arial" w:cs="Arial"/>
        </w:rPr>
      </w:pPr>
    </w:p>
    <w:p w14:paraId="3299F8F7" w14:textId="77777777" w:rsidR="002D5D39" w:rsidRPr="006B6B60" w:rsidRDefault="002D5D39" w:rsidP="006B6841">
      <w:pPr>
        <w:pStyle w:val="Body"/>
        <w:numPr>
          <w:ilvl w:val="0"/>
          <w:numId w:val="17"/>
        </w:numPr>
        <w:spacing w:after="0"/>
        <w:rPr>
          <w:rFonts w:ascii="Arial" w:hAnsi="Arial" w:cs="Arial"/>
        </w:rPr>
      </w:pPr>
      <w:proofErr w:type="spellStart"/>
      <w:r w:rsidRPr="006B6B60">
        <w:rPr>
          <w:rFonts w:ascii="Arial" w:hAnsi="Arial" w:cs="Arial"/>
        </w:rPr>
        <w:t>Adubisi</w:t>
      </w:r>
      <w:proofErr w:type="spellEnd"/>
      <w:r w:rsidRPr="006B6B60">
        <w:rPr>
          <w:rFonts w:ascii="Arial" w:hAnsi="Arial" w:cs="Arial"/>
        </w:rPr>
        <w:t xml:space="preserve">, O. D., Abdulkadir, A., Farouk, U. A., &amp; </w:t>
      </w:r>
      <w:proofErr w:type="spellStart"/>
      <w:r w:rsidRPr="006B6B60">
        <w:rPr>
          <w:rFonts w:ascii="Arial" w:hAnsi="Arial" w:cs="Arial"/>
        </w:rPr>
        <w:t>Chiroma</w:t>
      </w:r>
      <w:proofErr w:type="spellEnd"/>
      <w:r w:rsidRPr="006B6B60">
        <w:rPr>
          <w:rFonts w:ascii="Arial" w:hAnsi="Arial" w:cs="Arial"/>
        </w:rPr>
        <w:t>, H. (2022). The exponentiated half logistic skew-t distribution with GARCH-type volatility models. Scientific African, 16, e01253. https://doi.org/10.1016/j.sciaf.2022.e01253</w:t>
      </w:r>
    </w:p>
    <w:p w14:paraId="57F0F7AB" w14:textId="77777777" w:rsidR="002D5D39" w:rsidRPr="006B6B60" w:rsidRDefault="002D5D39" w:rsidP="006B6841">
      <w:pPr>
        <w:pStyle w:val="Body"/>
        <w:numPr>
          <w:ilvl w:val="0"/>
          <w:numId w:val="17"/>
        </w:numPr>
        <w:spacing w:after="0"/>
        <w:rPr>
          <w:rFonts w:ascii="Arial" w:hAnsi="Arial" w:cs="Arial"/>
        </w:rPr>
      </w:pPr>
      <w:r w:rsidRPr="006B6B60">
        <w:rPr>
          <w:rFonts w:ascii="Arial" w:hAnsi="Arial" w:cs="Arial"/>
        </w:rPr>
        <w:t xml:space="preserve">Bianchi, M. L., Tassinari, G. L., &amp; Fabozzi, F. J. (2016). RIDING WITH THE FOUR HORSEMEN AND THE MULTIVARIATE NORMAL TEMPERED STABLE MODEL. International Journal of Theoretical and Applied Finance, 19(04), 1650027. </w:t>
      </w:r>
      <w:hyperlink r:id="rId9" w:history="1">
        <w:r w:rsidRPr="006B6B60">
          <w:rPr>
            <w:rFonts w:ascii="Arial" w:hAnsi="Arial" w:cs="Arial"/>
          </w:rPr>
          <w:t>https://doi.org/10.1142/s0219024916500278</w:t>
        </w:r>
      </w:hyperlink>
    </w:p>
    <w:p w14:paraId="525A3017" w14:textId="77777777" w:rsidR="002D5D39" w:rsidRPr="006B6B60" w:rsidRDefault="002D5D39" w:rsidP="006B6841">
      <w:pPr>
        <w:pStyle w:val="Body"/>
        <w:numPr>
          <w:ilvl w:val="0"/>
          <w:numId w:val="17"/>
        </w:numPr>
        <w:spacing w:after="0"/>
        <w:rPr>
          <w:rFonts w:ascii="Arial" w:hAnsi="Arial" w:cs="Arial"/>
        </w:rPr>
      </w:pPr>
      <w:r w:rsidRPr="006B6B60">
        <w:rPr>
          <w:rFonts w:ascii="Arial" w:hAnsi="Arial" w:cs="Arial"/>
        </w:rPr>
        <w:t xml:space="preserve">Bianchi, M., Luca, G., &amp; Rivieccio, G. (2020). CoVaR with volatility clustering, heavy tails and non-linear dependence. In </w:t>
      </w:r>
      <w:proofErr w:type="spellStart"/>
      <w:r w:rsidRPr="006B6B60">
        <w:rPr>
          <w:rFonts w:ascii="Arial" w:hAnsi="Arial" w:cs="Arial"/>
        </w:rPr>
        <w:t>arXiv</w:t>
      </w:r>
      <w:proofErr w:type="spellEnd"/>
      <w:r w:rsidRPr="006B6B60">
        <w:rPr>
          <w:rFonts w:ascii="Arial" w:hAnsi="Arial" w:cs="Arial"/>
        </w:rPr>
        <w:t xml:space="preserve"> (Cornell University). </w:t>
      </w:r>
      <w:proofErr w:type="spellStart"/>
      <w:r w:rsidRPr="006B6B60">
        <w:rPr>
          <w:rFonts w:ascii="Arial" w:hAnsi="Arial" w:cs="Arial"/>
        </w:rPr>
        <w:t>Technische</w:t>
      </w:r>
      <w:proofErr w:type="spellEnd"/>
      <w:r w:rsidRPr="006B6B60">
        <w:rPr>
          <w:rFonts w:ascii="Arial" w:hAnsi="Arial" w:cs="Arial"/>
        </w:rPr>
        <w:t xml:space="preserve"> </w:t>
      </w:r>
      <w:proofErr w:type="spellStart"/>
      <w:r w:rsidRPr="006B6B60">
        <w:rPr>
          <w:rFonts w:ascii="Arial" w:hAnsi="Arial" w:cs="Arial"/>
        </w:rPr>
        <w:t>Universitat</w:t>
      </w:r>
      <w:proofErr w:type="spellEnd"/>
      <w:r w:rsidRPr="006B6B60">
        <w:rPr>
          <w:rFonts w:ascii="Arial" w:hAnsi="Arial" w:cs="Arial"/>
        </w:rPr>
        <w:t xml:space="preserve"> Dresden. </w:t>
      </w:r>
      <w:hyperlink r:id="rId10" w:history="1">
        <w:r w:rsidRPr="006B6B60">
          <w:rPr>
            <w:rFonts w:ascii="Arial" w:hAnsi="Arial" w:cs="Arial"/>
          </w:rPr>
          <w:t>https://doi.org/10.48550/arxiv.2009.10764</w:t>
        </w:r>
      </w:hyperlink>
    </w:p>
    <w:p w14:paraId="68F3BB71" w14:textId="77777777" w:rsidR="00C52296" w:rsidRPr="006B6B60" w:rsidRDefault="00C52296" w:rsidP="00C52296">
      <w:pPr>
        <w:pStyle w:val="Body"/>
        <w:numPr>
          <w:ilvl w:val="0"/>
          <w:numId w:val="17"/>
        </w:numPr>
        <w:spacing w:after="0"/>
        <w:rPr>
          <w:rFonts w:ascii="Arial" w:hAnsi="Arial" w:cs="Arial"/>
        </w:rPr>
      </w:pPr>
      <w:r w:rsidRPr="006B6B60">
        <w:rPr>
          <w:rFonts w:ascii="Arial" w:hAnsi="Arial" w:cs="Arial"/>
        </w:rPr>
        <w:t>Chen, L., &amp; Xia, H. (2025). A data-tagging and temporal-association framework for robust and explainable anomaly detection in power communication systems. Australian Journal of Electrical and Electronics Engineering, ahead-of-print(ahead-of-print), 1–22. https://doi.org/10.1080/1448837x.2025.2568792</w:t>
      </w:r>
    </w:p>
    <w:p w14:paraId="696ADD21" w14:textId="77777777" w:rsidR="00BC3D80" w:rsidRPr="006B6B60" w:rsidRDefault="00BC3D80" w:rsidP="006B6841">
      <w:pPr>
        <w:pStyle w:val="Body"/>
        <w:numPr>
          <w:ilvl w:val="0"/>
          <w:numId w:val="17"/>
        </w:numPr>
        <w:spacing w:after="0"/>
        <w:rPr>
          <w:rFonts w:ascii="Arial" w:hAnsi="Arial" w:cs="Arial"/>
        </w:rPr>
      </w:pPr>
      <w:proofErr w:type="spellStart"/>
      <w:r w:rsidRPr="006B6B60">
        <w:rPr>
          <w:rFonts w:ascii="Arial" w:hAnsi="Arial" w:cs="Arial"/>
        </w:rPr>
        <w:t>Chourdakis</w:t>
      </w:r>
      <w:proofErr w:type="spellEnd"/>
      <w:r w:rsidRPr="006B6B60">
        <w:rPr>
          <w:rFonts w:ascii="Arial" w:hAnsi="Arial" w:cs="Arial"/>
        </w:rPr>
        <w:t>, K. (2010). Regime</w:t>
      </w:r>
      <w:r w:rsidRPr="006B6B60">
        <w:rPr>
          <w:rFonts w:ascii="Cambria Math" w:hAnsi="Cambria Math" w:cs="Cambria Math"/>
        </w:rPr>
        <w:t>‐</w:t>
      </w:r>
      <w:r w:rsidRPr="006B6B60">
        <w:rPr>
          <w:rFonts w:ascii="Arial" w:hAnsi="Arial" w:cs="Arial"/>
        </w:rPr>
        <w:t>Switching Models. Encyclopedia of Quantitative Finance. https://doi.org/10.1002/9780470061602.eqf08024</w:t>
      </w:r>
    </w:p>
    <w:p w14:paraId="43B2173A" w14:textId="77777777" w:rsidR="002D5D39" w:rsidRPr="006B6B60" w:rsidRDefault="002D5D39" w:rsidP="006B6841">
      <w:pPr>
        <w:pStyle w:val="Body"/>
        <w:numPr>
          <w:ilvl w:val="0"/>
          <w:numId w:val="17"/>
        </w:numPr>
        <w:spacing w:after="0"/>
        <w:rPr>
          <w:rFonts w:ascii="Arial" w:hAnsi="Arial" w:cs="Arial"/>
        </w:rPr>
      </w:pPr>
      <w:r w:rsidRPr="006B6B60">
        <w:rPr>
          <w:rFonts w:ascii="Arial" w:hAnsi="Arial" w:cs="Arial"/>
        </w:rPr>
        <w:t xml:space="preserve">Giorgio, B. (2025). Phase Transitions in Financial Markets Using the Ising Model: A Statistical Mechanics Perspective. In ArXiv.org. </w:t>
      </w:r>
      <w:proofErr w:type="spellStart"/>
      <w:r w:rsidRPr="006B6B60">
        <w:rPr>
          <w:rFonts w:ascii="Arial" w:hAnsi="Arial" w:cs="Arial"/>
        </w:rPr>
        <w:t>Societa</w:t>
      </w:r>
      <w:proofErr w:type="spellEnd"/>
      <w:r w:rsidRPr="006B6B60">
        <w:rPr>
          <w:rFonts w:ascii="Arial" w:hAnsi="Arial" w:cs="Arial"/>
        </w:rPr>
        <w:t xml:space="preserve"> </w:t>
      </w:r>
      <w:proofErr w:type="spellStart"/>
      <w:r w:rsidRPr="006B6B60">
        <w:rPr>
          <w:rFonts w:ascii="Arial" w:hAnsi="Arial" w:cs="Arial"/>
        </w:rPr>
        <w:t>Italiana</w:t>
      </w:r>
      <w:proofErr w:type="spellEnd"/>
      <w:r w:rsidRPr="006B6B60">
        <w:rPr>
          <w:rFonts w:ascii="Arial" w:hAnsi="Arial" w:cs="Arial"/>
        </w:rPr>
        <w:t xml:space="preserve"> Di </w:t>
      </w:r>
      <w:proofErr w:type="spellStart"/>
      <w:r w:rsidRPr="006B6B60">
        <w:rPr>
          <w:rFonts w:ascii="Arial" w:hAnsi="Arial" w:cs="Arial"/>
        </w:rPr>
        <w:t>Fisica</w:t>
      </w:r>
      <w:proofErr w:type="spellEnd"/>
      <w:r w:rsidRPr="006B6B60">
        <w:rPr>
          <w:rFonts w:ascii="Arial" w:hAnsi="Arial" w:cs="Arial"/>
        </w:rPr>
        <w:t xml:space="preserve">. </w:t>
      </w:r>
      <w:hyperlink r:id="rId11" w:history="1">
        <w:r w:rsidRPr="006B6B60">
          <w:rPr>
            <w:rFonts w:ascii="Arial" w:hAnsi="Arial" w:cs="Arial"/>
          </w:rPr>
          <w:t>https://doi.org/10.48550/arxiv.2504.19050</w:t>
        </w:r>
      </w:hyperlink>
    </w:p>
    <w:p w14:paraId="2231D68D" w14:textId="77777777" w:rsidR="008018D4" w:rsidRPr="006B6B60" w:rsidRDefault="008018D4" w:rsidP="006B6841">
      <w:pPr>
        <w:pStyle w:val="Body"/>
        <w:numPr>
          <w:ilvl w:val="0"/>
          <w:numId w:val="17"/>
        </w:numPr>
        <w:spacing w:after="0"/>
        <w:rPr>
          <w:rFonts w:ascii="Arial" w:hAnsi="Arial" w:cs="Arial"/>
        </w:rPr>
      </w:pPr>
      <w:r w:rsidRPr="006B6B60">
        <w:rPr>
          <w:rFonts w:ascii="Arial" w:hAnsi="Arial" w:cs="Arial"/>
        </w:rPr>
        <w:t xml:space="preserve">Guan, H., Chen, Z., &amp; Song, S. (2023). CORE-Sketch: On Exact Computation of Median Absolute Deviation with Limited Space. Proceedings of the VLDB Endowment, 16(11), 2832–2844. </w:t>
      </w:r>
      <w:hyperlink r:id="rId12" w:history="1">
        <w:r w:rsidR="00401C98" w:rsidRPr="006B6B60">
          <w:rPr>
            <w:rStyle w:val="Hyperlink"/>
            <w:rFonts w:ascii="Arial" w:hAnsi="Arial" w:cs="Arial"/>
          </w:rPr>
          <w:t>https://doi.org/10.14778/3611479.3611491</w:t>
        </w:r>
      </w:hyperlink>
    </w:p>
    <w:p w14:paraId="6D00A7D3" w14:textId="77777777" w:rsidR="00401C98" w:rsidRPr="006B6B60" w:rsidRDefault="00401C98" w:rsidP="00401C98">
      <w:pPr>
        <w:pStyle w:val="Body"/>
        <w:numPr>
          <w:ilvl w:val="0"/>
          <w:numId w:val="17"/>
        </w:numPr>
        <w:spacing w:after="0"/>
        <w:rPr>
          <w:rFonts w:ascii="Arial" w:hAnsi="Arial" w:cs="Arial"/>
        </w:rPr>
      </w:pPr>
      <w:r w:rsidRPr="006B6B60">
        <w:rPr>
          <w:rFonts w:ascii="Arial" w:hAnsi="Arial" w:cs="Arial"/>
        </w:rPr>
        <w:t xml:space="preserve">Prathibha, S., Puli, B., </w:t>
      </w:r>
      <w:proofErr w:type="spellStart"/>
      <w:r w:rsidRPr="006B6B60">
        <w:rPr>
          <w:rFonts w:ascii="Arial" w:hAnsi="Arial" w:cs="Arial"/>
        </w:rPr>
        <w:t>Daruvuri</w:t>
      </w:r>
      <w:proofErr w:type="spellEnd"/>
      <w:r w:rsidRPr="006B6B60">
        <w:rPr>
          <w:rFonts w:ascii="Arial" w:hAnsi="Arial" w:cs="Arial"/>
        </w:rPr>
        <w:t xml:space="preserve">, R., Sundaramoorthy, P., V, S., &amp; M, B. (2025). Financial Market Forecasting and Fraud Detection Using AGLT Ensemble Model. 1–6. </w:t>
      </w:r>
      <w:hyperlink r:id="rId13" w:history="1">
        <w:r w:rsidRPr="006B6B60">
          <w:rPr>
            <w:rStyle w:val="Hyperlink"/>
            <w:rFonts w:ascii="Arial" w:hAnsi="Arial" w:cs="Arial"/>
          </w:rPr>
          <w:t>https://doi.org/10.1109/iccct63501.2025.11019631</w:t>
        </w:r>
      </w:hyperlink>
    </w:p>
    <w:p w14:paraId="4D334A3B" w14:textId="77777777" w:rsidR="00401C98" w:rsidRPr="006B6B60" w:rsidRDefault="00401C98" w:rsidP="00401C98">
      <w:pPr>
        <w:pStyle w:val="Body"/>
        <w:numPr>
          <w:ilvl w:val="0"/>
          <w:numId w:val="17"/>
        </w:numPr>
        <w:spacing w:after="0"/>
        <w:rPr>
          <w:rFonts w:ascii="Arial" w:hAnsi="Arial" w:cs="Arial"/>
        </w:rPr>
      </w:pPr>
      <w:r w:rsidRPr="006B6B60">
        <w:rPr>
          <w:rFonts w:ascii="Arial" w:hAnsi="Arial" w:cs="Arial"/>
        </w:rPr>
        <w:t>Randal, J. (2002). Robust Volatility Estimation and Analysis of the Leverage Effect [</w:t>
      </w:r>
      <w:proofErr w:type="spellStart"/>
      <w:r w:rsidRPr="006B6B60">
        <w:rPr>
          <w:rFonts w:ascii="Arial" w:hAnsi="Arial" w:cs="Arial"/>
        </w:rPr>
        <w:t>victoria</w:t>
      </w:r>
      <w:proofErr w:type="spellEnd"/>
      <w:r w:rsidRPr="006B6B60">
        <w:rPr>
          <w:rFonts w:ascii="Arial" w:hAnsi="Arial" w:cs="Arial"/>
        </w:rPr>
        <w:t xml:space="preserve"> university of wellington library]. https://doi.org/10.26686/wgtn.16945822.v1</w:t>
      </w:r>
    </w:p>
    <w:p w14:paraId="43B38795" w14:textId="77777777" w:rsidR="008018D4" w:rsidRPr="006B6B60" w:rsidRDefault="008018D4" w:rsidP="006B6841">
      <w:pPr>
        <w:pStyle w:val="Body"/>
        <w:numPr>
          <w:ilvl w:val="0"/>
          <w:numId w:val="17"/>
        </w:numPr>
        <w:spacing w:after="0"/>
        <w:rPr>
          <w:rFonts w:ascii="Arial" w:hAnsi="Arial" w:cs="Arial"/>
        </w:rPr>
      </w:pPr>
      <w:proofErr w:type="spellStart"/>
      <w:r w:rsidRPr="006B6B60">
        <w:rPr>
          <w:rFonts w:ascii="Arial" w:hAnsi="Arial" w:cs="Arial"/>
        </w:rPr>
        <w:t>Roos-Hoefgeest</w:t>
      </w:r>
      <w:proofErr w:type="spellEnd"/>
      <w:r w:rsidRPr="006B6B60">
        <w:rPr>
          <w:rFonts w:ascii="Arial" w:hAnsi="Arial" w:cs="Arial"/>
        </w:rPr>
        <w:t xml:space="preserve"> Toribio, M., </w:t>
      </w:r>
      <w:proofErr w:type="spellStart"/>
      <w:r w:rsidRPr="006B6B60">
        <w:rPr>
          <w:rFonts w:ascii="Arial" w:hAnsi="Arial" w:cs="Arial"/>
        </w:rPr>
        <w:t>Garnung</w:t>
      </w:r>
      <w:proofErr w:type="spellEnd"/>
      <w:r w:rsidRPr="006B6B60">
        <w:rPr>
          <w:rFonts w:ascii="Arial" w:hAnsi="Arial" w:cs="Arial"/>
        </w:rPr>
        <w:t xml:space="preserve"> Menéndez, A., </w:t>
      </w:r>
      <w:proofErr w:type="spellStart"/>
      <w:r w:rsidRPr="006B6B60">
        <w:rPr>
          <w:rFonts w:ascii="Arial" w:hAnsi="Arial" w:cs="Arial"/>
        </w:rPr>
        <w:t>Roos-Hoefgeest</w:t>
      </w:r>
      <w:proofErr w:type="spellEnd"/>
      <w:r w:rsidRPr="006B6B60">
        <w:rPr>
          <w:rFonts w:ascii="Arial" w:hAnsi="Arial" w:cs="Arial"/>
        </w:rPr>
        <w:t xml:space="preserve"> Toribio, S., &amp; Álvarez García, I. (2025). A Novel Approach to Speed Up Hampel Filter for Outlier Detection. Sensors (Basel, Switzerland), 25(11), 3319. https://doi.org/10.3390/s25113319</w:t>
      </w:r>
    </w:p>
    <w:p w14:paraId="59654A46" w14:textId="77777777" w:rsidR="002D5D39" w:rsidRPr="006B6B60" w:rsidRDefault="002D5D39" w:rsidP="006B6841">
      <w:pPr>
        <w:pStyle w:val="Body"/>
        <w:numPr>
          <w:ilvl w:val="0"/>
          <w:numId w:val="17"/>
        </w:numPr>
        <w:spacing w:after="0"/>
        <w:rPr>
          <w:rFonts w:ascii="Arial" w:hAnsi="Arial" w:cs="Arial"/>
        </w:rPr>
      </w:pPr>
      <w:r w:rsidRPr="006B6B60">
        <w:rPr>
          <w:rFonts w:ascii="Arial" w:hAnsi="Arial" w:cs="Arial"/>
        </w:rPr>
        <w:t xml:space="preserve">Sikorski, M. (2025). Visibility-Graph Asymmetry as a Structural Indicator of Volatility Clustering. In ArXiv.org. </w:t>
      </w:r>
      <w:proofErr w:type="spellStart"/>
      <w:r w:rsidRPr="006B6B60">
        <w:rPr>
          <w:rFonts w:ascii="Arial" w:hAnsi="Arial" w:cs="Arial"/>
        </w:rPr>
        <w:t>Societa</w:t>
      </w:r>
      <w:proofErr w:type="spellEnd"/>
      <w:r w:rsidRPr="006B6B60">
        <w:rPr>
          <w:rFonts w:ascii="Arial" w:hAnsi="Arial" w:cs="Arial"/>
        </w:rPr>
        <w:t xml:space="preserve"> </w:t>
      </w:r>
      <w:proofErr w:type="spellStart"/>
      <w:r w:rsidRPr="006B6B60">
        <w:rPr>
          <w:rFonts w:ascii="Arial" w:hAnsi="Arial" w:cs="Arial"/>
        </w:rPr>
        <w:t>Italiana</w:t>
      </w:r>
      <w:proofErr w:type="spellEnd"/>
      <w:r w:rsidRPr="006B6B60">
        <w:rPr>
          <w:rFonts w:ascii="Arial" w:hAnsi="Arial" w:cs="Arial"/>
        </w:rPr>
        <w:t xml:space="preserve"> Di </w:t>
      </w:r>
      <w:proofErr w:type="spellStart"/>
      <w:r w:rsidRPr="006B6B60">
        <w:rPr>
          <w:rFonts w:ascii="Arial" w:hAnsi="Arial" w:cs="Arial"/>
        </w:rPr>
        <w:t>Fisica</w:t>
      </w:r>
      <w:proofErr w:type="spellEnd"/>
      <w:r w:rsidRPr="006B6B60">
        <w:rPr>
          <w:rFonts w:ascii="Arial" w:hAnsi="Arial" w:cs="Arial"/>
        </w:rPr>
        <w:t xml:space="preserve">. </w:t>
      </w:r>
      <w:hyperlink r:id="rId14" w:history="1">
        <w:r w:rsidR="008018D4" w:rsidRPr="006B6B60">
          <w:rPr>
            <w:rFonts w:ascii="Arial" w:hAnsi="Arial" w:cs="Arial"/>
          </w:rPr>
          <w:t>https://doi.org/10.48550/arxiv.2512.02352</w:t>
        </w:r>
      </w:hyperlink>
    </w:p>
    <w:p w14:paraId="1DDF55E5" w14:textId="77777777" w:rsidR="00BC3D80" w:rsidRPr="006B6B60" w:rsidRDefault="00BC3D80" w:rsidP="006B6841">
      <w:pPr>
        <w:pStyle w:val="Body"/>
        <w:numPr>
          <w:ilvl w:val="0"/>
          <w:numId w:val="17"/>
        </w:numPr>
        <w:spacing w:after="0"/>
        <w:rPr>
          <w:rFonts w:ascii="Arial" w:hAnsi="Arial" w:cs="Arial"/>
        </w:rPr>
      </w:pPr>
      <w:r w:rsidRPr="006B6B60">
        <w:rPr>
          <w:rFonts w:ascii="Arial" w:hAnsi="Arial" w:cs="Arial"/>
        </w:rPr>
        <w:t>Tan, Z., &amp; Wu, Y. (2025). On Regime Switching Models. Mathematics, 13(7), 1128. https://doi.org/10.3390/math13071128</w:t>
      </w:r>
    </w:p>
    <w:p w14:paraId="1BEEEC57" w14:textId="77777777" w:rsidR="008018D4" w:rsidRPr="006B6B60" w:rsidRDefault="008018D4" w:rsidP="006B6841">
      <w:pPr>
        <w:pStyle w:val="Body"/>
        <w:numPr>
          <w:ilvl w:val="0"/>
          <w:numId w:val="17"/>
        </w:numPr>
        <w:spacing w:after="0"/>
        <w:rPr>
          <w:rFonts w:ascii="Arial" w:hAnsi="Arial" w:cs="Arial"/>
        </w:rPr>
      </w:pPr>
      <w:r w:rsidRPr="006B6B60">
        <w:rPr>
          <w:rFonts w:ascii="Arial" w:hAnsi="Arial" w:cs="Arial"/>
        </w:rPr>
        <w:lastRenderedPageBreak/>
        <w:t xml:space="preserve">Wang, Y., Tsay, R. S., </w:t>
      </w:r>
      <w:proofErr w:type="spellStart"/>
      <w:r w:rsidRPr="006B6B60">
        <w:rPr>
          <w:rFonts w:ascii="Arial" w:hAnsi="Arial" w:cs="Arial"/>
        </w:rPr>
        <w:t>Ledolter</w:t>
      </w:r>
      <w:proofErr w:type="spellEnd"/>
      <w:r w:rsidRPr="006B6B60">
        <w:rPr>
          <w:rFonts w:ascii="Arial" w:hAnsi="Arial" w:cs="Arial"/>
        </w:rPr>
        <w:t>, J., &amp; Shrestha, K. M. (2013). Forecasting Simultaneously High</w:t>
      </w:r>
      <w:r w:rsidRPr="006B6B60">
        <w:rPr>
          <w:rFonts w:ascii="Cambria Math" w:hAnsi="Cambria Math" w:cs="Cambria Math"/>
        </w:rPr>
        <w:t>‐</w:t>
      </w:r>
      <w:r w:rsidRPr="006B6B60">
        <w:rPr>
          <w:rFonts w:ascii="Arial" w:hAnsi="Arial" w:cs="Arial"/>
        </w:rPr>
        <w:t>Dimensional Time Series: A Robust Model</w:t>
      </w:r>
      <w:r w:rsidRPr="006B6B60">
        <w:rPr>
          <w:rFonts w:ascii="Cambria Math" w:hAnsi="Cambria Math" w:cs="Cambria Math"/>
        </w:rPr>
        <w:t>‐</w:t>
      </w:r>
      <w:r w:rsidRPr="006B6B60">
        <w:rPr>
          <w:rFonts w:ascii="Arial" w:hAnsi="Arial" w:cs="Arial"/>
        </w:rPr>
        <w:t xml:space="preserve">Based Clustering Approach. Journal of Forecasting, 32(8), 673–684. </w:t>
      </w:r>
      <w:hyperlink r:id="rId15" w:history="1">
        <w:r w:rsidR="00401C98" w:rsidRPr="006B6B60">
          <w:rPr>
            <w:rStyle w:val="Hyperlink"/>
            <w:rFonts w:ascii="Arial" w:hAnsi="Arial" w:cs="Arial"/>
          </w:rPr>
          <w:t>https://doi.org/10.1002/for.2264</w:t>
        </w:r>
      </w:hyperlink>
    </w:p>
    <w:p w14:paraId="37ED7749" w14:textId="77777777" w:rsidR="00401C98" w:rsidRPr="006B6B60" w:rsidRDefault="00401C98" w:rsidP="00401C98">
      <w:pPr>
        <w:pStyle w:val="Body"/>
        <w:numPr>
          <w:ilvl w:val="0"/>
          <w:numId w:val="17"/>
        </w:numPr>
        <w:spacing w:after="0"/>
        <w:rPr>
          <w:rFonts w:ascii="Arial" w:hAnsi="Arial" w:cs="Arial"/>
        </w:rPr>
      </w:pPr>
      <w:r w:rsidRPr="006B6B60">
        <w:rPr>
          <w:rFonts w:ascii="Arial" w:hAnsi="Arial" w:cs="Arial"/>
        </w:rPr>
        <w:t>Wang, T., Cai, M., Ouyang, X., Cao, Z., Cai, T., Tan, X., &amp; Lu, X. (2022). Anomaly Detection Based on Convex Analysis: A Survey. Frontiers in Physics, 10. https://doi.org/10.3389/fphy.2022.873848</w:t>
      </w:r>
    </w:p>
    <w:p w14:paraId="2C05EF68" w14:textId="77777777" w:rsidR="002D5D39" w:rsidRPr="006B6B60" w:rsidRDefault="002D5D39" w:rsidP="006B6841">
      <w:pPr>
        <w:pStyle w:val="Body"/>
        <w:numPr>
          <w:ilvl w:val="0"/>
          <w:numId w:val="17"/>
        </w:numPr>
        <w:spacing w:after="0"/>
        <w:rPr>
          <w:rFonts w:ascii="Arial" w:hAnsi="Arial" w:cs="Arial"/>
        </w:rPr>
      </w:pPr>
      <w:r w:rsidRPr="006B6B60">
        <w:rPr>
          <w:rFonts w:ascii="Arial" w:hAnsi="Arial" w:cs="Arial"/>
        </w:rPr>
        <w:t xml:space="preserve">Zhang, X. (2025). Quantitative Risk Modeling and Portfolio Construction with ARMA-GARCH: An Empirical Study on the </w:t>
      </w:r>
      <w:proofErr w:type="spellStart"/>
      <w:r w:rsidRPr="006B6B60">
        <w:rPr>
          <w:rFonts w:ascii="Arial" w:hAnsi="Arial" w:cs="Arial"/>
        </w:rPr>
        <w:t>S&amp;</w:t>
      </w:r>
      <w:proofErr w:type="gramStart"/>
      <w:r w:rsidRPr="006B6B60">
        <w:rPr>
          <w:rFonts w:ascii="Arial" w:hAnsi="Arial" w:cs="Arial"/>
        </w:rPr>
        <w:t>amp;P</w:t>
      </w:r>
      <w:proofErr w:type="spellEnd"/>
      <w:proofErr w:type="gramEnd"/>
      <w:r w:rsidRPr="006B6B60">
        <w:rPr>
          <w:rFonts w:ascii="Arial" w:hAnsi="Arial" w:cs="Arial"/>
        </w:rPr>
        <w:t xml:space="preserve"> 500. Proceedings of Business and Economic Studies, 8(6), 151–165. </w:t>
      </w:r>
      <w:hyperlink r:id="rId16" w:history="1">
        <w:r w:rsidRPr="006B6B60">
          <w:rPr>
            <w:rFonts w:ascii="Arial" w:hAnsi="Arial" w:cs="Arial"/>
          </w:rPr>
          <w:t>https://doi.org/10.26689/pbes.v8i6.12614</w:t>
        </w:r>
      </w:hyperlink>
    </w:p>
    <w:p w14:paraId="7ABE31FC" w14:textId="77777777" w:rsidR="002D5D39" w:rsidRPr="006B6B60" w:rsidRDefault="002D5D39" w:rsidP="006B6841">
      <w:pPr>
        <w:pStyle w:val="Body"/>
        <w:numPr>
          <w:ilvl w:val="0"/>
          <w:numId w:val="17"/>
        </w:numPr>
        <w:spacing w:after="0"/>
        <w:rPr>
          <w:rFonts w:ascii="Arial" w:hAnsi="Arial" w:cs="Arial"/>
        </w:rPr>
      </w:pPr>
      <w:r w:rsidRPr="006B6B60">
        <w:rPr>
          <w:rFonts w:ascii="Arial" w:hAnsi="Arial" w:cs="Arial"/>
        </w:rPr>
        <w:t xml:space="preserve">Zhang, F., Luo, J., Zhang, Z., Huang, S., Liu, Z., &amp; Chen, Y. (2026). Beyond Visual Realism: Toward Reliable Financial Time Series Generation. In </w:t>
      </w:r>
      <w:proofErr w:type="spellStart"/>
      <w:r w:rsidRPr="006B6B60">
        <w:rPr>
          <w:rFonts w:ascii="Arial" w:hAnsi="Arial" w:cs="Arial"/>
        </w:rPr>
        <w:t>arXiv</w:t>
      </w:r>
      <w:proofErr w:type="spellEnd"/>
      <w:r w:rsidRPr="006B6B60">
        <w:rPr>
          <w:rFonts w:ascii="Arial" w:hAnsi="Arial" w:cs="Arial"/>
        </w:rPr>
        <w:t xml:space="preserve"> (Cornell University). </w:t>
      </w:r>
      <w:proofErr w:type="spellStart"/>
      <w:r w:rsidRPr="006B6B60">
        <w:rPr>
          <w:rFonts w:ascii="Arial" w:hAnsi="Arial" w:cs="Arial"/>
        </w:rPr>
        <w:t>Technische</w:t>
      </w:r>
      <w:proofErr w:type="spellEnd"/>
      <w:r w:rsidRPr="006B6B60">
        <w:rPr>
          <w:rFonts w:ascii="Arial" w:hAnsi="Arial" w:cs="Arial"/>
        </w:rPr>
        <w:t xml:space="preserve"> </w:t>
      </w:r>
      <w:proofErr w:type="spellStart"/>
      <w:r w:rsidRPr="006B6B60">
        <w:rPr>
          <w:rFonts w:ascii="Arial" w:hAnsi="Arial" w:cs="Arial"/>
        </w:rPr>
        <w:t>Universitat</w:t>
      </w:r>
      <w:proofErr w:type="spellEnd"/>
      <w:r w:rsidRPr="006B6B60">
        <w:rPr>
          <w:rFonts w:ascii="Arial" w:hAnsi="Arial" w:cs="Arial"/>
        </w:rPr>
        <w:t xml:space="preserve"> Dresden. https://doi.org/10.48550/arxiv.2601.12990</w:t>
      </w:r>
    </w:p>
    <w:p w14:paraId="6D907C24" w14:textId="77777777" w:rsidR="002D5D39" w:rsidRPr="006B6B60" w:rsidRDefault="002D5D39" w:rsidP="002D5D39">
      <w:pPr>
        <w:jc w:val="both"/>
        <w:rPr>
          <w:rFonts w:ascii="Arial" w:eastAsiaTheme="minorEastAsia" w:hAnsi="Arial" w:cs="Arial"/>
          <w:bCs/>
          <w:sz w:val="20"/>
          <w:szCs w:val="20"/>
        </w:rPr>
      </w:pPr>
    </w:p>
    <w:p w14:paraId="5AF76AFC" w14:textId="77777777" w:rsidR="002D5D39" w:rsidRPr="006B6B60" w:rsidRDefault="002D5D39" w:rsidP="002D5D39">
      <w:pPr>
        <w:jc w:val="both"/>
        <w:rPr>
          <w:rFonts w:ascii="Arial" w:eastAsiaTheme="minorEastAsia" w:hAnsi="Arial" w:cs="Arial"/>
          <w:bCs/>
          <w:sz w:val="20"/>
          <w:szCs w:val="20"/>
        </w:rPr>
      </w:pPr>
    </w:p>
    <w:p w14:paraId="60D033C4" w14:textId="77777777" w:rsidR="005C51B9" w:rsidRPr="006B6B60" w:rsidRDefault="005C51B9" w:rsidP="005C51B9">
      <w:pPr>
        <w:jc w:val="both"/>
        <w:rPr>
          <w:rFonts w:ascii="Arial" w:eastAsiaTheme="minorEastAsia" w:hAnsi="Arial" w:cs="Arial"/>
          <w:bCs/>
          <w:sz w:val="20"/>
          <w:szCs w:val="20"/>
        </w:rPr>
      </w:pPr>
    </w:p>
    <w:p w14:paraId="2E5EC776" w14:textId="77777777" w:rsidR="005C51B9" w:rsidRPr="006B6B60" w:rsidRDefault="005C51B9" w:rsidP="005C51B9">
      <w:pPr>
        <w:jc w:val="both"/>
        <w:rPr>
          <w:rFonts w:ascii="Arial" w:eastAsiaTheme="minorEastAsia" w:hAnsi="Arial" w:cs="Arial"/>
          <w:bCs/>
          <w:sz w:val="20"/>
          <w:szCs w:val="20"/>
        </w:rPr>
      </w:pPr>
    </w:p>
    <w:p w14:paraId="0516CADE" w14:textId="77777777" w:rsidR="005C51B9" w:rsidRPr="006B6B60" w:rsidRDefault="005C51B9" w:rsidP="00CB7DAD">
      <w:pPr>
        <w:jc w:val="both"/>
        <w:rPr>
          <w:rFonts w:ascii="Arial" w:eastAsiaTheme="minorEastAsia" w:hAnsi="Arial" w:cs="Arial"/>
          <w:bCs/>
          <w:sz w:val="20"/>
          <w:szCs w:val="20"/>
        </w:rPr>
      </w:pPr>
    </w:p>
    <w:p w14:paraId="567167AF" w14:textId="77777777" w:rsidR="00D35277" w:rsidRPr="006B6B60" w:rsidRDefault="00D35277" w:rsidP="004B7404">
      <w:pPr>
        <w:jc w:val="both"/>
        <w:rPr>
          <w:rFonts w:ascii="Arial" w:eastAsiaTheme="minorEastAsia" w:hAnsi="Arial" w:cs="Arial"/>
          <w:bCs/>
          <w:sz w:val="20"/>
          <w:szCs w:val="20"/>
        </w:rPr>
      </w:pPr>
    </w:p>
    <w:p w14:paraId="57A397E3" w14:textId="77777777" w:rsidR="00D35277" w:rsidRPr="006B6B60" w:rsidRDefault="00D35277" w:rsidP="004B7404">
      <w:pPr>
        <w:ind w:left="720"/>
        <w:jc w:val="both"/>
        <w:rPr>
          <w:rFonts w:ascii="Arial" w:eastAsiaTheme="minorEastAsia" w:hAnsi="Arial" w:cs="Arial"/>
          <w:bCs/>
          <w:sz w:val="20"/>
          <w:szCs w:val="20"/>
        </w:rPr>
      </w:pPr>
    </w:p>
    <w:p w14:paraId="3A06CE36" w14:textId="77777777" w:rsidR="001A7A81" w:rsidRPr="006B6B60" w:rsidRDefault="001A7A81" w:rsidP="004B7404">
      <w:pPr>
        <w:ind w:left="720"/>
        <w:jc w:val="both"/>
        <w:rPr>
          <w:rFonts w:ascii="Arial" w:eastAsiaTheme="minorEastAsia" w:hAnsi="Arial" w:cs="Arial"/>
          <w:bCs/>
          <w:sz w:val="20"/>
          <w:szCs w:val="20"/>
        </w:rPr>
      </w:pPr>
    </w:p>
    <w:p w14:paraId="3221B2ED" w14:textId="77777777" w:rsidR="001A7A81" w:rsidRPr="006B6B60" w:rsidRDefault="001A7A81" w:rsidP="004B7404">
      <w:pPr>
        <w:jc w:val="both"/>
        <w:rPr>
          <w:rFonts w:ascii="Arial" w:eastAsiaTheme="minorEastAsia" w:hAnsi="Arial" w:cs="Arial"/>
          <w:bCs/>
          <w:sz w:val="20"/>
          <w:szCs w:val="20"/>
        </w:rPr>
      </w:pPr>
    </w:p>
    <w:p w14:paraId="51DA089C" w14:textId="77777777" w:rsidR="001A7A81" w:rsidRPr="006B6B60" w:rsidRDefault="001A7A81" w:rsidP="004B7404">
      <w:pPr>
        <w:jc w:val="both"/>
        <w:rPr>
          <w:rFonts w:ascii="Arial" w:eastAsiaTheme="minorEastAsia" w:hAnsi="Arial" w:cs="Arial"/>
          <w:bCs/>
          <w:sz w:val="20"/>
          <w:szCs w:val="20"/>
        </w:rPr>
      </w:pPr>
    </w:p>
    <w:p w14:paraId="348932B2" w14:textId="77777777" w:rsidR="001A7A81" w:rsidRPr="006B6B60" w:rsidRDefault="001A7A81" w:rsidP="004B7404">
      <w:pPr>
        <w:jc w:val="both"/>
        <w:rPr>
          <w:rFonts w:ascii="Arial" w:eastAsiaTheme="minorEastAsia" w:hAnsi="Arial" w:cs="Arial"/>
          <w:bCs/>
          <w:sz w:val="20"/>
          <w:szCs w:val="20"/>
        </w:rPr>
      </w:pPr>
    </w:p>
    <w:p w14:paraId="0E6AB155"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 </w:t>
      </w:r>
    </w:p>
    <w:p w14:paraId="2E21B51D" w14:textId="77777777" w:rsidR="001A7A81" w:rsidRPr="006B6B60" w:rsidRDefault="001A7A81" w:rsidP="004B7404">
      <w:pPr>
        <w:jc w:val="both"/>
        <w:rPr>
          <w:rFonts w:ascii="Arial" w:eastAsiaTheme="minorEastAsia" w:hAnsi="Arial" w:cs="Arial"/>
          <w:bCs/>
          <w:sz w:val="20"/>
          <w:szCs w:val="20"/>
        </w:rPr>
      </w:pPr>
    </w:p>
    <w:p w14:paraId="5E2DEBF4" w14:textId="77777777" w:rsidR="001A7A81" w:rsidRPr="006B6B60" w:rsidRDefault="001A7A81" w:rsidP="004B7404">
      <w:pPr>
        <w:jc w:val="both"/>
        <w:rPr>
          <w:rFonts w:ascii="Arial" w:eastAsiaTheme="minorEastAsia" w:hAnsi="Arial" w:cs="Arial"/>
          <w:b/>
          <w:bCs/>
          <w:sz w:val="20"/>
          <w:szCs w:val="20"/>
        </w:rPr>
      </w:pPr>
    </w:p>
    <w:p w14:paraId="22C1E85A" w14:textId="77777777" w:rsidR="00115985" w:rsidRPr="006B6B60" w:rsidRDefault="00115985" w:rsidP="004B7404">
      <w:pPr>
        <w:jc w:val="both"/>
        <w:rPr>
          <w:rFonts w:ascii="Arial" w:eastAsiaTheme="minorEastAsia" w:hAnsi="Arial" w:cs="Arial"/>
          <w:sz w:val="20"/>
          <w:szCs w:val="20"/>
        </w:rPr>
      </w:pPr>
    </w:p>
    <w:p w14:paraId="03FB9014" w14:textId="77777777" w:rsidR="00115985" w:rsidRPr="006B6B60" w:rsidRDefault="00115985" w:rsidP="004B7404">
      <w:pPr>
        <w:jc w:val="both"/>
        <w:rPr>
          <w:rFonts w:ascii="Arial" w:eastAsiaTheme="minorEastAsia" w:hAnsi="Arial" w:cs="Arial"/>
          <w:sz w:val="20"/>
          <w:szCs w:val="20"/>
        </w:rPr>
      </w:pPr>
    </w:p>
    <w:p w14:paraId="64D2F866" w14:textId="77777777" w:rsidR="00115985" w:rsidRPr="006B6B60" w:rsidRDefault="00115985" w:rsidP="004B7404">
      <w:pPr>
        <w:jc w:val="both"/>
        <w:rPr>
          <w:rFonts w:ascii="Arial" w:eastAsiaTheme="minorEastAsia" w:hAnsi="Arial" w:cs="Arial"/>
          <w:sz w:val="20"/>
          <w:szCs w:val="20"/>
        </w:rPr>
      </w:pPr>
    </w:p>
    <w:p w14:paraId="0C90568C" w14:textId="77777777" w:rsidR="00115985" w:rsidRPr="006B6B60" w:rsidRDefault="00115985" w:rsidP="004B7404">
      <w:pPr>
        <w:jc w:val="both"/>
        <w:rPr>
          <w:rFonts w:ascii="Arial" w:eastAsiaTheme="minorEastAsia" w:hAnsi="Arial" w:cs="Arial"/>
          <w:sz w:val="20"/>
          <w:szCs w:val="20"/>
        </w:rPr>
      </w:pPr>
    </w:p>
    <w:p w14:paraId="1854E525" w14:textId="77777777" w:rsidR="004B7EE6" w:rsidRPr="006B6B60" w:rsidRDefault="004B7EE6" w:rsidP="004B7404">
      <w:pPr>
        <w:jc w:val="both"/>
        <w:rPr>
          <w:rFonts w:ascii="Arial" w:hAnsi="Arial" w:cs="Arial"/>
          <w:sz w:val="24"/>
        </w:rPr>
      </w:pPr>
    </w:p>
    <w:sectPr w:rsidR="004B7EE6" w:rsidRPr="006B6B6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A25CB" w14:textId="77777777" w:rsidR="00793B26" w:rsidRDefault="00793B26" w:rsidP="00C77271">
      <w:pPr>
        <w:spacing w:after="0" w:line="240" w:lineRule="auto"/>
      </w:pPr>
      <w:r>
        <w:separator/>
      </w:r>
    </w:p>
  </w:endnote>
  <w:endnote w:type="continuationSeparator" w:id="0">
    <w:p w14:paraId="1D246B25" w14:textId="77777777" w:rsidR="00793B26" w:rsidRDefault="00793B26" w:rsidP="00C7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A856" w14:textId="77777777" w:rsidR="0017233B" w:rsidRDefault="0017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EBCB" w14:textId="77777777" w:rsidR="0017233B" w:rsidRDefault="00172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A6D7" w14:textId="77777777" w:rsidR="0017233B" w:rsidRDefault="0017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32E9B" w14:textId="77777777" w:rsidR="00793B26" w:rsidRDefault="00793B26" w:rsidP="00C77271">
      <w:pPr>
        <w:spacing w:after="0" w:line="240" w:lineRule="auto"/>
      </w:pPr>
      <w:r>
        <w:separator/>
      </w:r>
    </w:p>
  </w:footnote>
  <w:footnote w:type="continuationSeparator" w:id="0">
    <w:p w14:paraId="6EBEB7F4" w14:textId="77777777" w:rsidR="00793B26" w:rsidRDefault="00793B26" w:rsidP="00C7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C141" w14:textId="07B903EF" w:rsidR="0017233B" w:rsidRDefault="0017233B">
    <w:pPr>
      <w:pStyle w:val="Header"/>
    </w:pPr>
    <w:r>
      <w:rPr>
        <w:noProof/>
      </w:rPr>
      <w:pict w14:anchorId="31F7B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7DE4" w14:textId="3D9965B8" w:rsidR="0017233B" w:rsidRDefault="0017233B">
    <w:pPr>
      <w:pStyle w:val="Header"/>
    </w:pPr>
    <w:r>
      <w:rPr>
        <w:noProof/>
      </w:rPr>
      <w:pict w14:anchorId="503FE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078A" w14:textId="33279094" w:rsidR="0017233B" w:rsidRDefault="0017233B">
    <w:pPr>
      <w:pStyle w:val="Header"/>
    </w:pPr>
    <w:r>
      <w:rPr>
        <w:noProof/>
      </w:rPr>
      <w:pict w14:anchorId="11458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225"/>
    <w:multiLevelType w:val="hybridMultilevel"/>
    <w:tmpl w:val="2B9EA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2C72BE"/>
    <w:multiLevelType w:val="multilevel"/>
    <w:tmpl w:val="6AD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8610E"/>
    <w:multiLevelType w:val="multilevel"/>
    <w:tmpl w:val="302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53EF7"/>
    <w:multiLevelType w:val="hybridMultilevel"/>
    <w:tmpl w:val="89E8F4DE"/>
    <w:lvl w:ilvl="0" w:tplc="A2843EEC">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E408E8"/>
    <w:multiLevelType w:val="multilevel"/>
    <w:tmpl w:val="28BC0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623BB"/>
    <w:multiLevelType w:val="multilevel"/>
    <w:tmpl w:val="0A0A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03531"/>
    <w:multiLevelType w:val="multilevel"/>
    <w:tmpl w:val="9B8A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A1696"/>
    <w:multiLevelType w:val="multilevel"/>
    <w:tmpl w:val="740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2766B"/>
    <w:multiLevelType w:val="multilevel"/>
    <w:tmpl w:val="683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05388"/>
    <w:multiLevelType w:val="multilevel"/>
    <w:tmpl w:val="BCE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40714"/>
    <w:multiLevelType w:val="hybridMultilevel"/>
    <w:tmpl w:val="9A147C2C"/>
    <w:lvl w:ilvl="0" w:tplc="A2843EEC">
      <w:start w:val="1"/>
      <w:numFmt w:val="decimal"/>
      <w:lvlText w:val="%1."/>
      <w:lvlJc w:val="center"/>
      <w:pPr>
        <w:ind w:left="720" w:hanging="360"/>
      </w:pPr>
      <w:rPr>
        <w:rFonts w:hint="default"/>
      </w:rPr>
    </w:lvl>
    <w:lvl w:ilvl="1" w:tplc="A2843EEC">
      <w:start w:val="1"/>
      <w:numFmt w:val="decimal"/>
      <w:lvlText w:val="%2."/>
      <w:lvlJc w:val="center"/>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02573E"/>
    <w:multiLevelType w:val="multilevel"/>
    <w:tmpl w:val="56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959A0"/>
    <w:multiLevelType w:val="hybridMultilevel"/>
    <w:tmpl w:val="202465B8"/>
    <w:lvl w:ilvl="0" w:tplc="A2843EEC">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E01EE7"/>
    <w:multiLevelType w:val="multilevel"/>
    <w:tmpl w:val="70B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77A05"/>
    <w:multiLevelType w:val="multilevel"/>
    <w:tmpl w:val="DDD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350AC"/>
    <w:multiLevelType w:val="multilevel"/>
    <w:tmpl w:val="37A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906F2"/>
    <w:multiLevelType w:val="multilevel"/>
    <w:tmpl w:val="317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5"/>
  </w:num>
  <w:num w:numId="4">
    <w:abstractNumId w:val="2"/>
  </w:num>
  <w:num w:numId="5">
    <w:abstractNumId w:val="11"/>
  </w:num>
  <w:num w:numId="6">
    <w:abstractNumId w:val="4"/>
  </w:num>
  <w:num w:numId="7">
    <w:abstractNumId w:val="14"/>
  </w:num>
  <w:num w:numId="8">
    <w:abstractNumId w:val="8"/>
  </w:num>
  <w:num w:numId="9">
    <w:abstractNumId w:val="5"/>
  </w:num>
  <w:num w:numId="10">
    <w:abstractNumId w:val="13"/>
  </w:num>
  <w:num w:numId="11">
    <w:abstractNumId w:val="7"/>
  </w:num>
  <w:num w:numId="12">
    <w:abstractNumId w:val="16"/>
  </w:num>
  <w:num w:numId="13">
    <w:abstractNumId w:val="9"/>
  </w:num>
  <w:num w:numId="14">
    <w:abstractNumId w:val="0"/>
  </w:num>
  <w:num w:numId="15">
    <w:abstractNumId w:val="12"/>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E6"/>
    <w:rsid w:val="00115985"/>
    <w:rsid w:val="0017233B"/>
    <w:rsid w:val="0019553D"/>
    <w:rsid w:val="001A7A81"/>
    <w:rsid w:val="001E6DA0"/>
    <w:rsid w:val="002A5795"/>
    <w:rsid w:val="002C39AD"/>
    <w:rsid w:val="002D5D39"/>
    <w:rsid w:val="0031022A"/>
    <w:rsid w:val="003E2F64"/>
    <w:rsid w:val="00401C98"/>
    <w:rsid w:val="0041658C"/>
    <w:rsid w:val="004515DC"/>
    <w:rsid w:val="00457F29"/>
    <w:rsid w:val="004B7404"/>
    <w:rsid w:val="004B7EE6"/>
    <w:rsid w:val="00510229"/>
    <w:rsid w:val="00543D2D"/>
    <w:rsid w:val="005A5197"/>
    <w:rsid w:val="005C51B9"/>
    <w:rsid w:val="005E093A"/>
    <w:rsid w:val="0061307B"/>
    <w:rsid w:val="0065449E"/>
    <w:rsid w:val="006A7E04"/>
    <w:rsid w:val="006B6841"/>
    <w:rsid w:val="006B6B60"/>
    <w:rsid w:val="006D4904"/>
    <w:rsid w:val="006D5FF9"/>
    <w:rsid w:val="006F3780"/>
    <w:rsid w:val="007248D9"/>
    <w:rsid w:val="00745959"/>
    <w:rsid w:val="007665D4"/>
    <w:rsid w:val="00793B26"/>
    <w:rsid w:val="008018D4"/>
    <w:rsid w:val="00890728"/>
    <w:rsid w:val="00A174C6"/>
    <w:rsid w:val="00A21D9D"/>
    <w:rsid w:val="00A32984"/>
    <w:rsid w:val="00A37F36"/>
    <w:rsid w:val="00A71165"/>
    <w:rsid w:val="00BC3D80"/>
    <w:rsid w:val="00BF0975"/>
    <w:rsid w:val="00C07B8F"/>
    <w:rsid w:val="00C52296"/>
    <w:rsid w:val="00C77271"/>
    <w:rsid w:val="00C94257"/>
    <w:rsid w:val="00CB7DAD"/>
    <w:rsid w:val="00D1050B"/>
    <w:rsid w:val="00D24B06"/>
    <w:rsid w:val="00D35277"/>
    <w:rsid w:val="00D822F7"/>
    <w:rsid w:val="00E232F5"/>
    <w:rsid w:val="00E4495F"/>
    <w:rsid w:val="00E5769A"/>
    <w:rsid w:val="00F1041A"/>
    <w:rsid w:val="00F439FD"/>
    <w:rsid w:val="00F92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29E17"/>
  <w15:chartTrackingRefBased/>
  <w15:docId w15:val="{7C4D8AD4-98C4-4F95-9FB9-E5FA6AA1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2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10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7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EE6"/>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1022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102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7A8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3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229"/>
    <w:pPr>
      <w:ind w:left="720"/>
      <w:contextualSpacing/>
    </w:pPr>
  </w:style>
  <w:style w:type="paragraph" w:customStyle="1" w:styleId="AbstHead">
    <w:name w:val="Abst Head"/>
    <w:basedOn w:val="Normal"/>
    <w:rsid w:val="00510229"/>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510229"/>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C94257"/>
    <w:pPr>
      <w:spacing w:after="0" w:line="280" w:lineRule="exact"/>
      <w:jc w:val="right"/>
    </w:pPr>
    <w:rPr>
      <w:rFonts w:ascii="Helvetica" w:eastAsia="Times New Roman" w:hAnsi="Helvetica" w:cs="Times New Roman"/>
      <w:b/>
      <w:sz w:val="24"/>
      <w:szCs w:val="20"/>
      <w:lang w:val="en-US"/>
    </w:rPr>
  </w:style>
  <w:style w:type="paragraph" w:styleId="Header">
    <w:name w:val="header"/>
    <w:basedOn w:val="Normal"/>
    <w:link w:val="HeaderChar"/>
    <w:uiPriority w:val="99"/>
    <w:unhideWhenUsed/>
    <w:rsid w:val="00C77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271"/>
  </w:style>
  <w:style w:type="paragraph" w:styleId="Footer">
    <w:name w:val="footer"/>
    <w:basedOn w:val="Normal"/>
    <w:link w:val="FooterChar"/>
    <w:uiPriority w:val="99"/>
    <w:unhideWhenUsed/>
    <w:rsid w:val="00C77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271"/>
  </w:style>
  <w:style w:type="character" w:styleId="Hyperlink">
    <w:name w:val="Hyperlink"/>
    <w:basedOn w:val="DefaultParagraphFont"/>
    <w:uiPriority w:val="99"/>
    <w:unhideWhenUsed/>
    <w:rsid w:val="002D5D39"/>
    <w:rPr>
      <w:color w:val="0563C1" w:themeColor="hyperlink"/>
      <w:u w:val="single"/>
    </w:rPr>
  </w:style>
  <w:style w:type="character" w:styleId="UnresolvedMention">
    <w:name w:val="Unresolved Mention"/>
    <w:basedOn w:val="DefaultParagraphFont"/>
    <w:uiPriority w:val="99"/>
    <w:semiHidden/>
    <w:unhideWhenUsed/>
    <w:rsid w:val="006F3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7172800">
      <w:bodyDiv w:val="1"/>
      <w:marLeft w:val="0"/>
      <w:marRight w:val="0"/>
      <w:marTop w:val="0"/>
      <w:marBottom w:val="0"/>
      <w:divBdr>
        <w:top w:val="none" w:sz="0" w:space="0" w:color="auto"/>
        <w:left w:val="none" w:sz="0" w:space="0" w:color="auto"/>
        <w:bottom w:val="none" w:sz="0" w:space="0" w:color="auto"/>
        <w:right w:val="none" w:sz="0" w:space="0" w:color="auto"/>
      </w:divBdr>
    </w:div>
    <w:div w:id="20401259">
      <w:bodyDiv w:val="1"/>
      <w:marLeft w:val="0"/>
      <w:marRight w:val="0"/>
      <w:marTop w:val="0"/>
      <w:marBottom w:val="0"/>
      <w:divBdr>
        <w:top w:val="none" w:sz="0" w:space="0" w:color="auto"/>
        <w:left w:val="none" w:sz="0" w:space="0" w:color="auto"/>
        <w:bottom w:val="none" w:sz="0" w:space="0" w:color="auto"/>
        <w:right w:val="none" w:sz="0" w:space="0" w:color="auto"/>
      </w:divBdr>
    </w:div>
    <w:div w:id="42684381">
      <w:bodyDiv w:val="1"/>
      <w:marLeft w:val="0"/>
      <w:marRight w:val="0"/>
      <w:marTop w:val="0"/>
      <w:marBottom w:val="0"/>
      <w:divBdr>
        <w:top w:val="none" w:sz="0" w:space="0" w:color="auto"/>
        <w:left w:val="none" w:sz="0" w:space="0" w:color="auto"/>
        <w:bottom w:val="none" w:sz="0" w:space="0" w:color="auto"/>
        <w:right w:val="none" w:sz="0" w:space="0" w:color="auto"/>
      </w:divBdr>
    </w:div>
    <w:div w:id="49546935">
      <w:bodyDiv w:val="1"/>
      <w:marLeft w:val="0"/>
      <w:marRight w:val="0"/>
      <w:marTop w:val="0"/>
      <w:marBottom w:val="0"/>
      <w:divBdr>
        <w:top w:val="none" w:sz="0" w:space="0" w:color="auto"/>
        <w:left w:val="none" w:sz="0" w:space="0" w:color="auto"/>
        <w:bottom w:val="none" w:sz="0" w:space="0" w:color="auto"/>
        <w:right w:val="none" w:sz="0" w:space="0" w:color="auto"/>
      </w:divBdr>
    </w:div>
    <w:div w:id="52386920">
      <w:bodyDiv w:val="1"/>
      <w:marLeft w:val="0"/>
      <w:marRight w:val="0"/>
      <w:marTop w:val="0"/>
      <w:marBottom w:val="0"/>
      <w:divBdr>
        <w:top w:val="none" w:sz="0" w:space="0" w:color="auto"/>
        <w:left w:val="none" w:sz="0" w:space="0" w:color="auto"/>
        <w:bottom w:val="none" w:sz="0" w:space="0" w:color="auto"/>
        <w:right w:val="none" w:sz="0" w:space="0" w:color="auto"/>
      </w:divBdr>
    </w:div>
    <w:div w:id="62684197">
      <w:bodyDiv w:val="1"/>
      <w:marLeft w:val="0"/>
      <w:marRight w:val="0"/>
      <w:marTop w:val="0"/>
      <w:marBottom w:val="0"/>
      <w:divBdr>
        <w:top w:val="none" w:sz="0" w:space="0" w:color="auto"/>
        <w:left w:val="none" w:sz="0" w:space="0" w:color="auto"/>
        <w:bottom w:val="none" w:sz="0" w:space="0" w:color="auto"/>
        <w:right w:val="none" w:sz="0" w:space="0" w:color="auto"/>
      </w:divBdr>
    </w:div>
    <w:div w:id="76901744">
      <w:bodyDiv w:val="1"/>
      <w:marLeft w:val="0"/>
      <w:marRight w:val="0"/>
      <w:marTop w:val="0"/>
      <w:marBottom w:val="0"/>
      <w:divBdr>
        <w:top w:val="none" w:sz="0" w:space="0" w:color="auto"/>
        <w:left w:val="none" w:sz="0" w:space="0" w:color="auto"/>
        <w:bottom w:val="none" w:sz="0" w:space="0" w:color="auto"/>
        <w:right w:val="none" w:sz="0" w:space="0" w:color="auto"/>
      </w:divBdr>
    </w:div>
    <w:div w:id="78798397">
      <w:bodyDiv w:val="1"/>
      <w:marLeft w:val="0"/>
      <w:marRight w:val="0"/>
      <w:marTop w:val="0"/>
      <w:marBottom w:val="0"/>
      <w:divBdr>
        <w:top w:val="none" w:sz="0" w:space="0" w:color="auto"/>
        <w:left w:val="none" w:sz="0" w:space="0" w:color="auto"/>
        <w:bottom w:val="none" w:sz="0" w:space="0" w:color="auto"/>
        <w:right w:val="none" w:sz="0" w:space="0" w:color="auto"/>
      </w:divBdr>
    </w:div>
    <w:div w:id="94331552">
      <w:bodyDiv w:val="1"/>
      <w:marLeft w:val="0"/>
      <w:marRight w:val="0"/>
      <w:marTop w:val="0"/>
      <w:marBottom w:val="0"/>
      <w:divBdr>
        <w:top w:val="none" w:sz="0" w:space="0" w:color="auto"/>
        <w:left w:val="none" w:sz="0" w:space="0" w:color="auto"/>
        <w:bottom w:val="none" w:sz="0" w:space="0" w:color="auto"/>
        <w:right w:val="none" w:sz="0" w:space="0" w:color="auto"/>
      </w:divBdr>
    </w:div>
    <w:div w:id="95683803">
      <w:bodyDiv w:val="1"/>
      <w:marLeft w:val="0"/>
      <w:marRight w:val="0"/>
      <w:marTop w:val="0"/>
      <w:marBottom w:val="0"/>
      <w:divBdr>
        <w:top w:val="none" w:sz="0" w:space="0" w:color="auto"/>
        <w:left w:val="none" w:sz="0" w:space="0" w:color="auto"/>
        <w:bottom w:val="none" w:sz="0" w:space="0" w:color="auto"/>
        <w:right w:val="none" w:sz="0" w:space="0" w:color="auto"/>
      </w:divBdr>
    </w:div>
    <w:div w:id="96145658">
      <w:bodyDiv w:val="1"/>
      <w:marLeft w:val="0"/>
      <w:marRight w:val="0"/>
      <w:marTop w:val="0"/>
      <w:marBottom w:val="0"/>
      <w:divBdr>
        <w:top w:val="none" w:sz="0" w:space="0" w:color="auto"/>
        <w:left w:val="none" w:sz="0" w:space="0" w:color="auto"/>
        <w:bottom w:val="none" w:sz="0" w:space="0" w:color="auto"/>
        <w:right w:val="none" w:sz="0" w:space="0" w:color="auto"/>
      </w:divBdr>
    </w:div>
    <w:div w:id="99303921">
      <w:bodyDiv w:val="1"/>
      <w:marLeft w:val="0"/>
      <w:marRight w:val="0"/>
      <w:marTop w:val="0"/>
      <w:marBottom w:val="0"/>
      <w:divBdr>
        <w:top w:val="none" w:sz="0" w:space="0" w:color="auto"/>
        <w:left w:val="none" w:sz="0" w:space="0" w:color="auto"/>
        <w:bottom w:val="none" w:sz="0" w:space="0" w:color="auto"/>
        <w:right w:val="none" w:sz="0" w:space="0" w:color="auto"/>
      </w:divBdr>
    </w:div>
    <w:div w:id="104858986">
      <w:bodyDiv w:val="1"/>
      <w:marLeft w:val="0"/>
      <w:marRight w:val="0"/>
      <w:marTop w:val="0"/>
      <w:marBottom w:val="0"/>
      <w:divBdr>
        <w:top w:val="none" w:sz="0" w:space="0" w:color="auto"/>
        <w:left w:val="none" w:sz="0" w:space="0" w:color="auto"/>
        <w:bottom w:val="none" w:sz="0" w:space="0" w:color="auto"/>
        <w:right w:val="none" w:sz="0" w:space="0" w:color="auto"/>
      </w:divBdr>
    </w:div>
    <w:div w:id="116215811">
      <w:bodyDiv w:val="1"/>
      <w:marLeft w:val="0"/>
      <w:marRight w:val="0"/>
      <w:marTop w:val="0"/>
      <w:marBottom w:val="0"/>
      <w:divBdr>
        <w:top w:val="none" w:sz="0" w:space="0" w:color="auto"/>
        <w:left w:val="none" w:sz="0" w:space="0" w:color="auto"/>
        <w:bottom w:val="none" w:sz="0" w:space="0" w:color="auto"/>
        <w:right w:val="none" w:sz="0" w:space="0" w:color="auto"/>
      </w:divBdr>
    </w:div>
    <w:div w:id="120466177">
      <w:bodyDiv w:val="1"/>
      <w:marLeft w:val="0"/>
      <w:marRight w:val="0"/>
      <w:marTop w:val="0"/>
      <w:marBottom w:val="0"/>
      <w:divBdr>
        <w:top w:val="none" w:sz="0" w:space="0" w:color="auto"/>
        <w:left w:val="none" w:sz="0" w:space="0" w:color="auto"/>
        <w:bottom w:val="none" w:sz="0" w:space="0" w:color="auto"/>
        <w:right w:val="none" w:sz="0" w:space="0" w:color="auto"/>
      </w:divBdr>
    </w:div>
    <w:div w:id="129906623">
      <w:bodyDiv w:val="1"/>
      <w:marLeft w:val="0"/>
      <w:marRight w:val="0"/>
      <w:marTop w:val="0"/>
      <w:marBottom w:val="0"/>
      <w:divBdr>
        <w:top w:val="none" w:sz="0" w:space="0" w:color="auto"/>
        <w:left w:val="none" w:sz="0" w:space="0" w:color="auto"/>
        <w:bottom w:val="none" w:sz="0" w:space="0" w:color="auto"/>
        <w:right w:val="none" w:sz="0" w:space="0" w:color="auto"/>
      </w:divBdr>
    </w:div>
    <w:div w:id="137041497">
      <w:bodyDiv w:val="1"/>
      <w:marLeft w:val="0"/>
      <w:marRight w:val="0"/>
      <w:marTop w:val="0"/>
      <w:marBottom w:val="0"/>
      <w:divBdr>
        <w:top w:val="none" w:sz="0" w:space="0" w:color="auto"/>
        <w:left w:val="none" w:sz="0" w:space="0" w:color="auto"/>
        <w:bottom w:val="none" w:sz="0" w:space="0" w:color="auto"/>
        <w:right w:val="none" w:sz="0" w:space="0" w:color="auto"/>
      </w:divBdr>
    </w:div>
    <w:div w:id="151485892">
      <w:bodyDiv w:val="1"/>
      <w:marLeft w:val="0"/>
      <w:marRight w:val="0"/>
      <w:marTop w:val="0"/>
      <w:marBottom w:val="0"/>
      <w:divBdr>
        <w:top w:val="none" w:sz="0" w:space="0" w:color="auto"/>
        <w:left w:val="none" w:sz="0" w:space="0" w:color="auto"/>
        <w:bottom w:val="none" w:sz="0" w:space="0" w:color="auto"/>
        <w:right w:val="none" w:sz="0" w:space="0" w:color="auto"/>
      </w:divBdr>
    </w:div>
    <w:div w:id="181239599">
      <w:bodyDiv w:val="1"/>
      <w:marLeft w:val="0"/>
      <w:marRight w:val="0"/>
      <w:marTop w:val="0"/>
      <w:marBottom w:val="0"/>
      <w:divBdr>
        <w:top w:val="none" w:sz="0" w:space="0" w:color="auto"/>
        <w:left w:val="none" w:sz="0" w:space="0" w:color="auto"/>
        <w:bottom w:val="none" w:sz="0" w:space="0" w:color="auto"/>
        <w:right w:val="none" w:sz="0" w:space="0" w:color="auto"/>
      </w:divBdr>
    </w:div>
    <w:div w:id="183444063">
      <w:bodyDiv w:val="1"/>
      <w:marLeft w:val="0"/>
      <w:marRight w:val="0"/>
      <w:marTop w:val="0"/>
      <w:marBottom w:val="0"/>
      <w:divBdr>
        <w:top w:val="none" w:sz="0" w:space="0" w:color="auto"/>
        <w:left w:val="none" w:sz="0" w:space="0" w:color="auto"/>
        <w:bottom w:val="none" w:sz="0" w:space="0" w:color="auto"/>
        <w:right w:val="none" w:sz="0" w:space="0" w:color="auto"/>
      </w:divBdr>
    </w:div>
    <w:div w:id="183910533">
      <w:bodyDiv w:val="1"/>
      <w:marLeft w:val="0"/>
      <w:marRight w:val="0"/>
      <w:marTop w:val="0"/>
      <w:marBottom w:val="0"/>
      <w:divBdr>
        <w:top w:val="none" w:sz="0" w:space="0" w:color="auto"/>
        <w:left w:val="none" w:sz="0" w:space="0" w:color="auto"/>
        <w:bottom w:val="none" w:sz="0" w:space="0" w:color="auto"/>
        <w:right w:val="none" w:sz="0" w:space="0" w:color="auto"/>
      </w:divBdr>
    </w:div>
    <w:div w:id="184098473">
      <w:bodyDiv w:val="1"/>
      <w:marLeft w:val="0"/>
      <w:marRight w:val="0"/>
      <w:marTop w:val="0"/>
      <w:marBottom w:val="0"/>
      <w:divBdr>
        <w:top w:val="none" w:sz="0" w:space="0" w:color="auto"/>
        <w:left w:val="none" w:sz="0" w:space="0" w:color="auto"/>
        <w:bottom w:val="none" w:sz="0" w:space="0" w:color="auto"/>
        <w:right w:val="none" w:sz="0" w:space="0" w:color="auto"/>
      </w:divBdr>
    </w:div>
    <w:div w:id="218830316">
      <w:bodyDiv w:val="1"/>
      <w:marLeft w:val="0"/>
      <w:marRight w:val="0"/>
      <w:marTop w:val="0"/>
      <w:marBottom w:val="0"/>
      <w:divBdr>
        <w:top w:val="none" w:sz="0" w:space="0" w:color="auto"/>
        <w:left w:val="none" w:sz="0" w:space="0" w:color="auto"/>
        <w:bottom w:val="none" w:sz="0" w:space="0" w:color="auto"/>
        <w:right w:val="none" w:sz="0" w:space="0" w:color="auto"/>
      </w:divBdr>
    </w:div>
    <w:div w:id="287325106">
      <w:bodyDiv w:val="1"/>
      <w:marLeft w:val="0"/>
      <w:marRight w:val="0"/>
      <w:marTop w:val="0"/>
      <w:marBottom w:val="0"/>
      <w:divBdr>
        <w:top w:val="none" w:sz="0" w:space="0" w:color="auto"/>
        <w:left w:val="none" w:sz="0" w:space="0" w:color="auto"/>
        <w:bottom w:val="none" w:sz="0" w:space="0" w:color="auto"/>
        <w:right w:val="none" w:sz="0" w:space="0" w:color="auto"/>
      </w:divBdr>
    </w:div>
    <w:div w:id="287710708">
      <w:bodyDiv w:val="1"/>
      <w:marLeft w:val="0"/>
      <w:marRight w:val="0"/>
      <w:marTop w:val="0"/>
      <w:marBottom w:val="0"/>
      <w:divBdr>
        <w:top w:val="none" w:sz="0" w:space="0" w:color="auto"/>
        <w:left w:val="none" w:sz="0" w:space="0" w:color="auto"/>
        <w:bottom w:val="none" w:sz="0" w:space="0" w:color="auto"/>
        <w:right w:val="none" w:sz="0" w:space="0" w:color="auto"/>
      </w:divBdr>
    </w:div>
    <w:div w:id="288634573">
      <w:bodyDiv w:val="1"/>
      <w:marLeft w:val="0"/>
      <w:marRight w:val="0"/>
      <w:marTop w:val="0"/>
      <w:marBottom w:val="0"/>
      <w:divBdr>
        <w:top w:val="none" w:sz="0" w:space="0" w:color="auto"/>
        <w:left w:val="none" w:sz="0" w:space="0" w:color="auto"/>
        <w:bottom w:val="none" w:sz="0" w:space="0" w:color="auto"/>
        <w:right w:val="none" w:sz="0" w:space="0" w:color="auto"/>
      </w:divBdr>
    </w:div>
    <w:div w:id="289286467">
      <w:bodyDiv w:val="1"/>
      <w:marLeft w:val="0"/>
      <w:marRight w:val="0"/>
      <w:marTop w:val="0"/>
      <w:marBottom w:val="0"/>
      <w:divBdr>
        <w:top w:val="none" w:sz="0" w:space="0" w:color="auto"/>
        <w:left w:val="none" w:sz="0" w:space="0" w:color="auto"/>
        <w:bottom w:val="none" w:sz="0" w:space="0" w:color="auto"/>
        <w:right w:val="none" w:sz="0" w:space="0" w:color="auto"/>
      </w:divBdr>
    </w:div>
    <w:div w:id="297229585">
      <w:bodyDiv w:val="1"/>
      <w:marLeft w:val="0"/>
      <w:marRight w:val="0"/>
      <w:marTop w:val="0"/>
      <w:marBottom w:val="0"/>
      <w:divBdr>
        <w:top w:val="none" w:sz="0" w:space="0" w:color="auto"/>
        <w:left w:val="none" w:sz="0" w:space="0" w:color="auto"/>
        <w:bottom w:val="none" w:sz="0" w:space="0" w:color="auto"/>
        <w:right w:val="none" w:sz="0" w:space="0" w:color="auto"/>
      </w:divBdr>
    </w:div>
    <w:div w:id="301038171">
      <w:bodyDiv w:val="1"/>
      <w:marLeft w:val="0"/>
      <w:marRight w:val="0"/>
      <w:marTop w:val="0"/>
      <w:marBottom w:val="0"/>
      <w:divBdr>
        <w:top w:val="none" w:sz="0" w:space="0" w:color="auto"/>
        <w:left w:val="none" w:sz="0" w:space="0" w:color="auto"/>
        <w:bottom w:val="none" w:sz="0" w:space="0" w:color="auto"/>
        <w:right w:val="none" w:sz="0" w:space="0" w:color="auto"/>
      </w:divBdr>
    </w:div>
    <w:div w:id="312758931">
      <w:bodyDiv w:val="1"/>
      <w:marLeft w:val="0"/>
      <w:marRight w:val="0"/>
      <w:marTop w:val="0"/>
      <w:marBottom w:val="0"/>
      <w:divBdr>
        <w:top w:val="none" w:sz="0" w:space="0" w:color="auto"/>
        <w:left w:val="none" w:sz="0" w:space="0" w:color="auto"/>
        <w:bottom w:val="none" w:sz="0" w:space="0" w:color="auto"/>
        <w:right w:val="none" w:sz="0" w:space="0" w:color="auto"/>
      </w:divBdr>
    </w:div>
    <w:div w:id="312833519">
      <w:bodyDiv w:val="1"/>
      <w:marLeft w:val="0"/>
      <w:marRight w:val="0"/>
      <w:marTop w:val="0"/>
      <w:marBottom w:val="0"/>
      <w:divBdr>
        <w:top w:val="none" w:sz="0" w:space="0" w:color="auto"/>
        <w:left w:val="none" w:sz="0" w:space="0" w:color="auto"/>
        <w:bottom w:val="none" w:sz="0" w:space="0" w:color="auto"/>
        <w:right w:val="none" w:sz="0" w:space="0" w:color="auto"/>
      </w:divBdr>
    </w:div>
    <w:div w:id="330836678">
      <w:bodyDiv w:val="1"/>
      <w:marLeft w:val="0"/>
      <w:marRight w:val="0"/>
      <w:marTop w:val="0"/>
      <w:marBottom w:val="0"/>
      <w:divBdr>
        <w:top w:val="none" w:sz="0" w:space="0" w:color="auto"/>
        <w:left w:val="none" w:sz="0" w:space="0" w:color="auto"/>
        <w:bottom w:val="none" w:sz="0" w:space="0" w:color="auto"/>
        <w:right w:val="none" w:sz="0" w:space="0" w:color="auto"/>
      </w:divBdr>
    </w:div>
    <w:div w:id="335573923">
      <w:bodyDiv w:val="1"/>
      <w:marLeft w:val="0"/>
      <w:marRight w:val="0"/>
      <w:marTop w:val="0"/>
      <w:marBottom w:val="0"/>
      <w:divBdr>
        <w:top w:val="none" w:sz="0" w:space="0" w:color="auto"/>
        <w:left w:val="none" w:sz="0" w:space="0" w:color="auto"/>
        <w:bottom w:val="none" w:sz="0" w:space="0" w:color="auto"/>
        <w:right w:val="none" w:sz="0" w:space="0" w:color="auto"/>
      </w:divBdr>
    </w:div>
    <w:div w:id="339966254">
      <w:bodyDiv w:val="1"/>
      <w:marLeft w:val="0"/>
      <w:marRight w:val="0"/>
      <w:marTop w:val="0"/>
      <w:marBottom w:val="0"/>
      <w:divBdr>
        <w:top w:val="none" w:sz="0" w:space="0" w:color="auto"/>
        <w:left w:val="none" w:sz="0" w:space="0" w:color="auto"/>
        <w:bottom w:val="none" w:sz="0" w:space="0" w:color="auto"/>
        <w:right w:val="none" w:sz="0" w:space="0" w:color="auto"/>
      </w:divBdr>
    </w:div>
    <w:div w:id="360713942">
      <w:bodyDiv w:val="1"/>
      <w:marLeft w:val="0"/>
      <w:marRight w:val="0"/>
      <w:marTop w:val="0"/>
      <w:marBottom w:val="0"/>
      <w:divBdr>
        <w:top w:val="none" w:sz="0" w:space="0" w:color="auto"/>
        <w:left w:val="none" w:sz="0" w:space="0" w:color="auto"/>
        <w:bottom w:val="none" w:sz="0" w:space="0" w:color="auto"/>
        <w:right w:val="none" w:sz="0" w:space="0" w:color="auto"/>
      </w:divBdr>
    </w:div>
    <w:div w:id="364865611">
      <w:bodyDiv w:val="1"/>
      <w:marLeft w:val="0"/>
      <w:marRight w:val="0"/>
      <w:marTop w:val="0"/>
      <w:marBottom w:val="0"/>
      <w:divBdr>
        <w:top w:val="none" w:sz="0" w:space="0" w:color="auto"/>
        <w:left w:val="none" w:sz="0" w:space="0" w:color="auto"/>
        <w:bottom w:val="none" w:sz="0" w:space="0" w:color="auto"/>
        <w:right w:val="none" w:sz="0" w:space="0" w:color="auto"/>
      </w:divBdr>
    </w:div>
    <w:div w:id="374504779">
      <w:bodyDiv w:val="1"/>
      <w:marLeft w:val="0"/>
      <w:marRight w:val="0"/>
      <w:marTop w:val="0"/>
      <w:marBottom w:val="0"/>
      <w:divBdr>
        <w:top w:val="none" w:sz="0" w:space="0" w:color="auto"/>
        <w:left w:val="none" w:sz="0" w:space="0" w:color="auto"/>
        <w:bottom w:val="none" w:sz="0" w:space="0" w:color="auto"/>
        <w:right w:val="none" w:sz="0" w:space="0" w:color="auto"/>
      </w:divBdr>
    </w:div>
    <w:div w:id="407657188">
      <w:bodyDiv w:val="1"/>
      <w:marLeft w:val="0"/>
      <w:marRight w:val="0"/>
      <w:marTop w:val="0"/>
      <w:marBottom w:val="0"/>
      <w:divBdr>
        <w:top w:val="none" w:sz="0" w:space="0" w:color="auto"/>
        <w:left w:val="none" w:sz="0" w:space="0" w:color="auto"/>
        <w:bottom w:val="none" w:sz="0" w:space="0" w:color="auto"/>
        <w:right w:val="none" w:sz="0" w:space="0" w:color="auto"/>
      </w:divBdr>
    </w:div>
    <w:div w:id="417486034">
      <w:bodyDiv w:val="1"/>
      <w:marLeft w:val="0"/>
      <w:marRight w:val="0"/>
      <w:marTop w:val="0"/>
      <w:marBottom w:val="0"/>
      <w:divBdr>
        <w:top w:val="none" w:sz="0" w:space="0" w:color="auto"/>
        <w:left w:val="none" w:sz="0" w:space="0" w:color="auto"/>
        <w:bottom w:val="none" w:sz="0" w:space="0" w:color="auto"/>
        <w:right w:val="none" w:sz="0" w:space="0" w:color="auto"/>
      </w:divBdr>
    </w:div>
    <w:div w:id="435297005">
      <w:bodyDiv w:val="1"/>
      <w:marLeft w:val="0"/>
      <w:marRight w:val="0"/>
      <w:marTop w:val="0"/>
      <w:marBottom w:val="0"/>
      <w:divBdr>
        <w:top w:val="none" w:sz="0" w:space="0" w:color="auto"/>
        <w:left w:val="none" w:sz="0" w:space="0" w:color="auto"/>
        <w:bottom w:val="none" w:sz="0" w:space="0" w:color="auto"/>
        <w:right w:val="none" w:sz="0" w:space="0" w:color="auto"/>
      </w:divBdr>
      <w:divsChild>
        <w:div w:id="1569996121">
          <w:marLeft w:val="0"/>
          <w:marRight w:val="0"/>
          <w:marTop w:val="0"/>
          <w:marBottom w:val="0"/>
          <w:divBdr>
            <w:top w:val="none" w:sz="0" w:space="0" w:color="auto"/>
            <w:left w:val="none" w:sz="0" w:space="0" w:color="auto"/>
            <w:bottom w:val="none" w:sz="0" w:space="0" w:color="auto"/>
            <w:right w:val="none" w:sz="0" w:space="0" w:color="auto"/>
          </w:divBdr>
          <w:divsChild>
            <w:div w:id="1427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3608">
      <w:bodyDiv w:val="1"/>
      <w:marLeft w:val="0"/>
      <w:marRight w:val="0"/>
      <w:marTop w:val="0"/>
      <w:marBottom w:val="0"/>
      <w:divBdr>
        <w:top w:val="none" w:sz="0" w:space="0" w:color="auto"/>
        <w:left w:val="none" w:sz="0" w:space="0" w:color="auto"/>
        <w:bottom w:val="none" w:sz="0" w:space="0" w:color="auto"/>
        <w:right w:val="none" w:sz="0" w:space="0" w:color="auto"/>
      </w:divBdr>
    </w:div>
    <w:div w:id="450369862">
      <w:bodyDiv w:val="1"/>
      <w:marLeft w:val="0"/>
      <w:marRight w:val="0"/>
      <w:marTop w:val="0"/>
      <w:marBottom w:val="0"/>
      <w:divBdr>
        <w:top w:val="none" w:sz="0" w:space="0" w:color="auto"/>
        <w:left w:val="none" w:sz="0" w:space="0" w:color="auto"/>
        <w:bottom w:val="none" w:sz="0" w:space="0" w:color="auto"/>
        <w:right w:val="none" w:sz="0" w:space="0" w:color="auto"/>
      </w:divBdr>
    </w:div>
    <w:div w:id="467623296">
      <w:bodyDiv w:val="1"/>
      <w:marLeft w:val="0"/>
      <w:marRight w:val="0"/>
      <w:marTop w:val="0"/>
      <w:marBottom w:val="0"/>
      <w:divBdr>
        <w:top w:val="none" w:sz="0" w:space="0" w:color="auto"/>
        <w:left w:val="none" w:sz="0" w:space="0" w:color="auto"/>
        <w:bottom w:val="none" w:sz="0" w:space="0" w:color="auto"/>
        <w:right w:val="none" w:sz="0" w:space="0" w:color="auto"/>
      </w:divBdr>
    </w:div>
    <w:div w:id="481895068">
      <w:bodyDiv w:val="1"/>
      <w:marLeft w:val="0"/>
      <w:marRight w:val="0"/>
      <w:marTop w:val="0"/>
      <w:marBottom w:val="0"/>
      <w:divBdr>
        <w:top w:val="none" w:sz="0" w:space="0" w:color="auto"/>
        <w:left w:val="none" w:sz="0" w:space="0" w:color="auto"/>
        <w:bottom w:val="none" w:sz="0" w:space="0" w:color="auto"/>
        <w:right w:val="none" w:sz="0" w:space="0" w:color="auto"/>
      </w:divBdr>
    </w:div>
    <w:div w:id="481964725">
      <w:bodyDiv w:val="1"/>
      <w:marLeft w:val="0"/>
      <w:marRight w:val="0"/>
      <w:marTop w:val="0"/>
      <w:marBottom w:val="0"/>
      <w:divBdr>
        <w:top w:val="none" w:sz="0" w:space="0" w:color="auto"/>
        <w:left w:val="none" w:sz="0" w:space="0" w:color="auto"/>
        <w:bottom w:val="none" w:sz="0" w:space="0" w:color="auto"/>
        <w:right w:val="none" w:sz="0" w:space="0" w:color="auto"/>
      </w:divBdr>
    </w:div>
    <w:div w:id="487402783">
      <w:bodyDiv w:val="1"/>
      <w:marLeft w:val="0"/>
      <w:marRight w:val="0"/>
      <w:marTop w:val="0"/>
      <w:marBottom w:val="0"/>
      <w:divBdr>
        <w:top w:val="none" w:sz="0" w:space="0" w:color="auto"/>
        <w:left w:val="none" w:sz="0" w:space="0" w:color="auto"/>
        <w:bottom w:val="none" w:sz="0" w:space="0" w:color="auto"/>
        <w:right w:val="none" w:sz="0" w:space="0" w:color="auto"/>
      </w:divBdr>
    </w:div>
    <w:div w:id="512383160">
      <w:bodyDiv w:val="1"/>
      <w:marLeft w:val="0"/>
      <w:marRight w:val="0"/>
      <w:marTop w:val="0"/>
      <w:marBottom w:val="0"/>
      <w:divBdr>
        <w:top w:val="none" w:sz="0" w:space="0" w:color="auto"/>
        <w:left w:val="none" w:sz="0" w:space="0" w:color="auto"/>
        <w:bottom w:val="none" w:sz="0" w:space="0" w:color="auto"/>
        <w:right w:val="none" w:sz="0" w:space="0" w:color="auto"/>
      </w:divBdr>
    </w:div>
    <w:div w:id="544953301">
      <w:bodyDiv w:val="1"/>
      <w:marLeft w:val="0"/>
      <w:marRight w:val="0"/>
      <w:marTop w:val="0"/>
      <w:marBottom w:val="0"/>
      <w:divBdr>
        <w:top w:val="none" w:sz="0" w:space="0" w:color="auto"/>
        <w:left w:val="none" w:sz="0" w:space="0" w:color="auto"/>
        <w:bottom w:val="none" w:sz="0" w:space="0" w:color="auto"/>
        <w:right w:val="none" w:sz="0" w:space="0" w:color="auto"/>
      </w:divBdr>
    </w:div>
    <w:div w:id="549609076">
      <w:bodyDiv w:val="1"/>
      <w:marLeft w:val="0"/>
      <w:marRight w:val="0"/>
      <w:marTop w:val="0"/>
      <w:marBottom w:val="0"/>
      <w:divBdr>
        <w:top w:val="none" w:sz="0" w:space="0" w:color="auto"/>
        <w:left w:val="none" w:sz="0" w:space="0" w:color="auto"/>
        <w:bottom w:val="none" w:sz="0" w:space="0" w:color="auto"/>
        <w:right w:val="none" w:sz="0" w:space="0" w:color="auto"/>
      </w:divBdr>
    </w:div>
    <w:div w:id="554775117">
      <w:bodyDiv w:val="1"/>
      <w:marLeft w:val="0"/>
      <w:marRight w:val="0"/>
      <w:marTop w:val="0"/>
      <w:marBottom w:val="0"/>
      <w:divBdr>
        <w:top w:val="none" w:sz="0" w:space="0" w:color="auto"/>
        <w:left w:val="none" w:sz="0" w:space="0" w:color="auto"/>
        <w:bottom w:val="none" w:sz="0" w:space="0" w:color="auto"/>
        <w:right w:val="none" w:sz="0" w:space="0" w:color="auto"/>
      </w:divBdr>
    </w:div>
    <w:div w:id="557981923">
      <w:bodyDiv w:val="1"/>
      <w:marLeft w:val="0"/>
      <w:marRight w:val="0"/>
      <w:marTop w:val="0"/>
      <w:marBottom w:val="0"/>
      <w:divBdr>
        <w:top w:val="none" w:sz="0" w:space="0" w:color="auto"/>
        <w:left w:val="none" w:sz="0" w:space="0" w:color="auto"/>
        <w:bottom w:val="none" w:sz="0" w:space="0" w:color="auto"/>
        <w:right w:val="none" w:sz="0" w:space="0" w:color="auto"/>
      </w:divBdr>
    </w:div>
    <w:div w:id="560405568">
      <w:bodyDiv w:val="1"/>
      <w:marLeft w:val="0"/>
      <w:marRight w:val="0"/>
      <w:marTop w:val="0"/>
      <w:marBottom w:val="0"/>
      <w:divBdr>
        <w:top w:val="none" w:sz="0" w:space="0" w:color="auto"/>
        <w:left w:val="none" w:sz="0" w:space="0" w:color="auto"/>
        <w:bottom w:val="none" w:sz="0" w:space="0" w:color="auto"/>
        <w:right w:val="none" w:sz="0" w:space="0" w:color="auto"/>
      </w:divBdr>
    </w:div>
    <w:div w:id="566457564">
      <w:bodyDiv w:val="1"/>
      <w:marLeft w:val="0"/>
      <w:marRight w:val="0"/>
      <w:marTop w:val="0"/>
      <w:marBottom w:val="0"/>
      <w:divBdr>
        <w:top w:val="none" w:sz="0" w:space="0" w:color="auto"/>
        <w:left w:val="none" w:sz="0" w:space="0" w:color="auto"/>
        <w:bottom w:val="none" w:sz="0" w:space="0" w:color="auto"/>
        <w:right w:val="none" w:sz="0" w:space="0" w:color="auto"/>
      </w:divBdr>
    </w:div>
    <w:div w:id="592058218">
      <w:bodyDiv w:val="1"/>
      <w:marLeft w:val="0"/>
      <w:marRight w:val="0"/>
      <w:marTop w:val="0"/>
      <w:marBottom w:val="0"/>
      <w:divBdr>
        <w:top w:val="none" w:sz="0" w:space="0" w:color="auto"/>
        <w:left w:val="none" w:sz="0" w:space="0" w:color="auto"/>
        <w:bottom w:val="none" w:sz="0" w:space="0" w:color="auto"/>
        <w:right w:val="none" w:sz="0" w:space="0" w:color="auto"/>
      </w:divBdr>
    </w:div>
    <w:div w:id="596140652">
      <w:bodyDiv w:val="1"/>
      <w:marLeft w:val="0"/>
      <w:marRight w:val="0"/>
      <w:marTop w:val="0"/>
      <w:marBottom w:val="0"/>
      <w:divBdr>
        <w:top w:val="none" w:sz="0" w:space="0" w:color="auto"/>
        <w:left w:val="none" w:sz="0" w:space="0" w:color="auto"/>
        <w:bottom w:val="none" w:sz="0" w:space="0" w:color="auto"/>
        <w:right w:val="none" w:sz="0" w:space="0" w:color="auto"/>
      </w:divBdr>
    </w:div>
    <w:div w:id="604188310">
      <w:bodyDiv w:val="1"/>
      <w:marLeft w:val="0"/>
      <w:marRight w:val="0"/>
      <w:marTop w:val="0"/>
      <w:marBottom w:val="0"/>
      <w:divBdr>
        <w:top w:val="none" w:sz="0" w:space="0" w:color="auto"/>
        <w:left w:val="none" w:sz="0" w:space="0" w:color="auto"/>
        <w:bottom w:val="none" w:sz="0" w:space="0" w:color="auto"/>
        <w:right w:val="none" w:sz="0" w:space="0" w:color="auto"/>
      </w:divBdr>
    </w:div>
    <w:div w:id="607781376">
      <w:bodyDiv w:val="1"/>
      <w:marLeft w:val="0"/>
      <w:marRight w:val="0"/>
      <w:marTop w:val="0"/>
      <w:marBottom w:val="0"/>
      <w:divBdr>
        <w:top w:val="none" w:sz="0" w:space="0" w:color="auto"/>
        <w:left w:val="none" w:sz="0" w:space="0" w:color="auto"/>
        <w:bottom w:val="none" w:sz="0" w:space="0" w:color="auto"/>
        <w:right w:val="none" w:sz="0" w:space="0" w:color="auto"/>
      </w:divBdr>
    </w:div>
    <w:div w:id="617295964">
      <w:bodyDiv w:val="1"/>
      <w:marLeft w:val="0"/>
      <w:marRight w:val="0"/>
      <w:marTop w:val="0"/>
      <w:marBottom w:val="0"/>
      <w:divBdr>
        <w:top w:val="none" w:sz="0" w:space="0" w:color="auto"/>
        <w:left w:val="none" w:sz="0" w:space="0" w:color="auto"/>
        <w:bottom w:val="none" w:sz="0" w:space="0" w:color="auto"/>
        <w:right w:val="none" w:sz="0" w:space="0" w:color="auto"/>
      </w:divBdr>
    </w:div>
    <w:div w:id="628631254">
      <w:bodyDiv w:val="1"/>
      <w:marLeft w:val="0"/>
      <w:marRight w:val="0"/>
      <w:marTop w:val="0"/>
      <w:marBottom w:val="0"/>
      <w:divBdr>
        <w:top w:val="none" w:sz="0" w:space="0" w:color="auto"/>
        <w:left w:val="none" w:sz="0" w:space="0" w:color="auto"/>
        <w:bottom w:val="none" w:sz="0" w:space="0" w:color="auto"/>
        <w:right w:val="none" w:sz="0" w:space="0" w:color="auto"/>
      </w:divBdr>
    </w:div>
    <w:div w:id="649017107">
      <w:bodyDiv w:val="1"/>
      <w:marLeft w:val="0"/>
      <w:marRight w:val="0"/>
      <w:marTop w:val="0"/>
      <w:marBottom w:val="0"/>
      <w:divBdr>
        <w:top w:val="none" w:sz="0" w:space="0" w:color="auto"/>
        <w:left w:val="none" w:sz="0" w:space="0" w:color="auto"/>
        <w:bottom w:val="none" w:sz="0" w:space="0" w:color="auto"/>
        <w:right w:val="none" w:sz="0" w:space="0" w:color="auto"/>
      </w:divBdr>
    </w:div>
    <w:div w:id="661009657">
      <w:bodyDiv w:val="1"/>
      <w:marLeft w:val="0"/>
      <w:marRight w:val="0"/>
      <w:marTop w:val="0"/>
      <w:marBottom w:val="0"/>
      <w:divBdr>
        <w:top w:val="none" w:sz="0" w:space="0" w:color="auto"/>
        <w:left w:val="none" w:sz="0" w:space="0" w:color="auto"/>
        <w:bottom w:val="none" w:sz="0" w:space="0" w:color="auto"/>
        <w:right w:val="none" w:sz="0" w:space="0" w:color="auto"/>
      </w:divBdr>
    </w:div>
    <w:div w:id="676350229">
      <w:bodyDiv w:val="1"/>
      <w:marLeft w:val="0"/>
      <w:marRight w:val="0"/>
      <w:marTop w:val="0"/>
      <w:marBottom w:val="0"/>
      <w:divBdr>
        <w:top w:val="none" w:sz="0" w:space="0" w:color="auto"/>
        <w:left w:val="none" w:sz="0" w:space="0" w:color="auto"/>
        <w:bottom w:val="none" w:sz="0" w:space="0" w:color="auto"/>
        <w:right w:val="none" w:sz="0" w:space="0" w:color="auto"/>
      </w:divBdr>
    </w:div>
    <w:div w:id="677658875">
      <w:bodyDiv w:val="1"/>
      <w:marLeft w:val="0"/>
      <w:marRight w:val="0"/>
      <w:marTop w:val="0"/>
      <w:marBottom w:val="0"/>
      <w:divBdr>
        <w:top w:val="none" w:sz="0" w:space="0" w:color="auto"/>
        <w:left w:val="none" w:sz="0" w:space="0" w:color="auto"/>
        <w:bottom w:val="none" w:sz="0" w:space="0" w:color="auto"/>
        <w:right w:val="none" w:sz="0" w:space="0" w:color="auto"/>
      </w:divBdr>
    </w:div>
    <w:div w:id="764497713">
      <w:bodyDiv w:val="1"/>
      <w:marLeft w:val="0"/>
      <w:marRight w:val="0"/>
      <w:marTop w:val="0"/>
      <w:marBottom w:val="0"/>
      <w:divBdr>
        <w:top w:val="none" w:sz="0" w:space="0" w:color="auto"/>
        <w:left w:val="none" w:sz="0" w:space="0" w:color="auto"/>
        <w:bottom w:val="none" w:sz="0" w:space="0" w:color="auto"/>
        <w:right w:val="none" w:sz="0" w:space="0" w:color="auto"/>
      </w:divBdr>
    </w:div>
    <w:div w:id="788624644">
      <w:bodyDiv w:val="1"/>
      <w:marLeft w:val="0"/>
      <w:marRight w:val="0"/>
      <w:marTop w:val="0"/>
      <w:marBottom w:val="0"/>
      <w:divBdr>
        <w:top w:val="none" w:sz="0" w:space="0" w:color="auto"/>
        <w:left w:val="none" w:sz="0" w:space="0" w:color="auto"/>
        <w:bottom w:val="none" w:sz="0" w:space="0" w:color="auto"/>
        <w:right w:val="none" w:sz="0" w:space="0" w:color="auto"/>
      </w:divBdr>
    </w:div>
    <w:div w:id="813452415">
      <w:bodyDiv w:val="1"/>
      <w:marLeft w:val="0"/>
      <w:marRight w:val="0"/>
      <w:marTop w:val="0"/>
      <w:marBottom w:val="0"/>
      <w:divBdr>
        <w:top w:val="none" w:sz="0" w:space="0" w:color="auto"/>
        <w:left w:val="none" w:sz="0" w:space="0" w:color="auto"/>
        <w:bottom w:val="none" w:sz="0" w:space="0" w:color="auto"/>
        <w:right w:val="none" w:sz="0" w:space="0" w:color="auto"/>
      </w:divBdr>
    </w:div>
    <w:div w:id="827406034">
      <w:bodyDiv w:val="1"/>
      <w:marLeft w:val="0"/>
      <w:marRight w:val="0"/>
      <w:marTop w:val="0"/>
      <w:marBottom w:val="0"/>
      <w:divBdr>
        <w:top w:val="none" w:sz="0" w:space="0" w:color="auto"/>
        <w:left w:val="none" w:sz="0" w:space="0" w:color="auto"/>
        <w:bottom w:val="none" w:sz="0" w:space="0" w:color="auto"/>
        <w:right w:val="none" w:sz="0" w:space="0" w:color="auto"/>
      </w:divBdr>
    </w:div>
    <w:div w:id="839126534">
      <w:bodyDiv w:val="1"/>
      <w:marLeft w:val="0"/>
      <w:marRight w:val="0"/>
      <w:marTop w:val="0"/>
      <w:marBottom w:val="0"/>
      <w:divBdr>
        <w:top w:val="none" w:sz="0" w:space="0" w:color="auto"/>
        <w:left w:val="none" w:sz="0" w:space="0" w:color="auto"/>
        <w:bottom w:val="none" w:sz="0" w:space="0" w:color="auto"/>
        <w:right w:val="none" w:sz="0" w:space="0" w:color="auto"/>
      </w:divBdr>
    </w:div>
    <w:div w:id="840660797">
      <w:bodyDiv w:val="1"/>
      <w:marLeft w:val="0"/>
      <w:marRight w:val="0"/>
      <w:marTop w:val="0"/>
      <w:marBottom w:val="0"/>
      <w:divBdr>
        <w:top w:val="none" w:sz="0" w:space="0" w:color="auto"/>
        <w:left w:val="none" w:sz="0" w:space="0" w:color="auto"/>
        <w:bottom w:val="none" w:sz="0" w:space="0" w:color="auto"/>
        <w:right w:val="none" w:sz="0" w:space="0" w:color="auto"/>
      </w:divBdr>
      <w:divsChild>
        <w:div w:id="180093743">
          <w:marLeft w:val="0"/>
          <w:marRight w:val="0"/>
          <w:marTop w:val="0"/>
          <w:marBottom w:val="0"/>
          <w:divBdr>
            <w:top w:val="none" w:sz="0" w:space="0" w:color="auto"/>
            <w:left w:val="none" w:sz="0" w:space="0" w:color="auto"/>
            <w:bottom w:val="none" w:sz="0" w:space="0" w:color="auto"/>
            <w:right w:val="none" w:sz="0" w:space="0" w:color="auto"/>
          </w:divBdr>
          <w:divsChild>
            <w:div w:id="21473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759">
      <w:bodyDiv w:val="1"/>
      <w:marLeft w:val="0"/>
      <w:marRight w:val="0"/>
      <w:marTop w:val="0"/>
      <w:marBottom w:val="0"/>
      <w:divBdr>
        <w:top w:val="none" w:sz="0" w:space="0" w:color="auto"/>
        <w:left w:val="none" w:sz="0" w:space="0" w:color="auto"/>
        <w:bottom w:val="none" w:sz="0" w:space="0" w:color="auto"/>
        <w:right w:val="none" w:sz="0" w:space="0" w:color="auto"/>
      </w:divBdr>
    </w:div>
    <w:div w:id="867182848">
      <w:bodyDiv w:val="1"/>
      <w:marLeft w:val="0"/>
      <w:marRight w:val="0"/>
      <w:marTop w:val="0"/>
      <w:marBottom w:val="0"/>
      <w:divBdr>
        <w:top w:val="none" w:sz="0" w:space="0" w:color="auto"/>
        <w:left w:val="none" w:sz="0" w:space="0" w:color="auto"/>
        <w:bottom w:val="none" w:sz="0" w:space="0" w:color="auto"/>
        <w:right w:val="none" w:sz="0" w:space="0" w:color="auto"/>
      </w:divBdr>
    </w:div>
    <w:div w:id="869562605">
      <w:bodyDiv w:val="1"/>
      <w:marLeft w:val="0"/>
      <w:marRight w:val="0"/>
      <w:marTop w:val="0"/>
      <w:marBottom w:val="0"/>
      <w:divBdr>
        <w:top w:val="none" w:sz="0" w:space="0" w:color="auto"/>
        <w:left w:val="none" w:sz="0" w:space="0" w:color="auto"/>
        <w:bottom w:val="none" w:sz="0" w:space="0" w:color="auto"/>
        <w:right w:val="none" w:sz="0" w:space="0" w:color="auto"/>
      </w:divBdr>
    </w:div>
    <w:div w:id="887568484">
      <w:bodyDiv w:val="1"/>
      <w:marLeft w:val="0"/>
      <w:marRight w:val="0"/>
      <w:marTop w:val="0"/>
      <w:marBottom w:val="0"/>
      <w:divBdr>
        <w:top w:val="none" w:sz="0" w:space="0" w:color="auto"/>
        <w:left w:val="none" w:sz="0" w:space="0" w:color="auto"/>
        <w:bottom w:val="none" w:sz="0" w:space="0" w:color="auto"/>
        <w:right w:val="none" w:sz="0" w:space="0" w:color="auto"/>
      </w:divBdr>
    </w:div>
    <w:div w:id="914363943">
      <w:bodyDiv w:val="1"/>
      <w:marLeft w:val="0"/>
      <w:marRight w:val="0"/>
      <w:marTop w:val="0"/>
      <w:marBottom w:val="0"/>
      <w:divBdr>
        <w:top w:val="none" w:sz="0" w:space="0" w:color="auto"/>
        <w:left w:val="none" w:sz="0" w:space="0" w:color="auto"/>
        <w:bottom w:val="none" w:sz="0" w:space="0" w:color="auto"/>
        <w:right w:val="none" w:sz="0" w:space="0" w:color="auto"/>
      </w:divBdr>
    </w:div>
    <w:div w:id="924220596">
      <w:bodyDiv w:val="1"/>
      <w:marLeft w:val="0"/>
      <w:marRight w:val="0"/>
      <w:marTop w:val="0"/>
      <w:marBottom w:val="0"/>
      <w:divBdr>
        <w:top w:val="none" w:sz="0" w:space="0" w:color="auto"/>
        <w:left w:val="none" w:sz="0" w:space="0" w:color="auto"/>
        <w:bottom w:val="none" w:sz="0" w:space="0" w:color="auto"/>
        <w:right w:val="none" w:sz="0" w:space="0" w:color="auto"/>
      </w:divBdr>
    </w:div>
    <w:div w:id="932936908">
      <w:bodyDiv w:val="1"/>
      <w:marLeft w:val="0"/>
      <w:marRight w:val="0"/>
      <w:marTop w:val="0"/>
      <w:marBottom w:val="0"/>
      <w:divBdr>
        <w:top w:val="none" w:sz="0" w:space="0" w:color="auto"/>
        <w:left w:val="none" w:sz="0" w:space="0" w:color="auto"/>
        <w:bottom w:val="none" w:sz="0" w:space="0" w:color="auto"/>
        <w:right w:val="none" w:sz="0" w:space="0" w:color="auto"/>
      </w:divBdr>
      <w:divsChild>
        <w:div w:id="1532300377">
          <w:marLeft w:val="0"/>
          <w:marRight w:val="0"/>
          <w:marTop w:val="0"/>
          <w:marBottom w:val="0"/>
          <w:divBdr>
            <w:top w:val="none" w:sz="0" w:space="0" w:color="auto"/>
            <w:left w:val="none" w:sz="0" w:space="0" w:color="auto"/>
            <w:bottom w:val="none" w:sz="0" w:space="0" w:color="auto"/>
            <w:right w:val="none" w:sz="0" w:space="0" w:color="auto"/>
          </w:divBdr>
          <w:divsChild>
            <w:div w:id="1959069435">
              <w:marLeft w:val="0"/>
              <w:marRight w:val="0"/>
              <w:marTop w:val="0"/>
              <w:marBottom w:val="0"/>
              <w:divBdr>
                <w:top w:val="none" w:sz="0" w:space="0" w:color="auto"/>
                <w:left w:val="none" w:sz="0" w:space="0" w:color="auto"/>
                <w:bottom w:val="none" w:sz="0" w:space="0" w:color="auto"/>
                <w:right w:val="none" w:sz="0" w:space="0" w:color="auto"/>
              </w:divBdr>
              <w:divsChild>
                <w:div w:id="17369006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941767936">
      <w:bodyDiv w:val="1"/>
      <w:marLeft w:val="0"/>
      <w:marRight w:val="0"/>
      <w:marTop w:val="0"/>
      <w:marBottom w:val="0"/>
      <w:divBdr>
        <w:top w:val="none" w:sz="0" w:space="0" w:color="auto"/>
        <w:left w:val="none" w:sz="0" w:space="0" w:color="auto"/>
        <w:bottom w:val="none" w:sz="0" w:space="0" w:color="auto"/>
        <w:right w:val="none" w:sz="0" w:space="0" w:color="auto"/>
      </w:divBdr>
    </w:div>
    <w:div w:id="955792944">
      <w:bodyDiv w:val="1"/>
      <w:marLeft w:val="0"/>
      <w:marRight w:val="0"/>
      <w:marTop w:val="0"/>
      <w:marBottom w:val="0"/>
      <w:divBdr>
        <w:top w:val="none" w:sz="0" w:space="0" w:color="auto"/>
        <w:left w:val="none" w:sz="0" w:space="0" w:color="auto"/>
        <w:bottom w:val="none" w:sz="0" w:space="0" w:color="auto"/>
        <w:right w:val="none" w:sz="0" w:space="0" w:color="auto"/>
      </w:divBdr>
    </w:div>
    <w:div w:id="957221988">
      <w:bodyDiv w:val="1"/>
      <w:marLeft w:val="0"/>
      <w:marRight w:val="0"/>
      <w:marTop w:val="0"/>
      <w:marBottom w:val="0"/>
      <w:divBdr>
        <w:top w:val="none" w:sz="0" w:space="0" w:color="auto"/>
        <w:left w:val="none" w:sz="0" w:space="0" w:color="auto"/>
        <w:bottom w:val="none" w:sz="0" w:space="0" w:color="auto"/>
        <w:right w:val="none" w:sz="0" w:space="0" w:color="auto"/>
      </w:divBdr>
    </w:div>
    <w:div w:id="959919798">
      <w:bodyDiv w:val="1"/>
      <w:marLeft w:val="0"/>
      <w:marRight w:val="0"/>
      <w:marTop w:val="0"/>
      <w:marBottom w:val="0"/>
      <w:divBdr>
        <w:top w:val="none" w:sz="0" w:space="0" w:color="auto"/>
        <w:left w:val="none" w:sz="0" w:space="0" w:color="auto"/>
        <w:bottom w:val="none" w:sz="0" w:space="0" w:color="auto"/>
        <w:right w:val="none" w:sz="0" w:space="0" w:color="auto"/>
      </w:divBdr>
    </w:div>
    <w:div w:id="972172917">
      <w:bodyDiv w:val="1"/>
      <w:marLeft w:val="0"/>
      <w:marRight w:val="0"/>
      <w:marTop w:val="0"/>
      <w:marBottom w:val="0"/>
      <w:divBdr>
        <w:top w:val="none" w:sz="0" w:space="0" w:color="auto"/>
        <w:left w:val="none" w:sz="0" w:space="0" w:color="auto"/>
        <w:bottom w:val="none" w:sz="0" w:space="0" w:color="auto"/>
        <w:right w:val="none" w:sz="0" w:space="0" w:color="auto"/>
      </w:divBdr>
    </w:div>
    <w:div w:id="1001808867">
      <w:bodyDiv w:val="1"/>
      <w:marLeft w:val="0"/>
      <w:marRight w:val="0"/>
      <w:marTop w:val="0"/>
      <w:marBottom w:val="0"/>
      <w:divBdr>
        <w:top w:val="none" w:sz="0" w:space="0" w:color="auto"/>
        <w:left w:val="none" w:sz="0" w:space="0" w:color="auto"/>
        <w:bottom w:val="none" w:sz="0" w:space="0" w:color="auto"/>
        <w:right w:val="none" w:sz="0" w:space="0" w:color="auto"/>
      </w:divBdr>
    </w:div>
    <w:div w:id="1019889422">
      <w:bodyDiv w:val="1"/>
      <w:marLeft w:val="0"/>
      <w:marRight w:val="0"/>
      <w:marTop w:val="0"/>
      <w:marBottom w:val="0"/>
      <w:divBdr>
        <w:top w:val="none" w:sz="0" w:space="0" w:color="auto"/>
        <w:left w:val="none" w:sz="0" w:space="0" w:color="auto"/>
        <w:bottom w:val="none" w:sz="0" w:space="0" w:color="auto"/>
        <w:right w:val="none" w:sz="0" w:space="0" w:color="auto"/>
      </w:divBdr>
    </w:div>
    <w:div w:id="1038244265">
      <w:bodyDiv w:val="1"/>
      <w:marLeft w:val="0"/>
      <w:marRight w:val="0"/>
      <w:marTop w:val="0"/>
      <w:marBottom w:val="0"/>
      <w:divBdr>
        <w:top w:val="none" w:sz="0" w:space="0" w:color="auto"/>
        <w:left w:val="none" w:sz="0" w:space="0" w:color="auto"/>
        <w:bottom w:val="none" w:sz="0" w:space="0" w:color="auto"/>
        <w:right w:val="none" w:sz="0" w:space="0" w:color="auto"/>
      </w:divBdr>
    </w:div>
    <w:div w:id="1038894310">
      <w:bodyDiv w:val="1"/>
      <w:marLeft w:val="0"/>
      <w:marRight w:val="0"/>
      <w:marTop w:val="0"/>
      <w:marBottom w:val="0"/>
      <w:divBdr>
        <w:top w:val="none" w:sz="0" w:space="0" w:color="auto"/>
        <w:left w:val="none" w:sz="0" w:space="0" w:color="auto"/>
        <w:bottom w:val="none" w:sz="0" w:space="0" w:color="auto"/>
        <w:right w:val="none" w:sz="0" w:space="0" w:color="auto"/>
      </w:divBdr>
    </w:div>
    <w:div w:id="1041397042">
      <w:bodyDiv w:val="1"/>
      <w:marLeft w:val="0"/>
      <w:marRight w:val="0"/>
      <w:marTop w:val="0"/>
      <w:marBottom w:val="0"/>
      <w:divBdr>
        <w:top w:val="none" w:sz="0" w:space="0" w:color="auto"/>
        <w:left w:val="none" w:sz="0" w:space="0" w:color="auto"/>
        <w:bottom w:val="none" w:sz="0" w:space="0" w:color="auto"/>
        <w:right w:val="none" w:sz="0" w:space="0" w:color="auto"/>
      </w:divBdr>
    </w:div>
    <w:div w:id="1064108588">
      <w:bodyDiv w:val="1"/>
      <w:marLeft w:val="0"/>
      <w:marRight w:val="0"/>
      <w:marTop w:val="0"/>
      <w:marBottom w:val="0"/>
      <w:divBdr>
        <w:top w:val="none" w:sz="0" w:space="0" w:color="auto"/>
        <w:left w:val="none" w:sz="0" w:space="0" w:color="auto"/>
        <w:bottom w:val="none" w:sz="0" w:space="0" w:color="auto"/>
        <w:right w:val="none" w:sz="0" w:space="0" w:color="auto"/>
      </w:divBdr>
    </w:div>
    <w:div w:id="1067263769">
      <w:bodyDiv w:val="1"/>
      <w:marLeft w:val="0"/>
      <w:marRight w:val="0"/>
      <w:marTop w:val="0"/>
      <w:marBottom w:val="0"/>
      <w:divBdr>
        <w:top w:val="none" w:sz="0" w:space="0" w:color="auto"/>
        <w:left w:val="none" w:sz="0" w:space="0" w:color="auto"/>
        <w:bottom w:val="none" w:sz="0" w:space="0" w:color="auto"/>
        <w:right w:val="none" w:sz="0" w:space="0" w:color="auto"/>
      </w:divBdr>
    </w:div>
    <w:div w:id="1097139705">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18911028">
      <w:bodyDiv w:val="1"/>
      <w:marLeft w:val="0"/>
      <w:marRight w:val="0"/>
      <w:marTop w:val="0"/>
      <w:marBottom w:val="0"/>
      <w:divBdr>
        <w:top w:val="none" w:sz="0" w:space="0" w:color="auto"/>
        <w:left w:val="none" w:sz="0" w:space="0" w:color="auto"/>
        <w:bottom w:val="none" w:sz="0" w:space="0" w:color="auto"/>
        <w:right w:val="none" w:sz="0" w:space="0" w:color="auto"/>
      </w:divBdr>
    </w:div>
    <w:div w:id="1120954656">
      <w:bodyDiv w:val="1"/>
      <w:marLeft w:val="0"/>
      <w:marRight w:val="0"/>
      <w:marTop w:val="0"/>
      <w:marBottom w:val="0"/>
      <w:divBdr>
        <w:top w:val="none" w:sz="0" w:space="0" w:color="auto"/>
        <w:left w:val="none" w:sz="0" w:space="0" w:color="auto"/>
        <w:bottom w:val="none" w:sz="0" w:space="0" w:color="auto"/>
        <w:right w:val="none" w:sz="0" w:space="0" w:color="auto"/>
      </w:divBdr>
    </w:div>
    <w:div w:id="1133060729">
      <w:bodyDiv w:val="1"/>
      <w:marLeft w:val="0"/>
      <w:marRight w:val="0"/>
      <w:marTop w:val="0"/>
      <w:marBottom w:val="0"/>
      <w:divBdr>
        <w:top w:val="none" w:sz="0" w:space="0" w:color="auto"/>
        <w:left w:val="none" w:sz="0" w:space="0" w:color="auto"/>
        <w:bottom w:val="none" w:sz="0" w:space="0" w:color="auto"/>
        <w:right w:val="none" w:sz="0" w:space="0" w:color="auto"/>
      </w:divBdr>
    </w:div>
    <w:div w:id="1134174198">
      <w:bodyDiv w:val="1"/>
      <w:marLeft w:val="0"/>
      <w:marRight w:val="0"/>
      <w:marTop w:val="0"/>
      <w:marBottom w:val="0"/>
      <w:divBdr>
        <w:top w:val="none" w:sz="0" w:space="0" w:color="auto"/>
        <w:left w:val="none" w:sz="0" w:space="0" w:color="auto"/>
        <w:bottom w:val="none" w:sz="0" w:space="0" w:color="auto"/>
        <w:right w:val="none" w:sz="0" w:space="0" w:color="auto"/>
      </w:divBdr>
    </w:div>
    <w:div w:id="1134908498">
      <w:bodyDiv w:val="1"/>
      <w:marLeft w:val="0"/>
      <w:marRight w:val="0"/>
      <w:marTop w:val="0"/>
      <w:marBottom w:val="0"/>
      <w:divBdr>
        <w:top w:val="none" w:sz="0" w:space="0" w:color="auto"/>
        <w:left w:val="none" w:sz="0" w:space="0" w:color="auto"/>
        <w:bottom w:val="none" w:sz="0" w:space="0" w:color="auto"/>
        <w:right w:val="none" w:sz="0" w:space="0" w:color="auto"/>
      </w:divBdr>
    </w:div>
    <w:div w:id="1141194268">
      <w:bodyDiv w:val="1"/>
      <w:marLeft w:val="0"/>
      <w:marRight w:val="0"/>
      <w:marTop w:val="0"/>
      <w:marBottom w:val="0"/>
      <w:divBdr>
        <w:top w:val="none" w:sz="0" w:space="0" w:color="auto"/>
        <w:left w:val="none" w:sz="0" w:space="0" w:color="auto"/>
        <w:bottom w:val="none" w:sz="0" w:space="0" w:color="auto"/>
        <w:right w:val="none" w:sz="0" w:space="0" w:color="auto"/>
      </w:divBdr>
    </w:div>
    <w:div w:id="1144129156">
      <w:bodyDiv w:val="1"/>
      <w:marLeft w:val="0"/>
      <w:marRight w:val="0"/>
      <w:marTop w:val="0"/>
      <w:marBottom w:val="0"/>
      <w:divBdr>
        <w:top w:val="none" w:sz="0" w:space="0" w:color="auto"/>
        <w:left w:val="none" w:sz="0" w:space="0" w:color="auto"/>
        <w:bottom w:val="none" w:sz="0" w:space="0" w:color="auto"/>
        <w:right w:val="none" w:sz="0" w:space="0" w:color="auto"/>
      </w:divBdr>
    </w:div>
    <w:div w:id="1144590722">
      <w:bodyDiv w:val="1"/>
      <w:marLeft w:val="0"/>
      <w:marRight w:val="0"/>
      <w:marTop w:val="0"/>
      <w:marBottom w:val="0"/>
      <w:divBdr>
        <w:top w:val="none" w:sz="0" w:space="0" w:color="auto"/>
        <w:left w:val="none" w:sz="0" w:space="0" w:color="auto"/>
        <w:bottom w:val="none" w:sz="0" w:space="0" w:color="auto"/>
        <w:right w:val="none" w:sz="0" w:space="0" w:color="auto"/>
      </w:divBdr>
    </w:div>
    <w:div w:id="1145660440">
      <w:bodyDiv w:val="1"/>
      <w:marLeft w:val="0"/>
      <w:marRight w:val="0"/>
      <w:marTop w:val="0"/>
      <w:marBottom w:val="0"/>
      <w:divBdr>
        <w:top w:val="none" w:sz="0" w:space="0" w:color="auto"/>
        <w:left w:val="none" w:sz="0" w:space="0" w:color="auto"/>
        <w:bottom w:val="none" w:sz="0" w:space="0" w:color="auto"/>
        <w:right w:val="none" w:sz="0" w:space="0" w:color="auto"/>
      </w:divBdr>
    </w:div>
    <w:div w:id="1145707211">
      <w:bodyDiv w:val="1"/>
      <w:marLeft w:val="0"/>
      <w:marRight w:val="0"/>
      <w:marTop w:val="0"/>
      <w:marBottom w:val="0"/>
      <w:divBdr>
        <w:top w:val="none" w:sz="0" w:space="0" w:color="auto"/>
        <w:left w:val="none" w:sz="0" w:space="0" w:color="auto"/>
        <w:bottom w:val="none" w:sz="0" w:space="0" w:color="auto"/>
        <w:right w:val="none" w:sz="0" w:space="0" w:color="auto"/>
      </w:divBdr>
    </w:div>
    <w:div w:id="1171794247">
      <w:bodyDiv w:val="1"/>
      <w:marLeft w:val="0"/>
      <w:marRight w:val="0"/>
      <w:marTop w:val="0"/>
      <w:marBottom w:val="0"/>
      <w:divBdr>
        <w:top w:val="none" w:sz="0" w:space="0" w:color="auto"/>
        <w:left w:val="none" w:sz="0" w:space="0" w:color="auto"/>
        <w:bottom w:val="none" w:sz="0" w:space="0" w:color="auto"/>
        <w:right w:val="none" w:sz="0" w:space="0" w:color="auto"/>
      </w:divBdr>
    </w:div>
    <w:div w:id="1179269611">
      <w:bodyDiv w:val="1"/>
      <w:marLeft w:val="0"/>
      <w:marRight w:val="0"/>
      <w:marTop w:val="0"/>
      <w:marBottom w:val="0"/>
      <w:divBdr>
        <w:top w:val="none" w:sz="0" w:space="0" w:color="auto"/>
        <w:left w:val="none" w:sz="0" w:space="0" w:color="auto"/>
        <w:bottom w:val="none" w:sz="0" w:space="0" w:color="auto"/>
        <w:right w:val="none" w:sz="0" w:space="0" w:color="auto"/>
      </w:divBdr>
    </w:div>
    <w:div w:id="1195654068">
      <w:bodyDiv w:val="1"/>
      <w:marLeft w:val="0"/>
      <w:marRight w:val="0"/>
      <w:marTop w:val="0"/>
      <w:marBottom w:val="0"/>
      <w:divBdr>
        <w:top w:val="none" w:sz="0" w:space="0" w:color="auto"/>
        <w:left w:val="none" w:sz="0" w:space="0" w:color="auto"/>
        <w:bottom w:val="none" w:sz="0" w:space="0" w:color="auto"/>
        <w:right w:val="none" w:sz="0" w:space="0" w:color="auto"/>
      </w:divBdr>
    </w:div>
    <w:div w:id="1243681562">
      <w:bodyDiv w:val="1"/>
      <w:marLeft w:val="0"/>
      <w:marRight w:val="0"/>
      <w:marTop w:val="0"/>
      <w:marBottom w:val="0"/>
      <w:divBdr>
        <w:top w:val="none" w:sz="0" w:space="0" w:color="auto"/>
        <w:left w:val="none" w:sz="0" w:space="0" w:color="auto"/>
        <w:bottom w:val="none" w:sz="0" w:space="0" w:color="auto"/>
        <w:right w:val="none" w:sz="0" w:space="0" w:color="auto"/>
      </w:divBdr>
    </w:div>
    <w:div w:id="1251545598">
      <w:bodyDiv w:val="1"/>
      <w:marLeft w:val="0"/>
      <w:marRight w:val="0"/>
      <w:marTop w:val="0"/>
      <w:marBottom w:val="0"/>
      <w:divBdr>
        <w:top w:val="none" w:sz="0" w:space="0" w:color="auto"/>
        <w:left w:val="none" w:sz="0" w:space="0" w:color="auto"/>
        <w:bottom w:val="none" w:sz="0" w:space="0" w:color="auto"/>
        <w:right w:val="none" w:sz="0" w:space="0" w:color="auto"/>
      </w:divBdr>
    </w:div>
    <w:div w:id="1252931684">
      <w:bodyDiv w:val="1"/>
      <w:marLeft w:val="0"/>
      <w:marRight w:val="0"/>
      <w:marTop w:val="0"/>
      <w:marBottom w:val="0"/>
      <w:divBdr>
        <w:top w:val="none" w:sz="0" w:space="0" w:color="auto"/>
        <w:left w:val="none" w:sz="0" w:space="0" w:color="auto"/>
        <w:bottom w:val="none" w:sz="0" w:space="0" w:color="auto"/>
        <w:right w:val="none" w:sz="0" w:space="0" w:color="auto"/>
      </w:divBdr>
    </w:div>
    <w:div w:id="1263026394">
      <w:bodyDiv w:val="1"/>
      <w:marLeft w:val="0"/>
      <w:marRight w:val="0"/>
      <w:marTop w:val="0"/>
      <w:marBottom w:val="0"/>
      <w:divBdr>
        <w:top w:val="none" w:sz="0" w:space="0" w:color="auto"/>
        <w:left w:val="none" w:sz="0" w:space="0" w:color="auto"/>
        <w:bottom w:val="none" w:sz="0" w:space="0" w:color="auto"/>
        <w:right w:val="none" w:sz="0" w:space="0" w:color="auto"/>
      </w:divBdr>
    </w:div>
    <w:div w:id="1272011955">
      <w:bodyDiv w:val="1"/>
      <w:marLeft w:val="0"/>
      <w:marRight w:val="0"/>
      <w:marTop w:val="0"/>
      <w:marBottom w:val="0"/>
      <w:divBdr>
        <w:top w:val="none" w:sz="0" w:space="0" w:color="auto"/>
        <w:left w:val="none" w:sz="0" w:space="0" w:color="auto"/>
        <w:bottom w:val="none" w:sz="0" w:space="0" w:color="auto"/>
        <w:right w:val="none" w:sz="0" w:space="0" w:color="auto"/>
      </w:divBdr>
    </w:div>
    <w:div w:id="1328898737">
      <w:bodyDiv w:val="1"/>
      <w:marLeft w:val="0"/>
      <w:marRight w:val="0"/>
      <w:marTop w:val="0"/>
      <w:marBottom w:val="0"/>
      <w:divBdr>
        <w:top w:val="none" w:sz="0" w:space="0" w:color="auto"/>
        <w:left w:val="none" w:sz="0" w:space="0" w:color="auto"/>
        <w:bottom w:val="none" w:sz="0" w:space="0" w:color="auto"/>
        <w:right w:val="none" w:sz="0" w:space="0" w:color="auto"/>
      </w:divBdr>
    </w:div>
    <w:div w:id="1360812388">
      <w:bodyDiv w:val="1"/>
      <w:marLeft w:val="0"/>
      <w:marRight w:val="0"/>
      <w:marTop w:val="0"/>
      <w:marBottom w:val="0"/>
      <w:divBdr>
        <w:top w:val="none" w:sz="0" w:space="0" w:color="auto"/>
        <w:left w:val="none" w:sz="0" w:space="0" w:color="auto"/>
        <w:bottom w:val="none" w:sz="0" w:space="0" w:color="auto"/>
        <w:right w:val="none" w:sz="0" w:space="0" w:color="auto"/>
      </w:divBdr>
    </w:div>
    <w:div w:id="1375697604">
      <w:bodyDiv w:val="1"/>
      <w:marLeft w:val="0"/>
      <w:marRight w:val="0"/>
      <w:marTop w:val="0"/>
      <w:marBottom w:val="0"/>
      <w:divBdr>
        <w:top w:val="none" w:sz="0" w:space="0" w:color="auto"/>
        <w:left w:val="none" w:sz="0" w:space="0" w:color="auto"/>
        <w:bottom w:val="none" w:sz="0" w:space="0" w:color="auto"/>
        <w:right w:val="none" w:sz="0" w:space="0" w:color="auto"/>
      </w:divBdr>
    </w:div>
    <w:div w:id="1393775519">
      <w:bodyDiv w:val="1"/>
      <w:marLeft w:val="0"/>
      <w:marRight w:val="0"/>
      <w:marTop w:val="0"/>
      <w:marBottom w:val="0"/>
      <w:divBdr>
        <w:top w:val="none" w:sz="0" w:space="0" w:color="auto"/>
        <w:left w:val="none" w:sz="0" w:space="0" w:color="auto"/>
        <w:bottom w:val="none" w:sz="0" w:space="0" w:color="auto"/>
        <w:right w:val="none" w:sz="0" w:space="0" w:color="auto"/>
      </w:divBdr>
    </w:div>
    <w:div w:id="1399284452">
      <w:bodyDiv w:val="1"/>
      <w:marLeft w:val="0"/>
      <w:marRight w:val="0"/>
      <w:marTop w:val="0"/>
      <w:marBottom w:val="0"/>
      <w:divBdr>
        <w:top w:val="none" w:sz="0" w:space="0" w:color="auto"/>
        <w:left w:val="none" w:sz="0" w:space="0" w:color="auto"/>
        <w:bottom w:val="none" w:sz="0" w:space="0" w:color="auto"/>
        <w:right w:val="none" w:sz="0" w:space="0" w:color="auto"/>
      </w:divBdr>
    </w:div>
    <w:div w:id="1451627400">
      <w:bodyDiv w:val="1"/>
      <w:marLeft w:val="0"/>
      <w:marRight w:val="0"/>
      <w:marTop w:val="0"/>
      <w:marBottom w:val="0"/>
      <w:divBdr>
        <w:top w:val="none" w:sz="0" w:space="0" w:color="auto"/>
        <w:left w:val="none" w:sz="0" w:space="0" w:color="auto"/>
        <w:bottom w:val="none" w:sz="0" w:space="0" w:color="auto"/>
        <w:right w:val="none" w:sz="0" w:space="0" w:color="auto"/>
      </w:divBdr>
    </w:div>
    <w:div w:id="1453742069">
      <w:bodyDiv w:val="1"/>
      <w:marLeft w:val="0"/>
      <w:marRight w:val="0"/>
      <w:marTop w:val="0"/>
      <w:marBottom w:val="0"/>
      <w:divBdr>
        <w:top w:val="none" w:sz="0" w:space="0" w:color="auto"/>
        <w:left w:val="none" w:sz="0" w:space="0" w:color="auto"/>
        <w:bottom w:val="none" w:sz="0" w:space="0" w:color="auto"/>
        <w:right w:val="none" w:sz="0" w:space="0" w:color="auto"/>
      </w:divBdr>
    </w:div>
    <w:div w:id="1458524195">
      <w:bodyDiv w:val="1"/>
      <w:marLeft w:val="0"/>
      <w:marRight w:val="0"/>
      <w:marTop w:val="0"/>
      <w:marBottom w:val="0"/>
      <w:divBdr>
        <w:top w:val="none" w:sz="0" w:space="0" w:color="auto"/>
        <w:left w:val="none" w:sz="0" w:space="0" w:color="auto"/>
        <w:bottom w:val="none" w:sz="0" w:space="0" w:color="auto"/>
        <w:right w:val="none" w:sz="0" w:space="0" w:color="auto"/>
      </w:divBdr>
    </w:div>
    <w:div w:id="1458913548">
      <w:bodyDiv w:val="1"/>
      <w:marLeft w:val="0"/>
      <w:marRight w:val="0"/>
      <w:marTop w:val="0"/>
      <w:marBottom w:val="0"/>
      <w:divBdr>
        <w:top w:val="none" w:sz="0" w:space="0" w:color="auto"/>
        <w:left w:val="none" w:sz="0" w:space="0" w:color="auto"/>
        <w:bottom w:val="none" w:sz="0" w:space="0" w:color="auto"/>
        <w:right w:val="none" w:sz="0" w:space="0" w:color="auto"/>
      </w:divBdr>
    </w:div>
    <w:div w:id="1465393524">
      <w:bodyDiv w:val="1"/>
      <w:marLeft w:val="0"/>
      <w:marRight w:val="0"/>
      <w:marTop w:val="0"/>
      <w:marBottom w:val="0"/>
      <w:divBdr>
        <w:top w:val="none" w:sz="0" w:space="0" w:color="auto"/>
        <w:left w:val="none" w:sz="0" w:space="0" w:color="auto"/>
        <w:bottom w:val="none" w:sz="0" w:space="0" w:color="auto"/>
        <w:right w:val="none" w:sz="0" w:space="0" w:color="auto"/>
      </w:divBdr>
    </w:div>
    <w:div w:id="1496914462">
      <w:bodyDiv w:val="1"/>
      <w:marLeft w:val="0"/>
      <w:marRight w:val="0"/>
      <w:marTop w:val="0"/>
      <w:marBottom w:val="0"/>
      <w:divBdr>
        <w:top w:val="none" w:sz="0" w:space="0" w:color="auto"/>
        <w:left w:val="none" w:sz="0" w:space="0" w:color="auto"/>
        <w:bottom w:val="none" w:sz="0" w:space="0" w:color="auto"/>
        <w:right w:val="none" w:sz="0" w:space="0" w:color="auto"/>
      </w:divBdr>
    </w:div>
    <w:div w:id="1511791953">
      <w:bodyDiv w:val="1"/>
      <w:marLeft w:val="0"/>
      <w:marRight w:val="0"/>
      <w:marTop w:val="0"/>
      <w:marBottom w:val="0"/>
      <w:divBdr>
        <w:top w:val="none" w:sz="0" w:space="0" w:color="auto"/>
        <w:left w:val="none" w:sz="0" w:space="0" w:color="auto"/>
        <w:bottom w:val="none" w:sz="0" w:space="0" w:color="auto"/>
        <w:right w:val="none" w:sz="0" w:space="0" w:color="auto"/>
      </w:divBdr>
    </w:div>
    <w:div w:id="1564171257">
      <w:bodyDiv w:val="1"/>
      <w:marLeft w:val="0"/>
      <w:marRight w:val="0"/>
      <w:marTop w:val="0"/>
      <w:marBottom w:val="0"/>
      <w:divBdr>
        <w:top w:val="none" w:sz="0" w:space="0" w:color="auto"/>
        <w:left w:val="none" w:sz="0" w:space="0" w:color="auto"/>
        <w:bottom w:val="none" w:sz="0" w:space="0" w:color="auto"/>
        <w:right w:val="none" w:sz="0" w:space="0" w:color="auto"/>
      </w:divBdr>
    </w:div>
    <w:div w:id="1576014243">
      <w:bodyDiv w:val="1"/>
      <w:marLeft w:val="0"/>
      <w:marRight w:val="0"/>
      <w:marTop w:val="0"/>
      <w:marBottom w:val="0"/>
      <w:divBdr>
        <w:top w:val="none" w:sz="0" w:space="0" w:color="auto"/>
        <w:left w:val="none" w:sz="0" w:space="0" w:color="auto"/>
        <w:bottom w:val="none" w:sz="0" w:space="0" w:color="auto"/>
        <w:right w:val="none" w:sz="0" w:space="0" w:color="auto"/>
      </w:divBdr>
    </w:div>
    <w:div w:id="1585258447">
      <w:bodyDiv w:val="1"/>
      <w:marLeft w:val="0"/>
      <w:marRight w:val="0"/>
      <w:marTop w:val="0"/>
      <w:marBottom w:val="0"/>
      <w:divBdr>
        <w:top w:val="none" w:sz="0" w:space="0" w:color="auto"/>
        <w:left w:val="none" w:sz="0" w:space="0" w:color="auto"/>
        <w:bottom w:val="none" w:sz="0" w:space="0" w:color="auto"/>
        <w:right w:val="none" w:sz="0" w:space="0" w:color="auto"/>
      </w:divBdr>
    </w:div>
    <w:div w:id="1595674190">
      <w:bodyDiv w:val="1"/>
      <w:marLeft w:val="0"/>
      <w:marRight w:val="0"/>
      <w:marTop w:val="0"/>
      <w:marBottom w:val="0"/>
      <w:divBdr>
        <w:top w:val="none" w:sz="0" w:space="0" w:color="auto"/>
        <w:left w:val="none" w:sz="0" w:space="0" w:color="auto"/>
        <w:bottom w:val="none" w:sz="0" w:space="0" w:color="auto"/>
        <w:right w:val="none" w:sz="0" w:space="0" w:color="auto"/>
      </w:divBdr>
    </w:div>
    <w:div w:id="1598172098">
      <w:bodyDiv w:val="1"/>
      <w:marLeft w:val="0"/>
      <w:marRight w:val="0"/>
      <w:marTop w:val="0"/>
      <w:marBottom w:val="0"/>
      <w:divBdr>
        <w:top w:val="none" w:sz="0" w:space="0" w:color="auto"/>
        <w:left w:val="none" w:sz="0" w:space="0" w:color="auto"/>
        <w:bottom w:val="none" w:sz="0" w:space="0" w:color="auto"/>
        <w:right w:val="none" w:sz="0" w:space="0" w:color="auto"/>
      </w:divBdr>
    </w:div>
    <w:div w:id="1598951065">
      <w:bodyDiv w:val="1"/>
      <w:marLeft w:val="0"/>
      <w:marRight w:val="0"/>
      <w:marTop w:val="0"/>
      <w:marBottom w:val="0"/>
      <w:divBdr>
        <w:top w:val="none" w:sz="0" w:space="0" w:color="auto"/>
        <w:left w:val="none" w:sz="0" w:space="0" w:color="auto"/>
        <w:bottom w:val="none" w:sz="0" w:space="0" w:color="auto"/>
        <w:right w:val="none" w:sz="0" w:space="0" w:color="auto"/>
      </w:divBdr>
    </w:div>
    <w:div w:id="1601110332">
      <w:bodyDiv w:val="1"/>
      <w:marLeft w:val="0"/>
      <w:marRight w:val="0"/>
      <w:marTop w:val="0"/>
      <w:marBottom w:val="0"/>
      <w:divBdr>
        <w:top w:val="none" w:sz="0" w:space="0" w:color="auto"/>
        <w:left w:val="none" w:sz="0" w:space="0" w:color="auto"/>
        <w:bottom w:val="none" w:sz="0" w:space="0" w:color="auto"/>
        <w:right w:val="none" w:sz="0" w:space="0" w:color="auto"/>
      </w:divBdr>
      <w:divsChild>
        <w:div w:id="458188576">
          <w:marLeft w:val="0"/>
          <w:marRight w:val="0"/>
          <w:marTop w:val="0"/>
          <w:marBottom w:val="0"/>
          <w:divBdr>
            <w:top w:val="none" w:sz="0" w:space="0" w:color="auto"/>
            <w:left w:val="none" w:sz="0" w:space="0" w:color="auto"/>
            <w:bottom w:val="none" w:sz="0" w:space="0" w:color="auto"/>
            <w:right w:val="none" w:sz="0" w:space="0" w:color="auto"/>
          </w:divBdr>
          <w:divsChild>
            <w:div w:id="1202865314">
              <w:marLeft w:val="0"/>
              <w:marRight w:val="0"/>
              <w:marTop w:val="0"/>
              <w:marBottom w:val="0"/>
              <w:divBdr>
                <w:top w:val="none" w:sz="0" w:space="0" w:color="auto"/>
                <w:left w:val="none" w:sz="0" w:space="0" w:color="auto"/>
                <w:bottom w:val="none" w:sz="0" w:space="0" w:color="auto"/>
                <w:right w:val="none" w:sz="0" w:space="0" w:color="auto"/>
              </w:divBdr>
              <w:divsChild>
                <w:div w:id="5914023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10508640">
      <w:bodyDiv w:val="1"/>
      <w:marLeft w:val="0"/>
      <w:marRight w:val="0"/>
      <w:marTop w:val="0"/>
      <w:marBottom w:val="0"/>
      <w:divBdr>
        <w:top w:val="none" w:sz="0" w:space="0" w:color="auto"/>
        <w:left w:val="none" w:sz="0" w:space="0" w:color="auto"/>
        <w:bottom w:val="none" w:sz="0" w:space="0" w:color="auto"/>
        <w:right w:val="none" w:sz="0" w:space="0" w:color="auto"/>
      </w:divBdr>
    </w:div>
    <w:div w:id="1613050677">
      <w:bodyDiv w:val="1"/>
      <w:marLeft w:val="0"/>
      <w:marRight w:val="0"/>
      <w:marTop w:val="0"/>
      <w:marBottom w:val="0"/>
      <w:divBdr>
        <w:top w:val="none" w:sz="0" w:space="0" w:color="auto"/>
        <w:left w:val="none" w:sz="0" w:space="0" w:color="auto"/>
        <w:bottom w:val="none" w:sz="0" w:space="0" w:color="auto"/>
        <w:right w:val="none" w:sz="0" w:space="0" w:color="auto"/>
      </w:divBdr>
    </w:div>
    <w:div w:id="1641570352">
      <w:bodyDiv w:val="1"/>
      <w:marLeft w:val="0"/>
      <w:marRight w:val="0"/>
      <w:marTop w:val="0"/>
      <w:marBottom w:val="0"/>
      <w:divBdr>
        <w:top w:val="none" w:sz="0" w:space="0" w:color="auto"/>
        <w:left w:val="none" w:sz="0" w:space="0" w:color="auto"/>
        <w:bottom w:val="none" w:sz="0" w:space="0" w:color="auto"/>
        <w:right w:val="none" w:sz="0" w:space="0" w:color="auto"/>
      </w:divBdr>
    </w:div>
    <w:div w:id="1658454675">
      <w:bodyDiv w:val="1"/>
      <w:marLeft w:val="0"/>
      <w:marRight w:val="0"/>
      <w:marTop w:val="0"/>
      <w:marBottom w:val="0"/>
      <w:divBdr>
        <w:top w:val="none" w:sz="0" w:space="0" w:color="auto"/>
        <w:left w:val="none" w:sz="0" w:space="0" w:color="auto"/>
        <w:bottom w:val="none" w:sz="0" w:space="0" w:color="auto"/>
        <w:right w:val="none" w:sz="0" w:space="0" w:color="auto"/>
      </w:divBdr>
    </w:div>
    <w:div w:id="1661811056">
      <w:bodyDiv w:val="1"/>
      <w:marLeft w:val="0"/>
      <w:marRight w:val="0"/>
      <w:marTop w:val="0"/>
      <w:marBottom w:val="0"/>
      <w:divBdr>
        <w:top w:val="none" w:sz="0" w:space="0" w:color="auto"/>
        <w:left w:val="none" w:sz="0" w:space="0" w:color="auto"/>
        <w:bottom w:val="none" w:sz="0" w:space="0" w:color="auto"/>
        <w:right w:val="none" w:sz="0" w:space="0" w:color="auto"/>
      </w:divBdr>
    </w:div>
    <w:div w:id="1732652983">
      <w:bodyDiv w:val="1"/>
      <w:marLeft w:val="0"/>
      <w:marRight w:val="0"/>
      <w:marTop w:val="0"/>
      <w:marBottom w:val="0"/>
      <w:divBdr>
        <w:top w:val="none" w:sz="0" w:space="0" w:color="auto"/>
        <w:left w:val="none" w:sz="0" w:space="0" w:color="auto"/>
        <w:bottom w:val="none" w:sz="0" w:space="0" w:color="auto"/>
        <w:right w:val="none" w:sz="0" w:space="0" w:color="auto"/>
      </w:divBdr>
    </w:div>
    <w:div w:id="1746759625">
      <w:bodyDiv w:val="1"/>
      <w:marLeft w:val="0"/>
      <w:marRight w:val="0"/>
      <w:marTop w:val="0"/>
      <w:marBottom w:val="0"/>
      <w:divBdr>
        <w:top w:val="none" w:sz="0" w:space="0" w:color="auto"/>
        <w:left w:val="none" w:sz="0" w:space="0" w:color="auto"/>
        <w:bottom w:val="none" w:sz="0" w:space="0" w:color="auto"/>
        <w:right w:val="none" w:sz="0" w:space="0" w:color="auto"/>
      </w:divBdr>
    </w:div>
    <w:div w:id="1765877258">
      <w:bodyDiv w:val="1"/>
      <w:marLeft w:val="0"/>
      <w:marRight w:val="0"/>
      <w:marTop w:val="0"/>
      <w:marBottom w:val="0"/>
      <w:divBdr>
        <w:top w:val="none" w:sz="0" w:space="0" w:color="auto"/>
        <w:left w:val="none" w:sz="0" w:space="0" w:color="auto"/>
        <w:bottom w:val="none" w:sz="0" w:space="0" w:color="auto"/>
        <w:right w:val="none" w:sz="0" w:space="0" w:color="auto"/>
      </w:divBdr>
    </w:div>
    <w:div w:id="1783257562">
      <w:bodyDiv w:val="1"/>
      <w:marLeft w:val="0"/>
      <w:marRight w:val="0"/>
      <w:marTop w:val="0"/>
      <w:marBottom w:val="0"/>
      <w:divBdr>
        <w:top w:val="none" w:sz="0" w:space="0" w:color="auto"/>
        <w:left w:val="none" w:sz="0" w:space="0" w:color="auto"/>
        <w:bottom w:val="none" w:sz="0" w:space="0" w:color="auto"/>
        <w:right w:val="none" w:sz="0" w:space="0" w:color="auto"/>
      </w:divBdr>
      <w:divsChild>
        <w:div w:id="294144351">
          <w:marLeft w:val="0"/>
          <w:marRight w:val="0"/>
          <w:marTop w:val="0"/>
          <w:marBottom w:val="0"/>
          <w:divBdr>
            <w:top w:val="none" w:sz="0" w:space="0" w:color="auto"/>
            <w:left w:val="none" w:sz="0" w:space="0" w:color="auto"/>
            <w:bottom w:val="none" w:sz="0" w:space="0" w:color="auto"/>
            <w:right w:val="none" w:sz="0" w:space="0" w:color="auto"/>
          </w:divBdr>
          <w:divsChild>
            <w:div w:id="331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38664">
      <w:bodyDiv w:val="1"/>
      <w:marLeft w:val="0"/>
      <w:marRight w:val="0"/>
      <w:marTop w:val="0"/>
      <w:marBottom w:val="0"/>
      <w:divBdr>
        <w:top w:val="none" w:sz="0" w:space="0" w:color="auto"/>
        <w:left w:val="none" w:sz="0" w:space="0" w:color="auto"/>
        <w:bottom w:val="none" w:sz="0" w:space="0" w:color="auto"/>
        <w:right w:val="none" w:sz="0" w:space="0" w:color="auto"/>
      </w:divBdr>
    </w:div>
    <w:div w:id="1796407965">
      <w:bodyDiv w:val="1"/>
      <w:marLeft w:val="0"/>
      <w:marRight w:val="0"/>
      <w:marTop w:val="0"/>
      <w:marBottom w:val="0"/>
      <w:divBdr>
        <w:top w:val="none" w:sz="0" w:space="0" w:color="auto"/>
        <w:left w:val="none" w:sz="0" w:space="0" w:color="auto"/>
        <w:bottom w:val="none" w:sz="0" w:space="0" w:color="auto"/>
        <w:right w:val="none" w:sz="0" w:space="0" w:color="auto"/>
      </w:divBdr>
    </w:div>
    <w:div w:id="1820144849">
      <w:bodyDiv w:val="1"/>
      <w:marLeft w:val="0"/>
      <w:marRight w:val="0"/>
      <w:marTop w:val="0"/>
      <w:marBottom w:val="0"/>
      <w:divBdr>
        <w:top w:val="none" w:sz="0" w:space="0" w:color="auto"/>
        <w:left w:val="none" w:sz="0" w:space="0" w:color="auto"/>
        <w:bottom w:val="none" w:sz="0" w:space="0" w:color="auto"/>
        <w:right w:val="none" w:sz="0" w:space="0" w:color="auto"/>
      </w:divBdr>
    </w:div>
    <w:div w:id="1837527482">
      <w:bodyDiv w:val="1"/>
      <w:marLeft w:val="0"/>
      <w:marRight w:val="0"/>
      <w:marTop w:val="0"/>
      <w:marBottom w:val="0"/>
      <w:divBdr>
        <w:top w:val="none" w:sz="0" w:space="0" w:color="auto"/>
        <w:left w:val="none" w:sz="0" w:space="0" w:color="auto"/>
        <w:bottom w:val="none" w:sz="0" w:space="0" w:color="auto"/>
        <w:right w:val="none" w:sz="0" w:space="0" w:color="auto"/>
      </w:divBdr>
    </w:div>
    <w:div w:id="1845897782">
      <w:bodyDiv w:val="1"/>
      <w:marLeft w:val="0"/>
      <w:marRight w:val="0"/>
      <w:marTop w:val="0"/>
      <w:marBottom w:val="0"/>
      <w:divBdr>
        <w:top w:val="none" w:sz="0" w:space="0" w:color="auto"/>
        <w:left w:val="none" w:sz="0" w:space="0" w:color="auto"/>
        <w:bottom w:val="none" w:sz="0" w:space="0" w:color="auto"/>
        <w:right w:val="none" w:sz="0" w:space="0" w:color="auto"/>
      </w:divBdr>
    </w:div>
    <w:div w:id="1858616836">
      <w:bodyDiv w:val="1"/>
      <w:marLeft w:val="0"/>
      <w:marRight w:val="0"/>
      <w:marTop w:val="0"/>
      <w:marBottom w:val="0"/>
      <w:divBdr>
        <w:top w:val="none" w:sz="0" w:space="0" w:color="auto"/>
        <w:left w:val="none" w:sz="0" w:space="0" w:color="auto"/>
        <w:bottom w:val="none" w:sz="0" w:space="0" w:color="auto"/>
        <w:right w:val="none" w:sz="0" w:space="0" w:color="auto"/>
      </w:divBdr>
    </w:div>
    <w:div w:id="1867327181">
      <w:bodyDiv w:val="1"/>
      <w:marLeft w:val="0"/>
      <w:marRight w:val="0"/>
      <w:marTop w:val="0"/>
      <w:marBottom w:val="0"/>
      <w:divBdr>
        <w:top w:val="none" w:sz="0" w:space="0" w:color="auto"/>
        <w:left w:val="none" w:sz="0" w:space="0" w:color="auto"/>
        <w:bottom w:val="none" w:sz="0" w:space="0" w:color="auto"/>
        <w:right w:val="none" w:sz="0" w:space="0" w:color="auto"/>
      </w:divBdr>
    </w:div>
    <w:div w:id="1881743702">
      <w:bodyDiv w:val="1"/>
      <w:marLeft w:val="0"/>
      <w:marRight w:val="0"/>
      <w:marTop w:val="0"/>
      <w:marBottom w:val="0"/>
      <w:divBdr>
        <w:top w:val="none" w:sz="0" w:space="0" w:color="auto"/>
        <w:left w:val="none" w:sz="0" w:space="0" w:color="auto"/>
        <w:bottom w:val="none" w:sz="0" w:space="0" w:color="auto"/>
        <w:right w:val="none" w:sz="0" w:space="0" w:color="auto"/>
      </w:divBdr>
    </w:div>
    <w:div w:id="1882129479">
      <w:bodyDiv w:val="1"/>
      <w:marLeft w:val="0"/>
      <w:marRight w:val="0"/>
      <w:marTop w:val="0"/>
      <w:marBottom w:val="0"/>
      <w:divBdr>
        <w:top w:val="none" w:sz="0" w:space="0" w:color="auto"/>
        <w:left w:val="none" w:sz="0" w:space="0" w:color="auto"/>
        <w:bottom w:val="none" w:sz="0" w:space="0" w:color="auto"/>
        <w:right w:val="none" w:sz="0" w:space="0" w:color="auto"/>
      </w:divBdr>
    </w:div>
    <w:div w:id="1892376488">
      <w:bodyDiv w:val="1"/>
      <w:marLeft w:val="0"/>
      <w:marRight w:val="0"/>
      <w:marTop w:val="0"/>
      <w:marBottom w:val="0"/>
      <w:divBdr>
        <w:top w:val="none" w:sz="0" w:space="0" w:color="auto"/>
        <w:left w:val="none" w:sz="0" w:space="0" w:color="auto"/>
        <w:bottom w:val="none" w:sz="0" w:space="0" w:color="auto"/>
        <w:right w:val="none" w:sz="0" w:space="0" w:color="auto"/>
      </w:divBdr>
    </w:div>
    <w:div w:id="1926378603">
      <w:bodyDiv w:val="1"/>
      <w:marLeft w:val="0"/>
      <w:marRight w:val="0"/>
      <w:marTop w:val="0"/>
      <w:marBottom w:val="0"/>
      <w:divBdr>
        <w:top w:val="none" w:sz="0" w:space="0" w:color="auto"/>
        <w:left w:val="none" w:sz="0" w:space="0" w:color="auto"/>
        <w:bottom w:val="none" w:sz="0" w:space="0" w:color="auto"/>
        <w:right w:val="none" w:sz="0" w:space="0" w:color="auto"/>
      </w:divBdr>
    </w:div>
    <w:div w:id="1934823927">
      <w:bodyDiv w:val="1"/>
      <w:marLeft w:val="0"/>
      <w:marRight w:val="0"/>
      <w:marTop w:val="0"/>
      <w:marBottom w:val="0"/>
      <w:divBdr>
        <w:top w:val="none" w:sz="0" w:space="0" w:color="auto"/>
        <w:left w:val="none" w:sz="0" w:space="0" w:color="auto"/>
        <w:bottom w:val="none" w:sz="0" w:space="0" w:color="auto"/>
        <w:right w:val="none" w:sz="0" w:space="0" w:color="auto"/>
      </w:divBdr>
    </w:div>
    <w:div w:id="1969966330">
      <w:bodyDiv w:val="1"/>
      <w:marLeft w:val="0"/>
      <w:marRight w:val="0"/>
      <w:marTop w:val="0"/>
      <w:marBottom w:val="0"/>
      <w:divBdr>
        <w:top w:val="none" w:sz="0" w:space="0" w:color="auto"/>
        <w:left w:val="none" w:sz="0" w:space="0" w:color="auto"/>
        <w:bottom w:val="none" w:sz="0" w:space="0" w:color="auto"/>
        <w:right w:val="none" w:sz="0" w:space="0" w:color="auto"/>
      </w:divBdr>
    </w:div>
    <w:div w:id="2006930761">
      <w:bodyDiv w:val="1"/>
      <w:marLeft w:val="0"/>
      <w:marRight w:val="0"/>
      <w:marTop w:val="0"/>
      <w:marBottom w:val="0"/>
      <w:divBdr>
        <w:top w:val="none" w:sz="0" w:space="0" w:color="auto"/>
        <w:left w:val="none" w:sz="0" w:space="0" w:color="auto"/>
        <w:bottom w:val="none" w:sz="0" w:space="0" w:color="auto"/>
        <w:right w:val="none" w:sz="0" w:space="0" w:color="auto"/>
      </w:divBdr>
    </w:div>
    <w:div w:id="2012756855">
      <w:bodyDiv w:val="1"/>
      <w:marLeft w:val="0"/>
      <w:marRight w:val="0"/>
      <w:marTop w:val="0"/>
      <w:marBottom w:val="0"/>
      <w:divBdr>
        <w:top w:val="none" w:sz="0" w:space="0" w:color="auto"/>
        <w:left w:val="none" w:sz="0" w:space="0" w:color="auto"/>
        <w:bottom w:val="none" w:sz="0" w:space="0" w:color="auto"/>
        <w:right w:val="none" w:sz="0" w:space="0" w:color="auto"/>
      </w:divBdr>
    </w:div>
    <w:div w:id="2037460747">
      <w:bodyDiv w:val="1"/>
      <w:marLeft w:val="0"/>
      <w:marRight w:val="0"/>
      <w:marTop w:val="0"/>
      <w:marBottom w:val="0"/>
      <w:divBdr>
        <w:top w:val="none" w:sz="0" w:space="0" w:color="auto"/>
        <w:left w:val="none" w:sz="0" w:space="0" w:color="auto"/>
        <w:bottom w:val="none" w:sz="0" w:space="0" w:color="auto"/>
        <w:right w:val="none" w:sz="0" w:space="0" w:color="auto"/>
      </w:divBdr>
    </w:div>
    <w:div w:id="2039887065">
      <w:bodyDiv w:val="1"/>
      <w:marLeft w:val="0"/>
      <w:marRight w:val="0"/>
      <w:marTop w:val="0"/>
      <w:marBottom w:val="0"/>
      <w:divBdr>
        <w:top w:val="none" w:sz="0" w:space="0" w:color="auto"/>
        <w:left w:val="none" w:sz="0" w:space="0" w:color="auto"/>
        <w:bottom w:val="none" w:sz="0" w:space="0" w:color="auto"/>
        <w:right w:val="none" w:sz="0" w:space="0" w:color="auto"/>
      </w:divBdr>
    </w:div>
    <w:div w:id="2040010547">
      <w:bodyDiv w:val="1"/>
      <w:marLeft w:val="0"/>
      <w:marRight w:val="0"/>
      <w:marTop w:val="0"/>
      <w:marBottom w:val="0"/>
      <w:divBdr>
        <w:top w:val="none" w:sz="0" w:space="0" w:color="auto"/>
        <w:left w:val="none" w:sz="0" w:space="0" w:color="auto"/>
        <w:bottom w:val="none" w:sz="0" w:space="0" w:color="auto"/>
        <w:right w:val="none" w:sz="0" w:space="0" w:color="auto"/>
      </w:divBdr>
    </w:div>
    <w:div w:id="2058433415">
      <w:bodyDiv w:val="1"/>
      <w:marLeft w:val="0"/>
      <w:marRight w:val="0"/>
      <w:marTop w:val="0"/>
      <w:marBottom w:val="0"/>
      <w:divBdr>
        <w:top w:val="none" w:sz="0" w:space="0" w:color="auto"/>
        <w:left w:val="none" w:sz="0" w:space="0" w:color="auto"/>
        <w:bottom w:val="none" w:sz="0" w:space="0" w:color="auto"/>
        <w:right w:val="none" w:sz="0" w:space="0" w:color="auto"/>
      </w:divBdr>
    </w:div>
    <w:div w:id="2065450113">
      <w:bodyDiv w:val="1"/>
      <w:marLeft w:val="0"/>
      <w:marRight w:val="0"/>
      <w:marTop w:val="0"/>
      <w:marBottom w:val="0"/>
      <w:divBdr>
        <w:top w:val="none" w:sz="0" w:space="0" w:color="auto"/>
        <w:left w:val="none" w:sz="0" w:space="0" w:color="auto"/>
        <w:bottom w:val="none" w:sz="0" w:space="0" w:color="auto"/>
        <w:right w:val="none" w:sz="0" w:space="0" w:color="auto"/>
      </w:divBdr>
    </w:div>
    <w:div w:id="2083407047">
      <w:bodyDiv w:val="1"/>
      <w:marLeft w:val="0"/>
      <w:marRight w:val="0"/>
      <w:marTop w:val="0"/>
      <w:marBottom w:val="0"/>
      <w:divBdr>
        <w:top w:val="none" w:sz="0" w:space="0" w:color="auto"/>
        <w:left w:val="none" w:sz="0" w:space="0" w:color="auto"/>
        <w:bottom w:val="none" w:sz="0" w:space="0" w:color="auto"/>
        <w:right w:val="none" w:sz="0" w:space="0" w:color="auto"/>
      </w:divBdr>
    </w:div>
    <w:div w:id="2109039232">
      <w:bodyDiv w:val="1"/>
      <w:marLeft w:val="0"/>
      <w:marRight w:val="0"/>
      <w:marTop w:val="0"/>
      <w:marBottom w:val="0"/>
      <w:divBdr>
        <w:top w:val="none" w:sz="0" w:space="0" w:color="auto"/>
        <w:left w:val="none" w:sz="0" w:space="0" w:color="auto"/>
        <w:bottom w:val="none" w:sz="0" w:space="0" w:color="auto"/>
        <w:right w:val="none" w:sz="0" w:space="0" w:color="auto"/>
      </w:divBdr>
    </w:div>
    <w:div w:id="2111318553">
      <w:bodyDiv w:val="1"/>
      <w:marLeft w:val="0"/>
      <w:marRight w:val="0"/>
      <w:marTop w:val="0"/>
      <w:marBottom w:val="0"/>
      <w:divBdr>
        <w:top w:val="none" w:sz="0" w:space="0" w:color="auto"/>
        <w:left w:val="none" w:sz="0" w:space="0" w:color="auto"/>
        <w:bottom w:val="none" w:sz="0" w:space="0" w:color="auto"/>
        <w:right w:val="none" w:sz="0" w:space="0" w:color="auto"/>
      </w:divBdr>
    </w:div>
    <w:div w:id="2116123530">
      <w:bodyDiv w:val="1"/>
      <w:marLeft w:val="0"/>
      <w:marRight w:val="0"/>
      <w:marTop w:val="0"/>
      <w:marBottom w:val="0"/>
      <w:divBdr>
        <w:top w:val="none" w:sz="0" w:space="0" w:color="auto"/>
        <w:left w:val="none" w:sz="0" w:space="0" w:color="auto"/>
        <w:bottom w:val="none" w:sz="0" w:space="0" w:color="auto"/>
        <w:right w:val="none" w:sz="0" w:space="0" w:color="auto"/>
      </w:divBdr>
    </w:div>
    <w:div w:id="213216428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09">
          <w:marLeft w:val="0"/>
          <w:marRight w:val="0"/>
          <w:marTop w:val="0"/>
          <w:marBottom w:val="0"/>
          <w:divBdr>
            <w:top w:val="none" w:sz="0" w:space="0" w:color="auto"/>
            <w:left w:val="none" w:sz="0" w:space="0" w:color="auto"/>
            <w:bottom w:val="none" w:sz="0" w:space="0" w:color="auto"/>
            <w:right w:val="none" w:sz="0" w:space="0" w:color="auto"/>
          </w:divBdr>
          <w:divsChild>
            <w:div w:id="2430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iccct63501.2025.1101963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4778/3611479.361149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6689/pbes.v8i6.1261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550/arxiv.2504.1905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for.2264" TargetMode="External"/><Relationship Id="rId23" Type="http://schemas.openxmlformats.org/officeDocument/2006/relationships/fontTable" Target="fontTable.xml"/><Relationship Id="rId10" Type="http://schemas.openxmlformats.org/officeDocument/2006/relationships/hyperlink" Target="https://doi.org/10.48550/arxiv.2009.1076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42/s0219024916500278" TargetMode="External"/><Relationship Id="rId14" Type="http://schemas.openxmlformats.org/officeDocument/2006/relationships/hyperlink" Target="https://doi.org/10.48550/arxiv.2512.0235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5085</Words>
  <Characters>28986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130</cp:revision>
  <dcterms:created xsi:type="dcterms:W3CDTF">2026-04-28T04:55:00Z</dcterms:created>
  <dcterms:modified xsi:type="dcterms:W3CDTF">2026-04-28T10:28:00Z</dcterms:modified>
</cp:coreProperties>
</file>