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517E5" w14:paraId="799EBFCD" w14:textId="77777777">
        <w:trPr>
          <w:trHeight w:val="20"/>
          <w:jc w:val="center"/>
        </w:trPr>
        <w:tc>
          <w:tcPr>
            <w:tcW w:w="1186" w:type="pct"/>
          </w:tcPr>
          <w:p w14:paraId="5C067924" w14:textId="77777777"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F624FDD" w14:textId="77777777" w:rsidR="004517E5" w:rsidRDefault="001D58B5">
            <w:pPr>
              <w:rPr>
                <w:rFonts w:ascii="Arial" w:hAnsi="Arial" w:cs="Arial"/>
                <w:b/>
                <w:bCs/>
                <w:color w:val="0000FF"/>
                <w:sz w:val="20"/>
                <w:szCs w:val="20"/>
                <w:lang w:val="en-GB"/>
              </w:rPr>
            </w:pPr>
            <w:hyperlink r:id="rId8" w:history="1">
              <w:r w:rsidR="00E416ED" w:rsidRPr="003A1AA2">
                <w:rPr>
                  <w:rStyle w:val="Hyperlink"/>
                  <w:rFonts w:eastAsia="MS Mincho"/>
                </w:rPr>
                <w:t>Asian Research Journal of Current Science</w:t>
              </w:r>
            </w:hyperlink>
          </w:p>
        </w:tc>
      </w:tr>
      <w:tr w:rsidR="004517E5" w14:paraId="33E754F3" w14:textId="77777777">
        <w:trPr>
          <w:trHeight w:val="20"/>
          <w:jc w:val="center"/>
        </w:trPr>
        <w:tc>
          <w:tcPr>
            <w:tcW w:w="1186" w:type="pct"/>
          </w:tcPr>
          <w:p w14:paraId="5A3118AD" w14:textId="77777777"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88C92C5" w14:textId="77777777" w:rsidR="004517E5" w:rsidRDefault="007F3705">
            <w:pPr>
              <w:pStyle w:val="NormalWeb"/>
              <w:spacing w:before="0" w:beforeAutospacing="0" w:after="0" w:afterAutospacing="0"/>
              <w:rPr>
                <w:rFonts w:ascii="Arial" w:hAnsi="Arial" w:cs="Arial"/>
                <w:b/>
                <w:bCs/>
                <w:sz w:val="20"/>
                <w:szCs w:val="20"/>
                <w:lang w:val="en-GB"/>
              </w:rPr>
            </w:pPr>
            <w:r w:rsidRPr="007F3705">
              <w:rPr>
                <w:rFonts w:ascii="Arial" w:hAnsi="Arial" w:cs="Arial"/>
                <w:b/>
                <w:bCs/>
                <w:sz w:val="20"/>
                <w:szCs w:val="20"/>
                <w:lang w:val="en-GB"/>
              </w:rPr>
              <w:t>Ms_ARJOCS_2535</w:t>
            </w:r>
          </w:p>
        </w:tc>
      </w:tr>
      <w:tr w:rsidR="004517E5" w14:paraId="60620346" w14:textId="77777777">
        <w:trPr>
          <w:trHeight w:val="20"/>
          <w:jc w:val="center"/>
        </w:trPr>
        <w:tc>
          <w:tcPr>
            <w:tcW w:w="1186" w:type="pct"/>
          </w:tcPr>
          <w:p w14:paraId="4CB2CFC2" w14:textId="77777777"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2D92B62" w14:textId="77777777" w:rsidR="004517E5" w:rsidRDefault="007F3705">
            <w:pPr>
              <w:pStyle w:val="NormalWeb"/>
              <w:spacing w:before="0" w:beforeAutospacing="0" w:after="0" w:afterAutospacing="0"/>
              <w:rPr>
                <w:rFonts w:ascii="Arial" w:hAnsi="Arial" w:cs="Arial"/>
                <w:b/>
                <w:sz w:val="20"/>
                <w:szCs w:val="20"/>
                <w:lang w:val="en-GB"/>
              </w:rPr>
            </w:pPr>
            <w:r w:rsidRPr="007F3705">
              <w:rPr>
                <w:rFonts w:ascii="Arial" w:hAnsi="Arial" w:cs="Arial"/>
                <w:b/>
                <w:sz w:val="20"/>
                <w:szCs w:val="20"/>
                <w:lang w:val="en-GB"/>
              </w:rPr>
              <w:t>The Toxins Conundrum: Bridging the Gap Between Analytical Detection and Biological Significance- A Critical Review of Risk Prioritization in Modern Toxicology</w:t>
            </w:r>
            <w:r w:rsidRPr="007F3705">
              <w:rPr>
                <w:rFonts w:ascii="Arial" w:hAnsi="Arial" w:cs="Arial"/>
                <w:b/>
                <w:sz w:val="20"/>
                <w:szCs w:val="20"/>
                <w:lang w:val="en-GB"/>
              </w:rPr>
              <w:tab/>
            </w:r>
          </w:p>
        </w:tc>
      </w:tr>
      <w:tr w:rsidR="004517E5" w14:paraId="142C7F5E" w14:textId="77777777">
        <w:trPr>
          <w:trHeight w:val="20"/>
          <w:jc w:val="center"/>
        </w:trPr>
        <w:tc>
          <w:tcPr>
            <w:tcW w:w="1186" w:type="pct"/>
          </w:tcPr>
          <w:p w14:paraId="2B2488DF" w14:textId="77777777"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3A3A7D5" w14:textId="77777777" w:rsidR="004517E5" w:rsidRDefault="00335104">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286A6189" w14:textId="77777777" w:rsidR="004517E5" w:rsidRDefault="004517E5">
            <w:pPr>
              <w:pStyle w:val="NormalWeb"/>
              <w:spacing w:before="0" w:beforeAutospacing="0" w:after="0" w:afterAutospacing="0"/>
              <w:rPr>
                <w:rFonts w:ascii="Arial" w:hAnsi="Arial" w:cs="Arial"/>
                <w:b/>
                <w:sz w:val="20"/>
                <w:szCs w:val="20"/>
                <w:lang w:val="en-GB"/>
              </w:rPr>
            </w:pPr>
          </w:p>
        </w:tc>
      </w:tr>
    </w:tbl>
    <w:p w14:paraId="0DC77D6A" w14:textId="77777777" w:rsidR="004517E5" w:rsidRDefault="004517E5">
      <w:pPr>
        <w:pStyle w:val="BodyText"/>
        <w:rPr>
          <w:rFonts w:ascii="Arial" w:hAnsi="Arial" w:cs="Arial"/>
          <w:sz w:val="20"/>
          <w:szCs w:val="20"/>
          <w:lang w:val="en-GB"/>
        </w:rPr>
      </w:pPr>
    </w:p>
    <w:p w14:paraId="3923171C" w14:textId="77777777" w:rsidR="004517E5" w:rsidRDefault="00335104">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123A7194" w14:textId="77777777" w:rsidR="004517E5" w:rsidRDefault="004517E5">
      <w:pPr>
        <w:pStyle w:val="BodyText"/>
        <w:ind w:left="1440"/>
        <w:rPr>
          <w:rFonts w:ascii="Arial" w:hAnsi="Arial" w:cs="Arial"/>
          <w:bCs/>
          <w:sz w:val="20"/>
          <w:szCs w:val="20"/>
          <w:lang w:val="en-GB"/>
        </w:rPr>
      </w:pPr>
    </w:p>
    <w:p w14:paraId="6723FD86" w14:textId="77777777" w:rsidR="004517E5" w:rsidRDefault="004517E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517E5" w14:paraId="1A365D52" w14:textId="77777777">
        <w:trPr>
          <w:trHeight w:val="20"/>
          <w:jc w:val="center"/>
        </w:trPr>
        <w:tc>
          <w:tcPr>
            <w:tcW w:w="1789" w:type="pct"/>
            <w:noWrap/>
          </w:tcPr>
          <w:p w14:paraId="6AC1F7CF" w14:textId="77777777" w:rsidR="004517E5" w:rsidRDefault="004517E5">
            <w:pPr>
              <w:pStyle w:val="Heading2"/>
              <w:keepNext w:val="0"/>
              <w:jc w:val="left"/>
              <w:rPr>
                <w:rFonts w:ascii="Arial" w:hAnsi="Arial" w:cs="Arial"/>
                <w:lang w:val="en-GB" w:eastAsia="en-US"/>
              </w:rPr>
            </w:pPr>
          </w:p>
        </w:tc>
        <w:tc>
          <w:tcPr>
            <w:tcW w:w="1844" w:type="pct"/>
          </w:tcPr>
          <w:p w14:paraId="2E4CC340" w14:textId="77777777" w:rsidR="004517E5" w:rsidRDefault="00335104">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51EB3C2D" w14:textId="77777777" w:rsidR="004517E5" w:rsidRDefault="00335104">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8706097" w14:textId="77777777" w:rsidR="004517E5" w:rsidRDefault="004517E5">
            <w:pPr>
              <w:pStyle w:val="Heading2"/>
              <w:keepNext w:val="0"/>
              <w:jc w:val="left"/>
              <w:rPr>
                <w:rFonts w:ascii="Arial" w:hAnsi="Arial" w:cs="Arial"/>
                <w:b w:val="0"/>
                <w:lang w:val="en-GB" w:eastAsia="en-US"/>
              </w:rPr>
            </w:pPr>
          </w:p>
        </w:tc>
      </w:tr>
      <w:tr w:rsidR="004517E5" w14:paraId="493FC985" w14:textId="77777777">
        <w:trPr>
          <w:trHeight w:val="20"/>
          <w:jc w:val="center"/>
        </w:trPr>
        <w:tc>
          <w:tcPr>
            <w:tcW w:w="1789" w:type="pct"/>
            <w:noWrap/>
          </w:tcPr>
          <w:p w14:paraId="32A6CBD0" w14:textId="77777777" w:rsidR="004517E5" w:rsidRDefault="00335104">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3E5A6CE" w14:textId="77777777" w:rsidR="004517E5" w:rsidRDefault="004517E5">
            <w:pPr>
              <w:rPr>
                <w:rFonts w:ascii="Arial" w:eastAsia="MS Mincho" w:hAnsi="Arial" w:cs="Arial"/>
                <w:bCs/>
                <w:sz w:val="20"/>
                <w:szCs w:val="20"/>
                <w:lang w:val="en-GB"/>
              </w:rPr>
            </w:pPr>
          </w:p>
        </w:tc>
        <w:tc>
          <w:tcPr>
            <w:tcW w:w="1844" w:type="pct"/>
          </w:tcPr>
          <w:p w14:paraId="5C3D082C" w14:textId="7B4CC311" w:rsidR="004517E5" w:rsidRDefault="0017123F" w:rsidP="0017123F">
            <w:pPr>
              <w:pStyle w:val="ListParagraph"/>
              <w:ind w:left="0"/>
              <w:jc w:val="both"/>
              <w:rPr>
                <w:rFonts w:ascii="Arial" w:hAnsi="Arial" w:cs="Arial"/>
                <w:b/>
                <w:bCs/>
                <w:sz w:val="20"/>
                <w:szCs w:val="20"/>
                <w:lang w:val="en-GB"/>
              </w:rPr>
            </w:pPr>
            <w:r>
              <w:rPr>
                <w:rFonts w:ascii="Arial" w:hAnsi="Arial" w:cs="Arial"/>
                <w:b/>
                <w:bCs/>
                <w:sz w:val="20"/>
                <w:szCs w:val="20"/>
                <w:lang w:val="en-GB"/>
              </w:rPr>
              <w:t xml:space="preserve">There is a gap between the concentrations modern toxicology could detect and the toxic doses of both natural and manufactured products Host mechanisms permit detoxification of those compounds with a certain saturation effect Current review permits to understand some of the aspects of this problem as well as factors determining public opinion on the aspect </w:t>
            </w:r>
          </w:p>
        </w:tc>
        <w:tc>
          <w:tcPr>
            <w:tcW w:w="1367" w:type="pct"/>
          </w:tcPr>
          <w:p w14:paraId="2C6F69EF" w14:textId="0ADEA963" w:rsidR="004517E5" w:rsidRDefault="00667DC1">
            <w:pPr>
              <w:pStyle w:val="Heading2"/>
              <w:keepNext w:val="0"/>
              <w:jc w:val="left"/>
              <w:rPr>
                <w:rFonts w:ascii="Arial" w:hAnsi="Arial" w:cs="Arial"/>
                <w:b w:val="0"/>
                <w:lang w:val="en-GB" w:eastAsia="en-US"/>
              </w:rPr>
            </w:pPr>
            <w:r>
              <w:rPr>
                <w:rFonts w:ascii="Arial" w:hAnsi="Arial" w:cs="Arial"/>
                <w:b w:val="0"/>
                <w:lang w:val="en-GB"/>
              </w:rPr>
              <w:t>Thank you</w:t>
            </w:r>
          </w:p>
        </w:tc>
      </w:tr>
    </w:tbl>
    <w:p w14:paraId="3155694B" w14:textId="77777777" w:rsidR="004517E5" w:rsidRDefault="004517E5">
      <w:pPr>
        <w:rPr>
          <w:rFonts w:ascii="Arial" w:hAnsi="Arial" w:cs="Arial"/>
          <w:sz w:val="20"/>
          <w:szCs w:val="20"/>
          <w:lang w:val="en-GB"/>
        </w:rPr>
      </w:pPr>
      <w:bookmarkStart w:id="0" w:name="_GoBack"/>
      <w:bookmarkEnd w:id="0"/>
    </w:p>
    <w:p w14:paraId="34B5423B" w14:textId="77777777" w:rsidR="004517E5" w:rsidRDefault="00335104">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28BA9F10" w14:textId="77777777" w:rsidR="004517E5"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517E5" w14:paraId="50BC32EA" w14:textId="77777777">
        <w:trPr>
          <w:trHeight w:val="20"/>
          <w:jc w:val="center"/>
        </w:trPr>
        <w:tc>
          <w:tcPr>
            <w:tcW w:w="5000" w:type="pct"/>
            <w:gridSpan w:val="3"/>
            <w:noWrap/>
          </w:tcPr>
          <w:p w14:paraId="1A74E32F" w14:textId="77777777" w:rsidR="004517E5" w:rsidRDefault="004517E5">
            <w:pPr>
              <w:rPr>
                <w:rFonts w:ascii="Arial" w:hAnsi="Arial" w:cs="Arial"/>
                <w:sz w:val="20"/>
                <w:szCs w:val="20"/>
                <w:lang w:val="en-GB"/>
              </w:rPr>
            </w:pPr>
          </w:p>
          <w:p w14:paraId="113C48A9" w14:textId="77777777" w:rsidR="004517E5" w:rsidRDefault="004517E5">
            <w:pPr>
              <w:rPr>
                <w:rFonts w:ascii="Arial" w:hAnsi="Arial" w:cs="Arial"/>
                <w:sz w:val="20"/>
                <w:szCs w:val="20"/>
                <w:lang w:val="en-GB"/>
              </w:rPr>
            </w:pPr>
          </w:p>
        </w:tc>
      </w:tr>
      <w:tr w:rsidR="004517E5" w14:paraId="5A1FB9AE" w14:textId="77777777">
        <w:trPr>
          <w:trHeight w:val="20"/>
          <w:jc w:val="center"/>
        </w:trPr>
        <w:tc>
          <w:tcPr>
            <w:tcW w:w="1790" w:type="pct"/>
            <w:noWrap/>
          </w:tcPr>
          <w:p w14:paraId="5EFA2BB3" w14:textId="77777777" w:rsidR="004517E5" w:rsidRDefault="004517E5">
            <w:pPr>
              <w:pStyle w:val="Heading2"/>
              <w:keepNext w:val="0"/>
              <w:jc w:val="left"/>
              <w:rPr>
                <w:rFonts w:ascii="Arial" w:hAnsi="Arial" w:cs="Arial"/>
                <w:lang w:val="en-GB" w:eastAsia="en-US"/>
              </w:rPr>
            </w:pPr>
          </w:p>
        </w:tc>
        <w:tc>
          <w:tcPr>
            <w:tcW w:w="1843" w:type="pct"/>
          </w:tcPr>
          <w:p w14:paraId="3E6B530F" w14:textId="77777777" w:rsidR="004517E5" w:rsidRDefault="00335104">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365E48E8" w14:textId="77777777" w:rsidR="004517E5" w:rsidRDefault="00335104">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4517E5" w14:paraId="7919CB90" w14:textId="77777777">
        <w:trPr>
          <w:trHeight w:val="20"/>
          <w:jc w:val="center"/>
        </w:trPr>
        <w:tc>
          <w:tcPr>
            <w:tcW w:w="1790" w:type="pct"/>
            <w:noWrap/>
          </w:tcPr>
          <w:p w14:paraId="0E233A68" w14:textId="77777777" w:rsidR="004517E5" w:rsidRDefault="00335104">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884545C"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A5508D" w14:textId="77777777" w:rsidR="004517E5" w:rsidRDefault="0033510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A91048" w14:textId="77777777" w:rsidR="004517E5" w:rsidRDefault="002D48B0" w:rsidP="002D48B0">
            <w:pPr>
              <w:rPr>
                <w:rFonts w:ascii="Arial" w:hAnsi="Arial" w:cs="Arial"/>
                <w:b/>
                <w:bCs/>
                <w:sz w:val="20"/>
                <w:szCs w:val="20"/>
                <w:lang w:val="en-GB"/>
              </w:rPr>
            </w:pPr>
            <w:r>
              <w:rPr>
                <w:rFonts w:ascii="Arial" w:hAnsi="Arial" w:cs="Arial"/>
                <w:b/>
                <w:bCs/>
                <w:sz w:val="20"/>
                <w:szCs w:val="20"/>
                <w:lang w:val="en-GB"/>
              </w:rPr>
              <w:t>The title is quite analytical although it does not cover the whole review content</w:t>
            </w:r>
          </w:p>
          <w:p w14:paraId="6C0FDFE7" w14:textId="1E69BA5F" w:rsidR="002D48B0" w:rsidRDefault="002D48B0" w:rsidP="002D48B0">
            <w:pPr>
              <w:rPr>
                <w:rFonts w:ascii="Arial" w:hAnsi="Arial" w:cs="Arial"/>
                <w:b/>
                <w:bCs/>
                <w:sz w:val="20"/>
                <w:szCs w:val="20"/>
                <w:lang w:val="en-GB"/>
              </w:rPr>
            </w:pPr>
            <w:r>
              <w:rPr>
                <w:rFonts w:ascii="Arial" w:hAnsi="Arial" w:cs="Arial"/>
                <w:b/>
                <w:bCs/>
                <w:sz w:val="20"/>
                <w:szCs w:val="20"/>
                <w:lang w:val="en-GB"/>
              </w:rPr>
              <w:t>Rating: 4</w:t>
            </w:r>
          </w:p>
        </w:tc>
        <w:tc>
          <w:tcPr>
            <w:tcW w:w="1367" w:type="pct"/>
          </w:tcPr>
          <w:p w14:paraId="380D80FA" w14:textId="1B14FA48" w:rsidR="004517E5" w:rsidRDefault="00667DC1">
            <w:pPr>
              <w:pStyle w:val="Heading2"/>
              <w:keepNext w:val="0"/>
              <w:jc w:val="left"/>
              <w:rPr>
                <w:rFonts w:ascii="Arial" w:hAnsi="Arial" w:cs="Arial"/>
                <w:b w:val="0"/>
                <w:lang w:val="en-GB" w:eastAsia="en-US"/>
              </w:rPr>
            </w:pPr>
            <w:r>
              <w:rPr>
                <w:rFonts w:ascii="Arial" w:hAnsi="Arial" w:cs="Arial"/>
                <w:b w:val="0"/>
                <w:lang w:val="en-GB"/>
              </w:rPr>
              <w:t>Thank you</w:t>
            </w:r>
          </w:p>
        </w:tc>
      </w:tr>
      <w:tr w:rsidR="004517E5" w14:paraId="6BB9AD2F" w14:textId="77777777">
        <w:trPr>
          <w:trHeight w:val="20"/>
          <w:jc w:val="center"/>
        </w:trPr>
        <w:tc>
          <w:tcPr>
            <w:tcW w:w="1790" w:type="pct"/>
            <w:noWrap/>
          </w:tcPr>
          <w:p w14:paraId="6DA33DDC" w14:textId="77777777" w:rsidR="004517E5" w:rsidRDefault="00335104">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2A890627"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BDC8ED"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E35F03" w14:textId="77777777" w:rsidR="004517E5" w:rsidRDefault="002D48B0" w:rsidP="002D48B0">
            <w:pPr>
              <w:rPr>
                <w:rFonts w:ascii="Arial" w:hAnsi="Arial" w:cs="Arial"/>
                <w:b/>
                <w:bCs/>
                <w:sz w:val="20"/>
                <w:szCs w:val="20"/>
                <w:lang w:val="en-GB"/>
              </w:rPr>
            </w:pPr>
            <w:r>
              <w:rPr>
                <w:rFonts w:ascii="Arial" w:hAnsi="Arial" w:cs="Arial"/>
                <w:b/>
                <w:bCs/>
                <w:sz w:val="20"/>
                <w:szCs w:val="20"/>
                <w:lang w:val="en-GB"/>
              </w:rPr>
              <w:t>The abstract should be more balanced covering the whole content of the review</w:t>
            </w:r>
          </w:p>
          <w:p w14:paraId="3CD2263B" w14:textId="68C1A5ED" w:rsidR="002D48B0" w:rsidRDefault="002D48B0" w:rsidP="002D48B0">
            <w:pPr>
              <w:rPr>
                <w:rFonts w:ascii="Arial" w:hAnsi="Arial" w:cs="Arial"/>
                <w:b/>
                <w:bCs/>
                <w:sz w:val="20"/>
                <w:szCs w:val="20"/>
                <w:lang w:val="en-GB"/>
              </w:rPr>
            </w:pPr>
            <w:r>
              <w:rPr>
                <w:rFonts w:ascii="Arial" w:hAnsi="Arial" w:cs="Arial"/>
                <w:b/>
                <w:bCs/>
                <w:sz w:val="20"/>
                <w:szCs w:val="20"/>
                <w:lang w:val="en-GB"/>
              </w:rPr>
              <w:t>Rating:3</w:t>
            </w:r>
          </w:p>
        </w:tc>
        <w:tc>
          <w:tcPr>
            <w:tcW w:w="1367" w:type="pct"/>
          </w:tcPr>
          <w:p w14:paraId="0586DDDE" w14:textId="390B2429" w:rsidR="00667DC1" w:rsidRPr="00667DC1" w:rsidRDefault="00A24514" w:rsidP="00667DC1">
            <w:pPr>
              <w:pStyle w:val="Heading2"/>
              <w:rPr>
                <w:rFonts w:ascii="Arial" w:hAnsi="Arial" w:cs="Arial"/>
                <w:b w:val="0"/>
                <w:lang w:val="en-GB"/>
              </w:rPr>
            </w:pPr>
            <w:r w:rsidRPr="00A24514">
              <w:rPr>
                <w:rFonts w:ascii="Arial" w:hAnsi="Arial" w:cs="Arial"/>
                <w:lang w:val="en-GB"/>
              </w:rPr>
              <w:t>Updated</w:t>
            </w:r>
            <w:r w:rsidR="00667DC1" w:rsidRPr="00A24514">
              <w:rPr>
                <w:rFonts w:ascii="Arial" w:hAnsi="Arial" w:cs="Arial"/>
                <w:lang w:val="en-GB"/>
              </w:rPr>
              <w:t xml:space="preserve"> abstract</w:t>
            </w:r>
            <w:r w:rsidR="00667DC1">
              <w:rPr>
                <w:rFonts w:ascii="Arial" w:hAnsi="Arial" w:cs="Arial"/>
                <w:b w:val="0"/>
                <w:lang w:val="en-GB"/>
              </w:rPr>
              <w:t xml:space="preserve">, </w:t>
            </w:r>
          </w:p>
          <w:p w14:paraId="21FA2FE5" w14:textId="77777777"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The modern era of analytical chemistry—propelled by advances in high-resolution mass spectrometry, tandem LC-MS/MS, and ambient ionization techniques—has ushered in an unprecedented capacity to detect synthetic chemical residues at picomolar and even femtomolar concentrations, often surpassing parts-per-trillion sensitivity. Yet this remarkable technological progress has precipitated a widening epistemic and regulatory chasm between what can be measured instrumentally and what constitutes biologically meaningful harm. This manuscript critically examines the systematic divergence between analytical detection capabilities and toxicological significance across three interconnected domains.</w:t>
            </w:r>
          </w:p>
          <w:p w14:paraId="160C180B" w14:textId="77777777" w:rsidR="00667DC1" w:rsidRPr="00667DC1" w:rsidRDefault="00667DC1" w:rsidP="00A24514">
            <w:pPr>
              <w:pStyle w:val="Heading2"/>
              <w:jc w:val="left"/>
              <w:rPr>
                <w:rFonts w:ascii="Arial" w:hAnsi="Arial" w:cs="Arial"/>
                <w:b w:val="0"/>
                <w:lang w:val="en-GB"/>
              </w:rPr>
            </w:pPr>
          </w:p>
          <w:p w14:paraId="69032C25" w14:textId="77777777"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First, we interrogate the physiological mechanisms of endogenous detoxification, including Phase I functionalization (cytochrome P450-mediated oxidation, reduction, and hydrolysis), Phase II conjugation (glucuronidation, sulfation, glutathione conjugation, and N-acetylation), and Phase III transport processes (ATP-binding cassette efflux pumps and organic anion/cation transporters). We demonstrate that homeostatic resilience, adaptive stress responses, and hormetic dose–response relationships frequently render trace-level exposures physiologically inconsequential, even when analytically verifiable.</w:t>
            </w:r>
          </w:p>
          <w:p w14:paraId="39C17297" w14:textId="77777777" w:rsidR="00667DC1" w:rsidRPr="00667DC1" w:rsidRDefault="00667DC1" w:rsidP="00A24514">
            <w:pPr>
              <w:pStyle w:val="Heading2"/>
              <w:jc w:val="left"/>
              <w:rPr>
                <w:rFonts w:ascii="Arial" w:hAnsi="Arial" w:cs="Arial"/>
                <w:b w:val="0"/>
                <w:lang w:val="en-GB"/>
              </w:rPr>
            </w:pPr>
          </w:p>
          <w:p w14:paraId="4D55DAF4" w14:textId="77777777"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 xml:space="preserve">Second, we address the epistemological constraints of mixture toxicology, including the limitations of dose-addition and independent-action models, the challenges of identifying interaction thresholds for synergistic or antagonistic effects, and the statistical power constraints of high-dimensional mixture analyses. We critically evaluate the "cocktail effect" hypothesis, distinguishing documented synergistic interactions from speculative cumulative risk frameworks that lack </w:t>
            </w:r>
            <w:r w:rsidRPr="00667DC1">
              <w:rPr>
                <w:rFonts w:ascii="Arial" w:hAnsi="Arial" w:cs="Arial"/>
                <w:b w:val="0"/>
                <w:lang w:val="en-GB"/>
              </w:rPr>
              <w:lastRenderedPageBreak/>
              <w:t>empirical validation at environmentally relevant concentrations.</w:t>
            </w:r>
          </w:p>
          <w:p w14:paraId="71BDA325" w14:textId="77777777" w:rsidR="00667DC1" w:rsidRPr="00667DC1" w:rsidRDefault="00667DC1" w:rsidP="00A24514">
            <w:pPr>
              <w:pStyle w:val="Heading2"/>
              <w:jc w:val="left"/>
              <w:rPr>
                <w:rFonts w:ascii="Arial" w:hAnsi="Arial" w:cs="Arial"/>
                <w:b w:val="0"/>
                <w:lang w:val="en-GB"/>
              </w:rPr>
            </w:pPr>
          </w:p>
          <w:p w14:paraId="1328C0D9" w14:textId="77777777"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Third, we analyze the cognitive biases that distort public perception of chemical risk—including the affect heuristic, availability cascades, source confusion between natural and synthetic exposures, and the asymmetrical influence of precautionary framing on regulatory decision-making. We contextualize these biases within the broader sociology of scientific knowledge, examining how media amplification of single-study findings and the conflation of hazard identification with risk characterization drive disproportionate policy responses.</w:t>
            </w:r>
          </w:p>
          <w:p w14:paraId="1D7B08CB" w14:textId="77777777" w:rsidR="00667DC1" w:rsidRPr="00667DC1" w:rsidRDefault="00667DC1" w:rsidP="00A24514">
            <w:pPr>
              <w:pStyle w:val="Heading2"/>
              <w:jc w:val="left"/>
              <w:rPr>
                <w:rFonts w:ascii="Arial" w:hAnsi="Arial" w:cs="Arial"/>
                <w:b w:val="0"/>
                <w:lang w:val="en-GB"/>
              </w:rPr>
            </w:pPr>
          </w:p>
          <w:p w14:paraId="140D23EC" w14:textId="4D8271A8"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Building upon these analyses, we propose a three-tier risk-prioritization framework: Tier I comprises substances with robust epidemiological evidence of high-impact toxicity at environmentally relevant doses (e.g., certain organophosphates, legacy persistent organic pollutants, and confirmed endocrine-disrupting compounds); Tier II includes chemicals with moderate hazard profiles requiring targeted biomonitoring and exposure mitigation; and Tier III encompasses the vast majority of detectable synthetic contaminants whose trace-level presence, while analytically confirmable, lacks plausible mechanistic pathways to adverse health outcomes given endogenous detoxification capacity and realistic exposure scenarios. This framework is designed to redirect finite public health resources toward substances with demonstrated high-impact toxicity while contextualizing the actual risk posed by trace-level synthetic contaminants.</w:t>
            </w:r>
          </w:p>
          <w:p w14:paraId="5727D5D9" w14:textId="77777777" w:rsidR="00667DC1" w:rsidRPr="00667DC1" w:rsidRDefault="00667DC1" w:rsidP="00A24514">
            <w:pPr>
              <w:pStyle w:val="Heading2"/>
              <w:jc w:val="left"/>
              <w:rPr>
                <w:rFonts w:ascii="Arial" w:hAnsi="Arial" w:cs="Arial"/>
                <w:b w:val="0"/>
                <w:lang w:val="en-GB"/>
              </w:rPr>
            </w:pPr>
          </w:p>
          <w:p w14:paraId="2E43B9C1" w14:textId="77777777"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We further integrate insights from pharmacokinetic modeling (physiologically based pharmacokinetic [PBPK] approaches), toxicological epidemiology (including causal inference methods and exposure assessment validation), and risk psychology to argue for an evidence-based recalibration of regulatory thresholds and consumer priorities. We examine case studies including bisphenol A regulatory reversals, glyphosate hazard classification controversies, and per- and polyfluoroalkyl substances (PFAS) risk assessment evolution to illustrate how analytical detectability has been progressively decoupled from pathogenicity in both scientific discourse and policy formulation.</w:t>
            </w:r>
          </w:p>
          <w:p w14:paraId="7739E55F" w14:textId="77777777" w:rsidR="00667DC1" w:rsidRPr="00667DC1" w:rsidRDefault="00667DC1" w:rsidP="00A24514">
            <w:pPr>
              <w:pStyle w:val="Heading2"/>
              <w:jc w:val="left"/>
              <w:rPr>
                <w:rFonts w:ascii="Arial" w:hAnsi="Arial" w:cs="Arial"/>
                <w:b w:val="0"/>
                <w:lang w:val="en-GB"/>
              </w:rPr>
            </w:pPr>
          </w:p>
          <w:p w14:paraId="03215990" w14:textId="77777777" w:rsidR="00667DC1" w:rsidRPr="00667DC1" w:rsidRDefault="00667DC1" w:rsidP="00A24514">
            <w:pPr>
              <w:pStyle w:val="Heading2"/>
              <w:jc w:val="left"/>
              <w:rPr>
                <w:rFonts w:ascii="Arial" w:hAnsi="Arial" w:cs="Arial"/>
                <w:b w:val="0"/>
                <w:lang w:val="en-GB"/>
              </w:rPr>
            </w:pPr>
            <w:r w:rsidRPr="00667DC1">
              <w:rPr>
                <w:rFonts w:ascii="Arial" w:hAnsi="Arial" w:cs="Arial"/>
                <w:b w:val="0"/>
                <w:lang w:val="en-GB"/>
              </w:rPr>
              <w:t>Finally, we consider the emerging dimension of the human microbiome as a metabolic interface between xenobiotic exposure and host physiology, evaluating whether microbiome-mediated biotransformation amplifies or attenuates toxicological risk. We conclude by emphasizing that detectability does not equate to pathogenicity, and that sustainable chemical safety governance requires explicit differentiation between analytical capability, hazard potential, and probabilistic risk—a distinction essential to preserving public trust in scientific institutions while optimizing the allocation of protective health resources.</w:t>
            </w:r>
          </w:p>
          <w:p w14:paraId="31759A18" w14:textId="77777777" w:rsidR="00667DC1" w:rsidRPr="00667DC1" w:rsidRDefault="00667DC1" w:rsidP="00A24514">
            <w:pPr>
              <w:pStyle w:val="Heading2"/>
              <w:jc w:val="left"/>
              <w:rPr>
                <w:rFonts w:ascii="Arial" w:hAnsi="Arial" w:cs="Arial"/>
                <w:b w:val="0"/>
                <w:lang w:val="en-GB"/>
              </w:rPr>
            </w:pPr>
          </w:p>
          <w:p w14:paraId="6511821E" w14:textId="169A2E17" w:rsidR="004517E5" w:rsidRDefault="00667DC1" w:rsidP="00A24514">
            <w:pPr>
              <w:pStyle w:val="Heading2"/>
              <w:keepNext w:val="0"/>
              <w:jc w:val="left"/>
              <w:rPr>
                <w:rFonts w:ascii="Arial" w:hAnsi="Arial" w:cs="Arial"/>
                <w:b w:val="0"/>
                <w:lang w:val="en-GB" w:eastAsia="en-US"/>
              </w:rPr>
            </w:pPr>
            <w:r w:rsidRPr="00667DC1">
              <w:rPr>
                <w:rFonts w:ascii="Arial" w:hAnsi="Arial" w:cs="Arial"/>
                <w:b w:val="0"/>
                <w:lang w:val="en-GB"/>
              </w:rPr>
              <w:t>Keywords: analytical chemistry; xenobiotics; bioaccumulation; hormesis; mixture toxicology; risk perception; Phase II metabolism; endocrine disruption; evidence-based prioritization; cocktail effect; human microbiome; PBPK modeling; dose–response relationships; regulatory toxicology; precautionary principle; exposure science</w:t>
            </w:r>
            <w:r>
              <w:rPr>
                <w:rFonts w:ascii="Arial" w:hAnsi="Arial" w:cs="Arial"/>
                <w:b w:val="0"/>
                <w:lang w:val="en-GB"/>
              </w:rPr>
              <w:t xml:space="preserve"> </w:t>
            </w:r>
          </w:p>
        </w:tc>
      </w:tr>
      <w:tr w:rsidR="004517E5" w14:paraId="0E9ABA99" w14:textId="77777777">
        <w:trPr>
          <w:trHeight w:val="20"/>
          <w:jc w:val="center"/>
        </w:trPr>
        <w:tc>
          <w:tcPr>
            <w:tcW w:w="1790" w:type="pct"/>
            <w:noWrap/>
          </w:tcPr>
          <w:p w14:paraId="4D35E0AE" w14:textId="77777777" w:rsidR="004517E5" w:rsidRDefault="00335104">
            <w:pPr>
              <w:pStyle w:val="Heading2"/>
              <w:keepNext w:val="0"/>
              <w:jc w:val="left"/>
              <w:rPr>
                <w:rFonts w:ascii="Arial" w:hAnsi="Arial" w:cs="Arial"/>
                <w:lang w:val="en-GB"/>
              </w:rPr>
            </w:pPr>
            <w:r>
              <w:rPr>
                <w:rFonts w:ascii="Arial" w:hAnsi="Arial" w:cs="Arial"/>
                <w:lang w:val="en-GB"/>
              </w:rPr>
              <w:lastRenderedPageBreak/>
              <w:t>3. Are the keywords appropriate and useful?</w:t>
            </w:r>
          </w:p>
          <w:p w14:paraId="26F94FC0"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7538BD" w14:textId="77777777"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DD8BFD" w14:textId="77777777" w:rsidR="004517E5" w:rsidRDefault="002D48B0" w:rsidP="002D48B0">
            <w:pPr>
              <w:rPr>
                <w:rFonts w:ascii="Arial" w:hAnsi="Arial" w:cs="Arial"/>
                <w:b/>
                <w:bCs/>
                <w:sz w:val="20"/>
                <w:szCs w:val="20"/>
                <w:lang w:val="en-GB"/>
              </w:rPr>
            </w:pPr>
            <w:r>
              <w:rPr>
                <w:rFonts w:ascii="Arial" w:hAnsi="Arial" w:cs="Arial"/>
                <w:b/>
                <w:bCs/>
                <w:sz w:val="20"/>
                <w:szCs w:val="20"/>
                <w:lang w:val="en-GB"/>
              </w:rPr>
              <w:t xml:space="preserve">Cocktail effect-human microbiome should be included and perhaps hormonal disruption could be omitted </w:t>
            </w:r>
          </w:p>
          <w:p w14:paraId="3D0E8925" w14:textId="7503DCFC" w:rsidR="002D48B0" w:rsidRDefault="002D48B0" w:rsidP="002D48B0">
            <w:pPr>
              <w:rPr>
                <w:rFonts w:ascii="Arial" w:hAnsi="Arial" w:cs="Arial"/>
                <w:b/>
                <w:bCs/>
                <w:sz w:val="20"/>
                <w:szCs w:val="20"/>
                <w:lang w:val="en-GB"/>
              </w:rPr>
            </w:pPr>
            <w:r>
              <w:rPr>
                <w:rFonts w:ascii="Arial" w:hAnsi="Arial" w:cs="Arial"/>
                <w:b/>
                <w:bCs/>
                <w:sz w:val="20"/>
                <w:szCs w:val="20"/>
                <w:lang w:val="en-GB"/>
              </w:rPr>
              <w:t>Rating:3</w:t>
            </w:r>
          </w:p>
        </w:tc>
        <w:tc>
          <w:tcPr>
            <w:tcW w:w="1367" w:type="pct"/>
          </w:tcPr>
          <w:p w14:paraId="71B02C27" w14:textId="719CA9B3" w:rsidR="004517E5" w:rsidRDefault="00A24514">
            <w:pPr>
              <w:pStyle w:val="Heading2"/>
              <w:keepNext w:val="0"/>
              <w:jc w:val="left"/>
              <w:rPr>
                <w:rFonts w:ascii="Arial" w:hAnsi="Arial" w:cs="Arial"/>
                <w:b w:val="0"/>
                <w:lang w:val="en-GB" w:eastAsia="en-US"/>
              </w:rPr>
            </w:pPr>
            <w:r>
              <w:rPr>
                <w:rFonts w:ascii="Arial" w:hAnsi="Arial" w:cs="Arial"/>
                <w:b w:val="0"/>
                <w:lang w:val="en-GB" w:eastAsia="en-US"/>
              </w:rPr>
              <w:t xml:space="preserve">Alright </w:t>
            </w:r>
          </w:p>
        </w:tc>
      </w:tr>
      <w:tr w:rsidR="004517E5" w14:paraId="535E034C" w14:textId="77777777">
        <w:trPr>
          <w:trHeight w:val="20"/>
          <w:jc w:val="center"/>
        </w:trPr>
        <w:tc>
          <w:tcPr>
            <w:tcW w:w="1790" w:type="pct"/>
            <w:noWrap/>
          </w:tcPr>
          <w:p w14:paraId="60F53EBF" w14:textId="77777777" w:rsidR="004517E5" w:rsidRDefault="00335104">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B7503F2"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253D99" w14:textId="77777777"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DFE5A2" w14:textId="77777777" w:rsidR="004517E5" w:rsidRDefault="005D5F96" w:rsidP="005D5F96">
            <w:pPr>
              <w:jc w:val="both"/>
              <w:rPr>
                <w:rFonts w:ascii="Arial" w:hAnsi="Arial" w:cs="Arial"/>
                <w:b/>
                <w:bCs/>
                <w:sz w:val="20"/>
                <w:szCs w:val="20"/>
                <w:lang w:val="en-GB"/>
              </w:rPr>
            </w:pPr>
            <w:r>
              <w:rPr>
                <w:rFonts w:ascii="Arial" w:hAnsi="Arial" w:cs="Arial"/>
                <w:b/>
                <w:bCs/>
                <w:sz w:val="20"/>
                <w:szCs w:val="20"/>
                <w:lang w:val="en-GB"/>
              </w:rPr>
              <w:t>The background is informative Data on the effect of digestion of food and its effect on cell metabolism For instance the role of glucose utilization by hepatocyte and its effect on mitochondrial oxidation and NAD/NADH balance could be added</w:t>
            </w:r>
          </w:p>
          <w:p w14:paraId="16B8D287" w14:textId="53784390" w:rsidR="005D5F96" w:rsidRDefault="005D5F96" w:rsidP="005D5F96">
            <w:pPr>
              <w:jc w:val="both"/>
              <w:rPr>
                <w:rFonts w:ascii="Arial" w:hAnsi="Arial" w:cs="Arial"/>
                <w:b/>
                <w:bCs/>
                <w:sz w:val="20"/>
                <w:szCs w:val="20"/>
                <w:lang w:val="en-GB"/>
              </w:rPr>
            </w:pPr>
            <w:r>
              <w:rPr>
                <w:rFonts w:ascii="Arial" w:hAnsi="Arial" w:cs="Arial"/>
                <w:b/>
                <w:bCs/>
                <w:sz w:val="20"/>
                <w:szCs w:val="20"/>
                <w:lang w:val="en-GB"/>
              </w:rPr>
              <w:t>Rating:4</w:t>
            </w:r>
          </w:p>
        </w:tc>
        <w:tc>
          <w:tcPr>
            <w:tcW w:w="1367" w:type="pct"/>
          </w:tcPr>
          <w:p w14:paraId="4B714482" w14:textId="44E139D7" w:rsidR="004517E5" w:rsidRDefault="00A24514">
            <w:pPr>
              <w:pStyle w:val="Heading2"/>
              <w:keepNext w:val="0"/>
              <w:jc w:val="left"/>
              <w:rPr>
                <w:rFonts w:ascii="Arial" w:hAnsi="Arial" w:cs="Arial"/>
                <w:b w:val="0"/>
                <w:lang w:val="en-GB" w:eastAsia="en-US"/>
              </w:rPr>
            </w:pPr>
            <w:r>
              <w:rPr>
                <w:rFonts w:ascii="Arial" w:hAnsi="Arial" w:cs="Arial"/>
                <w:b w:val="0"/>
                <w:lang w:val="en-GB"/>
              </w:rPr>
              <w:t>Thank you</w:t>
            </w:r>
          </w:p>
        </w:tc>
      </w:tr>
      <w:tr w:rsidR="004517E5" w14:paraId="73F6EF02" w14:textId="77777777">
        <w:trPr>
          <w:trHeight w:val="20"/>
          <w:jc w:val="center"/>
        </w:trPr>
        <w:tc>
          <w:tcPr>
            <w:tcW w:w="1790" w:type="pct"/>
            <w:noWrap/>
          </w:tcPr>
          <w:p w14:paraId="58B14CCE" w14:textId="77777777" w:rsidR="004517E5" w:rsidRDefault="00335104">
            <w:pPr>
              <w:pStyle w:val="Heading2"/>
              <w:keepNext w:val="0"/>
              <w:jc w:val="left"/>
              <w:rPr>
                <w:rFonts w:ascii="Arial" w:hAnsi="Arial" w:cs="Arial"/>
                <w:lang w:val="en-GB"/>
              </w:rPr>
            </w:pPr>
            <w:r>
              <w:rPr>
                <w:rFonts w:ascii="Arial" w:hAnsi="Arial" w:cs="Arial"/>
                <w:lang w:val="en-GB"/>
              </w:rPr>
              <w:t>5. Are the objectives clearly stated?</w:t>
            </w:r>
          </w:p>
          <w:p w14:paraId="24DC5EA4"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279152" w14:textId="77777777"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6C6A97" w14:textId="77777777" w:rsidR="004517E5" w:rsidRDefault="00D64C78" w:rsidP="00D64C78">
            <w:pPr>
              <w:rPr>
                <w:rFonts w:ascii="Arial" w:hAnsi="Arial" w:cs="Arial"/>
                <w:b/>
                <w:bCs/>
                <w:sz w:val="20"/>
                <w:szCs w:val="20"/>
                <w:lang w:val="en-GB"/>
              </w:rPr>
            </w:pPr>
            <w:r>
              <w:rPr>
                <w:rFonts w:ascii="Arial" w:hAnsi="Arial" w:cs="Arial"/>
                <w:b/>
                <w:bCs/>
                <w:sz w:val="20"/>
                <w:szCs w:val="20"/>
                <w:lang w:val="en-GB"/>
              </w:rPr>
              <w:t xml:space="preserve">Study objectives are not completely clear </w:t>
            </w:r>
          </w:p>
          <w:p w14:paraId="49FEC52A" w14:textId="31B55581" w:rsidR="00D64C78" w:rsidRDefault="00D64C78" w:rsidP="00D64C78">
            <w:pPr>
              <w:rPr>
                <w:rFonts w:ascii="Arial" w:hAnsi="Arial" w:cs="Arial"/>
                <w:b/>
                <w:bCs/>
                <w:sz w:val="20"/>
                <w:szCs w:val="20"/>
                <w:lang w:val="en-GB"/>
              </w:rPr>
            </w:pPr>
            <w:r>
              <w:rPr>
                <w:rFonts w:ascii="Arial" w:hAnsi="Arial" w:cs="Arial"/>
                <w:b/>
                <w:bCs/>
                <w:sz w:val="20"/>
                <w:szCs w:val="20"/>
                <w:lang w:val="en-GB"/>
              </w:rPr>
              <w:t>Rating:2</w:t>
            </w:r>
          </w:p>
        </w:tc>
        <w:tc>
          <w:tcPr>
            <w:tcW w:w="1367" w:type="pct"/>
          </w:tcPr>
          <w:p w14:paraId="1C8409FF"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The study aims to examine and bridge the growing gap between what chemical compounds can be analytically detected and what actually constitutes biologically meaningful harm to human health.</w:t>
            </w:r>
          </w:p>
          <w:p w14:paraId="10804452"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More specifically, the work seeks to:</w:t>
            </w:r>
          </w:p>
          <w:p w14:paraId="23C9B89C"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Contextualize analytical detection capabilities — Modern instruments can detect synthetic chemicals at parts-per-trillion concentrations, but mere detection does not imply toxicological relevance. The study explores this "detection versus harm" paradox.</w:t>
            </w:r>
          </w:p>
          <w:p w14:paraId="0CBC02B4"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Integrate interdisciplinary perspectives — The review brings together toxicology, physiology, evolutionary biology, risk perception psychology, and regulatory science to provide a holistic framework for evaluating chemical risks.</w:t>
            </w:r>
          </w:p>
          <w:p w14:paraId="23C0788D"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Evaluate endogenous detoxification capacity — It details the robust, evolutionarily ancient systems (hepatic Phase I/II metabolism, renal clearance, and gut microbiome collaboration) that process xenobiotics, emphasizing that humans are not defenseless against chemical exposures.</w:t>
            </w:r>
          </w:p>
          <w:p w14:paraId="29DD85CD"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Address mixture toxicology and low-dose hypotheses — The study critically examines the "cocktail effect" and non-monotonic dose-response debates, distinguishing biologically plausible concerns from overstated fears.</w:t>
            </w:r>
          </w:p>
          <w:p w14:paraId="3262D560"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Analyze risk perception biases — It investigates why public anxiety disproportionately targets synthetic chemicals while overlooking higher-risk natural toxins (e.g., aflatoxins) and lifestyle carcinogens like ethanol.</w:t>
            </w:r>
          </w:p>
          <w:p w14:paraId="14A09DCB" w14:textId="77777777" w:rsidR="00D46AC1" w:rsidRPr="00D46AC1" w:rsidRDefault="00D46AC1" w:rsidP="00D46AC1">
            <w:pPr>
              <w:pStyle w:val="Heading2"/>
              <w:rPr>
                <w:rFonts w:ascii="Arial" w:hAnsi="Arial" w:cs="Arial"/>
                <w:b w:val="0"/>
                <w:lang w:val="en-GB" w:eastAsia="en-US"/>
              </w:rPr>
            </w:pPr>
            <w:r w:rsidRPr="00D46AC1">
              <w:rPr>
                <w:rFonts w:ascii="Arial" w:hAnsi="Arial" w:cs="Arial"/>
                <w:b w:val="0"/>
                <w:lang w:val="en-GB" w:eastAsia="en-US"/>
              </w:rPr>
              <w:t>Propose a risk-prioritization framework — The authors present a three-tier system (Tier I: high certainty/high impact; Tier II: emerging concerns; Tier III: low-risk noise) to guide evidence-based public health resource allocation and counter chemophobia-driven misallocation of regulatory attention.</w:t>
            </w:r>
          </w:p>
          <w:p w14:paraId="4DDEB5F2" w14:textId="70D22705" w:rsidR="004517E5" w:rsidRDefault="00D46AC1" w:rsidP="00D46AC1">
            <w:pPr>
              <w:pStyle w:val="Heading2"/>
              <w:keepNext w:val="0"/>
              <w:jc w:val="left"/>
              <w:rPr>
                <w:rFonts w:ascii="Arial" w:hAnsi="Arial" w:cs="Arial"/>
                <w:b w:val="0"/>
                <w:lang w:val="en-GB" w:eastAsia="en-US"/>
              </w:rPr>
            </w:pPr>
            <w:r w:rsidRPr="00D46AC1">
              <w:rPr>
                <w:rFonts w:ascii="Arial" w:hAnsi="Arial" w:cs="Arial"/>
                <w:b w:val="0"/>
                <w:lang w:val="en-GB" w:eastAsia="en-US"/>
              </w:rPr>
              <w:t>In essence, the overarching goal is to promote evidence-based toxicological prioritization over precautionary paralysis, ensuring that limited public health resources are directed toward genuine high-impact hazards rather than trace-level detections of negligible biological significance.</w:t>
            </w:r>
          </w:p>
        </w:tc>
      </w:tr>
      <w:tr w:rsidR="004517E5" w14:paraId="756851FA" w14:textId="77777777">
        <w:trPr>
          <w:trHeight w:val="20"/>
          <w:jc w:val="center"/>
        </w:trPr>
        <w:tc>
          <w:tcPr>
            <w:tcW w:w="1790" w:type="pct"/>
            <w:noWrap/>
          </w:tcPr>
          <w:p w14:paraId="633C27B8" w14:textId="77777777" w:rsidR="004517E5" w:rsidRDefault="00335104">
            <w:pPr>
              <w:pStyle w:val="Heading2"/>
              <w:keepNext w:val="0"/>
              <w:jc w:val="left"/>
              <w:rPr>
                <w:rFonts w:ascii="Arial" w:hAnsi="Arial" w:cs="Arial"/>
                <w:lang w:val="en-GB"/>
              </w:rPr>
            </w:pPr>
            <w:r>
              <w:rPr>
                <w:rFonts w:ascii="Arial" w:hAnsi="Arial" w:cs="Arial"/>
                <w:lang w:val="en-GB"/>
              </w:rPr>
              <w:t>6. Is the literature review relevant?</w:t>
            </w:r>
          </w:p>
          <w:p w14:paraId="15CCB1C3"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CC393D" w14:textId="77777777"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628525" w14:textId="067E554A" w:rsidR="00922E83" w:rsidRDefault="00922E83" w:rsidP="00922E83">
            <w:pPr>
              <w:jc w:val="both"/>
              <w:rPr>
                <w:rFonts w:ascii="Arial" w:hAnsi="Arial" w:cs="Arial"/>
                <w:b/>
                <w:bCs/>
                <w:sz w:val="20"/>
                <w:szCs w:val="20"/>
              </w:rPr>
            </w:pPr>
            <w:r>
              <w:rPr>
                <w:rFonts w:ascii="Arial" w:hAnsi="Arial" w:cs="Arial"/>
                <w:b/>
                <w:bCs/>
                <w:sz w:val="20"/>
                <w:szCs w:val="20"/>
                <w:lang w:val="en-GB"/>
              </w:rPr>
              <w:t xml:space="preserve">Vilela P, et al. </w:t>
            </w:r>
            <w:r w:rsidRPr="00922E83">
              <w:rPr>
                <w:rFonts w:ascii="Arial" w:hAnsi="Arial" w:cs="Arial"/>
                <w:b/>
                <w:bCs/>
                <w:sz w:val="20"/>
                <w:szCs w:val="20"/>
              </w:rPr>
              <w:t xml:space="preserve">A Brief Insight into the Toxicity Conundrum: Modeling, Measuring, Monitoring and Evaluating Ecotoxicity for Water Quality towards Environmental </w:t>
            </w:r>
            <w:r w:rsidRPr="00922E83">
              <w:rPr>
                <w:rFonts w:ascii="Arial" w:hAnsi="Arial" w:cs="Arial"/>
                <w:b/>
                <w:bCs/>
                <w:i/>
                <w:iCs/>
                <w:sz w:val="20"/>
                <w:szCs w:val="20"/>
              </w:rPr>
              <w:t>Sustainability</w:t>
            </w:r>
            <w:r w:rsidRPr="00922E83">
              <w:rPr>
                <w:rFonts w:ascii="Arial" w:hAnsi="Arial" w:cs="Arial"/>
                <w:b/>
                <w:bCs/>
                <w:sz w:val="20"/>
                <w:szCs w:val="20"/>
              </w:rPr>
              <w:t> 2023</w:t>
            </w:r>
            <w:r>
              <w:rPr>
                <w:rFonts w:ascii="Arial" w:hAnsi="Arial" w:cs="Arial"/>
                <w:b/>
                <w:bCs/>
                <w:sz w:val="20"/>
                <w:szCs w:val="20"/>
              </w:rPr>
              <w:t>;</w:t>
            </w:r>
            <w:r w:rsidRPr="00922E83">
              <w:rPr>
                <w:rFonts w:ascii="Arial" w:hAnsi="Arial" w:cs="Arial"/>
                <w:b/>
                <w:bCs/>
                <w:sz w:val="20"/>
                <w:szCs w:val="20"/>
              </w:rPr>
              <w:t> </w:t>
            </w:r>
            <w:r w:rsidRPr="00922E83">
              <w:rPr>
                <w:rFonts w:ascii="Arial" w:hAnsi="Arial" w:cs="Arial"/>
                <w:b/>
                <w:bCs/>
                <w:i/>
                <w:iCs/>
                <w:sz w:val="20"/>
                <w:szCs w:val="20"/>
              </w:rPr>
              <w:t>15</w:t>
            </w:r>
            <w:r>
              <w:rPr>
                <w:rFonts w:ascii="Arial" w:hAnsi="Arial" w:cs="Arial"/>
                <w:b/>
                <w:bCs/>
                <w:i/>
                <w:iCs/>
                <w:sz w:val="20"/>
                <w:szCs w:val="20"/>
              </w:rPr>
              <w:t>:</w:t>
            </w:r>
            <w:r w:rsidRPr="00922E83">
              <w:rPr>
                <w:rFonts w:ascii="Arial" w:hAnsi="Arial" w:cs="Arial"/>
                <w:b/>
                <w:bCs/>
                <w:sz w:val="20"/>
                <w:szCs w:val="20"/>
              </w:rPr>
              <w:t xml:space="preserve"> 8881</w:t>
            </w:r>
          </w:p>
          <w:p w14:paraId="2C74862A" w14:textId="08E3F76D" w:rsidR="002D68D4" w:rsidRDefault="002D68D4" w:rsidP="002D68D4">
            <w:pPr>
              <w:jc w:val="both"/>
              <w:rPr>
                <w:rFonts w:ascii="Arial" w:hAnsi="Arial" w:cs="Arial"/>
                <w:b/>
                <w:bCs/>
                <w:sz w:val="20"/>
                <w:szCs w:val="20"/>
              </w:rPr>
            </w:pPr>
            <w:r>
              <w:rPr>
                <w:rFonts w:ascii="Arial" w:hAnsi="Arial" w:cs="Arial"/>
                <w:b/>
                <w:bCs/>
                <w:sz w:val="20"/>
                <w:szCs w:val="20"/>
              </w:rPr>
              <w:t xml:space="preserve">Ahuja V, et al. </w:t>
            </w:r>
            <w:r w:rsidRPr="002D68D4">
              <w:rPr>
                <w:rFonts w:ascii="Arial" w:hAnsi="Arial" w:cs="Arial"/>
                <w:b/>
                <w:bCs/>
                <w:sz w:val="20"/>
                <w:szCs w:val="20"/>
              </w:rPr>
              <w:t>Recent Advances in the Detection of Food Toxins Using Mass Spectrometry</w:t>
            </w:r>
            <w:r>
              <w:rPr>
                <w:rFonts w:ascii="Arial" w:hAnsi="Arial" w:cs="Arial"/>
                <w:b/>
                <w:bCs/>
                <w:sz w:val="20"/>
                <w:szCs w:val="20"/>
              </w:rPr>
              <w:t xml:space="preserve"> </w:t>
            </w:r>
            <w:r w:rsidRPr="002D68D4">
              <w:rPr>
                <w:rFonts w:ascii="Arial" w:hAnsi="Arial" w:cs="Arial"/>
                <w:b/>
                <w:bCs/>
                <w:sz w:val="20"/>
                <w:szCs w:val="20"/>
              </w:rPr>
              <w:t>Chem Res Toxicol</w:t>
            </w:r>
            <w:r>
              <w:rPr>
                <w:rFonts w:ascii="Arial" w:hAnsi="Arial" w:cs="Arial"/>
                <w:b/>
                <w:bCs/>
                <w:sz w:val="20"/>
                <w:szCs w:val="20"/>
              </w:rPr>
              <w:t xml:space="preserve"> </w:t>
            </w:r>
            <w:r w:rsidRPr="002D68D4">
              <w:rPr>
                <w:rFonts w:ascii="Arial" w:hAnsi="Arial" w:cs="Arial"/>
                <w:b/>
                <w:bCs/>
                <w:sz w:val="20"/>
                <w:szCs w:val="20"/>
              </w:rPr>
              <w:t>2023;36:1834–1863.</w:t>
            </w:r>
          </w:p>
          <w:p w14:paraId="24E749FF" w14:textId="11291F72" w:rsidR="002D68D4" w:rsidRDefault="00D46AC1" w:rsidP="00922E83">
            <w:pPr>
              <w:jc w:val="both"/>
              <w:rPr>
                <w:rFonts w:ascii="Arial" w:hAnsi="Arial" w:cs="Arial"/>
                <w:b/>
                <w:bCs/>
                <w:sz w:val="20"/>
                <w:szCs w:val="20"/>
              </w:rPr>
            </w:pPr>
            <w:r>
              <w:rPr>
                <w:rFonts w:ascii="Arial" w:hAnsi="Arial" w:cs="Arial"/>
                <w:b/>
                <w:bCs/>
                <w:sz w:val="20"/>
                <w:szCs w:val="20"/>
              </w:rPr>
              <w:t>Elemuw</w:t>
            </w:r>
            <w:r w:rsidR="00AE7249">
              <w:rPr>
                <w:rFonts w:ascii="Arial" w:hAnsi="Arial" w:cs="Arial"/>
                <w:b/>
                <w:bCs/>
                <w:sz w:val="20"/>
                <w:szCs w:val="20"/>
              </w:rPr>
              <w:t xml:space="preserve">a CO, et al. </w:t>
            </w:r>
            <w:r w:rsidR="00AE7249" w:rsidRPr="00AE7249">
              <w:rPr>
                <w:rFonts w:ascii="Arial" w:hAnsi="Arial" w:cs="Arial"/>
                <w:b/>
                <w:bCs/>
                <w:sz w:val="20"/>
                <w:szCs w:val="20"/>
              </w:rPr>
              <w:t>Invisible Threats, Shared Fates: Strengthening One Health Defenses against Environmental Toxins</w:t>
            </w:r>
            <w:r w:rsidR="00AE7249">
              <w:rPr>
                <w:rFonts w:ascii="Arial" w:hAnsi="Arial" w:cs="Arial"/>
                <w:b/>
                <w:bCs/>
                <w:sz w:val="20"/>
                <w:szCs w:val="20"/>
              </w:rPr>
              <w:t xml:space="preserve"> </w:t>
            </w:r>
            <w:hyperlink r:id="rId9" w:tooltip="Open Journal of Preventive Medicine" w:history="1">
              <w:r w:rsidR="00AE7249" w:rsidRPr="00AE7249">
                <w:rPr>
                  <w:rStyle w:val="Hyperlink"/>
                  <w:rFonts w:ascii="Arial" w:hAnsi="Arial" w:cs="Arial"/>
                  <w:b/>
                  <w:bCs/>
                  <w:sz w:val="20"/>
                  <w:szCs w:val="20"/>
                </w:rPr>
                <w:t>Open Journal of Preventive Medicine</w:t>
              </w:r>
            </w:hyperlink>
            <w:r w:rsidR="00AE7249">
              <w:rPr>
                <w:rFonts w:ascii="Arial" w:hAnsi="Arial" w:cs="Arial"/>
                <w:b/>
                <w:bCs/>
                <w:sz w:val="20"/>
                <w:szCs w:val="20"/>
              </w:rPr>
              <w:t xml:space="preserve"> 2025;15:241-72</w:t>
            </w:r>
          </w:p>
          <w:p w14:paraId="53DF0E7B" w14:textId="443C81D6" w:rsidR="0091034E" w:rsidRPr="00922E83" w:rsidRDefault="0091034E" w:rsidP="00922E83">
            <w:pPr>
              <w:jc w:val="both"/>
              <w:rPr>
                <w:rFonts w:ascii="Arial" w:hAnsi="Arial" w:cs="Arial"/>
                <w:b/>
                <w:bCs/>
                <w:sz w:val="20"/>
                <w:szCs w:val="20"/>
              </w:rPr>
            </w:pPr>
            <w:r>
              <w:rPr>
                <w:rFonts w:ascii="Arial" w:hAnsi="Arial" w:cs="Arial"/>
                <w:b/>
                <w:bCs/>
                <w:sz w:val="20"/>
                <w:szCs w:val="20"/>
              </w:rPr>
              <w:lastRenderedPageBreak/>
              <w:t>Rating:3</w:t>
            </w:r>
          </w:p>
          <w:p w14:paraId="7DBCCA39" w14:textId="6C9AC078" w:rsidR="004517E5" w:rsidRPr="00922E83" w:rsidRDefault="004517E5" w:rsidP="00922E83">
            <w:pPr>
              <w:jc w:val="both"/>
              <w:rPr>
                <w:rFonts w:ascii="Arial" w:hAnsi="Arial" w:cs="Arial"/>
                <w:b/>
                <w:bCs/>
                <w:sz w:val="20"/>
                <w:szCs w:val="20"/>
              </w:rPr>
            </w:pPr>
          </w:p>
        </w:tc>
        <w:tc>
          <w:tcPr>
            <w:tcW w:w="1367" w:type="pct"/>
          </w:tcPr>
          <w:p w14:paraId="4EA6F095" w14:textId="150D2469" w:rsidR="004517E5" w:rsidRDefault="00D46AC1">
            <w:pPr>
              <w:pStyle w:val="Heading2"/>
              <w:keepNext w:val="0"/>
              <w:jc w:val="left"/>
              <w:rPr>
                <w:rFonts w:ascii="Arial" w:hAnsi="Arial" w:cs="Arial"/>
                <w:b w:val="0"/>
                <w:lang w:val="en-GB" w:eastAsia="en-US"/>
              </w:rPr>
            </w:pPr>
            <w:r>
              <w:rPr>
                <w:rFonts w:ascii="Arial" w:hAnsi="Arial" w:cs="Arial"/>
                <w:b w:val="0"/>
                <w:lang w:val="en-GB" w:eastAsia="en-US"/>
              </w:rPr>
              <w:lastRenderedPageBreak/>
              <w:t xml:space="preserve">Thank you </w:t>
            </w:r>
          </w:p>
        </w:tc>
      </w:tr>
      <w:tr w:rsidR="004517E5" w14:paraId="017F4B7E" w14:textId="77777777">
        <w:trPr>
          <w:trHeight w:val="20"/>
          <w:jc w:val="center"/>
        </w:trPr>
        <w:tc>
          <w:tcPr>
            <w:tcW w:w="1790" w:type="pct"/>
            <w:noWrap/>
          </w:tcPr>
          <w:p w14:paraId="3E1DD975" w14:textId="77777777" w:rsidR="004517E5" w:rsidRDefault="00335104">
            <w:pPr>
              <w:pStyle w:val="Heading2"/>
              <w:keepNext w:val="0"/>
              <w:jc w:val="left"/>
              <w:rPr>
                <w:rFonts w:ascii="Arial" w:hAnsi="Arial" w:cs="Arial"/>
                <w:lang w:val="en-GB"/>
              </w:rPr>
            </w:pPr>
            <w:r>
              <w:rPr>
                <w:rFonts w:ascii="Arial" w:hAnsi="Arial" w:cs="Arial"/>
                <w:lang w:val="en-GB"/>
              </w:rPr>
              <w:t>7. Is the literature review recent?</w:t>
            </w:r>
          </w:p>
          <w:p w14:paraId="1A2C3E3D"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5C70BE" w14:textId="77777777" w:rsidR="004517E5" w:rsidRDefault="00335104">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3BBB2BB8" w14:textId="77777777" w:rsidR="004517E5" w:rsidRDefault="004517E5">
            <w:pPr>
              <w:ind w:left="360"/>
              <w:rPr>
                <w:rFonts w:ascii="Arial" w:hAnsi="Arial" w:cs="Arial"/>
                <w:b/>
                <w:bCs/>
                <w:sz w:val="20"/>
                <w:szCs w:val="20"/>
                <w:lang w:val="en-GB"/>
              </w:rPr>
            </w:pPr>
          </w:p>
          <w:p w14:paraId="1F3D787E" w14:textId="77777777" w:rsidR="003C35AB" w:rsidRDefault="003C35AB" w:rsidP="003C35AB">
            <w:pPr>
              <w:rPr>
                <w:rFonts w:ascii="Arial" w:hAnsi="Arial" w:cs="Arial"/>
                <w:b/>
                <w:bCs/>
                <w:sz w:val="20"/>
                <w:szCs w:val="20"/>
                <w:lang w:val="en-GB"/>
              </w:rPr>
            </w:pPr>
            <w:r>
              <w:rPr>
                <w:rFonts w:ascii="Arial" w:hAnsi="Arial" w:cs="Arial"/>
                <w:b/>
                <w:bCs/>
                <w:sz w:val="20"/>
                <w:szCs w:val="20"/>
                <w:lang w:val="en-GB"/>
              </w:rPr>
              <w:t>More recent articles could be included</w:t>
            </w:r>
          </w:p>
          <w:p w14:paraId="2B5E06E9" w14:textId="43319AD6" w:rsidR="003C35AB" w:rsidRDefault="003C35AB" w:rsidP="003C35AB">
            <w:pPr>
              <w:rPr>
                <w:rFonts w:ascii="Arial" w:hAnsi="Arial" w:cs="Arial"/>
                <w:b/>
                <w:bCs/>
                <w:sz w:val="20"/>
                <w:szCs w:val="20"/>
                <w:lang w:val="en-GB"/>
              </w:rPr>
            </w:pPr>
            <w:r>
              <w:rPr>
                <w:rFonts w:ascii="Arial" w:hAnsi="Arial" w:cs="Arial"/>
                <w:b/>
                <w:bCs/>
                <w:sz w:val="20"/>
                <w:szCs w:val="20"/>
                <w:lang w:val="en-GB"/>
              </w:rPr>
              <w:t>Rating:3</w:t>
            </w:r>
          </w:p>
        </w:tc>
        <w:tc>
          <w:tcPr>
            <w:tcW w:w="1367" w:type="pct"/>
          </w:tcPr>
          <w:p w14:paraId="513BE2F9" w14:textId="77777777" w:rsidR="004517E5" w:rsidRDefault="004517E5">
            <w:pPr>
              <w:pStyle w:val="Heading2"/>
              <w:keepNext w:val="0"/>
              <w:jc w:val="left"/>
              <w:rPr>
                <w:rFonts w:ascii="Arial" w:hAnsi="Arial" w:cs="Arial"/>
                <w:b w:val="0"/>
                <w:lang w:val="en-GB" w:eastAsia="en-US"/>
              </w:rPr>
            </w:pPr>
          </w:p>
        </w:tc>
      </w:tr>
      <w:tr w:rsidR="004517E5" w14:paraId="6F2164AC" w14:textId="77777777">
        <w:trPr>
          <w:trHeight w:val="20"/>
          <w:jc w:val="center"/>
        </w:trPr>
        <w:tc>
          <w:tcPr>
            <w:tcW w:w="1790" w:type="pct"/>
            <w:noWrap/>
          </w:tcPr>
          <w:p w14:paraId="0B7FDCDF" w14:textId="77777777" w:rsidR="004517E5" w:rsidRDefault="00335104">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4348FE0D"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47100D"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530947" w14:textId="77777777" w:rsidR="004517E5" w:rsidRDefault="00FC7A30" w:rsidP="00FC7A30">
            <w:pPr>
              <w:rPr>
                <w:rFonts w:ascii="Arial" w:hAnsi="Arial" w:cs="Arial"/>
                <w:b/>
                <w:bCs/>
                <w:sz w:val="20"/>
                <w:szCs w:val="20"/>
                <w:lang w:val="en-GB"/>
              </w:rPr>
            </w:pPr>
            <w:r>
              <w:rPr>
                <w:rFonts w:ascii="Arial" w:hAnsi="Arial" w:cs="Arial"/>
                <w:b/>
                <w:bCs/>
                <w:sz w:val="20"/>
                <w:szCs w:val="20"/>
                <w:lang w:val="en-GB"/>
              </w:rPr>
              <w:t>There is description of literature screaning</w:t>
            </w:r>
          </w:p>
          <w:p w14:paraId="5B3FA447" w14:textId="22A62C8A" w:rsidR="00FC7A30" w:rsidRDefault="00FC7A30" w:rsidP="00FC7A30">
            <w:pPr>
              <w:rPr>
                <w:rFonts w:ascii="Arial" w:hAnsi="Arial" w:cs="Arial"/>
                <w:b/>
                <w:bCs/>
                <w:sz w:val="20"/>
                <w:szCs w:val="20"/>
                <w:lang w:val="en-GB"/>
              </w:rPr>
            </w:pPr>
            <w:r>
              <w:rPr>
                <w:rFonts w:ascii="Arial" w:hAnsi="Arial" w:cs="Arial"/>
                <w:b/>
                <w:bCs/>
                <w:sz w:val="20"/>
                <w:szCs w:val="20"/>
                <w:lang w:val="en-GB"/>
              </w:rPr>
              <w:t>N/A</w:t>
            </w:r>
          </w:p>
        </w:tc>
        <w:tc>
          <w:tcPr>
            <w:tcW w:w="1367" w:type="pct"/>
          </w:tcPr>
          <w:p w14:paraId="338E24AA" w14:textId="77777777" w:rsidR="004517E5" w:rsidRDefault="004517E5">
            <w:pPr>
              <w:pStyle w:val="Heading2"/>
              <w:keepNext w:val="0"/>
              <w:jc w:val="left"/>
              <w:rPr>
                <w:rFonts w:ascii="Arial" w:hAnsi="Arial" w:cs="Arial"/>
                <w:b w:val="0"/>
                <w:lang w:val="en-GB" w:eastAsia="en-US"/>
              </w:rPr>
            </w:pPr>
          </w:p>
        </w:tc>
      </w:tr>
      <w:tr w:rsidR="004517E5" w14:paraId="328357BC" w14:textId="77777777">
        <w:trPr>
          <w:trHeight w:val="20"/>
          <w:jc w:val="center"/>
        </w:trPr>
        <w:tc>
          <w:tcPr>
            <w:tcW w:w="1790" w:type="pct"/>
            <w:noWrap/>
          </w:tcPr>
          <w:p w14:paraId="6F200F4C" w14:textId="77777777" w:rsidR="004517E5" w:rsidRDefault="00335104">
            <w:pPr>
              <w:pStyle w:val="Heading2"/>
              <w:keepNext w:val="0"/>
              <w:jc w:val="left"/>
              <w:rPr>
                <w:rFonts w:ascii="Arial" w:hAnsi="Arial" w:cs="Arial"/>
                <w:lang w:val="en-GB"/>
              </w:rPr>
            </w:pPr>
            <w:r>
              <w:rPr>
                <w:rFonts w:ascii="Arial" w:hAnsi="Arial" w:cs="Arial"/>
                <w:lang w:val="en-GB"/>
              </w:rPr>
              <w:t>9. Is the Critical analysis of literature done?</w:t>
            </w:r>
          </w:p>
          <w:p w14:paraId="3BF7B758"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4171A1" w14:textId="77777777"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822238" w14:textId="77777777" w:rsidR="004517E5" w:rsidRDefault="002535F6" w:rsidP="002535F6">
            <w:pPr>
              <w:rPr>
                <w:rFonts w:ascii="Arial" w:hAnsi="Arial" w:cs="Arial"/>
                <w:b/>
                <w:bCs/>
                <w:sz w:val="20"/>
                <w:szCs w:val="20"/>
                <w:lang w:val="en-GB"/>
              </w:rPr>
            </w:pPr>
            <w:r>
              <w:rPr>
                <w:rFonts w:ascii="Arial" w:hAnsi="Arial" w:cs="Arial"/>
                <w:b/>
                <w:bCs/>
                <w:sz w:val="20"/>
                <w:szCs w:val="20"/>
                <w:lang w:val="en-GB"/>
              </w:rPr>
              <w:t>Better synthesis is possible</w:t>
            </w:r>
          </w:p>
          <w:p w14:paraId="4EB0EBFA" w14:textId="7E27CC4E" w:rsidR="002535F6" w:rsidRDefault="002535F6" w:rsidP="002535F6">
            <w:pPr>
              <w:rPr>
                <w:rFonts w:ascii="Arial" w:hAnsi="Arial" w:cs="Arial"/>
                <w:b/>
                <w:bCs/>
                <w:sz w:val="20"/>
                <w:szCs w:val="20"/>
                <w:lang w:val="en-GB"/>
              </w:rPr>
            </w:pPr>
            <w:r>
              <w:rPr>
                <w:rFonts w:ascii="Arial" w:hAnsi="Arial" w:cs="Arial"/>
                <w:b/>
                <w:bCs/>
                <w:sz w:val="20"/>
                <w:szCs w:val="20"/>
                <w:lang w:val="en-GB"/>
              </w:rPr>
              <w:t>Rating:2</w:t>
            </w:r>
          </w:p>
        </w:tc>
        <w:tc>
          <w:tcPr>
            <w:tcW w:w="1367" w:type="pct"/>
          </w:tcPr>
          <w:p w14:paraId="4D103281"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Critical Analysis of the Literature</w:t>
            </w:r>
          </w:p>
          <w:p w14:paraId="016E509D"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1. Interdisciplinary Integration</w:t>
            </w:r>
          </w:p>
          <w:p w14:paraId="00175109"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Successfully merges analytical chemistry, physiology, risk psychology, and regulatory science into a coherent framework. The progression from molecular mechanisms to policy is methodologically sound.</w:t>
            </w:r>
          </w:p>
          <w:p w14:paraId="198C6A04"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Risk psychology relies heavily on dated psychometric work (Slovic, 1987) with limited engagement with behavioral economics or science and technology studies. "Chemophobia" is treated reductively as cognitive bias rather than a response to institutional trust deficits and regulatory capture histories.</w:t>
            </w:r>
          </w:p>
          <w:p w14:paraId="3ACBCCB8"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2. Evolutionary Biology Argument</w:t>
            </w:r>
          </w:p>
          <w:p w14:paraId="3779711A"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CYP450 divergence estimates and plant secondary metabolite narratives provide solid evolutionary context.</w:t>
            </w:r>
          </w:p>
          <w:p w14:paraId="48F4B3EF"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Contains adaptationist overreach—implying evolutionary heritage confers protection against synthetic xenobiotics. This ignores evolutionary mismatch: industrial chemicals may interact with biological systems in unprecedented ways (persistence, bioaccumulation, endocrine disruption). The gut microbiome enthusiasm exceeds current predictive capacity.</w:t>
            </w:r>
          </w:p>
          <w:p w14:paraId="6EA7A838"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3. Mixture Toxicology and Low-Dose Effects</w:t>
            </w:r>
          </w:p>
          <w:p w14:paraId="30ED68BA"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Accurately distinguishes similarly acting (dose-additive) from dissimilarly acting (independent action) chemicals.</w:t>
            </w:r>
          </w:p>
          <w:p w14:paraId="1ED76F21"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Skeptical framing of NMDRs contradicts the Endocrine Society's 2024 policy shift. Reliance on Bliss independence (1939) ignores emerging evidence of toxicological synergy through convergent pathways. The regulatory implication—if NMDRs are real, high-dose testing paradigms fail—is underexplored.</w:t>
            </w:r>
          </w:p>
          <w:p w14:paraId="49CF0A5F"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4. Risk Perception and the "Naturalness Heuristic"</w:t>
            </w:r>
          </w:p>
          <w:p w14:paraId="26CDBFFF"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The ethanol case study is compelling and timely (2025 Surgeon General advisory data).</w:t>
            </w:r>
          </w:p>
          <w:p w14:paraId="3E4B592D"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The naturalness heuristic is deployed with normative overreach, treating differential concern as purely irrational while ignoring legitimate epistemic reasons: novelty/uncertainty of synthetics, exposure context differences, and regulatory asymmetries. The aflatoxin comparison is misleading—aflatoxin is already heavily regulated, so public "overlooking" reflects successful risk management, not perceptual failure. Glyphosate discussion omits the IARC 2015 Group 2A classification and formulation toxicity issues, creating an apparent consensus effect.</w:t>
            </w:r>
          </w:p>
          <w:p w14:paraId="6BA8EE62"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5. Three-Tier Risk Framework</w:t>
            </w:r>
          </w:p>
          <w:p w14:paraId="4ACE1A0A"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Pragmatic for resource allocation; Tier I hazards reflect genuine disease burden.</w:t>
            </w:r>
          </w:p>
          <w:p w14:paraId="5FC9D5F6"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Implicit value judgments disguised as science. Comparing ethanol (voluntary, high-dose) with trace pesticides (involuntary, chronic, multi-</w:t>
            </w:r>
            <w:r w:rsidRPr="00CC17A6">
              <w:rPr>
                <w:rFonts w:ascii="Arial" w:hAnsi="Arial" w:cs="Arial"/>
                <w:b w:val="0"/>
                <w:lang w:val="en-GB" w:eastAsia="en-US"/>
              </w:rPr>
              <w:lastRenderedPageBreak/>
              <w:t>chemical) conflates risk modalities. Privileges observable over latent harm, underweights susceptibility variation and irreversibility. PFAS as Tier II is already dated given 2024–2025 regulatory elevations to Tier I status.</w:t>
            </w:r>
          </w:p>
          <w:p w14:paraId="5D222086"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6. Hormesis</w:t>
            </w:r>
          </w:p>
          <w:p w14:paraId="01468C93"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Comprehensive historical and mechanistic account; caveat about endpoint specificity is appropriate.</w:t>
            </w:r>
          </w:p>
          <w:p w14:paraId="0A8B995B"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Reveals deregulatory ideological orientation. Underengages with carcinogenesis implications (low-dose proliferation could increase mutation accumulation), threshold failures for genotoxic carcinogens, and undisclosed industry funding of Calabrese's work. Treats a contested policy position as neutral science.</w:t>
            </w:r>
          </w:p>
          <w:p w14:paraId="2886E325"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7. Selective Citation and Currency</w:t>
            </w:r>
          </w:p>
          <w:p w14:paraId="59C4D26D"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Strengths: Remarkably current (2024–2025 sources on alcohol policy, gut microbiome, PFAS regulations).</w:t>
            </w:r>
          </w:p>
          <w:p w14:paraId="6EC988D5"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Weaknesses: Notable omissions: Grandjean &amp; Landrigan on neurodevelopmental toxicity, full engagement with Vandenberg et al.'s 800+ reference EDC evidence base, industry-funded research bias literature, and environmental justice perspectives. Heavy weighting toward toxicology/pharmacology journals creates a disciplinary silo effect reducing social dimensions to individual cognitive biases.</w:t>
            </w:r>
          </w:p>
          <w:p w14:paraId="449344D2"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8. Rhetorical Positioning</w:t>
            </w:r>
          </w:p>
          <w:p w14:paraId="60C4066D"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Operates within a "defense of chemistry" discourse. Key moves: pathologizing public concern as "chemophobia," using the "detox industry" strawman to delegitimize all precautionary concern, false equivalence of natural/synthetic ignoring exposure pattern differences, and an "evidence-based versus alarmist" binary that masks a preference for reactive over precautionary regulation.</w:t>
            </w:r>
          </w:p>
          <w:p w14:paraId="5B377124"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9. Methodological Quality</w:t>
            </w:r>
          </w:p>
          <w:p w14:paraId="78FC6158"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Narrative review without PRISMA methodology, described search strategy, or inclusion/exclusion criteria. No formal evidence grading or distinction between in vitro, animal, and human evidence. No conflict of interest statement.</w:t>
            </w:r>
          </w:p>
          <w:p w14:paraId="052F630F" w14:textId="77777777" w:rsidR="00CC17A6" w:rsidRPr="00CC17A6" w:rsidRDefault="00CC17A6" w:rsidP="00CC17A6">
            <w:pPr>
              <w:pStyle w:val="Heading2"/>
              <w:rPr>
                <w:rFonts w:ascii="Arial" w:hAnsi="Arial" w:cs="Arial"/>
                <w:b w:val="0"/>
                <w:lang w:val="en-GB" w:eastAsia="en-US"/>
              </w:rPr>
            </w:pPr>
            <w:r w:rsidRPr="00CC17A6">
              <w:rPr>
                <w:rFonts w:ascii="Arial" w:hAnsi="Arial" w:cs="Arial"/>
                <w:b w:val="0"/>
                <w:lang w:val="en-GB" w:eastAsia="en-US"/>
              </w:rPr>
              <w:t>10. Overall Assessment</w:t>
            </w:r>
          </w:p>
          <w:p w14:paraId="7459C263" w14:textId="05F7F41E" w:rsidR="004517E5" w:rsidRDefault="00CC17A6" w:rsidP="00CC17A6">
            <w:pPr>
              <w:pStyle w:val="Heading2"/>
              <w:keepNext w:val="0"/>
              <w:jc w:val="left"/>
              <w:rPr>
                <w:rFonts w:ascii="Arial" w:hAnsi="Arial" w:cs="Arial"/>
                <w:b w:val="0"/>
                <w:lang w:val="en-GB" w:eastAsia="en-US"/>
              </w:rPr>
            </w:pPr>
            <w:r w:rsidRPr="00CC17A6">
              <w:rPr>
                <w:rFonts w:ascii="Arial" w:hAnsi="Arial" w:cs="Arial"/>
                <w:b w:val="0"/>
                <w:lang w:val="en-GB" w:eastAsia="en-US"/>
              </w:rPr>
              <w:t>A sophisticated but ideologically positioned review advancing a specific regulatory philosophy—minimizing precautionary responses to trace-level synthetics—through selective emphasis and disciplinary narrowing. Valuable for timely policy integration and clear physiology exposition, but it risks legitimizing underregulation of novel chemicals while blaming rational public responses to uncertainty. Should be read as an argument for a particular regulatory approach, not a neutral scientific synthesis.</w:t>
            </w:r>
          </w:p>
        </w:tc>
      </w:tr>
      <w:tr w:rsidR="004517E5" w14:paraId="4BE83C86" w14:textId="77777777">
        <w:trPr>
          <w:trHeight w:val="20"/>
          <w:jc w:val="center"/>
        </w:trPr>
        <w:tc>
          <w:tcPr>
            <w:tcW w:w="1790" w:type="pct"/>
            <w:noWrap/>
          </w:tcPr>
          <w:p w14:paraId="73C9A63A" w14:textId="77777777" w:rsidR="004517E5" w:rsidRDefault="00335104">
            <w:pPr>
              <w:rPr>
                <w:rFonts w:ascii="Arial" w:hAnsi="Arial" w:cs="Arial"/>
                <w:b/>
                <w:sz w:val="20"/>
                <w:szCs w:val="20"/>
                <w:lang w:val="en-GB"/>
              </w:rPr>
            </w:pPr>
            <w:r>
              <w:rPr>
                <w:rFonts w:ascii="Arial" w:hAnsi="Arial" w:cs="Arial"/>
                <w:b/>
                <w:sz w:val="20"/>
                <w:szCs w:val="20"/>
                <w:lang w:val="en-GB"/>
              </w:rPr>
              <w:lastRenderedPageBreak/>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19FB0498"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EC0912"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933EE8" w14:textId="77777777" w:rsidR="004517E5" w:rsidRDefault="002535F6">
            <w:pPr>
              <w:pStyle w:val="ListParagraph"/>
              <w:ind w:left="0"/>
              <w:rPr>
                <w:rFonts w:ascii="Arial" w:hAnsi="Arial" w:cs="Arial"/>
                <w:bCs/>
                <w:sz w:val="20"/>
                <w:szCs w:val="20"/>
                <w:lang w:val="en-GB"/>
              </w:rPr>
            </w:pPr>
            <w:r>
              <w:rPr>
                <w:rFonts w:ascii="Arial" w:hAnsi="Arial" w:cs="Arial"/>
                <w:bCs/>
                <w:sz w:val="20"/>
                <w:szCs w:val="20"/>
                <w:lang w:val="en-GB"/>
              </w:rPr>
              <w:t xml:space="preserve">More data could be included on the role of AI </w:t>
            </w:r>
          </w:p>
          <w:p w14:paraId="7324C6CF" w14:textId="648F83B5" w:rsidR="002535F6" w:rsidRDefault="002535F6">
            <w:pPr>
              <w:pStyle w:val="ListParagraph"/>
              <w:ind w:left="0"/>
              <w:rPr>
                <w:rFonts w:ascii="Arial" w:hAnsi="Arial" w:cs="Arial"/>
                <w:bCs/>
                <w:sz w:val="20"/>
                <w:szCs w:val="20"/>
                <w:lang w:val="en-GB"/>
              </w:rPr>
            </w:pPr>
            <w:r>
              <w:rPr>
                <w:rFonts w:ascii="Arial" w:hAnsi="Arial" w:cs="Arial"/>
                <w:bCs/>
                <w:sz w:val="20"/>
                <w:szCs w:val="20"/>
                <w:lang w:val="en-GB"/>
              </w:rPr>
              <w:t>Rating:3</w:t>
            </w:r>
          </w:p>
        </w:tc>
        <w:tc>
          <w:tcPr>
            <w:tcW w:w="1367" w:type="pct"/>
          </w:tcPr>
          <w:p w14:paraId="64EBFA25" w14:textId="77777777" w:rsidR="004517E5" w:rsidRDefault="004517E5">
            <w:pPr>
              <w:pStyle w:val="Heading2"/>
              <w:keepNext w:val="0"/>
              <w:jc w:val="left"/>
              <w:rPr>
                <w:rFonts w:ascii="Arial" w:hAnsi="Arial" w:cs="Arial"/>
                <w:b w:val="0"/>
                <w:lang w:val="en-GB" w:eastAsia="en-US"/>
              </w:rPr>
            </w:pPr>
          </w:p>
        </w:tc>
      </w:tr>
      <w:tr w:rsidR="004517E5" w14:paraId="027F7918" w14:textId="77777777">
        <w:trPr>
          <w:trHeight w:val="20"/>
          <w:jc w:val="center"/>
        </w:trPr>
        <w:tc>
          <w:tcPr>
            <w:tcW w:w="1790" w:type="pct"/>
            <w:noWrap/>
          </w:tcPr>
          <w:p w14:paraId="2766CDC7" w14:textId="77777777" w:rsidR="004517E5" w:rsidRDefault="00335104">
            <w:pPr>
              <w:rPr>
                <w:rFonts w:ascii="Arial" w:hAnsi="Arial" w:cs="Arial"/>
                <w:b/>
                <w:sz w:val="20"/>
                <w:szCs w:val="20"/>
                <w:lang w:val="en-GB"/>
              </w:rPr>
            </w:pPr>
            <w:r>
              <w:rPr>
                <w:rFonts w:ascii="Arial" w:hAnsi="Arial" w:cs="Arial"/>
                <w:b/>
                <w:sz w:val="20"/>
                <w:szCs w:val="20"/>
                <w:lang w:val="en-GB"/>
              </w:rPr>
              <w:t>11. Are the conclusions logically arrived?</w:t>
            </w:r>
          </w:p>
          <w:p w14:paraId="2DF110C1"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1C7E34"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8E232B" w14:textId="77777777" w:rsidR="004517E5" w:rsidRDefault="002535F6">
            <w:pPr>
              <w:pStyle w:val="ListParagraph"/>
              <w:ind w:left="0"/>
              <w:rPr>
                <w:rFonts w:ascii="Arial" w:hAnsi="Arial" w:cs="Arial"/>
                <w:bCs/>
                <w:sz w:val="20"/>
                <w:szCs w:val="20"/>
                <w:lang w:val="en-GB"/>
              </w:rPr>
            </w:pPr>
            <w:r>
              <w:rPr>
                <w:rFonts w:ascii="Arial" w:hAnsi="Arial" w:cs="Arial"/>
                <w:bCs/>
                <w:sz w:val="20"/>
                <w:szCs w:val="20"/>
                <w:lang w:val="en-GB"/>
              </w:rPr>
              <w:t>The conclusions are logical</w:t>
            </w:r>
          </w:p>
          <w:p w14:paraId="24224C50" w14:textId="64718277" w:rsidR="002535F6" w:rsidRDefault="002535F6">
            <w:pPr>
              <w:pStyle w:val="ListParagraph"/>
              <w:ind w:left="0"/>
              <w:rPr>
                <w:rFonts w:ascii="Arial" w:hAnsi="Arial" w:cs="Arial"/>
                <w:bCs/>
                <w:sz w:val="20"/>
                <w:szCs w:val="20"/>
                <w:lang w:val="en-GB"/>
              </w:rPr>
            </w:pPr>
            <w:r>
              <w:rPr>
                <w:rFonts w:ascii="Arial" w:hAnsi="Arial" w:cs="Arial"/>
                <w:bCs/>
                <w:sz w:val="20"/>
                <w:szCs w:val="20"/>
                <w:lang w:val="en-GB"/>
              </w:rPr>
              <w:t>Rating:4</w:t>
            </w:r>
          </w:p>
        </w:tc>
        <w:tc>
          <w:tcPr>
            <w:tcW w:w="1367" w:type="pct"/>
          </w:tcPr>
          <w:p w14:paraId="52D64E1C" w14:textId="77777777" w:rsidR="004517E5" w:rsidRDefault="004517E5">
            <w:pPr>
              <w:pStyle w:val="Heading2"/>
              <w:keepNext w:val="0"/>
              <w:jc w:val="left"/>
              <w:rPr>
                <w:rFonts w:ascii="Arial" w:hAnsi="Arial" w:cs="Arial"/>
                <w:b w:val="0"/>
                <w:lang w:val="en-GB" w:eastAsia="en-US"/>
              </w:rPr>
            </w:pPr>
          </w:p>
        </w:tc>
      </w:tr>
      <w:tr w:rsidR="004517E5" w14:paraId="42F06870" w14:textId="77777777">
        <w:trPr>
          <w:trHeight w:val="20"/>
          <w:jc w:val="center"/>
        </w:trPr>
        <w:tc>
          <w:tcPr>
            <w:tcW w:w="1790" w:type="pct"/>
            <w:noWrap/>
          </w:tcPr>
          <w:p w14:paraId="6F5536ED" w14:textId="77777777" w:rsidR="004517E5" w:rsidRDefault="00335104">
            <w:pPr>
              <w:rPr>
                <w:rFonts w:ascii="Arial" w:hAnsi="Arial" w:cs="Arial"/>
                <w:b/>
                <w:sz w:val="20"/>
                <w:szCs w:val="20"/>
                <w:lang w:val="en-GB"/>
              </w:rPr>
            </w:pPr>
            <w:r>
              <w:rPr>
                <w:rFonts w:ascii="Arial" w:hAnsi="Arial" w:cs="Arial"/>
                <w:b/>
                <w:sz w:val="20"/>
                <w:szCs w:val="20"/>
                <w:lang w:val="en-GB"/>
              </w:rPr>
              <w:lastRenderedPageBreak/>
              <w:t>12. Are the limitations of the paper discussed?</w:t>
            </w:r>
          </w:p>
          <w:p w14:paraId="33291E8F"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86131D"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23D5EC" w14:textId="77777777" w:rsidR="004517E5" w:rsidRDefault="003C5FC7">
            <w:pPr>
              <w:pStyle w:val="ListParagraph"/>
              <w:ind w:left="0"/>
              <w:rPr>
                <w:rFonts w:ascii="Arial" w:hAnsi="Arial" w:cs="Arial"/>
                <w:bCs/>
                <w:sz w:val="20"/>
                <w:szCs w:val="20"/>
                <w:lang w:val="en-GB"/>
              </w:rPr>
            </w:pPr>
            <w:r>
              <w:rPr>
                <w:rFonts w:ascii="Arial" w:hAnsi="Arial" w:cs="Arial"/>
                <w:bCs/>
                <w:sz w:val="20"/>
                <w:szCs w:val="20"/>
                <w:lang w:val="en-GB"/>
              </w:rPr>
              <w:t>Fors and cons section should be included</w:t>
            </w:r>
          </w:p>
          <w:p w14:paraId="71981E18" w14:textId="4F91C225" w:rsidR="003C5FC7" w:rsidRDefault="003C5FC7">
            <w:pPr>
              <w:pStyle w:val="ListParagraph"/>
              <w:ind w:left="0"/>
              <w:rPr>
                <w:rFonts w:ascii="Arial" w:hAnsi="Arial" w:cs="Arial"/>
                <w:bCs/>
                <w:sz w:val="20"/>
                <w:szCs w:val="20"/>
                <w:lang w:val="en-GB"/>
              </w:rPr>
            </w:pPr>
            <w:r>
              <w:rPr>
                <w:rFonts w:ascii="Arial" w:hAnsi="Arial" w:cs="Arial"/>
                <w:bCs/>
                <w:sz w:val="20"/>
                <w:szCs w:val="20"/>
                <w:lang w:val="en-GB"/>
              </w:rPr>
              <w:t>Rating:1</w:t>
            </w:r>
          </w:p>
        </w:tc>
        <w:tc>
          <w:tcPr>
            <w:tcW w:w="1367" w:type="pct"/>
          </w:tcPr>
          <w:p w14:paraId="6604DD5F" w14:textId="77777777" w:rsidR="00AA1F41" w:rsidRPr="00AA1F41" w:rsidRDefault="00AA1F41" w:rsidP="00AA1F41">
            <w:pPr>
              <w:pStyle w:val="Heading2"/>
              <w:rPr>
                <w:rFonts w:ascii="Arial" w:hAnsi="Arial" w:cs="Arial"/>
                <w:lang w:val="en-GB" w:eastAsia="en-US"/>
              </w:rPr>
            </w:pPr>
            <w:r w:rsidRPr="00AA1F41">
              <w:rPr>
                <w:rFonts w:ascii="Arial" w:hAnsi="Arial" w:cs="Arial"/>
                <w:lang w:val="en-GB" w:eastAsia="en-US"/>
              </w:rPr>
              <w:t>Limitations of This Work</w:t>
            </w:r>
          </w:p>
          <w:p w14:paraId="63AD6318" w14:textId="77777777" w:rsidR="00AA1F41" w:rsidRPr="00AA1F41" w:rsidRDefault="00AA1F41" w:rsidP="00AA1F41">
            <w:pPr>
              <w:pStyle w:val="Heading2"/>
              <w:rPr>
                <w:rFonts w:ascii="Arial" w:hAnsi="Arial" w:cs="Arial"/>
                <w:lang w:val="en-GB" w:eastAsia="en-US"/>
              </w:rPr>
            </w:pPr>
            <w:r w:rsidRPr="00AA1F41">
              <w:rPr>
                <w:rFonts w:ascii="Arial" w:hAnsi="Arial" w:cs="Arial"/>
                <w:lang w:val="en-GB" w:eastAsia="en-US"/>
              </w:rPr>
              <w:t>Pros:</w:t>
            </w:r>
          </w:p>
          <w:p w14:paraId="0DBF8AE7" w14:textId="77777777" w:rsidR="00AA1F41" w:rsidRPr="00AA1F41" w:rsidRDefault="00AA1F41" w:rsidP="00AA1F41">
            <w:pPr>
              <w:pStyle w:val="Heading2"/>
              <w:rPr>
                <w:rFonts w:ascii="Arial" w:hAnsi="Arial" w:cs="Arial"/>
                <w:b w:val="0"/>
                <w:lang w:val="en-GB" w:eastAsia="en-US"/>
              </w:rPr>
            </w:pPr>
            <w:r w:rsidRPr="00AA1F41">
              <w:rPr>
                <w:rFonts w:ascii="Arial" w:hAnsi="Arial" w:cs="Arial"/>
                <w:b w:val="0"/>
                <w:lang w:val="en-GB" w:eastAsia="en-US"/>
              </w:rPr>
              <w:t>Timely policy integration (2025 Surgeon General advisory, EPA PFAS MCLs)</w:t>
            </w:r>
          </w:p>
          <w:p w14:paraId="08408B13" w14:textId="77777777" w:rsidR="00AA1F41" w:rsidRPr="00AA1F41" w:rsidRDefault="00AA1F41" w:rsidP="00AA1F41">
            <w:pPr>
              <w:pStyle w:val="Heading2"/>
              <w:rPr>
                <w:rFonts w:ascii="Arial" w:hAnsi="Arial" w:cs="Arial"/>
                <w:b w:val="0"/>
                <w:lang w:val="en-GB" w:eastAsia="en-US"/>
              </w:rPr>
            </w:pPr>
            <w:r w:rsidRPr="00AA1F41">
              <w:rPr>
                <w:rFonts w:ascii="Arial" w:hAnsi="Arial" w:cs="Arial"/>
                <w:b w:val="0"/>
                <w:lang w:val="en-GB" w:eastAsia="en-US"/>
              </w:rPr>
              <w:t>Clear physiological exposition for non-specialists</w:t>
            </w:r>
          </w:p>
          <w:p w14:paraId="2F24127F" w14:textId="77777777" w:rsidR="00AA1F41" w:rsidRPr="00AA1F41" w:rsidRDefault="00AA1F41" w:rsidP="00AA1F41">
            <w:pPr>
              <w:pStyle w:val="Heading2"/>
              <w:rPr>
                <w:rFonts w:ascii="Arial" w:hAnsi="Arial" w:cs="Arial"/>
                <w:b w:val="0"/>
                <w:lang w:val="en-GB" w:eastAsia="en-US"/>
              </w:rPr>
            </w:pPr>
            <w:r w:rsidRPr="00AA1F41">
              <w:rPr>
                <w:rFonts w:ascii="Arial" w:hAnsi="Arial" w:cs="Arial"/>
                <w:b w:val="0"/>
                <w:lang w:val="en-GB" w:eastAsia="en-US"/>
              </w:rPr>
              <w:t>Practical three-tier framework for resource-constrained systems</w:t>
            </w:r>
          </w:p>
          <w:p w14:paraId="15E66DA1" w14:textId="77777777" w:rsidR="00AA1F41" w:rsidRPr="00AA1F41" w:rsidRDefault="00AA1F41" w:rsidP="00AA1F41">
            <w:pPr>
              <w:pStyle w:val="Heading2"/>
              <w:rPr>
                <w:rFonts w:ascii="Arial" w:hAnsi="Arial" w:cs="Arial"/>
                <w:b w:val="0"/>
                <w:lang w:val="en-GB" w:eastAsia="en-US"/>
              </w:rPr>
            </w:pPr>
            <w:r w:rsidRPr="00AA1F41">
              <w:rPr>
                <w:rFonts w:ascii="Arial" w:hAnsi="Arial" w:cs="Arial"/>
                <w:b w:val="0"/>
                <w:lang w:val="en-GB" w:eastAsia="en-US"/>
              </w:rPr>
              <w:t>Effective ethanol paradox illumination</w:t>
            </w:r>
          </w:p>
          <w:p w14:paraId="440864A6" w14:textId="77777777" w:rsidR="00AA1F41" w:rsidRPr="00AA1F41" w:rsidRDefault="00AA1F41" w:rsidP="00AA1F41">
            <w:pPr>
              <w:pStyle w:val="Heading2"/>
              <w:rPr>
                <w:rFonts w:ascii="Arial" w:hAnsi="Arial" w:cs="Arial"/>
                <w:lang w:val="en-GB" w:eastAsia="en-US"/>
              </w:rPr>
            </w:pPr>
            <w:r w:rsidRPr="00AA1F41">
              <w:rPr>
                <w:rFonts w:ascii="Arial" w:hAnsi="Arial" w:cs="Arial"/>
                <w:lang w:val="en-GB" w:eastAsia="en-US"/>
              </w:rPr>
              <w:t>Cons:</w:t>
            </w:r>
          </w:p>
          <w:p w14:paraId="71AF4364" w14:textId="77777777" w:rsidR="00AA1F41" w:rsidRPr="00AA1F41" w:rsidRDefault="00AA1F41" w:rsidP="00AA1F41">
            <w:pPr>
              <w:pStyle w:val="Heading2"/>
              <w:rPr>
                <w:rFonts w:ascii="Arial" w:hAnsi="Arial" w:cs="Arial"/>
                <w:b w:val="0"/>
                <w:lang w:val="en-GB" w:eastAsia="en-US"/>
              </w:rPr>
            </w:pPr>
            <w:r w:rsidRPr="00AA1F41">
              <w:rPr>
                <w:rFonts w:ascii="Arial" w:hAnsi="Arial" w:cs="Arial"/>
                <w:b w:val="0"/>
                <w:lang w:val="en-GB" w:eastAsia="en-US"/>
              </w:rPr>
              <w:t>Underweights evolutionary mismatch and vulnerable populations</w:t>
            </w:r>
          </w:p>
          <w:p w14:paraId="73C76165" w14:textId="469BEF31" w:rsidR="004517E5" w:rsidRDefault="004517E5" w:rsidP="00AA1F41">
            <w:pPr>
              <w:pStyle w:val="Heading2"/>
              <w:keepNext w:val="0"/>
              <w:jc w:val="left"/>
              <w:rPr>
                <w:rFonts w:ascii="Arial" w:hAnsi="Arial" w:cs="Arial"/>
                <w:b w:val="0"/>
                <w:lang w:val="en-GB" w:eastAsia="en-US"/>
              </w:rPr>
            </w:pPr>
          </w:p>
        </w:tc>
      </w:tr>
      <w:tr w:rsidR="004517E5" w14:paraId="101BC7DC" w14:textId="77777777">
        <w:trPr>
          <w:trHeight w:val="20"/>
          <w:jc w:val="center"/>
        </w:trPr>
        <w:tc>
          <w:tcPr>
            <w:tcW w:w="1790" w:type="pct"/>
            <w:noWrap/>
          </w:tcPr>
          <w:p w14:paraId="1BE35733" w14:textId="77777777" w:rsidR="004517E5" w:rsidRDefault="00335104">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B94F014"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CB2415"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B33F3FF"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E3ECF5C" w14:textId="77777777" w:rsidR="004517E5" w:rsidRDefault="00E43AE8">
            <w:pPr>
              <w:pStyle w:val="ListParagraph"/>
              <w:ind w:left="0"/>
              <w:rPr>
                <w:rFonts w:ascii="Arial" w:hAnsi="Arial" w:cs="Arial"/>
                <w:bCs/>
                <w:sz w:val="20"/>
                <w:szCs w:val="20"/>
                <w:lang w:val="en-GB"/>
              </w:rPr>
            </w:pPr>
            <w:r>
              <w:rPr>
                <w:rFonts w:ascii="Arial" w:hAnsi="Arial" w:cs="Arial"/>
                <w:bCs/>
                <w:sz w:val="20"/>
                <w:szCs w:val="20"/>
                <w:lang w:val="en-GB"/>
              </w:rPr>
              <w:t>Quality of references is good</w:t>
            </w:r>
          </w:p>
          <w:p w14:paraId="73246A94" w14:textId="38FFFD4B" w:rsidR="00E43AE8" w:rsidRDefault="00E43AE8">
            <w:pPr>
              <w:pStyle w:val="ListParagraph"/>
              <w:ind w:left="0"/>
              <w:rPr>
                <w:rFonts w:ascii="Arial" w:hAnsi="Arial" w:cs="Arial"/>
                <w:bCs/>
                <w:sz w:val="20"/>
                <w:szCs w:val="20"/>
                <w:lang w:val="en-GB"/>
              </w:rPr>
            </w:pPr>
            <w:r>
              <w:rPr>
                <w:rFonts w:ascii="Arial" w:hAnsi="Arial" w:cs="Arial"/>
                <w:bCs/>
                <w:sz w:val="20"/>
                <w:szCs w:val="20"/>
                <w:lang w:val="en-GB"/>
              </w:rPr>
              <w:t>Rating:4</w:t>
            </w:r>
          </w:p>
        </w:tc>
        <w:tc>
          <w:tcPr>
            <w:tcW w:w="1367" w:type="pct"/>
          </w:tcPr>
          <w:p w14:paraId="5719B403" w14:textId="215F87E8" w:rsidR="004517E5" w:rsidRDefault="00AA1F41">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4517E5" w14:paraId="058BD567" w14:textId="77777777">
        <w:trPr>
          <w:trHeight w:val="20"/>
          <w:jc w:val="center"/>
        </w:trPr>
        <w:tc>
          <w:tcPr>
            <w:tcW w:w="1790" w:type="pct"/>
            <w:noWrap/>
          </w:tcPr>
          <w:p w14:paraId="14CF0490" w14:textId="77777777" w:rsidR="004517E5" w:rsidRDefault="00335104">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64EEC048"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537E4C" w14:textId="77777777"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C20F1EA" w14:textId="77777777"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CB18C26" w14:textId="77777777" w:rsidR="004517E5" w:rsidRDefault="0008589D">
            <w:pPr>
              <w:pStyle w:val="ListParagraph"/>
              <w:ind w:left="0"/>
              <w:rPr>
                <w:rFonts w:ascii="Arial" w:hAnsi="Arial" w:cs="Arial"/>
                <w:bCs/>
                <w:sz w:val="20"/>
                <w:szCs w:val="20"/>
                <w:lang w:val="en-GB"/>
              </w:rPr>
            </w:pPr>
            <w:r>
              <w:rPr>
                <w:rFonts w:ascii="Arial" w:hAnsi="Arial" w:cs="Arial"/>
                <w:bCs/>
                <w:sz w:val="20"/>
                <w:szCs w:val="20"/>
                <w:lang w:val="en-GB"/>
              </w:rPr>
              <w:t>Language is clear and understandable</w:t>
            </w:r>
          </w:p>
          <w:p w14:paraId="56ED82B6" w14:textId="3DC2C789" w:rsidR="0008589D" w:rsidRDefault="0008589D">
            <w:pPr>
              <w:pStyle w:val="ListParagraph"/>
              <w:ind w:left="0"/>
              <w:rPr>
                <w:rFonts w:ascii="Arial" w:hAnsi="Arial" w:cs="Arial"/>
                <w:bCs/>
                <w:sz w:val="20"/>
                <w:szCs w:val="20"/>
                <w:lang w:val="en-GB"/>
              </w:rPr>
            </w:pPr>
            <w:r>
              <w:rPr>
                <w:rFonts w:ascii="Arial" w:hAnsi="Arial" w:cs="Arial"/>
                <w:bCs/>
                <w:sz w:val="20"/>
                <w:szCs w:val="20"/>
                <w:lang w:val="en-GB"/>
              </w:rPr>
              <w:t>Rating:4</w:t>
            </w:r>
          </w:p>
        </w:tc>
        <w:tc>
          <w:tcPr>
            <w:tcW w:w="1367" w:type="pct"/>
          </w:tcPr>
          <w:p w14:paraId="70BC5EC0" w14:textId="7E609915" w:rsidR="004517E5" w:rsidRDefault="00AA1F41">
            <w:pPr>
              <w:pStyle w:val="Heading2"/>
              <w:keepNext w:val="0"/>
              <w:jc w:val="left"/>
              <w:rPr>
                <w:rFonts w:ascii="Arial" w:hAnsi="Arial" w:cs="Arial"/>
                <w:b w:val="0"/>
                <w:lang w:val="en-GB" w:eastAsia="en-US"/>
              </w:rPr>
            </w:pPr>
            <w:r>
              <w:rPr>
                <w:rFonts w:ascii="Arial" w:hAnsi="Arial" w:cs="Arial"/>
                <w:b w:val="0"/>
                <w:lang w:val="en-GB" w:eastAsia="en-US"/>
              </w:rPr>
              <w:t xml:space="preserve">Thank you </w:t>
            </w:r>
          </w:p>
        </w:tc>
      </w:tr>
    </w:tbl>
    <w:p w14:paraId="60868863" w14:textId="77777777" w:rsidR="004517E5" w:rsidRDefault="004517E5">
      <w:pPr>
        <w:pStyle w:val="BodyText"/>
        <w:rPr>
          <w:rFonts w:ascii="Arial" w:hAnsi="Arial" w:cs="Arial"/>
          <w:b/>
          <w:bCs/>
          <w:sz w:val="20"/>
          <w:szCs w:val="20"/>
          <w:u w:val="single"/>
          <w:lang w:val="en-GB"/>
        </w:rPr>
      </w:pPr>
    </w:p>
    <w:p w14:paraId="242B321B" w14:textId="77777777" w:rsidR="004517E5" w:rsidRDefault="004517E5">
      <w:pPr>
        <w:pStyle w:val="BodyText"/>
        <w:rPr>
          <w:rFonts w:ascii="Arial" w:hAnsi="Arial" w:cs="Arial"/>
          <w:b/>
          <w:bCs/>
          <w:sz w:val="20"/>
          <w:szCs w:val="20"/>
          <w:u w:val="single"/>
          <w:lang w:val="en-GB"/>
        </w:rPr>
      </w:pPr>
    </w:p>
    <w:p w14:paraId="282DFE1E" w14:textId="77777777" w:rsidR="004517E5" w:rsidRDefault="004517E5">
      <w:pPr>
        <w:pStyle w:val="BodyText"/>
        <w:rPr>
          <w:rFonts w:ascii="Arial" w:hAnsi="Arial" w:cs="Arial"/>
          <w:b/>
          <w:bCs/>
          <w:sz w:val="20"/>
          <w:szCs w:val="20"/>
          <w:u w:val="single"/>
          <w:lang w:val="en-GB"/>
        </w:rPr>
      </w:pPr>
    </w:p>
    <w:p w14:paraId="077A833E" w14:textId="77777777" w:rsidR="004517E5" w:rsidRDefault="00335104">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20999CC" w14:textId="77777777" w:rsidR="004517E5"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517E5" w14:paraId="4A8C8D32" w14:textId="77777777">
        <w:trPr>
          <w:trHeight w:val="20"/>
          <w:jc w:val="center"/>
        </w:trPr>
        <w:tc>
          <w:tcPr>
            <w:tcW w:w="1265" w:type="pct"/>
            <w:noWrap/>
          </w:tcPr>
          <w:p w14:paraId="455DEA65" w14:textId="77777777" w:rsidR="004517E5" w:rsidRDefault="004517E5">
            <w:pPr>
              <w:pStyle w:val="Heading2"/>
              <w:keepNext w:val="0"/>
              <w:jc w:val="left"/>
              <w:rPr>
                <w:rFonts w:ascii="Arial" w:hAnsi="Arial" w:cs="Arial"/>
                <w:lang w:val="en-GB" w:eastAsia="en-US"/>
              </w:rPr>
            </w:pPr>
          </w:p>
        </w:tc>
        <w:tc>
          <w:tcPr>
            <w:tcW w:w="2212" w:type="pct"/>
          </w:tcPr>
          <w:p w14:paraId="3EF602E1" w14:textId="77777777" w:rsidR="004517E5" w:rsidRDefault="00335104">
            <w:pPr>
              <w:pStyle w:val="Heading2"/>
              <w:keepNext w:val="0"/>
              <w:jc w:val="left"/>
              <w:rPr>
                <w:rFonts w:ascii="Arial" w:hAnsi="Arial" w:cs="Arial"/>
                <w:lang w:val="en-GB" w:eastAsia="en-US"/>
              </w:rPr>
            </w:pPr>
            <w:r>
              <w:rPr>
                <w:rFonts w:ascii="Arial" w:hAnsi="Arial" w:cs="Arial"/>
                <w:lang w:val="en-GB" w:eastAsia="en-US"/>
              </w:rPr>
              <w:t>Reviewer’s comment</w:t>
            </w:r>
          </w:p>
          <w:p w14:paraId="7ED94894" w14:textId="77777777" w:rsidR="004517E5" w:rsidRDefault="004517E5">
            <w:pPr>
              <w:rPr>
                <w:rFonts w:ascii="Arial" w:hAnsi="Arial" w:cs="Arial"/>
                <w:sz w:val="20"/>
                <w:szCs w:val="20"/>
                <w:lang w:val="en-GB"/>
              </w:rPr>
            </w:pPr>
          </w:p>
        </w:tc>
        <w:tc>
          <w:tcPr>
            <w:tcW w:w="1523" w:type="pct"/>
          </w:tcPr>
          <w:p w14:paraId="70C2439C" w14:textId="77777777" w:rsidR="004517E5" w:rsidRDefault="00335104">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7A89C99" w14:textId="77777777" w:rsidR="004517E5" w:rsidRDefault="004517E5">
            <w:pPr>
              <w:pStyle w:val="Heading2"/>
              <w:keepNext w:val="0"/>
              <w:jc w:val="left"/>
              <w:rPr>
                <w:rFonts w:ascii="Arial" w:hAnsi="Arial" w:cs="Arial"/>
                <w:b w:val="0"/>
                <w:lang w:val="en-GB" w:eastAsia="en-US"/>
              </w:rPr>
            </w:pPr>
          </w:p>
        </w:tc>
      </w:tr>
      <w:tr w:rsidR="004517E5" w14:paraId="7C5042EC" w14:textId="77777777">
        <w:trPr>
          <w:trHeight w:val="20"/>
          <w:jc w:val="center"/>
        </w:trPr>
        <w:tc>
          <w:tcPr>
            <w:tcW w:w="1265" w:type="pct"/>
            <w:noWrap/>
          </w:tcPr>
          <w:p w14:paraId="0D119B6C" w14:textId="77777777" w:rsidR="004517E5" w:rsidRDefault="00335104">
            <w:pPr>
              <w:rPr>
                <w:rFonts w:ascii="Arial" w:hAnsi="Arial" w:cs="Arial"/>
                <w:b/>
                <w:bCs/>
                <w:sz w:val="20"/>
                <w:szCs w:val="20"/>
                <w:lang w:val="en-GB"/>
              </w:rPr>
            </w:pPr>
            <w:r>
              <w:rPr>
                <w:rFonts w:ascii="Arial" w:hAnsi="Arial" w:cs="Arial"/>
                <w:b/>
                <w:bCs/>
                <w:sz w:val="20"/>
                <w:szCs w:val="20"/>
                <w:lang w:val="en-GB"/>
              </w:rPr>
              <w:t>Is the title of the article suitable?</w:t>
            </w:r>
          </w:p>
          <w:p w14:paraId="7784330E" w14:textId="77777777" w:rsidR="004517E5" w:rsidRDefault="004517E5">
            <w:pPr>
              <w:rPr>
                <w:rFonts w:ascii="Arial" w:hAnsi="Arial" w:cs="Arial"/>
                <w:bCs/>
                <w:sz w:val="20"/>
                <w:szCs w:val="20"/>
                <w:lang w:val="en-GB"/>
              </w:rPr>
            </w:pPr>
          </w:p>
          <w:p w14:paraId="25A7A277" w14:textId="77777777" w:rsidR="004517E5" w:rsidRDefault="00335104">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53CAB1FF" w14:textId="77777777" w:rsidR="00E60154" w:rsidRPr="00E60154" w:rsidRDefault="00E60154" w:rsidP="00E60154">
            <w:pPr>
              <w:rPr>
                <w:rFonts w:ascii="Arial" w:hAnsi="Arial" w:cs="Arial"/>
                <w:b/>
                <w:bCs/>
                <w:sz w:val="20"/>
                <w:szCs w:val="20"/>
                <w:lang w:val="en-GB"/>
              </w:rPr>
            </w:pPr>
            <w:r w:rsidRPr="00E60154">
              <w:rPr>
                <w:rFonts w:ascii="Arial" w:hAnsi="Arial" w:cs="Arial"/>
                <w:b/>
                <w:bCs/>
                <w:sz w:val="20"/>
                <w:szCs w:val="20"/>
                <w:lang w:val="en-GB"/>
              </w:rPr>
              <w:t>The title is quite analytical although it does not cover the whole review content</w:t>
            </w:r>
          </w:p>
          <w:p w14:paraId="2B1064CE" w14:textId="77777777" w:rsidR="004517E5" w:rsidRDefault="004517E5" w:rsidP="00E60154">
            <w:pPr>
              <w:rPr>
                <w:rFonts w:ascii="Arial" w:hAnsi="Arial" w:cs="Arial"/>
                <w:b/>
                <w:bCs/>
                <w:sz w:val="20"/>
                <w:szCs w:val="20"/>
                <w:lang w:val="en-GB"/>
              </w:rPr>
            </w:pPr>
          </w:p>
        </w:tc>
        <w:tc>
          <w:tcPr>
            <w:tcW w:w="1523" w:type="pct"/>
          </w:tcPr>
          <w:p w14:paraId="2EF807CE" w14:textId="0570D56B" w:rsidR="004517E5" w:rsidRPr="00D35320" w:rsidRDefault="00D35320">
            <w:pPr>
              <w:pStyle w:val="Heading2"/>
              <w:keepNext w:val="0"/>
              <w:jc w:val="left"/>
              <w:rPr>
                <w:rFonts w:ascii="Arial" w:hAnsi="Arial" w:cs="Arial"/>
                <w:lang w:val="en-GB" w:eastAsia="en-US"/>
              </w:rPr>
            </w:pPr>
            <w:r>
              <w:rPr>
                <w:rFonts w:ascii="Arial" w:hAnsi="Arial" w:cs="Arial"/>
                <w:lang w:val="en-GB" w:eastAsia="en-US"/>
              </w:rPr>
              <w:t>“</w:t>
            </w:r>
            <w:r w:rsidRPr="00D35320">
              <w:rPr>
                <w:rFonts w:ascii="Arial" w:hAnsi="Arial" w:cs="Arial"/>
                <w:lang w:val="en-GB" w:eastAsia="en-US"/>
              </w:rPr>
              <w:t>BEYOND DETECTION: RECONCILING ANALYTICAL SENSITIVITY WITH BIOLOGICAL RELEVANCE IN TOXICOLOGICAL RISK ASSESSMENT</w:t>
            </w:r>
            <w:r>
              <w:rPr>
                <w:rFonts w:ascii="Arial" w:hAnsi="Arial" w:cs="Arial"/>
                <w:lang w:val="en-GB" w:eastAsia="en-US"/>
              </w:rPr>
              <w:t>’’</w:t>
            </w:r>
          </w:p>
        </w:tc>
      </w:tr>
      <w:tr w:rsidR="004517E5" w14:paraId="3CB7B299" w14:textId="77777777">
        <w:trPr>
          <w:trHeight w:val="20"/>
          <w:jc w:val="center"/>
        </w:trPr>
        <w:tc>
          <w:tcPr>
            <w:tcW w:w="1265" w:type="pct"/>
            <w:noWrap/>
          </w:tcPr>
          <w:p w14:paraId="2E2456D0" w14:textId="77777777" w:rsidR="004517E5" w:rsidRDefault="00335104">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432345CD" w14:textId="77777777" w:rsidR="004517E5" w:rsidRDefault="004517E5">
            <w:pPr>
              <w:rPr>
                <w:rFonts w:ascii="Arial" w:hAnsi="Arial" w:cs="Arial"/>
                <w:bCs/>
                <w:sz w:val="20"/>
                <w:szCs w:val="20"/>
                <w:lang w:val="en-GB"/>
              </w:rPr>
            </w:pPr>
          </w:p>
          <w:p w14:paraId="3B3993F4" w14:textId="77777777" w:rsidR="004517E5" w:rsidRDefault="00335104">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C8521D4" w14:textId="77777777" w:rsidR="00E60154" w:rsidRPr="00E60154" w:rsidRDefault="00E60154" w:rsidP="00E60154">
            <w:pPr>
              <w:rPr>
                <w:rFonts w:ascii="Arial" w:hAnsi="Arial" w:cs="Arial"/>
                <w:b/>
                <w:bCs/>
                <w:sz w:val="20"/>
                <w:szCs w:val="20"/>
                <w:lang w:val="en-GB"/>
              </w:rPr>
            </w:pPr>
            <w:r w:rsidRPr="00E60154">
              <w:rPr>
                <w:rFonts w:ascii="Arial" w:hAnsi="Arial" w:cs="Arial"/>
                <w:b/>
                <w:bCs/>
                <w:sz w:val="20"/>
                <w:szCs w:val="20"/>
                <w:lang w:val="en-GB"/>
              </w:rPr>
              <w:t>The abstract should be more balanced covering the whole content of the review</w:t>
            </w:r>
          </w:p>
          <w:p w14:paraId="2AEDC03F" w14:textId="77777777" w:rsidR="004517E5" w:rsidRDefault="004517E5">
            <w:pPr>
              <w:ind w:left="360"/>
              <w:rPr>
                <w:rFonts w:ascii="Arial" w:hAnsi="Arial" w:cs="Arial"/>
                <w:b/>
                <w:bCs/>
                <w:sz w:val="20"/>
                <w:szCs w:val="20"/>
                <w:lang w:val="en-GB"/>
              </w:rPr>
            </w:pPr>
          </w:p>
        </w:tc>
        <w:tc>
          <w:tcPr>
            <w:tcW w:w="1523" w:type="pct"/>
          </w:tcPr>
          <w:p w14:paraId="267CA842" w14:textId="77777777" w:rsidR="00C75586" w:rsidRPr="00667DC1" w:rsidRDefault="00C75586" w:rsidP="00C75586">
            <w:pPr>
              <w:pStyle w:val="Heading2"/>
              <w:rPr>
                <w:rFonts w:ascii="Arial" w:hAnsi="Arial" w:cs="Arial"/>
                <w:b w:val="0"/>
                <w:lang w:val="en-GB"/>
              </w:rPr>
            </w:pPr>
            <w:r w:rsidRPr="00A24514">
              <w:rPr>
                <w:rFonts w:ascii="Arial" w:hAnsi="Arial" w:cs="Arial"/>
                <w:lang w:val="en-GB"/>
              </w:rPr>
              <w:t>Updated abstract</w:t>
            </w:r>
            <w:r>
              <w:rPr>
                <w:rFonts w:ascii="Arial" w:hAnsi="Arial" w:cs="Arial"/>
                <w:b w:val="0"/>
                <w:lang w:val="en-GB"/>
              </w:rPr>
              <w:t xml:space="preserve">, </w:t>
            </w:r>
          </w:p>
          <w:p w14:paraId="174FC61E"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The modern era of analytical chemistry—propelled by advances in high-resolution mass spectrometry, tandem LC-MS/MS, and ambient ionization techniques—has ushered in an unprecedented capacity to detect synthetic chemical residues at picomolar and even femtomolar concentrations, often surpassing parts-per-trillion sensitivity. Yet this remarkable technological progress has precipitated a widening epistemic and regulatory chasm between what can be measured instrumentally and what constitutes biologically meaningful harm. This manuscript critically examines the systematic divergence between analytical detection capabilities and toxicological significance across three interconnected domains.</w:t>
            </w:r>
          </w:p>
          <w:p w14:paraId="6A703414" w14:textId="77777777" w:rsidR="00C75586" w:rsidRPr="00667DC1" w:rsidRDefault="00C75586" w:rsidP="00C75586">
            <w:pPr>
              <w:pStyle w:val="Heading2"/>
              <w:jc w:val="left"/>
              <w:rPr>
                <w:rFonts w:ascii="Arial" w:hAnsi="Arial" w:cs="Arial"/>
                <w:b w:val="0"/>
                <w:lang w:val="en-GB"/>
              </w:rPr>
            </w:pPr>
          </w:p>
          <w:p w14:paraId="6D8AD288"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First, we interrogate the physiological mechanisms of endogenous detoxification, including Phase I functionalization (cytochrome P450-mediated oxidation, reduction, and hydrolysis), Phase II conjugation (glucuronidation, sulfation, glutathione conjugation, and N-acetylation), and Phase III transport processes (ATP-binding cassette efflux pumps and organic anion/cation transporters). We demonstrate that homeostatic resilience, adaptive stress responses, and hormetic dose–response relationships frequently render trace-level exposures physiologically inconsequential, even when analytically verifiable.</w:t>
            </w:r>
          </w:p>
          <w:p w14:paraId="01BBA17F" w14:textId="77777777" w:rsidR="00C75586" w:rsidRPr="00667DC1" w:rsidRDefault="00C75586" w:rsidP="00C75586">
            <w:pPr>
              <w:pStyle w:val="Heading2"/>
              <w:jc w:val="left"/>
              <w:rPr>
                <w:rFonts w:ascii="Arial" w:hAnsi="Arial" w:cs="Arial"/>
                <w:b w:val="0"/>
                <w:lang w:val="en-GB"/>
              </w:rPr>
            </w:pPr>
          </w:p>
          <w:p w14:paraId="162F42CE"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 xml:space="preserve">Second, we address the epistemological constraints of mixture toxicology, including the limitations of dose-addition and independent-action models, the challenges of identifying interaction thresholds for synergistic or antagonistic effects, and the statistical power constraints of high-dimensional mixture analyses. We critically evaluate the "cocktail effect" hypothesis, distinguishing documented synergistic interactions from speculative cumulative risk </w:t>
            </w:r>
            <w:r w:rsidRPr="00667DC1">
              <w:rPr>
                <w:rFonts w:ascii="Arial" w:hAnsi="Arial" w:cs="Arial"/>
                <w:b w:val="0"/>
                <w:lang w:val="en-GB"/>
              </w:rPr>
              <w:lastRenderedPageBreak/>
              <w:t>frameworks that lack empirical validation at environmentally relevant concentrations.</w:t>
            </w:r>
          </w:p>
          <w:p w14:paraId="2E229F1F" w14:textId="77777777" w:rsidR="00C75586" w:rsidRPr="00667DC1" w:rsidRDefault="00C75586" w:rsidP="00C75586">
            <w:pPr>
              <w:pStyle w:val="Heading2"/>
              <w:jc w:val="left"/>
              <w:rPr>
                <w:rFonts w:ascii="Arial" w:hAnsi="Arial" w:cs="Arial"/>
                <w:b w:val="0"/>
                <w:lang w:val="en-GB"/>
              </w:rPr>
            </w:pPr>
          </w:p>
          <w:p w14:paraId="013F4148"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Third, we analyze the cognitive biases that distort public perception of chemical risk—including the affect heuristic, availability cascades, source confusion between natural and synthetic exposures, and the asymmetrical influence of precautionary framing on regulatory decision-making. We contextualize these biases within the broader sociology of scientific knowledge, examining how media amplification of single-study findings and the conflation of hazard identification with risk characterization drive disproportionate policy responses.</w:t>
            </w:r>
          </w:p>
          <w:p w14:paraId="72B81289" w14:textId="77777777" w:rsidR="00C75586" w:rsidRPr="00667DC1" w:rsidRDefault="00C75586" w:rsidP="00C75586">
            <w:pPr>
              <w:pStyle w:val="Heading2"/>
              <w:jc w:val="left"/>
              <w:rPr>
                <w:rFonts w:ascii="Arial" w:hAnsi="Arial" w:cs="Arial"/>
                <w:b w:val="0"/>
                <w:lang w:val="en-GB"/>
              </w:rPr>
            </w:pPr>
          </w:p>
          <w:p w14:paraId="1AAC187F"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Building upon these analyses, we propose a three-tier risk-prioritization framework: Tier I comprises substances with robust epidemiological evidence of high-impact toxicity at environmentally relevant doses (e.g., certain organophosphates, legacy persistent organic pollutants, and confirmed endocrine-disrupting compounds); Tier II includes chemicals with moderate hazard profiles requiring targeted biomonitoring and exposure mitigation; and Tier III encompasses the vast majority of detectable synthetic contaminants whose trace-level presence, while analytically confirmable, lacks plausible mechanistic pathways to adverse health outcomes given endogenous detoxification capacity and realistic exposure scenarios. This framework is designed to redirect finite public health resources toward substances with demonstrated high-impact toxicity while contextualizing the actual risk posed by trace-level synthetic contaminants.</w:t>
            </w:r>
          </w:p>
          <w:p w14:paraId="57346F6A" w14:textId="77777777" w:rsidR="00C75586" w:rsidRPr="00667DC1" w:rsidRDefault="00C75586" w:rsidP="00C75586">
            <w:pPr>
              <w:pStyle w:val="Heading2"/>
              <w:jc w:val="left"/>
              <w:rPr>
                <w:rFonts w:ascii="Arial" w:hAnsi="Arial" w:cs="Arial"/>
                <w:b w:val="0"/>
                <w:lang w:val="en-GB"/>
              </w:rPr>
            </w:pPr>
          </w:p>
          <w:p w14:paraId="11A326F4"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We further integrate insights from pharmacokinetic modeling (physiologically based pharmacokinetic [PBPK] approaches), toxicological epidemiology (including causal inference methods and exposure assessment validation), and risk psychology to argue for an evidence-based recalibration of regulatory thresholds and consumer priorities. We examine case studies including bisphenol A regulatory reversals, glyphosate hazard classification controversies, and per- and polyfluoroalkyl substances (PFAS) risk assessment evolution to illustrate how analytical detectability has been progressively decoupled from pathogenicity in both scientific discourse and policy formulation.</w:t>
            </w:r>
          </w:p>
          <w:p w14:paraId="3B1A1244" w14:textId="77777777" w:rsidR="00C75586" w:rsidRPr="00667DC1" w:rsidRDefault="00C75586" w:rsidP="00C75586">
            <w:pPr>
              <w:pStyle w:val="Heading2"/>
              <w:jc w:val="left"/>
              <w:rPr>
                <w:rFonts w:ascii="Arial" w:hAnsi="Arial" w:cs="Arial"/>
                <w:b w:val="0"/>
                <w:lang w:val="en-GB"/>
              </w:rPr>
            </w:pPr>
          </w:p>
          <w:p w14:paraId="723B9A4F" w14:textId="77777777" w:rsidR="00C75586" w:rsidRPr="00667DC1" w:rsidRDefault="00C75586" w:rsidP="00C75586">
            <w:pPr>
              <w:pStyle w:val="Heading2"/>
              <w:jc w:val="left"/>
              <w:rPr>
                <w:rFonts w:ascii="Arial" w:hAnsi="Arial" w:cs="Arial"/>
                <w:b w:val="0"/>
                <w:lang w:val="en-GB"/>
              </w:rPr>
            </w:pPr>
            <w:r w:rsidRPr="00667DC1">
              <w:rPr>
                <w:rFonts w:ascii="Arial" w:hAnsi="Arial" w:cs="Arial"/>
                <w:b w:val="0"/>
                <w:lang w:val="en-GB"/>
              </w:rPr>
              <w:t>Finally, we consider the emerging dimension of the human microbiome as a metabolic interface between xenobiotic exposure and host physiology, evaluating whether microbiome-mediated biotransformation amplifies or attenuates toxicological risk. We conclude by emphasizing that detectability does not equate to pathogenicity, and that sustainable chemical safety governance requires explicit differentiation between analytical capability, hazard potential, and probabilistic risk—a distinction essential to preserving public trust in scientific institutions while optimizing the allocation of protective health resources.</w:t>
            </w:r>
          </w:p>
          <w:p w14:paraId="739BC035" w14:textId="77777777" w:rsidR="00C75586" w:rsidRPr="00667DC1" w:rsidRDefault="00C75586" w:rsidP="00C75586">
            <w:pPr>
              <w:pStyle w:val="Heading2"/>
              <w:jc w:val="left"/>
              <w:rPr>
                <w:rFonts w:ascii="Arial" w:hAnsi="Arial" w:cs="Arial"/>
                <w:b w:val="0"/>
                <w:lang w:val="en-GB"/>
              </w:rPr>
            </w:pPr>
          </w:p>
          <w:p w14:paraId="7DF50B19" w14:textId="59696794" w:rsidR="004517E5" w:rsidRDefault="00C75586" w:rsidP="00C75586">
            <w:pPr>
              <w:pStyle w:val="Heading2"/>
              <w:keepNext w:val="0"/>
              <w:jc w:val="left"/>
              <w:rPr>
                <w:rFonts w:ascii="Arial" w:hAnsi="Arial" w:cs="Arial"/>
                <w:b w:val="0"/>
                <w:lang w:val="en-GB" w:eastAsia="en-US"/>
              </w:rPr>
            </w:pPr>
            <w:r w:rsidRPr="00667DC1">
              <w:rPr>
                <w:rFonts w:ascii="Arial" w:hAnsi="Arial" w:cs="Arial"/>
                <w:b w:val="0"/>
                <w:lang w:val="en-GB"/>
              </w:rPr>
              <w:t>Keywords: analytical chemistry; xenobiotics; bioaccumulation; hormesis; mixture toxicology; risk perception; Phase II metabolism; endocrine disruption; evidence-based prioritization; cocktail effect; human microbiome; PBPK modeling; dose–response relationships; regulatory toxicology; precautionary principle; exposure science</w:t>
            </w:r>
          </w:p>
        </w:tc>
      </w:tr>
      <w:tr w:rsidR="004517E5" w14:paraId="26AFA056" w14:textId="77777777">
        <w:trPr>
          <w:trHeight w:val="20"/>
          <w:jc w:val="center"/>
        </w:trPr>
        <w:tc>
          <w:tcPr>
            <w:tcW w:w="1265" w:type="pct"/>
            <w:noWrap/>
          </w:tcPr>
          <w:p w14:paraId="6E4B5C70" w14:textId="77777777" w:rsidR="004517E5" w:rsidRDefault="00335104">
            <w:pPr>
              <w:pStyle w:val="Heading2"/>
              <w:keepNext w:val="0"/>
              <w:jc w:val="left"/>
              <w:rPr>
                <w:rFonts w:ascii="Arial" w:hAnsi="Arial" w:cs="Arial"/>
                <w:b w:val="0"/>
                <w:lang w:val="en-GB" w:eastAsia="en-US"/>
              </w:rPr>
            </w:pPr>
            <w:r>
              <w:rPr>
                <w:rFonts w:ascii="Arial" w:hAnsi="Arial" w:cs="Arial"/>
                <w:lang w:val="en-GB" w:eastAsia="en-US"/>
              </w:rPr>
              <w:lastRenderedPageBreak/>
              <w:t xml:space="preserve">Is the manuscript scientifically correct? </w:t>
            </w:r>
            <w:r>
              <w:rPr>
                <w:rFonts w:ascii="Arial" w:hAnsi="Arial" w:cs="Arial"/>
                <w:lang w:val="en-GB" w:eastAsia="en-US"/>
              </w:rPr>
              <w:br/>
            </w:r>
          </w:p>
          <w:p w14:paraId="5C26321E" w14:textId="77777777" w:rsidR="004517E5" w:rsidRDefault="00335104">
            <w:pPr>
              <w:rPr>
                <w:rFonts w:ascii="Arial" w:hAnsi="Arial" w:cs="Arial"/>
                <w:b/>
                <w:sz w:val="20"/>
                <w:szCs w:val="20"/>
                <w:lang w:val="en-GB"/>
              </w:rPr>
            </w:pPr>
            <w:r>
              <w:rPr>
                <w:rFonts w:ascii="Arial" w:hAnsi="Arial" w:cs="Arial"/>
                <w:bCs/>
                <w:sz w:val="20"/>
                <w:szCs w:val="20"/>
                <w:lang w:val="en-GB"/>
              </w:rPr>
              <w:lastRenderedPageBreak/>
              <w:t>If your answer is NO, please provide a brief, clear suggestion for improvement.</w:t>
            </w:r>
          </w:p>
        </w:tc>
        <w:tc>
          <w:tcPr>
            <w:tcW w:w="2212" w:type="pct"/>
          </w:tcPr>
          <w:p w14:paraId="405D856F" w14:textId="12B48AE3" w:rsidR="004517E5" w:rsidRDefault="00E61661">
            <w:pPr>
              <w:pStyle w:val="ListParagraph"/>
              <w:ind w:left="0"/>
              <w:rPr>
                <w:rFonts w:ascii="Arial" w:hAnsi="Arial" w:cs="Arial"/>
                <w:bCs/>
                <w:sz w:val="20"/>
                <w:szCs w:val="20"/>
                <w:lang w:val="en-GB"/>
              </w:rPr>
            </w:pPr>
            <w:r>
              <w:rPr>
                <w:rFonts w:ascii="Arial" w:hAnsi="Arial" w:cs="Arial"/>
                <w:bCs/>
                <w:sz w:val="20"/>
                <w:szCs w:val="20"/>
                <w:lang w:val="en-GB"/>
              </w:rPr>
              <w:lastRenderedPageBreak/>
              <w:t xml:space="preserve">Data on the effect of food metabolism could be included Better organization of data and discussion of factors shaping public </w:t>
            </w:r>
            <w:r>
              <w:rPr>
                <w:rFonts w:ascii="Arial" w:hAnsi="Arial" w:cs="Arial"/>
                <w:bCs/>
                <w:sz w:val="20"/>
                <w:szCs w:val="20"/>
                <w:lang w:val="en-GB"/>
              </w:rPr>
              <w:lastRenderedPageBreak/>
              <w:t xml:space="preserve">opinion Less space should be dedicated to special paradigms like alcohol </w:t>
            </w:r>
          </w:p>
        </w:tc>
        <w:tc>
          <w:tcPr>
            <w:tcW w:w="1523" w:type="pct"/>
          </w:tcPr>
          <w:p w14:paraId="5ED4D9AD" w14:textId="4DC1CE45" w:rsidR="004517E5" w:rsidRDefault="00C75586">
            <w:pPr>
              <w:pStyle w:val="Heading2"/>
              <w:keepNext w:val="0"/>
              <w:jc w:val="left"/>
              <w:rPr>
                <w:rFonts w:ascii="Arial" w:hAnsi="Arial" w:cs="Arial"/>
                <w:b w:val="0"/>
                <w:lang w:val="en-GB" w:eastAsia="en-US"/>
              </w:rPr>
            </w:pPr>
            <w:r>
              <w:rPr>
                <w:rFonts w:ascii="Arial" w:hAnsi="Arial" w:cs="Arial"/>
                <w:b w:val="0"/>
                <w:lang w:val="en-GB" w:eastAsia="en-US"/>
              </w:rPr>
              <w:lastRenderedPageBreak/>
              <w:t>alright</w:t>
            </w:r>
          </w:p>
        </w:tc>
      </w:tr>
      <w:tr w:rsidR="004517E5" w14:paraId="12EEC603" w14:textId="77777777">
        <w:trPr>
          <w:trHeight w:val="20"/>
          <w:jc w:val="center"/>
        </w:trPr>
        <w:tc>
          <w:tcPr>
            <w:tcW w:w="1265" w:type="pct"/>
            <w:noWrap/>
          </w:tcPr>
          <w:p w14:paraId="3AA6B897" w14:textId="77777777" w:rsidR="004517E5" w:rsidRDefault="00335104">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9045F49" w14:textId="77777777" w:rsidR="004517E5" w:rsidRDefault="004517E5">
            <w:pPr>
              <w:rPr>
                <w:rFonts w:ascii="Arial" w:hAnsi="Arial" w:cs="Arial"/>
                <w:bCs/>
                <w:sz w:val="20"/>
                <w:szCs w:val="20"/>
                <w:lang w:val="en-GB"/>
              </w:rPr>
            </w:pPr>
          </w:p>
          <w:p w14:paraId="27C8329C" w14:textId="77777777" w:rsidR="004517E5" w:rsidRDefault="00335104">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19E1C2B3" w14:textId="7CE70454" w:rsidR="004517E5" w:rsidRDefault="00E61661">
            <w:pPr>
              <w:pStyle w:val="ListParagraph"/>
              <w:ind w:left="0"/>
              <w:rPr>
                <w:rFonts w:ascii="Arial" w:hAnsi="Arial" w:cs="Arial"/>
                <w:bCs/>
                <w:sz w:val="20"/>
                <w:szCs w:val="20"/>
                <w:lang w:val="en-GB"/>
              </w:rPr>
            </w:pPr>
            <w:r>
              <w:rPr>
                <w:rFonts w:ascii="Arial" w:hAnsi="Arial" w:cs="Arial"/>
                <w:bCs/>
                <w:sz w:val="20"/>
                <w:szCs w:val="20"/>
                <w:lang w:val="en-GB"/>
              </w:rPr>
              <w:t xml:space="preserve">More recent references could be included for instance </w:t>
            </w:r>
          </w:p>
          <w:p w14:paraId="5904B137" w14:textId="4E98D865" w:rsidR="00E61661" w:rsidRPr="00E61661" w:rsidRDefault="00E61661" w:rsidP="00E61661">
            <w:pPr>
              <w:pStyle w:val="ListParagraph"/>
              <w:ind w:left="0"/>
              <w:rPr>
                <w:rFonts w:ascii="Arial" w:hAnsi="Arial" w:cs="Arial"/>
                <w:b/>
                <w:bCs/>
                <w:sz w:val="20"/>
                <w:szCs w:val="20"/>
              </w:rPr>
            </w:pPr>
            <w:r>
              <w:rPr>
                <w:rFonts w:ascii="Arial" w:hAnsi="Arial" w:cs="Arial"/>
                <w:bCs/>
                <w:sz w:val="20"/>
                <w:szCs w:val="20"/>
                <w:lang w:val="en-GB"/>
              </w:rPr>
              <w:t xml:space="preserve">Mukherjee s, et al. </w:t>
            </w:r>
            <w:r w:rsidRPr="00E61661">
              <w:rPr>
                <w:rFonts w:ascii="Arial" w:hAnsi="Arial" w:cs="Arial"/>
                <w:b/>
                <w:bCs/>
                <w:sz w:val="20"/>
                <w:szCs w:val="20"/>
              </w:rPr>
              <w:t>Hepatocyte mitochondrial NAD</w:t>
            </w:r>
            <w:r w:rsidRPr="00E61661">
              <w:rPr>
                <w:rFonts w:ascii="Arial" w:hAnsi="Arial" w:cs="Arial"/>
                <w:b/>
                <w:bCs/>
                <w:sz w:val="20"/>
                <w:szCs w:val="20"/>
                <w:vertAlign w:val="superscript"/>
              </w:rPr>
              <w:t>+</w:t>
            </w:r>
            <w:r w:rsidRPr="00E61661">
              <w:rPr>
                <w:rFonts w:ascii="Arial" w:hAnsi="Arial" w:cs="Arial"/>
                <w:b/>
                <w:bCs/>
                <w:sz w:val="20"/>
                <w:szCs w:val="20"/>
              </w:rPr>
              <w:t> content is limiting for liver regeneration</w:t>
            </w:r>
            <w:r>
              <w:rPr>
                <w:rFonts w:ascii="Arial" w:hAnsi="Arial" w:cs="Arial"/>
                <w:b/>
                <w:bCs/>
                <w:sz w:val="20"/>
                <w:szCs w:val="20"/>
              </w:rPr>
              <w:t xml:space="preserve"> </w:t>
            </w:r>
            <w:hyperlink r:id="rId10" w:history="1">
              <w:r w:rsidRPr="00E61661">
                <w:rPr>
                  <w:rStyle w:val="Hyperlink"/>
                  <w:rFonts w:ascii="Arial" w:hAnsi="Arial" w:cs="Arial"/>
                  <w:b/>
                  <w:bCs/>
                  <w:i/>
                  <w:iCs/>
                  <w:sz w:val="20"/>
                  <w:szCs w:val="20"/>
                </w:rPr>
                <w:t>Nature</w:t>
              </w:r>
              <w:r>
                <w:rPr>
                  <w:rStyle w:val="Hyperlink"/>
                  <w:rFonts w:ascii="Arial" w:hAnsi="Arial" w:cs="Arial"/>
                  <w:b/>
                  <w:bCs/>
                  <w:i/>
                  <w:iCs/>
                  <w:sz w:val="20"/>
                  <w:szCs w:val="20"/>
                </w:rPr>
                <w:t xml:space="preserve"> </w:t>
              </w:r>
              <w:r w:rsidRPr="00E61661">
                <w:rPr>
                  <w:rStyle w:val="Hyperlink"/>
                  <w:rFonts w:ascii="Arial" w:hAnsi="Arial" w:cs="Arial"/>
                  <w:b/>
                  <w:bCs/>
                  <w:i/>
                  <w:iCs/>
                  <w:sz w:val="20"/>
                  <w:szCs w:val="20"/>
                </w:rPr>
                <w:t>Metabolism</w:t>
              </w:r>
            </w:hyperlink>
            <w:r w:rsidRPr="00E61661">
              <w:rPr>
                <w:rFonts w:ascii="Arial" w:hAnsi="Arial" w:cs="Arial"/>
                <w:b/>
                <w:bCs/>
                <w:sz w:val="20"/>
                <w:szCs w:val="20"/>
              </w:rPr>
              <w:t> </w:t>
            </w:r>
            <w:r>
              <w:rPr>
                <w:rFonts w:ascii="Arial" w:hAnsi="Arial" w:cs="Arial"/>
                <w:b/>
                <w:bCs/>
                <w:sz w:val="20"/>
                <w:szCs w:val="20"/>
              </w:rPr>
              <w:t>2025;</w:t>
            </w:r>
            <w:r w:rsidRPr="00E61661">
              <w:rPr>
                <w:rFonts w:ascii="Arial" w:hAnsi="Arial" w:cs="Arial"/>
                <w:b/>
                <w:bCs/>
                <w:sz w:val="20"/>
                <w:szCs w:val="20"/>
              </w:rPr>
              <w:t> 7</w:t>
            </w:r>
            <w:r>
              <w:rPr>
                <w:rFonts w:ascii="Arial" w:hAnsi="Arial" w:cs="Arial"/>
                <w:b/>
                <w:bCs/>
                <w:sz w:val="20"/>
                <w:szCs w:val="20"/>
              </w:rPr>
              <w:t xml:space="preserve"> :</w:t>
            </w:r>
            <w:r w:rsidRPr="00E61661">
              <w:rPr>
                <w:rFonts w:ascii="Arial" w:hAnsi="Arial" w:cs="Arial"/>
                <w:b/>
                <w:bCs/>
                <w:sz w:val="20"/>
                <w:szCs w:val="20"/>
              </w:rPr>
              <w:t>2424–2437</w:t>
            </w:r>
          </w:p>
          <w:p w14:paraId="464A6243" w14:textId="240F7202" w:rsidR="00E61661" w:rsidRPr="00E61661" w:rsidRDefault="00E61661">
            <w:pPr>
              <w:pStyle w:val="ListParagraph"/>
              <w:ind w:left="0"/>
              <w:rPr>
                <w:rFonts w:ascii="Arial" w:hAnsi="Arial" w:cs="Arial"/>
                <w:bCs/>
                <w:sz w:val="20"/>
                <w:szCs w:val="20"/>
              </w:rPr>
            </w:pPr>
          </w:p>
        </w:tc>
        <w:tc>
          <w:tcPr>
            <w:tcW w:w="1523" w:type="pct"/>
          </w:tcPr>
          <w:p w14:paraId="4A4E9B87"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U.S. Surgeon General. (2025). Surgeon General's Advisory on Alcohol and Cancer Risk. U.S. Department of Health and Human Services.</w:t>
            </w:r>
          </w:p>
          <w:p w14:paraId="44B15A24"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World Health Organization. (2025). Alcohol health warning labels: A public health perspective for Europe. WHO Regional Office for Europe.</w:t>
            </w:r>
          </w:p>
          <w:p w14:paraId="62DBF795"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Rohde, J., et al. (2025). Communicating alcohol's cancer risk: Testing causal language effects on risk perception and behavioral intention. Addictive Behaviors.</w:t>
            </w:r>
          </w:p>
          <w:p w14:paraId="2BB60D89"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Annenberg Public Policy Center. (2026). Awareness of alcohol-cancer link holds steady despite omission in new U.S. dietary guidelines. Annenberg Public Policy Center, University of Pennsylvania.</w:t>
            </w:r>
          </w:p>
          <w:p w14:paraId="023204A9"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U.S. Environmental Protection Agency. (2024). Final PFAS National Primary Drinking Water Regulation. EPA.</w:t>
            </w:r>
          </w:p>
          <w:p w14:paraId="53E96A3C"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U.S. Environmental Protection Agency. (2024). EPA designates PFOA and PFOS as hazardous substances under CERCLA. EPA.</w:t>
            </w:r>
          </w:p>
          <w:p w14:paraId="3C9D6B66"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U.S. Environmental Protection Agency. (2025). Improvements to ToxCast: Making screening assay data for thousands of chemicals easier to interpret. EPA Science Matters.</w:t>
            </w:r>
          </w:p>
          <w:p w14:paraId="7E2DEC3C"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U.S. Environmental Protection Agency. (2025). EPA announces changes to PFAS drinking water standard. EPA.</w:t>
            </w:r>
          </w:p>
          <w:p w14:paraId="42CCC53D"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Ao, J., et al. (2024). The mixture of non-persistent endocrine-disrupting chemicals in relation to endometriosis. Ecotoxicology and Environmental Safety.</w:t>
            </w:r>
          </w:p>
          <w:p w14:paraId="44B79059"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Endocrine Society. (2024). Position statement on endocrine-disrupting chemicals and non-monotonic dose responses. Endocrine Society.</w:t>
            </w:r>
          </w:p>
          <w:p w14:paraId="51298258"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U.S. Environmental Protection Agency. (2025). ToxCast database update: invitrodb v4.2, tcpl v3.2. EPA.</w:t>
            </w:r>
          </w:p>
          <w:p w14:paraId="407A45E8"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Society of Toxicology. (2024). High-throughput in vitro–in vivo extrapolation for predictive toxicology. SOT Continuing Education Course.</w:t>
            </w:r>
          </w:p>
          <w:p w14:paraId="2DD8AA40"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National Toxicology Program. (2025). In vitro to in vivo extrapolation (IVICE) workflow. NICEATM, NIEHS.</w:t>
            </w:r>
          </w:p>
          <w:p w14:paraId="6C083256"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Coskuner, D., et al. (2025). Phase IV metabolism: Gut microbial metabolism of common gastrointestinal drugs. Gastroenterology Clinics of North America.</w:t>
            </w:r>
          </w:p>
          <w:p w14:paraId="11800C53"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Agathokleous, E., et al. (2024). Current advances and future trends of hormesis in disease. npj Climate and Atmospheric Science.</w:t>
            </w:r>
          </w:p>
          <w:p w14:paraId="78658206" w14:textId="77777777" w:rsidR="00C75586" w:rsidRPr="00C75586" w:rsidRDefault="00C75586" w:rsidP="00C75586">
            <w:pPr>
              <w:pStyle w:val="Heading2"/>
              <w:rPr>
                <w:rFonts w:ascii="Arial" w:hAnsi="Arial" w:cs="Arial"/>
                <w:b w:val="0"/>
                <w:lang w:val="en-GB" w:eastAsia="en-US"/>
              </w:rPr>
            </w:pPr>
            <w:r w:rsidRPr="00C75586">
              <w:rPr>
                <w:rFonts w:ascii="Arial" w:hAnsi="Arial" w:cs="Arial"/>
                <w:b w:val="0"/>
                <w:lang w:val="en-GB" w:eastAsia="en-US"/>
              </w:rPr>
              <w:t>Toxicity, mitigation, and chemical analysis of aflatoxins. (2025). Toxins (MDPI).</w:t>
            </w:r>
          </w:p>
          <w:p w14:paraId="2EA88B25" w14:textId="693A1105" w:rsidR="004517E5" w:rsidRDefault="00C75586" w:rsidP="00C75586">
            <w:pPr>
              <w:pStyle w:val="Heading2"/>
              <w:keepNext w:val="0"/>
              <w:jc w:val="left"/>
              <w:rPr>
                <w:rFonts w:ascii="Arial" w:hAnsi="Arial" w:cs="Arial"/>
                <w:b w:val="0"/>
                <w:lang w:val="en-GB" w:eastAsia="en-US"/>
              </w:rPr>
            </w:pPr>
            <w:r w:rsidRPr="00C75586">
              <w:rPr>
                <w:rFonts w:ascii="Arial" w:hAnsi="Arial" w:cs="Arial"/>
                <w:b w:val="0"/>
                <w:lang w:val="en-GB" w:eastAsia="en-US"/>
              </w:rPr>
              <w:t>Massachusetts Department of Environmental Protection. (2024). Glyphosate scientific review: Phase two report. MassDEP.</w:t>
            </w:r>
          </w:p>
        </w:tc>
      </w:tr>
      <w:tr w:rsidR="004517E5" w14:paraId="51BE7208" w14:textId="77777777">
        <w:trPr>
          <w:trHeight w:val="20"/>
          <w:jc w:val="center"/>
        </w:trPr>
        <w:tc>
          <w:tcPr>
            <w:tcW w:w="1265" w:type="pct"/>
            <w:noWrap/>
          </w:tcPr>
          <w:p w14:paraId="6D2F2413" w14:textId="77777777" w:rsidR="004517E5" w:rsidRDefault="00335104">
            <w:pPr>
              <w:rPr>
                <w:rFonts w:ascii="Arial" w:hAnsi="Arial" w:cs="Arial"/>
                <w:b/>
                <w:bCs/>
                <w:sz w:val="20"/>
                <w:szCs w:val="20"/>
                <w:lang w:val="en-GB"/>
              </w:rPr>
            </w:pPr>
            <w:r>
              <w:rPr>
                <w:rFonts w:ascii="Arial" w:hAnsi="Arial" w:cs="Arial"/>
                <w:b/>
                <w:bCs/>
                <w:sz w:val="20"/>
                <w:szCs w:val="20"/>
                <w:lang w:val="en-GB"/>
              </w:rPr>
              <w:t>Are there ethical issues in this manuscript?</w:t>
            </w:r>
          </w:p>
          <w:p w14:paraId="4487D594" w14:textId="77777777" w:rsidR="004517E5" w:rsidRDefault="00335104">
            <w:pPr>
              <w:rPr>
                <w:rFonts w:ascii="Arial" w:hAnsi="Arial" w:cs="Arial"/>
                <w:bCs/>
                <w:sz w:val="20"/>
                <w:szCs w:val="20"/>
                <w:lang w:val="en-GB"/>
              </w:rPr>
            </w:pPr>
            <w:r>
              <w:rPr>
                <w:rFonts w:ascii="Arial" w:hAnsi="Arial" w:cs="Arial"/>
                <w:bCs/>
                <w:sz w:val="20"/>
                <w:szCs w:val="20"/>
                <w:lang w:val="en-GB"/>
              </w:rPr>
              <w:t>(YES or NO)</w:t>
            </w:r>
          </w:p>
          <w:p w14:paraId="2A195F2A" w14:textId="77777777" w:rsidR="004517E5" w:rsidRDefault="004517E5">
            <w:pPr>
              <w:rPr>
                <w:rFonts w:ascii="Arial" w:hAnsi="Arial" w:cs="Arial"/>
                <w:bCs/>
                <w:sz w:val="20"/>
                <w:szCs w:val="20"/>
                <w:lang w:val="en-GB"/>
              </w:rPr>
            </w:pPr>
          </w:p>
          <w:p w14:paraId="2A64A447" w14:textId="77777777" w:rsidR="004517E5" w:rsidRDefault="00335104">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1FEFF59" w14:textId="77777777" w:rsidR="004517E5" w:rsidRDefault="004517E5">
            <w:pPr>
              <w:rPr>
                <w:rFonts w:ascii="Arial" w:hAnsi="Arial" w:cs="Arial"/>
                <w:b/>
                <w:bCs/>
                <w:sz w:val="20"/>
                <w:szCs w:val="20"/>
                <w:lang w:val="en-GB"/>
              </w:rPr>
            </w:pPr>
          </w:p>
        </w:tc>
        <w:tc>
          <w:tcPr>
            <w:tcW w:w="2212" w:type="pct"/>
          </w:tcPr>
          <w:p w14:paraId="5E96E514" w14:textId="54EB46BE" w:rsidR="004517E5" w:rsidRDefault="00E61661">
            <w:pPr>
              <w:pStyle w:val="ListParagraph"/>
              <w:ind w:left="0"/>
              <w:rPr>
                <w:rFonts w:ascii="Arial" w:hAnsi="Arial" w:cs="Arial"/>
                <w:bCs/>
                <w:sz w:val="20"/>
                <w:szCs w:val="20"/>
                <w:lang w:val="en-GB"/>
              </w:rPr>
            </w:pPr>
            <w:r>
              <w:rPr>
                <w:rFonts w:ascii="Arial" w:hAnsi="Arial" w:cs="Arial"/>
                <w:bCs/>
                <w:sz w:val="20"/>
                <w:szCs w:val="20"/>
                <w:lang w:val="en-GB"/>
              </w:rPr>
              <w:t>No ethical issues</w:t>
            </w:r>
          </w:p>
        </w:tc>
        <w:tc>
          <w:tcPr>
            <w:tcW w:w="1523" w:type="pct"/>
          </w:tcPr>
          <w:p w14:paraId="5DDF11E5" w14:textId="7A08D0DB" w:rsidR="004517E5" w:rsidRDefault="00C75586">
            <w:pPr>
              <w:pStyle w:val="Heading2"/>
              <w:keepNext w:val="0"/>
              <w:jc w:val="left"/>
              <w:rPr>
                <w:rFonts w:ascii="Arial" w:hAnsi="Arial" w:cs="Arial"/>
                <w:b w:val="0"/>
                <w:lang w:val="en-GB" w:eastAsia="en-US"/>
              </w:rPr>
            </w:pPr>
            <w:r>
              <w:rPr>
                <w:rFonts w:ascii="Arial" w:hAnsi="Arial" w:cs="Arial"/>
                <w:b w:val="0"/>
                <w:lang w:val="en-GB" w:eastAsia="en-US"/>
              </w:rPr>
              <w:t xml:space="preserve">Alright </w:t>
            </w:r>
          </w:p>
        </w:tc>
      </w:tr>
    </w:tbl>
    <w:p w14:paraId="12296FB5" w14:textId="77777777" w:rsidR="004517E5" w:rsidRDefault="004517E5">
      <w:pPr>
        <w:rPr>
          <w:rFonts w:ascii="Arial" w:hAnsi="Arial" w:cs="Arial"/>
          <w:sz w:val="20"/>
          <w:szCs w:val="20"/>
          <w:lang w:val="en-GB"/>
        </w:rPr>
      </w:pPr>
    </w:p>
    <w:p w14:paraId="5AAF1B37" w14:textId="77777777" w:rsidR="004517E5" w:rsidRDefault="004517E5">
      <w:pPr>
        <w:pStyle w:val="BodyText"/>
        <w:rPr>
          <w:rFonts w:ascii="Arial" w:hAnsi="Arial" w:cs="Arial"/>
          <w:b/>
          <w:bCs/>
          <w:sz w:val="20"/>
          <w:szCs w:val="20"/>
          <w:u w:val="single"/>
          <w:lang w:val="en-GB"/>
        </w:rPr>
      </w:pPr>
    </w:p>
    <w:sectPr w:rsidR="004517E5">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12A6" w14:textId="77777777" w:rsidR="001D58B5" w:rsidRDefault="001D58B5">
      <w:r>
        <w:separator/>
      </w:r>
    </w:p>
  </w:endnote>
  <w:endnote w:type="continuationSeparator" w:id="0">
    <w:p w14:paraId="082F9BDE" w14:textId="77777777" w:rsidR="001D58B5" w:rsidRDefault="001D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0A03" w14:textId="77777777" w:rsidR="004517E5" w:rsidRDefault="003351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7FF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7FF0">
      <w:rPr>
        <w:b/>
        <w:noProof/>
        <w:sz w:val="20"/>
      </w:rPr>
      <w:t>1</w:t>
    </w:r>
    <w:r>
      <w:rPr>
        <w:b/>
        <w:sz w:val="20"/>
      </w:rPr>
      <w:fldChar w:fldCharType="end"/>
    </w:r>
    <w:r>
      <w:rPr>
        <w:b/>
        <w:sz w:val="20"/>
      </w:rPr>
      <w:br/>
      <w:t>V240326</w:t>
    </w:r>
  </w:p>
  <w:p w14:paraId="68100016" w14:textId="77777777" w:rsidR="004517E5" w:rsidRDefault="004517E5">
    <w:pPr>
      <w:pStyle w:val="Footer"/>
      <w:jc w:val="right"/>
    </w:pPr>
  </w:p>
  <w:p w14:paraId="48E03484" w14:textId="77777777" w:rsidR="004517E5" w:rsidRDefault="004517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3DC4" w14:textId="77777777" w:rsidR="001D58B5" w:rsidRDefault="001D58B5">
      <w:r>
        <w:separator/>
      </w:r>
    </w:p>
  </w:footnote>
  <w:footnote w:type="continuationSeparator" w:id="0">
    <w:p w14:paraId="32D40438" w14:textId="77777777" w:rsidR="001D58B5" w:rsidRDefault="001D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3EDF" w14:textId="77777777" w:rsidR="004517E5" w:rsidRDefault="004517E5">
    <w:pPr>
      <w:spacing w:before="100" w:beforeAutospacing="1" w:after="100" w:afterAutospacing="1"/>
      <w:jc w:val="center"/>
      <w:rPr>
        <w:rFonts w:ascii="Arial" w:hAnsi="Arial" w:cs="Arial"/>
        <w:b/>
        <w:bCs/>
        <w:color w:val="003399"/>
        <w:szCs w:val="20"/>
        <w:u w:val="single"/>
        <w:lang w:val="en-GB"/>
      </w:rPr>
    </w:pPr>
  </w:p>
  <w:p w14:paraId="49B39AE5" w14:textId="77777777" w:rsidR="004517E5" w:rsidRDefault="00335104">
    <w:pPr>
      <w:spacing w:before="100" w:beforeAutospacing="1" w:after="100" w:afterAutospacing="1"/>
      <w:jc w:val="center"/>
      <w:rPr>
        <w:color w:val="000000"/>
        <w:sz w:val="20"/>
      </w:rPr>
    </w:pPr>
    <w:r w:rsidRPr="00D358E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7E5"/>
    <w:rsid w:val="00014640"/>
    <w:rsid w:val="0008589D"/>
    <w:rsid w:val="0008590B"/>
    <w:rsid w:val="0017123F"/>
    <w:rsid w:val="001D58B5"/>
    <w:rsid w:val="002535F6"/>
    <w:rsid w:val="002D48B0"/>
    <w:rsid w:val="002D68D4"/>
    <w:rsid w:val="00335104"/>
    <w:rsid w:val="003C35AB"/>
    <w:rsid w:val="003C5FC7"/>
    <w:rsid w:val="003E5987"/>
    <w:rsid w:val="004008EA"/>
    <w:rsid w:val="004517E5"/>
    <w:rsid w:val="00536AFC"/>
    <w:rsid w:val="005D289A"/>
    <w:rsid w:val="005D5F96"/>
    <w:rsid w:val="00631851"/>
    <w:rsid w:val="00667DC1"/>
    <w:rsid w:val="00673066"/>
    <w:rsid w:val="0075691F"/>
    <w:rsid w:val="00767FF0"/>
    <w:rsid w:val="007F3705"/>
    <w:rsid w:val="008A7E27"/>
    <w:rsid w:val="0091034E"/>
    <w:rsid w:val="00922E83"/>
    <w:rsid w:val="009A48BC"/>
    <w:rsid w:val="00A24514"/>
    <w:rsid w:val="00A43C55"/>
    <w:rsid w:val="00AA1F41"/>
    <w:rsid w:val="00AC580B"/>
    <w:rsid w:val="00AE7249"/>
    <w:rsid w:val="00C75586"/>
    <w:rsid w:val="00CC17A6"/>
    <w:rsid w:val="00D0219C"/>
    <w:rsid w:val="00D35320"/>
    <w:rsid w:val="00D358E0"/>
    <w:rsid w:val="00D46AC1"/>
    <w:rsid w:val="00D64C78"/>
    <w:rsid w:val="00E416ED"/>
    <w:rsid w:val="00E43AE8"/>
    <w:rsid w:val="00E60154"/>
    <w:rsid w:val="00E61661"/>
    <w:rsid w:val="00E82D73"/>
    <w:rsid w:val="00EC100A"/>
    <w:rsid w:val="00F1740F"/>
    <w:rsid w:val="00F21689"/>
    <w:rsid w:val="00FC7A3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0C8E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922E83"/>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C17A6"/>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922E83"/>
    <w:rPr>
      <w:rFonts w:ascii="Calibri Light" w:eastAsia="DengXian Light" w:hAnsi="Calibri Light" w:cs="Times New Roman"/>
      <w:b/>
      <w:bCs/>
      <w:kern w:val="32"/>
      <w:sz w:val="32"/>
      <w:szCs w:val="32"/>
    </w:rPr>
  </w:style>
  <w:style w:type="character" w:customStyle="1" w:styleId="u-visually-hidden">
    <w:name w:val="u-visually-hidden"/>
    <w:basedOn w:val="DefaultParagraphFont"/>
    <w:rsid w:val="005D289A"/>
  </w:style>
  <w:style w:type="character" w:customStyle="1" w:styleId="Heading3Char">
    <w:name w:val="Heading 3 Char"/>
    <w:basedOn w:val="DefaultParagraphFont"/>
    <w:link w:val="Heading3"/>
    <w:uiPriority w:val="9"/>
    <w:semiHidden/>
    <w:rsid w:val="00CC17A6"/>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5224876">
      <w:bodyDiv w:val="1"/>
      <w:marLeft w:val="0"/>
      <w:marRight w:val="0"/>
      <w:marTop w:val="0"/>
      <w:marBottom w:val="0"/>
      <w:divBdr>
        <w:top w:val="none" w:sz="0" w:space="0" w:color="auto"/>
        <w:left w:val="none" w:sz="0" w:space="0" w:color="auto"/>
        <w:bottom w:val="none" w:sz="0" w:space="0" w:color="auto"/>
        <w:right w:val="none" w:sz="0" w:space="0" w:color="auto"/>
      </w:divBdr>
      <w:divsChild>
        <w:div w:id="812258835">
          <w:marLeft w:val="0"/>
          <w:marRight w:val="0"/>
          <w:marTop w:val="0"/>
          <w:marBottom w:val="240"/>
          <w:divBdr>
            <w:top w:val="none" w:sz="0" w:space="0" w:color="auto"/>
            <w:left w:val="none" w:sz="0" w:space="0" w:color="auto"/>
            <w:bottom w:val="none" w:sz="0" w:space="0" w:color="auto"/>
            <w:right w:val="none" w:sz="0" w:space="0" w:color="auto"/>
          </w:divBdr>
        </w:div>
        <w:div w:id="1163669133">
          <w:marLeft w:val="0"/>
          <w:marRight w:val="0"/>
          <w:marTop w:val="0"/>
          <w:marBottom w:val="0"/>
          <w:divBdr>
            <w:top w:val="none" w:sz="0" w:space="0" w:color="auto"/>
            <w:left w:val="none" w:sz="0" w:space="0" w:color="auto"/>
            <w:bottom w:val="none" w:sz="0" w:space="0" w:color="auto"/>
            <w:right w:val="none" w:sz="0" w:space="0" w:color="auto"/>
          </w:divBdr>
        </w:div>
        <w:div w:id="1667590904">
          <w:marLeft w:val="0"/>
          <w:marRight w:val="0"/>
          <w:marTop w:val="0"/>
          <w:marBottom w:val="0"/>
          <w:divBdr>
            <w:top w:val="none" w:sz="0" w:space="0" w:color="auto"/>
            <w:left w:val="none" w:sz="0" w:space="0" w:color="auto"/>
            <w:bottom w:val="none" w:sz="0" w:space="0" w:color="auto"/>
            <w:right w:val="none" w:sz="0" w:space="0" w:color="auto"/>
          </w:divBdr>
        </w:div>
        <w:div w:id="1186678814">
          <w:marLeft w:val="0"/>
          <w:marRight w:val="0"/>
          <w:marTop w:val="0"/>
          <w:marBottom w:val="0"/>
          <w:divBdr>
            <w:top w:val="none" w:sz="0" w:space="0" w:color="auto"/>
            <w:left w:val="none" w:sz="0" w:space="0" w:color="auto"/>
            <w:bottom w:val="none" w:sz="0" w:space="0" w:color="auto"/>
            <w:right w:val="none" w:sz="0" w:space="0" w:color="auto"/>
          </w:divBdr>
        </w:div>
        <w:div w:id="1266117085">
          <w:marLeft w:val="0"/>
          <w:marRight w:val="0"/>
          <w:marTop w:val="0"/>
          <w:marBottom w:val="0"/>
          <w:divBdr>
            <w:top w:val="none" w:sz="0" w:space="0" w:color="auto"/>
            <w:left w:val="none" w:sz="0" w:space="0" w:color="auto"/>
            <w:bottom w:val="none" w:sz="0" w:space="0" w:color="auto"/>
            <w:right w:val="none" w:sz="0" w:space="0" w:color="auto"/>
          </w:divBdr>
        </w:div>
        <w:div w:id="1471678598">
          <w:marLeft w:val="0"/>
          <w:marRight w:val="0"/>
          <w:marTop w:val="0"/>
          <w:marBottom w:val="0"/>
          <w:divBdr>
            <w:top w:val="none" w:sz="0" w:space="0" w:color="auto"/>
            <w:left w:val="none" w:sz="0" w:space="0" w:color="auto"/>
            <w:bottom w:val="none" w:sz="0" w:space="0" w:color="auto"/>
            <w:right w:val="none" w:sz="0" w:space="0" w:color="auto"/>
          </w:divBdr>
        </w:div>
        <w:div w:id="212276644">
          <w:marLeft w:val="0"/>
          <w:marRight w:val="0"/>
          <w:marTop w:val="0"/>
          <w:marBottom w:val="0"/>
          <w:divBdr>
            <w:top w:val="none" w:sz="0" w:space="0" w:color="auto"/>
            <w:left w:val="none" w:sz="0" w:space="0" w:color="auto"/>
            <w:bottom w:val="none" w:sz="0" w:space="0" w:color="auto"/>
            <w:right w:val="none" w:sz="0" w:space="0" w:color="auto"/>
          </w:divBdr>
        </w:div>
        <w:div w:id="907570986">
          <w:marLeft w:val="0"/>
          <w:marRight w:val="0"/>
          <w:marTop w:val="0"/>
          <w:marBottom w:val="240"/>
          <w:divBdr>
            <w:top w:val="none" w:sz="0" w:space="0" w:color="auto"/>
            <w:left w:val="none" w:sz="0" w:space="0" w:color="auto"/>
            <w:bottom w:val="none" w:sz="0" w:space="0" w:color="auto"/>
            <w:right w:val="none" w:sz="0" w:space="0" w:color="auto"/>
          </w:divBdr>
        </w:div>
        <w:div w:id="2030795197">
          <w:marLeft w:val="0"/>
          <w:marRight w:val="0"/>
          <w:marTop w:val="0"/>
          <w:marBottom w:val="0"/>
          <w:divBdr>
            <w:top w:val="none" w:sz="0" w:space="0" w:color="auto"/>
            <w:left w:val="none" w:sz="0" w:space="0" w:color="auto"/>
            <w:bottom w:val="none" w:sz="0" w:space="0" w:color="auto"/>
            <w:right w:val="none" w:sz="0" w:space="0" w:color="auto"/>
          </w:divBdr>
        </w:div>
        <w:div w:id="1892495820">
          <w:marLeft w:val="0"/>
          <w:marRight w:val="0"/>
          <w:marTop w:val="0"/>
          <w:marBottom w:val="0"/>
          <w:divBdr>
            <w:top w:val="none" w:sz="0" w:space="0" w:color="auto"/>
            <w:left w:val="none" w:sz="0" w:space="0" w:color="auto"/>
            <w:bottom w:val="none" w:sz="0" w:space="0" w:color="auto"/>
            <w:right w:val="none" w:sz="0" w:space="0" w:color="auto"/>
          </w:divBdr>
        </w:div>
        <w:div w:id="137653809">
          <w:marLeft w:val="0"/>
          <w:marRight w:val="0"/>
          <w:marTop w:val="0"/>
          <w:marBottom w:val="0"/>
          <w:divBdr>
            <w:top w:val="none" w:sz="0" w:space="0" w:color="auto"/>
            <w:left w:val="none" w:sz="0" w:space="0" w:color="auto"/>
            <w:bottom w:val="none" w:sz="0" w:space="0" w:color="auto"/>
            <w:right w:val="none" w:sz="0" w:space="0" w:color="auto"/>
          </w:divBdr>
        </w:div>
        <w:div w:id="67699476">
          <w:marLeft w:val="0"/>
          <w:marRight w:val="0"/>
          <w:marTop w:val="0"/>
          <w:marBottom w:val="0"/>
          <w:divBdr>
            <w:top w:val="none" w:sz="0" w:space="0" w:color="auto"/>
            <w:left w:val="none" w:sz="0" w:space="0" w:color="auto"/>
            <w:bottom w:val="none" w:sz="0" w:space="0" w:color="auto"/>
            <w:right w:val="none" w:sz="0" w:space="0" w:color="auto"/>
          </w:divBdr>
        </w:div>
        <w:div w:id="478569618">
          <w:marLeft w:val="0"/>
          <w:marRight w:val="0"/>
          <w:marTop w:val="0"/>
          <w:marBottom w:val="0"/>
          <w:divBdr>
            <w:top w:val="none" w:sz="0" w:space="0" w:color="auto"/>
            <w:left w:val="none" w:sz="0" w:space="0" w:color="auto"/>
            <w:bottom w:val="none" w:sz="0" w:space="0" w:color="auto"/>
            <w:right w:val="none" w:sz="0" w:space="0" w:color="auto"/>
          </w:divBdr>
        </w:div>
        <w:div w:id="1384330081">
          <w:marLeft w:val="0"/>
          <w:marRight w:val="0"/>
          <w:marTop w:val="0"/>
          <w:marBottom w:val="0"/>
          <w:divBdr>
            <w:top w:val="none" w:sz="0" w:space="0" w:color="auto"/>
            <w:left w:val="none" w:sz="0" w:space="0" w:color="auto"/>
            <w:bottom w:val="none" w:sz="0" w:space="0" w:color="auto"/>
            <w:right w:val="none" w:sz="0" w:space="0" w:color="auto"/>
          </w:divBdr>
        </w:div>
        <w:div w:id="876160761">
          <w:marLeft w:val="0"/>
          <w:marRight w:val="0"/>
          <w:marTop w:val="0"/>
          <w:marBottom w:val="0"/>
          <w:divBdr>
            <w:top w:val="none" w:sz="0" w:space="0" w:color="auto"/>
            <w:left w:val="none" w:sz="0" w:space="0" w:color="auto"/>
            <w:bottom w:val="none" w:sz="0" w:space="0" w:color="auto"/>
            <w:right w:val="none" w:sz="0" w:space="0" w:color="auto"/>
          </w:divBdr>
        </w:div>
        <w:div w:id="609050200">
          <w:marLeft w:val="0"/>
          <w:marRight w:val="0"/>
          <w:marTop w:val="0"/>
          <w:marBottom w:val="0"/>
          <w:divBdr>
            <w:top w:val="none" w:sz="0" w:space="0" w:color="auto"/>
            <w:left w:val="none" w:sz="0" w:space="0" w:color="auto"/>
            <w:bottom w:val="none" w:sz="0" w:space="0" w:color="auto"/>
            <w:right w:val="none" w:sz="0" w:space="0" w:color="auto"/>
          </w:divBdr>
        </w:div>
        <w:div w:id="142739637">
          <w:marLeft w:val="0"/>
          <w:marRight w:val="0"/>
          <w:marTop w:val="0"/>
          <w:marBottom w:val="0"/>
          <w:divBdr>
            <w:top w:val="none" w:sz="0" w:space="0" w:color="auto"/>
            <w:left w:val="none" w:sz="0" w:space="0" w:color="auto"/>
            <w:bottom w:val="none" w:sz="0" w:space="0" w:color="auto"/>
            <w:right w:val="none" w:sz="0" w:space="0" w:color="auto"/>
          </w:divBdr>
        </w:div>
        <w:div w:id="412624227">
          <w:marLeft w:val="0"/>
          <w:marRight w:val="0"/>
          <w:marTop w:val="0"/>
          <w:marBottom w:val="0"/>
          <w:divBdr>
            <w:top w:val="none" w:sz="0" w:space="0" w:color="auto"/>
            <w:left w:val="none" w:sz="0" w:space="0" w:color="auto"/>
            <w:bottom w:val="none" w:sz="0" w:space="0" w:color="auto"/>
            <w:right w:val="none" w:sz="0" w:space="0" w:color="auto"/>
          </w:divBdr>
        </w:div>
        <w:div w:id="1396245804">
          <w:marLeft w:val="0"/>
          <w:marRight w:val="0"/>
          <w:marTop w:val="0"/>
          <w:marBottom w:val="0"/>
          <w:divBdr>
            <w:top w:val="none" w:sz="0" w:space="0" w:color="auto"/>
            <w:left w:val="none" w:sz="0" w:space="0" w:color="auto"/>
            <w:bottom w:val="none" w:sz="0" w:space="0" w:color="auto"/>
            <w:right w:val="none" w:sz="0" w:space="0" w:color="auto"/>
          </w:divBdr>
        </w:div>
        <w:div w:id="15615886">
          <w:marLeft w:val="0"/>
          <w:marRight w:val="0"/>
          <w:marTop w:val="0"/>
          <w:marBottom w:val="0"/>
          <w:divBdr>
            <w:top w:val="none" w:sz="0" w:space="0" w:color="auto"/>
            <w:left w:val="none" w:sz="0" w:space="0" w:color="auto"/>
            <w:bottom w:val="none" w:sz="0" w:space="0" w:color="auto"/>
            <w:right w:val="none" w:sz="0" w:space="0" w:color="auto"/>
          </w:divBdr>
        </w:div>
      </w:divsChild>
    </w:div>
    <w:div w:id="770473285">
      <w:bodyDiv w:val="1"/>
      <w:marLeft w:val="0"/>
      <w:marRight w:val="0"/>
      <w:marTop w:val="0"/>
      <w:marBottom w:val="0"/>
      <w:divBdr>
        <w:top w:val="none" w:sz="0" w:space="0" w:color="auto"/>
        <w:left w:val="none" w:sz="0" w:space="0" w:color="auto"/>
        <w:bottom w:val="none" w:sz="0" w:space="0" w:color="auto"/>
        <w:right w:val="none" w:sz="0" w:space="0" w:color="auto"/>
      </w:divBdr>
      <w:divsChild>
        <w:div w:id="14355027">
          <w:marLeft w:val="0"/>
          <w:marRight w:val="0"/>
          <w:marTop w:val="0"/>
          <w:marBottom w:val="240"/>
          <w:divBdr>
            <w:top w:val="none" w:sz="0" w:space="0" w:color="auto"/>
            <w:left w:val="none" w:sz="0" w:space="0" w:color="auto"/>
            <w:bottom w:val="none" w:sz="0" w:space="0" w:color="auto"/>
            <w:right w:val="none" w:sz="0" w:space="0" w:color="auto"/>
          </w:divBdr>
        </w:div>
        <w:div w:id="430004496">
          <w:marLeft w:val="0"/>
          <w:marRight w:val="0"/>
          <w:marTop w:val="0"/>
          <w:marBottom w:val="240"/>
          <w:divBdr>
            <w:top w:val="none" w:sz="0" w:space="0" w:color="auto"/>
            <w:left w:val="none" w:sz="0" w:space="0" w:color="auto"/>
            <w:bottom w:val="none" w:sz="0" w:space="0" w:color="auto"/>
            <w:right w:val="none" w:sz="0" w:space="0" w:color="auto"/>
          </w:divBdr>
        </w:div>
        <w:div w:id="224873615">
          <w:marLeft w:val="0"/>
          <w:marRight w:val="0"/>
          <w:marTop w:val="0"/>
          <w:marBottom w:val="0"/>
          <w:divBdr>
            <w:top w:val="none" w:sz="0" w:space="0" w:color="auto"/>
            <w:left w:val="none" w:sz="0" w:space="0" w:color="auto"/>
            <w:bottom w:val="none" w:sz="0" w:space="0" w:color="auto"/>
            <w:right w:val="none" w:sz="0" w:space="0" w:color="auto"/>
          </w:divBdr>
        </w:div>
        <w:div w:id="501430401">
          <w:marLeft w:val="0"/>
          <w:marRight w:val="0"/>
          <w:marTop w:val="0"/>
          <w:marBottom w:val="0"/>
          <w:divBdr>
            <w:top w:val="none" w:sz="0" w:space="0" w:color="auto"/>
            <w:left w:val="none" w:sz="0" w:space="0" w:color="auto"/>
            <w:bottom w:val="none" w:sz="0" w:space="0" w:color="auto"/>
            <w:right w:val="none" w:sz="0" w:space="0" w:color="auto"/>
          </w:divBdr>
        </w:div>
        <w:div w:id="1162116524">
          <w:marLeft w:val="0"/>
          <w:marRight w:val="0"/>
          <w:marTop w:val="0"/>
          <w:marBottom w:val="0"/>
          <w:divBdr>
            <w:top w:val="none" w:sz="0" w:space="0" w:color="auto"/>
            <w:left w:val="none" w:sz="0" w:space="0" w:color="auto"/>
            <w:bottom w:val="none" w:sz="0" w:space="0" w:color="auto"/>
            <w:right w:val="none" w:sz="0" w:space="0" w:color="auto"/>
          </w:divBdr>
        </w:div>
        <w:div w:id="1319111539">
          <w:marLeft w:val="0"/>
          <w:marRight w:val="0"/>
          <w:marTop w:val="0"/>
          <w:marBottom w:val="0"/>
          <w:divBdr>
            <w:top w:val="none" w:sz="0" w:space="0" w:color="auto"/>
            <w:left w:val="none" w:sz="0" w:space="0" w:color="auto"/>
            <w:bottom w:val="none" w:sz="0" w:space="0" w:color="auto"/>
            <w:right w:val="none" w:sz="0" w:space="0" w:color="auto"/>
          </w:divBdr>
        </w:div>
        <w:div w:id="1146511703">
          <w:marLeft w:val="0"/>
          <w:marRight w:val="0"/>
          <w:marTop w:val="0"/>
          <w:marBottom w:val="0"/>
          <w:divBdr>
            <w:top w:val="none" w:sz="0" w:space="0" w:color="auto"/>
            <w:left w:val="none" w:sz="0" w:space="0" w:color="auto"/>
            <w:bottom w:val="none" w:sz="0" w:space="0" w:color="auto"/>
            <w:right w:val="none" w:sz="0" w:space="0" w:color="auto"/>
          </w:divBdr>
        </w:div>
        <w:div w:id="1720859187">
          <w:marLeft w:val="0"/>
          <w:marRight w:val="0"/>
          <w:marTop w:val="0"/>
          <w:marBottom w:val="0"/>
          <w:divBdr>
            <w:top w:val="none" w:sz="0" w:space="0" w:color="auto"/>
            <w:left w:val="none" w:sz="0" w:space="0" w:color="auto"/>
            <w:bottom w:val="none" w:sz="0" w:space="0" w:color="auto"/>
            <w:right w:val="none" w:sz="0" w:space="0" w:color="auto"/>
          </w:divBdr>
        </w:div>
        <w:div w:id="1060590158">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2744889">
      <w:bodyDiv w:val="1"/>
      <w:marLeft w:val="0"/>
      <w:marRight w:val="0"/>
      <w:marTop w:val="0"/>
      <w:marBottom w:val="0"/>
      <w:divBdr>
        <w:top w:val="none" w:sz="0" w:space="0" w:color="auto"/>
        <w:left w:val="none" w:sz="0" w:space="0" w:color="auto"/>
        <w:bottom w:val="none" w:sz="0" w:space="0" w:color="auto"/>
        <w:right w:val="none" w:sz="0" w:space="0" w:color="auto"/>
      </w:divBdr>
      <w:divsChild>
        <w:div w:id="295716745">
          <w:marLeft w:val="0"/>
          <w:marRight w:val="0"/>
          <w:marTop w:val="0"/>
          <w:marBottom w:val="240"/>
          <w:divBdr>
            <w:top w:val="none" w:sz="0" w:space="0" w:color="auto"/>
            <w:left w:val="none" w:sz="0" w:space="0" w:color="auto"/>
            <w:bottom w:val="none" w:sz="0" w:space="0" w:color="auto"/>
            <w:right w:val="none" w:sz="0" w:space="0" w:color="auto"/>
          </w:divBdr>
        </w:div>
        <w:div w:id="2117215402">
          <w:marLeft w:val="0"/>
          <w:marRight w:val="0"/>
          <w:marTop w:val="0"/>
          <w:marBottom w:val="240"/>
          <w:divBdr>
            <w:top w:val="none" w:sz="0" w:space="0" w:color="auto"/>
            <w:left w:val="none" w:sz="0" w:space="0" w:color="auto"/>
            <w:bottom w:val="none" w:sz="0" w:space="0" w:color="auto"/>
            <w:right w:val="none" w:sz="0" w:space="0" w:color="auto"/>
          </w:divBdr>
        </w:div>
        <w:div w:id="517962006">
          <w:marLeft w:val="0"/>
          <w:marRight w:val="0"/>
          <w:marTop w:val="0"/>
          <w:marBottom w:val="240"/>
          <w:divBdr>
            <w:top w:val="none" w:sz="0" w:space="0" w:color="auto"/>
            <w:left w:val="none" w:sz="0" w:space="0" w:color="auto"/>
            <w:bottom w:val="none" w:sz="0" w:space="0" w:color="auto"/>
            <w:right w:val="none" w:sz="0" w:space="0" w:color="auto"/>
          </w:divBdr>
        </w:div>
        <w:div w:id="1678657478">
          <w:marLeft w:val="0"/>
          <w:marRight w:val="0"/>
          <w:marTop w:val="0"/>
          <w:marBottom w:val="240"/>
          <w:divBdr>
            <w:top w:val="none" w:sz="0" w:space="0" w:color="auto"/>
            <w:left w:val="none" w:sz="0" w:space="0" w:color="auto"/>
            <w:bottom w:val="none" w:sz="0" w:space="0" w:color="auto"/>
            <w:right w:val="none" w:sz="0" w:space="0" w:color="auto"/>
          </w:divBdr>
        </w:div>
        <w:div w:id="130290672">
          <w:marLeft w:val="0"/>
          <w:marRight w:val="0"/>
          <w:marTop w:val="0"/>
          <w:marBottom w:val="240"/>
          <w:divBdr>
            <w:top w:val="none" w:sz="0" w:space="0" w:color="auto"/>
            <w:left w:val="none" w:sz="0" w:space="0" w:color="auto"/>
            <w:bottom w:val="none" w:sz="0" w:space="0" w:color="auto"/>
            <w:right w:val="none" w:sz="0" w:space="0" w:color="auto"/>
          </w:divBdr>
        </w:div>
        <w:div w:id="1747610686">
          <w:marLeft w:val="0"/>
          <w:marRight w:val="0"/>
          <w:marTop w:val="0"/>
          <w:marBottom w:val="240"/>
          <w:divBdr>
            <w:top w:val="none" w:sz="0" w:space="0" w:color="auto"/>
            <w:left w:val="none" w:sz="0" w:space="0" w:color="auto"/>
            <w:bottom w:val="none" w:sz="0" w:space="0" w:color="auto"/>
            <w:right w:val="none" w:sz="0" w:space="0" w:color="auto"/>
          </w:divBdr>
        </w:div>
        <w:div w:id="580604491">
          <w:marLeft w:val="0"/>
          <w:marRight w:val="0"/>
          <w:marTop w:val="0"/>
          <w:marBottom w:val="240"/>
          <w:divBdr>
            <w:top w:val="none" w:sz="0" w:space="0" w:color="auto"/>
            <w:left w:val="none" w:sz="0" w:space="0" w:color="auto"/>
            <w:bottom w:val="none" w:sz="0" w:space="0" w:color="auto"/>
            <w:right w:val="none" w:sz="0" w:space="0" w:color="auto"/>
          </w:divBdr>
        </w:div>
        <w:div w:id="577979687">
          <w:marLeft w:val="0"/>
          <w:marRight w:val="0"/>
          <w:marTop w:val="0"/>
          <w:marBottom w:val="240"/>
          <w:divBdr>
            <w:top w:val="none" w:sz="0" w:space="0" w:color="auto"/>
            <w:left w:val="none" w:sz="0" w:space="0" w:color="auto"/>
            <w:bottom w:val="none" w:sz="0" w:space="0" w:color="auto"/>
            <w:right w:val="none" w:sz="0" w:space="0" w:color="auto"/>
          </w:divBdr>
        </w:div>
        <w:div w:id="398749033">
          <w:marLeft w:val="0"/>
          <w:marRight w:val="0"/>
          <w:marTop w:val="0"/>
          <w:marBottom w:val="240"/>
          <w:divBdr>
            <w:top w:val="none" w:sz="0" w:space="0" w:color="auto"/>
            <w:left w:val="none" w:sz="0" w:space="0" w:color="auto"/>
            <w:bottom w:val="none" w:sz="0" w:space="0" w:color="auto"/>
            <w:right w:val="none" w:sz="0" w:space="0" w:color="auto"/>
          </w:divBdr>
        </w:div>
        <w:div w:id="69810705">
          <w:marLeft w:val="0"/>
          <w:marRight w:val="0"/>
          <w:marTop w:val="0"/>
          <w:marBottom w:val="240"/>
          <w:divBdr>
            <w:top w:val="none" w:sz="0" w:space="0" w:color="auto"/>
            <w:left w:val="none" w:sz="0" w:space="0" w:color="auto"/>
            <w:bottom w:val="none" w:sz="0" w:space="0" w:color="auto"/>
            <w:right w:val="none" w:sz="0" w:space="0" w:color="auto"/>
          </w:divBdr>
        </w:div>
        <w:div w:id="1218124677">
          <w:marLeft w:val="0"/>
          <w:marRight w:val="0"/>
          <w:marTop w:val="0"/>
          <w:marBottom w:val="240"/>
          <w:divBdr>
            <w:top w:val="none" w:sz="0" w:space="0" w:color="auto"/>
            <w:left w:val="none" w:sz="0" w:space="0" w:color="auto"/>
            <w:bottom w:val="none" w:sz="0" w:space="0" w:color="auto"/>
            <w:right w:val="none" w:sz="0" w:space="0" w:color="auto"/>
          </w:divBdr>
        </w:div>
        <w:div w:id="1570920845">
          <w:marLeft w:val="0"/>
          <w:marRight w:val="0"/>
          <w:marTop w:val="0"/>
          <w:marBottom w:val="240"/>
          <w:divBdr>
            <w:top w:val="none" w:sz="0" w:space="0" w:color="auto"/>
            <w:left w:val="none" w:sz="0" w:space="0" w:color="auto"/>
            <w:bottom w:val="none" w:sz="0" w:space="0" w:color="auto"/>
            <w:right w:val="none" w:sz="0" w:space="0" w:color="auto"/>
          </w:divBdr>
        </w:div>
        <w:div w:id="127281332">
          <w:marLeft w:val="0"/>
          <w:marRight w:val="0"/>
          <w:marTop w:val="0"/>
          <w:marBottom w:val="240"/>
          <w:divBdr>
            <w:top w:val="none" w:sz="0" w:space="0" w:color="auto"/>
            <w:left w:val="none" w:sz="0" w:space="0" w:color="auto"/>
            <w:bottom w:val="none" w:sz="0" w:space="0" w:color="auto"/>
            <w:right w:val="none" w:sz="0" w:space="0" w:color="auto"/>
          </w:divBdr>
        </w:div>
        <w:div w:id="51857126">
          <w:marLeft w:val="0"/>
          <w:marRight w:val="0"/>
          <w:marTop w:val="0"/>
          <w:marBottom w:val="240"/>
          <w:divBdr>
            <w:top w:val="none" w:sz="0" w:space="0" w:color="auto"/>
            <w:left w:val="none" w:sz="0" w:space="0" w:color="auto"/>
            <w:bottom w:val="none" w:sz="0" w:space="0" w:color="auto"/>
            <w:right w:val="none" w:sz="0" w:space="0" w:color="auto"/>
          </w:divBdr>
        </w:div>
        <w:div w:id="103886141">
          <w:marLeft w:val="0"/>
          <w:marRight w:val="0"/>
          <w:marTop w:val="0"/>
          <w:marBottom w:val="240"/>
          <w:divBdr>
            <w:top w:val="none" w:sz="0" w:space="0" w:color="auto"/>
            <w:left w:val="none" w:sz="0" w:space="0" w:color="auto"/>
            <w:bottom w:val="none" w:sz="0" w:space="0" w:color="auto"/>
            <w:right w:val="none" w:sz="0" w:space="0" w:color="auto"/>
          </w:divBdr>
        </w:div>
        <w:div w:id="468674685">
          <w:marLeft w:val="0"/>
          <w:marRight w:val="0"/>
          <w:marTop w:val="0"/>
          <w:marBottom w:val="240"/>
          <w:divBdr>
            <w:top w:val="none" w:sz="0" w:space="0" w:color="auto"/>
            <w:left w:val="none" w:sz="0" w:space="0" w:color="auto"/>
            <w:bottom w:val="none" w:sz="0" w:space="0" w:color="auto"/>
            <w:right w:val="none" w:sz="0" w:space="0" w:color="auto"/>
          </w:divBdr>
        </w:div>
        <w:div w:id="953244717">
          <w:marLeft w:val="0"/>
          <w:marRight w:val="0"/>
          <w:marTop w:val="0"/>
          <w:marBottom w:val="0"/>
          <w:divBdr>
            <w:top w:val="none" w:sz="0" w:space="0" w:color="auto"/>
            <w:left w:val="none" w:sz="0" w:space="0" w:color="auto"/>
            <w:bottom w:val="none" w:sz="0" w:space="0" w:color="auto"/>
            <w:right w:val="none" w:sz="0" w:space="0" w:color="auto"/>
          </w:divBdr>
        </w:div>
      </w:divsChild>
    </w:div>
    <w:div w:id="13099356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267475">
      <w:bodyDiv w:val="1"/>
      <w:marLeft w:val="0"/>
      <w:marRight w:val="0"/>
      <w:marTop w:val="0"/>
      <w:marBottom w:val="0"/>
      <w:divBdr>
        <w:top w:val="none" w:sz="0" w:space="0" w:color="auto"/>
        <w:left w:val="none" w:sz="0" w:space="0" w:color="auto"/>
        <w:bottom w:val="none" w:sz="0" w:space="0" w:color="auto"/>
        <w:right w:val="none" w:sz="0" w:space="0" w:color="auto"/>
      </w:divBdr>
      <w:divsChild>
        <w:div w:id="1731265484">
          <w:marLeft w:val="0"/>
          <w:marRight w:val="0"/>
          <w:marTop w:val="0"/>
          <w:marBottom w:val="240"/>
          <w:divBdr>
            <w:top w:val="none" w:sz="0" w:space="0" w:color="auto"/>
            <w:left w:val="none" w:sz="0" w:space="0" w:color="auto"/>
            <w:bottom w:val="none" w:sz="0" w:space="0" w:color="auto"/>
            <w:right w:val="none" w:sz="0" w:space="0" w:color="auto"/>
          </w:divBdr>
        </w:div>
        <w:div w:id="809637855">
          <w:marLeft w:val="0"/>
          <w:marRight w:val="0"/>
          <w:marTop w:val="0"/>
          <w:marBottom w:val="240"/>
          <w:divBdr>
            <w:top w:val="none" w:sz="0" w:space="0" w:color="auto"/>
            <w:left w:val="none" w:sz="0" w:space="0" w:color="auto"/>
            <w:bottom w:val="none" w:sz="0" w:space="0" w:color="auto"/>
            <w:right w:val="none" w:sz="0" w:space="0" w:color="auto"/>
          </w:divBdr>
        </w:div>
        <w:div w:id="1449154361">
          <w:marLeft w:val="0"/>
          <w:marRight w:val="0"/>
          <w:marTop w:val="0"/>
          <w:marBottom w:val="240"/>
          <w:divBdr>
            <w:top w:val="none" w:sz="0" w:space="0" w:color="auto"/>
            <w:left w:val="none" w:sz="0" w:space="0" w:color="auto"/>
            <w:bottom w:val="none" w:sz="0" w:space="0" w:color="auto"/>
            <w:right w:val="none" w:sz="0" w:space="0" w:color="auto"/>
          </w:divBdr>
        </w:div>
        <w:div w:id="1381126909">
          <w:marLeft w:val="0"/>
          <w:marRight w:val="0"/>
          <w:marTop w:val="0"/>
          <w:marBottom w:val="240"/>
          <w:divBdr>
            <w:top w:val="none" w:sz="0" w:space="0" w:color="auto"/>
            <w:left w:val="none" w:sz="0" w:space="0" w:color="auto"/>
            <w:bottom w:val="none" w:sz="0" w:space="0" w:color="auto"/>
            <w:right w:val="none" w:sz="0" w:space="0" w:color="auto"/>
          </w:divBdr>
        </w:div>
        <w:div w:id="1589541382">
          <w:marLeft w:val="0"/>
          <w:marRight w:val="0"/>
          <w:marTop w:val="0"/>
          <w:marBottom w:val="240"/>
          <w:divBdr>
            <w:top w:val="none" w:sz="0" w:space="0" w:color="auto"/>
            <w:left w:val="none" w:sz="0" w:space="0" w:color="auto"/>
            <w:bottom w:val="none" w:sz="0" w:space="0" w:color="auto"/>
            <w:right w:val="none" w:sz="0" w:space="0" w:color="auto"/>
          </w:divBdr>
        </w:div>
        <w:div w:id="1373578278">
          <w:marLeft w:val="0"/>
          <w:marRight w:val="0"/>
          <w:marTop w:val="0"/>
          <w:marBottom w:val="240"/>
          <w:divBdr>
            <w:top w:val="none" w:sz="0" w:space="0" w:color="auto"/>
            <w:left w:val="none" w:sz="0" w:space="0" w:color="auto"/>
            <w:bottom w:val="none" w:sz="0" w:space="0" w:color="auto"/>
            <w:right w:val="none" w:sz="0" w:space="0" w:color="auto"/>
          </w:divBdr>
        </w:div>
        <w:div w:id="1657802087">
          <w:marLeft w:val="0"/>
          <w:marRight w:val="0"/>
          <w:marTop w:val="0"/>
          <w:marBottom w:val="240"/>
          <w:divBdr>
            <w:top w:val="none" w:sz="0" w:space="0" w:color="auto"/>
            <w:left w:val="none" w:sz="0" w:space="0" w:color="auto"/>
            <w:bottom w:val="none" w:sz="0" w:space="0" w:color="auto"/>
            <w:right w:val="none" w:sz="0" w:space="0" w:color="auto"/>
          </w:divBdr>
        </w:div>
        <w:div w:id="1131359097">
          <w:marLeft w:val="0"/>
          <w:marRight w:val="0"/>
          <w:marTop w:val="0"/>
          <w:marBottom w:val="240"/>
          <w:divBdr>
            <w:top w:val="none" w:sz="0" w:space="0" w:color="auto"/>
            <w:left w:val="none" w:sz="0" w:space="0" w:color="auto"/>
            <w:bottom w:val="none" w:sz="0" w:space="0" w:color="auto"/>
            <w:right w:val="none" w:sz="0" w:space="0" w:color="auto"/>
          </w:divBdr>
        </w:div>
        <w:div w:id="1532449688">
          <w:marLeft w:val="0"/>
          <w:marRight w:val="0"/>
          <w:marTop w:val="0"/>
          <w:marBottom w:val="240"/>
          <w:divBdr>
            <w:top w:val="none" w:sz="0" w:space="0" w:color="auto"/>
            <w:left w:val="none" w:sz="0" w:space="0" w:color="auto"/>
            <w:bottom w:val="none" w:sz="0" w:space="0" w:color="auto"/>
            <w:right w:val="none" w:sz="0" w:space="0" w:color="auto"/>
          </w:divBdr>
        </w:div>
        <w:div w:id="120851581">
          <w:marLeft w:val="0"/>
          <w:marRight w:val="0"/>
          <w:marTop w:val="0"/>
          <w:marBottom w:val="240"/>
          <w:divBdr>
            <w:top w:val="none" w:sz="0" w:space="0" w:color="auto"/>
            <w:left w:val="none" w:sz="0" w:space="0" w:color="auto"/>
            <w:bottom w:val="none" w:sz="0" w:space="0" w:color="auto"/>
            <w:right w:val="none" w:sz="0" w:space="0" w:color="auto"/>
          </w:divBdr>
        </w:div>
        <w:div w:id="717897416">
          <w:marLeft w:val="0"/>
          <w:marRight w:val="0"/>
          <w:marTop w:val="0"/>
          <w:marBottom w:val="240"/>
          <w:divBdr>
            <w:top w:val="none" w:sz="0" w:space="0" w:color="auto"/>
            <w:left w:val="none" w:sz="0" w:space="0" w:color="auto"/>
            <w:bottom w:val="none" w:sz="0" w:space="0" w:color="auto"/>
            <w:right w:val="none" w:sz="0" w:space="0" w:color="auto"/>
          </w:divBdr>
        </w:div>
        <w:div w:id="635452125">
          <w:marLeft w:val="0"/>
          <w:marRight w:val="0"/>
          <w:marTop w:val="0"/>
          <w:marBottom w:val="240"/>
          <w:divBdr>
            <w:top w:val="none" w:sz="0" w:space="0" w:color="auto"/>
            <w:left w:val="none" w:sz="0" w:space="0" w:color="auto"/>
            <w:bottom w:val="none" w:sz="0" w:space="0" w:color="auto"/>
            <w:right w:val="none" w:sz="0" w:space="0" w:color="auto"/>
          </w:divBdr>
        </w:div>
        <w:div w:id="1063140480">
          <w:marLeft w:val="0"/>
          <w:marRight w:val="0"/>
          <w:marTop w:val="0"/>
          <w:marBottom w:val="240"/>
          <w:divBdr>
            <w:top w:val="none" w:sz="0" w:space="0" w:color="auto"/>
            <w:left w:val="none" w:sz="0" w:space="0" w:color="auto"/>
            <w:bottom w:val="none" w:sz="0" w:space="0" w:color="auto"/>
            <w:right w:val="none" w:sz="0" w:space="0" w:color="auto"/>
          </w:divBdr>
        </w:div>
        <w:div w:id="280691617">
          <w:marLeft w:val="0"/>
          <w:marRight w:val="0"/>
          <w:marTop w:val="0"/>
          <w:marBottom w:val="240"/>
          <w:divBdr>
            <w:top w:val="none" w:sz="0" w:space="0" w:color="auto"/>
            <w:left w:val="none" w:sz="0" w:space="0" w:color="auto"/>
            <w:bottom w:val="none" w:sz="0" w:space="0" w:color="auto"/>
            <w:right w:val="none" w:sz="0" w:space="0" w:color="auto"/>
          </w:divBdr>
        </w:div>
        <w:div w:id="1402288212">
          <w:marLeft w:val="0"/>
          <w:marRight w:val="0"/>
          <w:marTop w:val="0"/>
          <w:marBottom w:val="240"/>
          <w:divBdr>
            <w:top w:val="none" w:sz="0" w:space="0" w:color="auto"/>
            <w:left w:val="none" w:sz="0" w:space="0" w:color="auto"/>
            <w:bottom w:val="none" w:sz="0" w:space="0" w:color="auto"/>
            <w:right w:val="none" w:sz="0" w:space="0" w:color="auto"/>
          </w:divBdr>
        </w:div>
        <w:div w:id="392657939">
          <w:marLeft w:val="0"/>
          <w:marRight w:val="0"/>
          <w:marTop w:val="0"/>
          <w:marBottom w:val="240"/>
          <w:divBdr>
            <w:top w:val="none" w:sz="0" w:space="0" w:color="auto"/>
            <w:left w:val="none" w:sz="0" w:space="0" w:color="auto"/>
            <w:bottom w:val="none" w:sz="0" w:space="0" w:color="auto"/>
            <w:right w:val="none" w:sz="0" w:space="0" w:color="auto"/>
          </w:divBdr>
        </w:div>
        <w:div w:id="2143689552">
          <w:marLeft w:val="0"/>
          <w:marRight w:val="0"/>
          <w:marTop w:val="0"/>
          <w:marBottom w:val="0"/>
          <w:divBdr>
            <w:top w:val="none" w:sz="0" w:space="0" w:color="auto"/>
            <w:left w:val="none" w:sz="0" w:space="0" w:color="auto"/>
            <w:bottom w:val="none" w:sz="0" w:space="0" w:color="auto"/>
            <w:right w:val="none" w:sz="0" w:space="0" w:color="auto"/>
          </w:divBdr>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785501">
      <w:bodyDiv w:val="1"/>
      <w:marLeft w:val="0"/>
      <w:marRight w:val="0"/>
      <w:marTop w:val="0"/>
      <w:marBottom w:val="0"/>
      <w:divBdr>
        <w:top w:val="none" w:sz="0" w:space="0" w:color="auto"/>
        <w:left w:val="none" w:sz="0" w:space="0" w:color="auto"/>
        <w:bottom w:val="none" w:sz="0" w:space="0" w:color="auto"/>
        <w:right w:val="none" w:sz="0" w:space="0" w:color="auto"/>
      </w:divBdr>
      <w:divsChild>
        <w:div w:id="2015572657">
          <w:marLeft w:val="0"/>
          <w:marRight w:val="0"/>
          <w:marTop w:val="0"/>
          <w:marBottom w:val="240"/>
          <w:divBdr>
            <w:top w:val="none" w:sz="0" w:space="0" w:color="auto"/>
            <w:left w:val="none" w:sz="0" w:space="0" w:color="auto"/>
            <w:bottom w:val="none" w:sz="0" w:space="0" w:color="auto"/>
            <w:right w:val="none" w:sz="0" w:space="0" w:color="auto"/>
          </w:divBdr>
        </w:div>
        <w:div w:id="340932574">
          <w:marLeft w:val="0"/>
          <w:marRight w:val="0"/>
          <w:marTop w:val="0"/>
          <w:marBottom w:val="0"/>
          <w:divBdr>
            <w:top w:val="none" w:sz="0" w:space="0" w:color="auto"/>
            <w:left w:val="none" w:sz="0" w:space="0" w:color="auto"/>
            <w:bottom w:val="none" w:sz="0" w:space="0" w:color="auto"/>
            <w:right w:val="none" w:sz="0" w:space="0" w:color="auto"/>
          </w:divBdr>
        </w:div>
        <w:div w:id="1458527934">
          <w:marLeft w:val="0"/>
          <w:marRight w:val="0"/>
          <w:marTop w:val="0"/>
          <w:marBottom w:val="0"/>
          <w:divBdr>
            <w:top w:val="none" w:sz="0" w:space="0" w:color="auto"/>
            <w:left w:val="none" w:sz="0" w:space="0" w:color="auto"/>
            <w:bottom w:val="none" w:sz="0" w:space="0" w:color="auto"/>
            <w:right w:val="none" w:sz="0" w:space="0" w:color="auto"/>
          </w:divBdr>
        </w:div>
        <w:div w:id="1115097972">
          <w:marLeft w:val="0"/>
          <w:marRight w:val="0"/>
          <w:marTop w:val="0"/>
          <w:marBottom w:val="0"/>
          <w:divBdr>
            <w:top w:val="none" w:sz="0" w:space="0" w:color="auto"/>
            <w:left w:val="none" w:sz="0" w:space="0" w:color="auto"/>
            <w:bottom w:val="none" w:sz="0" w:space="0" w:color="auto"/>
            <w:right w:val="none" w:sz="0" w:space="0" w:color="auto"/>
          </w:divBdr>
        </w:div>
        <w:div w:id="1798792959">
          <w:marLeft w:val="0"/>
          <w:marRight w:val="0"/>
          <w:marTop w:val="0"/>
          <w:marBottom w:val="0"/>
          <w:divBdr>
            <w:top w:val="none" w:sz="0" w:space="0" w:color="auto"/>
            <w:left w:val="none" w:sz="0" w:space="0" w:color="auto"/>
            <w:bottom w:val="none" w:sz="0" w:space="0" w:color="auto"/>
            <w:right w:val="none" w:sz="0" w:space="0" w:color="auto"/>
          </w:divBdr>
        </w:div>
        <w:div w:id="1798717392">
          <w:marLeft w:val="0"/>
          <w:marRight w:val="0"/>
          <w:marTop w:val="0"/>
          <w:marBottom w:val="240"/>
          <w:divBdr>
            <w:top w:val="none" w:sz="0" w:space="0" w:color="auto"/>
            <w:left w:val="none" w:sz="0" w:space="0" w:color="auto"/>
            <w:bottom w:val="none" w:sz="0" w:space="0" w:color="auto"/>
            <w:right w:val="none" w:sz="0" w:space="0" w:color="auto"/>
          </w:divBdr>
        </w:div>
        <w:div w:id="162625016">
          <w:marLeft w:val="0"/>
          <w:marRight w:val="0"/>
          <w:marTop w:val="0"/>
          <w:marBottom w:val="0"/>
          <w:divBdr>
            <w:top w:val="none" w:sz="0" w:space="0" w:color="auto"/>
            <w:left w:val="none" w:sz="0" w:space="0" w:color="auto"/>
            <w:bottom w:val="none" w:sz="0" w:space="0" w:color="auto"/>
            <w:right w:val="none" w:sz="0" w:space="0" w:color="auto"/>
          </w:divBdr>
        </w:div>
        <w:div w:id="1540241465">
          <w:marLeft w:val="0"/>
          <w:marRight w:val="0"/>
          <w:marTop w:val="0"/>
          <w:marBottom w:val="0"/>
          <w:divBdr>
            <w:top w:val="none" w:sz="0" w:space="0" w:color="auto"/>
            <w:left w:val="none" w:sz="0" w:space="0" w:color="auto"/>
            <w:bottom w:val="none" w:sz="0" w:space="0" w:color="auto"/>
            <w:right w:val="none" w:sz="0" w:space="0" w:color="auto"/>
          </w:divBdr>
        </w:div>
        <w:div w:id="19939431">
          <w:marLeft w:val="0"/>
          <w:marRight w:val="0"/>
          <w:marTop w:val="0"/>
          <w:marBottom w:val="0"/>
          <w:divBdr>
            <w:top w:val="none" w:sz="0" w:space="0" w:color="auto"/>
            <w:left w:val="none" w:sz="0" w:space="0" w:color="auto"/>
            <w:bottom w:val="none" w:sz="0" w:space="0" w:color="auto"/>
            <w:right w:val="none" w:sz="0" w:space="0" w:color="auto"/>
          </w:divBdr>
        </w:div>
        <w:div w:id="948857300">
          <w:marLeft w:val="0"/>
          <w:marRight w:val="0"/>
          <w:marTop w:val="0"/>
          <w:marBottom w:val="0"/>
          <w:divBdr>
            <w:top w:val="none" w:sz="0" w:space="0" w:color="auto"/>
            <w:left w:val="none" w:sz="0" w:space="0" w:color="auto"/>
            <w:bottom w:val="none" w:sz="0" w:space="0" w:color="auto"/>
            <w:right w:val="none" w:sz="0" w:space="0" w:color="auto"/>
          </w:divBdr>
        </w:div>
        <w:div w:id="132605181">
          <w:marLeft w:val="0"/>
          <w:marRight w:val="0"/>
          <w:marTop w:val="0"/>
          <w:marBottom w:val="0"/>
          <w:divBdr>
            <w:top w:val="none" w:sz="0" w:space="0" w:color="auto"/>
            <w:left w:val="none" w:sz="0" w:space="0" w:color="auto"/>
            <w:bottom w:val="none" w:sz="0" w:space="0" w:color="auto"/>
            <w:right w:val="none" w:sz="0" w:space="0" w:color="auto"/>
          </w:divBdr>
        </w:div>
        <w:div w:id="1688556569">
          <w:marLeft w:val="0"/>
          <w:marRight w:val="0"/>
          <w:marTop w:val="0"/>
          <w:marBottom w:val="0"/>
          <w:divBdr>
            <w:top w:val="none" w:sz="0" w:space="0" w:color="auto"/>
            <w:left w:val="none" w:sz="0" w:space="0" w:color="auto"/>
            <w:bottom w:val="none" w:sz="0" w:space="0" w:color="auto"/>
            <w:right w:val="none" w:sz="0" w:space="0" w:color="auto"/>
          </w:divBdr>
        </w:div>
      </w:divsChild>
    </w:div>
    <w:div w:id="19128150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678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alpresshub.com/index.php/ARJOC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ure.com/natmetab" TargetMode="External"/><Relationship Id="rId4" Type="http://schemas.openxmlformats.org/officeDocument/2006/relationships/settings" Target="settings.xml"/><Relationship Id="rId9" Type="http://schemas.openxmlformats.org/officeDocument/2006/relationships/hyperlink" Target="https://www.scirp.org/journal/journalarticles?journalid=6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7ADEA-3121-4D59-886C-4AB5C482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3874</Words>
  <Characters>22084</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2026-05-01T15:55:00Z</dcterms:created>
  <dcterms:modified xsi:type="dcterms:W3CDTF">2026-05-02T12:18:00Z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