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8F3" w:rsidRPr="00B858F3" w:rsidRDefault="00B858F3" w:rsidP="00B858F3">
      <w:pPr>
        <w:spacing w:before="100" w:beforeAutospacing="1" w:after="100" w:afterAutospacing="1"/>
        <w:jc w:val="center"/>
        <w:rPr>
          <w:b/>
          <w:bCs/>
        </w:rPr>
      </w:pPr>
      <w:r w:rsidRPr="00F561DB">
        <w:rPr>
          <w:b/>
          <w:bCs/>
        </w:rPr>
        <w:t>Acute Ocular Toxicity of Syngonium podophyllum Extract on Corneal Tissue in Rats</w:t>
      </w:r>
    </w:p>
    <w:p w:rsidR="00A32FDB" w:rsidRDefault="00A32FDB" w:rsidP="00A32FDB">
      <w:pPr>
        <w:spacing w:after="0" w:line="360" w:lineRule="auto"/>
        <w:rPr>
          <w:b/>
        </w:rPr>
      </w:pPr>
    </w:p>
    <w:p w:rsidR="00397766" w:rsidRDefault="00A32FDB" w:rsidP="00397766">
      <w:pPr>
        <w:spacing w:after="0" w:line="240" w:lineRule="auto"/>
        <w:jc w:val="center"/>
      </w:pPr>
      <w:r>
        <w:rPr>
          <w:b/>
        </w:rPr>
        <w:t>ABSTRACT</w:t>
      </w:r>
    </w:p>
    <w:p w:rsidR="0094173F" w:rsidRDefault="00A32FDB" w:rsidP="00397766">
      <w:pPr>
        <w:spacing w:after="0" w:line="240" w:lineRule="auto"/>
      </w:pPr>
      <w:r w:rsidRPr="00A32FDB">
        <w:rPr>
          <w:b/>
        </w:rPr>
        <w:t>Introduction:</w:t>
      </w:r>
      <w:r w:rsidR="008F282C">
        <w:rPr>
          <w:b/>
        </w:rPr>
        <w:t xml:space="preserve"> </w:t>
      </w:r>
      <w:r w:rsidR="00B758B3">
        <w:t>The human eye is recognized as one of the most intricate and sensitive sensory organs, making it particularly vulnerable to damage from environmental toxins, including plant-derived irritants.</w:t>
      </w:r>
      <w:r w:rsidR="00B758B3">
        <w:rPr>
          <w:b/>
        </w:rPr>
        <w:t xml:space="preserve"> </w:t>
      </w:r>
      <w:r w:rsidRPr="00A32FDB">
        <w:rPr>
          <w:b/>
        </w:rPr>
        <w:t xml:space="preserve">Aim: </w:t>
      </w:r>
      <w:r w:rsidR="00B758B3">
        <w:t xml:space="preserve">The aim of this study is to investigate the acute ocular toxicity of </w:t>
      </w:r>
      <w:r w:rsidR="00B758B3">
        <w:rPr>
          <w:rStyle w:val="Emphasis"/>
        </w:rPr>
        <w:t>Syngonium podophyllum</w:t>
      </w:r>
      <w:r w:rsidR="00B758B3">
        <w:t xml:space="preserve"> extract on corneal tissue in rats.</w:t>
      </w:r>
      <w:r w:rsidR="00B758B3">
        <w:rPr>
          <w:rFonts w:cs="Times New Roman"/>
          <w:szCs w:val="24"/>
        </w:rPr>
        <w:t xml:space="preserve"> </w:t>
      </w:r>
      <w:r w:rsidR="00F55A4E">
        <w:rPr>
          <w:b/>
        </w:rPr>
        <w:t>Study Design</w:t>
      </w:r>
      <w:r w:rsidR="00484F24">
        <w:rPr>
          <w:b/>
        </w:rPr>
        <w:t xml:space="preserve">: </w:t>
      </w:r>
      <w:r w:rsidR="00484F24">
        <w:rPr>
          <w:rFonts w:cs="Times New Roman"/>
          <w:szCs w:val="24"/>
        </w:rPr>
        <w:t xml:space="preserve">This study adopted an experimental laboratory-based research design. </w:t>
      </w:r>
      <w:r w:rsidR="00F55A4E" w:rsidRPr="00F55A4E">
        <w:rPr>
          <w:rFonts w:cs="Times New Roman"/>
          <w:b/>
          <w:szCs w:val="24"/>
        </w:rPr>
        <w:t>Methodology:</w:t>
      </w:r>
      <w:r w:rsidR="00F55A4E">
        <w:rPr>
          <w:rFonts w:cs="Times New Roman"/>
          <w:szCs w:val="24"/>
        </w:rPr>
        <w:t xml:space="preserve"> </w:t>
      </w:r>
      <w:r w:rsidR="00B758B3" w:rsidRPr="00B758B3">
        <w:rPr>
          <w:rFonts w:eastAsia="Times New Roman" w:cs="Times New Roman"/>
          <w:szCs w:val="24"/>
          <w:lang w:val="en-GB" w:eastAsia="en-GB"/>
        </w:rPr>
        <w:t>The experimental procedures were conducted at the Department of Human Anatomy and Cell Biology Laboratory, Delta State University, Abraka, while histological processing was carried out at the Histology Unit of the Department. Prior to the commencement of the experimental work, ethical approval was obtained from the Department of Human Anatomy and Cell Biology, Faculty of Basic Medical Sciences, College of Health Sciences, Delta State University, Abraka.</w:t>
      </w:r>
      <w:r w:rsidR="0094173F">
        <w:rPr>
          <w:b/>
        </w:rPr>
        <w:t xml:space="preserve"> </w:t>
      </w:r>
      <w:r w:rsidR="00B758B3" w:rsidRPr="00B758B3">
        <w:rPr>
          <w:rFonts w:eastAsia="Times New Roman" w:cs="Times New Roman"/>
          <w:szCs w:val="24"/>
          <w:lang w:val="en-GB" w:eastAsia="en-GB"/>
        </w:rPr>
        <w:t>A total of 12 adult Wistar rats (weighing 180</w:t>
      </w:r>
      <w:r w:rsidR="0094173F">
        <w:rPr>
          <w:rFonts w:eastAsia="Times New Roman" w:cs="Times New Roman"/>
          <w:szCs w:val="24"/>
          <w:lang w:val="en-GB" w:eastAsia="en-GB"/>
        </w:rPr>
        <w:t>-</w:t>
      </w:r>
      <w:r w:rsidR="00B758B3" w:rsidRPr="00B758B3">
        <w:rPr>
          <w:rFonts w:eastAsia="Times New Roman" w:cs="Times New Roman"/>
          <w:szCs w:val="24"/>
          <w:lang w:val="en-GB" w:eastAsia="en-GB"/>
        </w:rPr>
        <w:t>220 g) were randomly divided into two groups. Group 1 served as the control group and was administered normal rat chow and water. Group 2 received 1 ml (5000 mg/kg) of the extract dissolved in DMSO (dimethyl sulfoxide), and observations were carried out for 15 days.</w:t>
      </w:r>
      <w:r w:rsidR="0094173F">
        <w:rPr>
          <w:b/>
        </w:rPr>
        <w:t xml:space="preserve"> </w:t>
      </w:r>
      <w:r w:rsidR="00B758B3" w:rsidRPr="00B758B3">
        <w:rPr>
          <w:rFonts w:eastAsia="Times New Roman" w:cs="Times New Roman"/>
          <w:szCs w:val="24"/>
          <w:lang w:val="en-GB" w:eastAsia="en-GB"/>
        </w:rPr>
        <w:t>Quantitative data were analyzed using the Statistical Package for the Social Sciences (SPSS), version 26.0.</w:t>
      </w:r>
      <w:r w:rsidR="0094173F">
        <w:rPr>
          <w:b/>
        </w:rPr>
        <w:t xml:space="preserve"> </w:t>
      </w:r>
      <w:r w:rsidRPr="00A32FDB">
        <w:rPr>
          <w:b/>
        </w:rPr>
        <w:t>Results:</w:t>
      </w:r>
      <w:r w:rsidR="0094173F">
        <w:rPr>
          <w:b/>
        </w:rPr>
        <w:t xml:space="preserve"> </w:t>
      </w:r>
      <w:r w:rsidR="0094173F" w:rsidRPr="0094173F">
        <w:rPr>
          <w:rFonts w:eastAsia="Times New Roman" w:cs="Times New Roman"/>
          <w:szCs w:val="24"/>
          <w:lang w:val="en-GB" w:eastAsia="en-GB"/>
        </w:rPr>
        <w:t xml:space="preserve">The results obtained from this study indicate that </w:t>
      </w:r>
      <w:r w:rsidR="0094173F" w:rsidRPr="0094173F">
        <w:rPr>
          <w:rFonts w:eastAsia="Times New Roman" w:cs="Times New Roman"/>
          <w:i/>
          <w:iCs/>
          <w:szCs w:val="24"/>
          <w:lang w:val="en-GB" w:eastAsia="en-GB"/>
        </w:rPr>
        <w:t>SP</w:t>
      </w:r>
      <w:r w:rsidR="0094173F" w:rsidRPr="0094173F">
        <w:rPr>
          <w:rFonts w:eastAsia="Times New Roman" w:cs="Times New Roman"/>
          <w:szCs w:val="24"/>
          <w:lang w:val="en-GB" w:eastAsia="en-GB"/>
        </w:rPr>
        <w:t xml:space="preserve"> administration generally increased erythrocyte sedimentation rate (ESR), as evidenced by significantly higher ESR levels compared to the control group. This finding suggests a potential inflammatory effect of the plant extract. Specifically, the data revealed that as the </w:t>
      </w:r>
      <w:r w:rsidR="0094173F" w:rsidRPr="0094173F">
        <w:rPr>
          <w:rFonts w:eastAsia="Times New Roman" w:cs="Times New Roman"/>
          <w:i/>
          <w:szCs w:val="24"/>
          <w:lang w:val="en-GB" w:eastAsia="en-GB"/>
        </w:rPr>
        <w:t>SP</w:t>
      </w:r>
      <w:r w:rsidR="0094173F" w:rsidRPr="0094173F">
        <w:rPr>
          <w:rFonts w:eastAsia="Times New Roman" w:cs="Times New Roman"/>
          <w:szCs w:val="24"/>
          <w:lang w:val="en-GB" w:eastAsia="en-GB"/>
        </w:rPr>
        <w:t xml:space="preserve"> dosage increased, the levels of malondialdehyde (MDA), a marker of oxidative damage, also increased significantly.</w:t>
      </w:r>
      <w:r w:rsidR="0094173F">
        <w:t xml:space="preserve"> </w:t>
      </w:r>
      <w:r w:rsidR="0094173F" w:rsidRPr="0094173F">
        <w:rPr>
          <w:rFonts w:eastAsia="Times New Roman" w:cs="Times New Roman"/>
          <w:szCs w:val="24"/>
          <w:lang w:val="en-GB" w:eastAsia="en-GB"/>
        </w:rPr>
        <w:t xml:space="preserve">These findings therefore suggest that </w:t>
      </w:r>
      <w:r w:rsidR="0094173F" w:rsidRPr="0094173F">
        <w:rPr>
          <w:rFonts w:eastAsia="Times New Roman" w:cs="Times New Roman"/>
          <w:i/>
          <w:szCs w:val="24"/>
          <w:lang w:val="en-GB" w:eastAsia="en-GB"/>
        </w:rPr>
        <w:t>SP</w:t>
      </w:r>
      <w:r w:rsidR="0094173F" w:rsidRPr="0094173F">
        <w:rPr>
          <w:rFonts w:eastAsia="Times New Roman" w:cs="Times New Roman"/>
          <w:szCs w:val="24"/>
          <w:lang w:val="en-GB" w:eastAsia="en-GB"/>
        </w:rPr>
        <w:t xml:space="preserve"> exposure induces oxidative stress in the rats’ corneal tissues, leading to cellular damage due to an imbalance between the production of reactive oxygen species and antioxidant defense mechanisms.</w:t>
      </w:r>
      <w:r w:rsidR="0094173F">
        <w:t xml:space="preserve"> </w:t>
      </w:r>
      <w:r w:rsidRPr="00A32FDB">
        <w:rPr>
          <w:b/>
        </w:rPr>
        <w:t>Conclusion</w:t>
      </w:r>
      <w:r w:rsidR="008C491E">
        <w:rPr>
          <w:b/>
        </w:rPr>
        <w:t xml:space="preserve">: </w:t>
      </w:r>
      <w:r w:rsidR="0094173F">
        <w:t xml:space="preserve">This study concludes that </w:t>
      </w:r>
      <w:r w:rsidR="0094173F">
        <w:rPr>
          <w:rStyle w:val="Emphasis"/>
        </w:rPr>
        <w:t>Syngonium podophyllum</w:t>
      </w:r>
      <w:r w:rsidR="0094173F">
        <w:t xml:space="preserve"> extract produces significant physiological, biochemical, and histopathological changes in a dose-dependent manner.</w:t>
      </w:r>
    </w:p>
    <w:p w:rsidR="00A32FDB" w:rsidRDefault="008C491E" w:rsidP="00A32FDB">
      <w:pPr>
        <w:spacing w:after="0" w:line="360" w:lineRule="auto"/>
      </w:pPr>
      <w:r w:rsidRPr="00397766">
        <w:rPr>
          <w:b/>
        </w:rPr>
        <w:t>Keywords:</w:t>
      </w:r>
      <w:r>
        <w:t xml:space="preserve"> Acute, </w:t>
      </w:r>
      <w:r w:rsidRPr="0094173F">
        <w:rPr>
          <w:rFonts w:cs="Times New Roman"/>
          <w:i/>
          <w:szCs w:val="24"/>
        </w:rPr>
        <w:t>Syngonium</w:t>
      </w:r>
      <w:r w:rsidR="0094173F" w:rsidRPr="0094173F">
        <w:rPr>
          <w:rFonts w:cs="Times New Roman"/>
          <w:i/>
          <w:szCs w:val="24"/>
        </w:rPr>
        <w:t xml:space="preserve"> </w:t>
      </w:r>
      <w:r w:rsidRPr="0094173F">
        <w:rPr>
          <w:rFonts w:cs="Times New Roman"/>
          <w:i/>
          <w:szCs w:val="24"/>
        </w:rPr>
        <w:t>Podophylum</w:t>
      </w:r>
      <w:r>
        <w:rPr>
          <w:rFonts w:cs="Times New Roman"/>
          <w:szCs w:val="24"/>
        </w:rPr>
        <w:t xml:space="preserve">, </w:t>
      </w:r>
      <w:r w:rsidRPr="008C491E">
        <w:rPr>
          <w:rFonts w:cs="Times New Roman"/>
          <w:szCs w:val="24"/>
        </w:rPr>
        <w:t>Cornea Tissue</w:t>
      </w:r>
      <w:r>
        <w:rPr>
          <w:rFonts w:cs="Times New Roman"/>
          <w:szCs w:val="24"/>
        </w:rPr>
        <w:t>,</w:t>
      </w:r>
      <w:r w:rsidR="00D3609F">
        <w:rPr>
          <w:rFonts w:cs="Times New Roman"/>
          <w:szCs w:val="24"/>
        </w:rPr>
        <w:t xml:space="preserve"> </w:t>
      </w:r>
      <w:r w:rsidR="00397766">
        <w:t>Phytochemical</w:t>
      </w:r>
    </w:p>
    <w:p w:rsidR="00397766" w:rsidRDefault="00397766" w:rsidP="00A32FDB">
      <w:pPr>
        <w:spacing w:after="0" w:line="360" w:lineRule="auto"/>
      </w:pPr>
    </w:p>
    <w:p w:rsidR="00661412" w:rsidRDefault="00661412" w:rsidP="00A32FDB">
      <w:pPr>
        <w:spacing w:after="0" w:line="360" w:lineRule="auto"/>
      </w:pPr>
    </w:p>
    <w:p w:rsidR="00397766" w:rsidRDefault="00397766" w:rsidP="00397766">
      <w:pPr>
        <w:spacing w:after="0" w:line="360" w:lineRule="auto"/>
        <w:rPr>
          <w:b/>
        </w:rPr>
      </w:pPr>
      <w:r w:rsidRPr="00397766">
        <w:rPr>
          <w:b/>
        </w:rPr>
        <w:t>Introduction</w:t>
      </w:r>
    </w:p>
    <w:p w:rsidR="00DC3BE4" w:rsidRDefault="0094173F" w:rsidP="00DC3BE4">
      <w:pPr>
        <w:spacing w:after="0" w:line="360" w:lineRule="auto"/>
        <w:rPr>
          <w:rFonts w:eastAsia="Times New Roman" w:cs="Times New Roman"/>
          <w:szCs w:val="24"/>
        </w:rPr>
      </w:pPr>
      <w:r>
        <w:t>The human eye is recognized as one of the most intricate and sensitive sensory organs and is particularly vulnerable to damage from environmental toxins, including plant-derived irritants. Among the structures of the eye, the cornea, a transparent and avascular tissue forming the outermost layer, plays an important role in light refraction and visual acuity</w:t>
      </w:r>
      <w:r w:rsidR="00397766">
        <w:rPr>
          <w:rFonts w:eastAsia="Times New Roman" w:cs="Times New Roman"/>
          <w:szCs w:val="24"/>
        </w:rPr>
        <w:t>.</w:t>
      </w:r>
      <w:r w:rsidR="00DC3BE4" w:rsidRPr="00DC3BE4">
        <w:rPr>
          <w:rFonts w:eastAsia="Times New Roman" w:cs="Times New Roman"/>
          <w:szCs w:val="24"/>
          <w:vertAlign w:val="superscript"/>
        </w:rPr>
        <w:t>1</w:t>
      </w:r>
      <w:r w:rsidRPr="0094173F">
        <w:t xml:space="preserve"> </w:t>
      </w:r>
      <w:r>
        <w:t>Due to its external positioning, the cornea is particularly susceptible to various forms of trauma, including mechanical disruption, microbial invasion, and chemical injuries</w:t>
      </w:r>
      <w:r w:rsidR="00397766">
        <w:rPr>
          <w:rFonts w:eastAsia="Times New Roman" w:cs="Times New Roman"/>
          <w:szCs w:val="24"/>
        </w:rPr>
        <w:t>.</w:t>
      </w:r>
      <w:r w:rsidR="004C34C4" w:rsidRPr="004C34C4">
        <w:rPr>
          <w:rFonts w:eastAsia="Times New Roman" w:cs="Times New Roman"/>
          <w:szCs w:val="24"/>
          <w:vertAlign w:val="superscript"/>
        </w:rPr>
        <w:t>2</w:t>
      </w:r>
      <w:r>
        <w:rPr>
          <w:rFonts w:eastAsia="Times New Roman" w:cs="Times New Roman"/>
          <w:szCs w:val="24"/>
          <w:vertAlign w:val="superscript"/>
        </w:rPr>
        <w:t xml:space="preserve"> </w:t>
      </w:r>
      <w:r>
        <w:t xml:space="preserve">Recent studies have drawn attention to the ocular risks posed by certain plant species, particularly those in the Araceae </w:t>
      </w:r>
      <w:r>
        <w:lastRenderedPageBreak/>
        <w:t>family, which are known to produce calcium oxalate crystals and proteolytic enzymes capable of inducing acute inflammatory responses in ocular tissues</w:t>
      </w:r>
      <w:r w:rsidR="00397766">
        <w:rPr>
          <w:rFonts w:eastAsia="Times New Roman" w:cs="Times New Roman"/>
          <w:szCs w:val="24"/>
        </w:rPr>
        <w:t>.</w:t>
      </w:r>
      <w:r w:rsidR="004C34C4" w:rsidRPr="004C34C4">
        <w:rPr>
          <w:rFonts w:eastAsia="Times New Roman" w:cs="Times New Roman"/>
          <w:szCs w:val="24"/>
          <w:vertAlign w:val="superscript"/>
        </w:rPr>
        <w:t>3</w:t>
      </w:r>
      <w:r>
        <w:rPr>
          <w:rFonts w:eastAsia="Times New Roman" w:cs="Times New Roman"/>
          <w:szCs w:val="24"/>
          <w:vertAlign w:val="superscript"/>
        </w:rPr>
        <w:t>,2</w:t>
      </w:r>
    </w:p>
    <w:p w:rsidR="00397766" w:rsidRDefault="0094173F" w:rsidP="00DC3BE4">
      <w:pPr>
        <w:spacing w:after="0" w:line="360" w:lineRule="auto"/>
        <w:rPr>
          <w:rFonts w:eastAsia="Times New Roman" w:cs="Times New Roman"/>
          <w:szCs w:val="24"/>
        </w:rPr>
      </w:pPr>
      <w:r>
        <w:rPr>
          <w:rStyle w:val="Emphasis"/>
        </w:rPr>
        <w:t>Syngonium podophyllum</w:t>
      </w:r>
      <w:r>
        <w:t>, commonly referred to as Arrowhead Vine or Nephthytis, belongs to the Araceae family and is predominantly cultivated as an ornamental houseplant. It is indigenous to the rainforests of Central and South America, where it thrives in humid, shaded environments</w:t>
      </w:r>
      <w:r w:rsidR="00397766">
        <w:rPr>
          <w:rFonts w:eastAsia="Times New Roman" w:cs="Times New Roman"/>
          <w:szCs w:val="24"/>
        </w:rPr>
        <w:t>.</w:t>
      </w:r>
      <w:r w:rsidR="004C34C4" w:rsidRPr="004C34C4">
        <w:rPr>
          <w:rFonts w:eastAsia="Times New Roman" w:cs="Times New Roman"/>
          <w:szCs w:val="24"/>
          <w:vertAlign w:val="superscript"/>
        </w:rPr>
        <w:t>4</w:t>
      </w:r>
      <w:r>
        <w:t>Botanically, it was first formally described and assigned its genus name in 1879. Although the name Nephthytis is still used colloquially, it was originally a misidentification of an African genus with a similar morphology</w:t>
      </w:r>
      <w:r w:rsidR="00397766" w:rsidRPr="004C34C4">
        <w:rPr>
          <w:rFonts w:eastAsia="Times New Roman" w:cs="Times New Roman"/>
          <w:szCs w:val="24"/>
          <w:vertAlign w:val="superscript"/>
        </w:rPr>
        <w:t>.</w:t>
      </w:r>
      <w:r w:rsidR="004C34C4" w:rsidRPr="004C34C4">
        <w:rPr>
          <w:rFonts w:eastAsia="Times New Roman" w:cs="Times New Roman"/>
          <w:szCs w:val="24"/>
          <w:vertAlign w:val="superscript"/>
        </w:rPr>
        <w:t>5</w:t>
      </w:r>
      <w:r w:rsidR="00397766">
        <w:rPr>
          <w:rFonts w:eastAsia="Times New Roman" w:cs="Times New Roman"/>
          <w:szCs w:val="24"/>
        </w:rPr>
        <w:t xml:space="preserve"> The plant is a fast-growing vine that can extend vertically up to 20 meters when supported by trees or structures.</w:t>
      </w:r>
      <w:r w:rsidR="004C34C4" w:rsidRPr="004C34C4">
        <w:rPr>
          <w:rFonts w:eastAsia="Times New Roman" w:cs="Times New Roman"/>
          <w:szCs w:val="24"/>
          <w:vertAlign w:val="superscript"/>
        </w:rPr>
        <w:t>6</w:t>
      </w:r>
    </w:p>
    <w:p w:rsidR="00013C66" w:rsidRPr="00013C66" w:rsidRDefault="0094173F" w:rsidP="00661412">
      <w:pPr>
        <w:spacing w:after="0" w:line="360" w:lineRule="auto"/>
        <w:rPr>
          <w:rFonts w:eastAsia="Times New Roman" w:cs="Times New Roman"/>
          <w:szCs w:val="24"/>
        </w:rPr>
      </w:pPr>
      <w:r>
        <w:t xml:space="preserve">The foliage of </w:t>
      </w:r>
      <w:r>
        <w:rPr>
          <w:rStyle w:val="Emphasis"/>
        </w:rPr>
        <w:t>Syngonium podophyllum</w:t>
      </w:r>
      <w:r>
        <w:t xml:space="preserve"> remains one of its most distinctive features, contributing to its popularity as an ornamental houseplant. In its juvenile stage, the plant produces simple, arrowhead-shaped leaves, which give rise to its common name, ‘Arrowhead Vine.’ As the plant matures, particularly when grown under naturalistic conditions, the leaves undergo a noticeable transformation, gradually becoming more deeply lobed and segmented, sometimes developing multiple distinct divisions</w:t>
      </w:r>
      <w:r w:rsidR="00013C66" w:rsidRPr="00013C66">
        <w:rPr>
          <w:rFonts w:cs="Times New Roman"/>
          <w:szCs w:val="24"/>
        </w:rPr>
        <w:t>.⁷</w:t>
      </w:r>
      <w:r w:rsidRPr="0094173F">
        <w:t xml:space="preserve"> </w:t>
      </w:r>
      <w:r>
        <w:t xml:space="preserve">This change in leaf morphology reflects a natural developmental progression (heteroblasty) commonly observed among members of the Araceae family, enabling improved adaptation to varying light environments. Beyond its evolving leaf shape, </w:t>
      </w:r>
      <w:r>
        <w:rPr>
          <w:rStyle w:val="Emphasis"/>
        </w:rPr>
        <w:t>Syngonium podophyllum</w:t>
      </w:r>
      <w:r>
        <w:t xml:space="preserve"> is widely appreciated for the diversity of its coloration and variegation. Some cultivars display rich, uniform green foliage, while others exhibit cream marbling, silvery overlays, or soft pink tones</w:t>
      </w:r>
      <w:r w:rsidR="00013C66" w:rsidRPr="00013C66">
        <w:rPr>
          <w:rFonts w:cs="Times New Roman"/>
          <w:szCs w:val="24"/>
        </w:rPr>
        <w:t>.⁸</w:t>
      </w:r>
      <w:r w:rsidRPr="0094173F">
        <w:t xml:space="preserve"> </w:t>
      </w:r>
      <w:r>
        <w:t>These variations arise from selective cultivation and differential pigment distribution within the leaf tissues. Such visual diversity, combined with the plant’s tolerance for indirect light and relatively low maintenance requirements, has made it a preferred indoor plant in homes, offices, and healthcare facilities worldwide</w:t>
      </w:r>
      <w:r w:rsidR="00013C66" w:rsidRPr="00013C66">
        <w:rPr>
          <w:rFonts w:cs="Times New Roman"/>
          <w:szCs w:val="24"/>
        </w:rPr>
        <w:t>.⁹ Its ability to thrive under moderate watering schedules and adapt to container growth further enhances its suitability for interior decoration.</w:t>
      </w:r>
    </w:p>
    <w:p w:rsidR="007E1011" w:rsidRPr="007E1011" w:rsidRDefault="007E1011" w:rsidP="00013C66">
      <w:pPr>
        <w:spacing w:after="0" w:line="360" w:lineRule="auto"/>
        <w:rPr>
          <w:color w:val="FF0000"/>
        </w:rPr>
      </w:pPr>
      <w:r w:rsidRPr="007E1011">
        <w:rPr>
          <w:color w:val="FF0000"/>
        </w:rPr>
        <w:t xml:space="preserve">Previous phytochemical investigations of </w:t>
      </w:r>
      <w:r w:rsidRPr="007E1011">
        <w:rPr>
          <w:rStyle w:val="Emphasis"/>
          <w:color w:val="FF0000"/>
        </w:rPr>
        <w:t>Syngonium podophyllum</w:t>
      </w:r>
      <w:r w:rsidRPr="007E1011">
        <w:rPr>
          <w:color w:val="FF0000"/>
        </w:rPr>
        <w:t xml:space="preserve"> and related Araceae species have identified the presence of calcium oxalate crystals, proteolytic enzymes, flavonoids, and phenolic compounds, which are known to contribute to tissue irritation and inflammatory responses.</w:t>
      </w:r>
    </w:p>
    <w:p w:rsidR="007E1011" w:rsidRDefault="007E1011" w:rsidP="00013C66">
      <w:pPr>
        <w:spacing w:after="0" w:line="360" w:lineRule="auto"/>
      </w:pPr>
    </w:p>
    <w:p w:rsidR="00013C66" w:rsidRPr="00013C66" w:rsidRDefault="0094173F" w:rsidP="00013C66">
      <w:pPr>
        <w:spacing w:after="0" w:line="360" w:lineRule="auto"/>
        <w:rPr>
          <w:rFonts w:eastAsia="Times New Roman" w:cs="Times New Roman"/>
          <w:szCs w:val="24"/>
          <w:lang w:val="en-GB" w:eastAsia="en-GB"/>
        </w:rPr>
      </w:pPr>
      <w:r>
        <w:lastRenderedPageBreak/>
        <w:t xml:space="preserve">In recent years, </w:t>
      </w:r>
      <w:r>
        <w:rPr>
          <w:rStyle w:val="Emphasis"/>
        </w:rPr>
        <w:t>Syngonium podophyllum</w:t>
      </w:r>
      <w:r>
        <w:t xml:space="preserve"> has also been discussed in the context of indoor environmental quality. Similar to other members of the Araceae family, it has been suggested to contribute to the reduction of certain indoor air pollutants, particularly volatile organic compounds (VOCs)</w:t>
      </w:r>
      <w:r w:rsidR="003415FE">
        <w:rPr>
          <w:rFonts w:eastAsia="Times New Roman" w:cs="Times New Roman"/>
          <w:szCs w:val="24"/>
          <w:lang w:val="en-GB" w:eastAsia="en-GB"/>
        </w:rPr>
        <w:t>.</w:t>
      </w:r>
      <w:r w:rsidR="00013C66" w:rsidRPr="00013C66">
        <w:rPr>
          <w:rFonts w:eastAsia="Times New Roman" w:cs="Times New Roman"/>
          <w:szCs w:val="24"/>
          <w:lang w:val="en-GB" w:eastAsia="en-GB"/>
        </w:rPr>
        <w:t xml:space="preserve">¹⁰ </w:t>
      </w:r>
      <w:r>
        <w:t>Although much of the evidence supporting this claim originates from controlled experimental settings rather than real-life indoor environments, the perception of its air-purifying capacity has strengthened its reputation as both a decorative and functional plant.</w:t>
      </w:r>
    </w:p>
    <w:p w:rsidR="00013C66" w:rsidRPr="00013C66" w:rsidRDefault="003415FE" w:rsidP="00013C66">
      <w:pPr>
        <w:spacing w:after="0" w:line="360" w:lineRule="auto"/>
        <w:rPr>
          <w:rFonts w:eastAsia="Times New Roman" w:cs="Times New Roman"/>
          <w:szCs w:val="24"/>
          <w:lang w:val="en-GB" w:eastAsia="en-GB"/>
        </w:rPr>
      </w:pPr>
      <w:r>
        <w:t>Despite these positive attributes, concerns regarding plant safety, particularly in relation to accidental exposure to sap, have received limited focused investigation. Members of the Araceae family are known to contain insoluble calcium oxalate crystals, commonly referred to as raphides, which are housed within specialized plant cells. When the plant tissue is damaged, these microscopic, needle-like crystals can be released and cause mechanical irritation. Contact with mucous membranes, including ocular tissues, may provoke immediate discomfort.</w:t>
      </w:r>
    </w:p>
    <w:p w:rsidR="00397766" w:rsidRDefault="00013C66" w:rsidP="00661412">
      <w:pPr>
        <w:spacing w:after="0" w:line="360" w:lineRule="auto"/>
        <w:rPr>
          <w:rFonts w:eastAsia="Times New Roman" w:cs="Times New Roman"/>
          <w:szCs w:val="24"/>
        </w:rPr>
      </w:pPr>
      <w:r w:rsidRPr="00013C66">
        <w:rPr>
          <w:szCs w:val="24"/>
        </w:rPr>
        <w:t xml:space="preserve">Comparable reactions have been more thoroughly described in related aroid species such as </w:t>
      </w:r>
      <w:r w:rsidRPr="00013C66">
        <w:rPr>
          <w:rStyle w:val="whitespace-normal"/>
          <w:szCs w:val="24"/>
        </w:rPr>
        <w:t>Dieffenbachia</w:t>
      </w:r>
      <w:r w:rsidRPr="00013C66">
        <w:rPr>
          <w:szCs w:val="24"/>
        </w:rPr>
        <w:t xml:space="preserve"> and </w:t>
      </w:r>
      <w:r w:rsidRPr="00013C66">
        <w:rPr>
          <w:rStyle w:val="whitespace-normal"/>
          <w:szCs w:val="24"/>
        </w:rPr>
        <w:t>Epipremnum aureum</w:t>
      </w:r>
      <w:r w:rsidRPr="00013C66">
        <w:rPr>
          <w:szCs w:val="24"/>
        </w:rPr>
        <w:t>, where accidental sap exposure has resulted in conjunctival irritation, excessive tearing, burning sensation, and, in some cases, corneal epithelial injury.¹¹ These effects are generally acute and self-limiting with prompt irrigation, but they highlight the potential for ocular toxicity among plants within the same botanical family.</w:t>
      </w:r>
      <w:r>
        <w:rPr>
          <w:rFonts w:eastAsia="Times New Roman" w:cs="Times New Roman"/>
          <w:szCs w:val="24"/>
        </w:rPr>
        <w:t xml:space="preserve"> </w:t>
      </w:r>
      <w:r w:rsidR="00397766">
        <w:rPr>
          <w:rFonts w:eastAsia="Times New Roman" w:cs="Times New Roman"/>
          <w:szCs w:val="24"/>
        </w:rPr>
        <w:t>Therefore, this research seeks to fill that gap by exploring the histological alterations in corneal tissues following exposure to Syngoniumpodophyllumsap in an animal model, thereby simulating possible human outcomes in domestic and occupational settings.</w:t>
      </w:r>
    </w:p>
    <w:p w:rsidR="00397766" w:rsidRPr="00397766" w:rsidRDefault="00397766" w:rsidP="00397766">
      <w:pPr>
        <w:spacing w:line="360" w:lineRule="auto"/>
        <w:rPr>
          <w:rFonts w:eastAsia="Times New Roman" w:cs="Times New Roman"/>
          <w:b/>
          <w:szCs w:val="24"/>
        </w:rPr>
      </w:pPr>
      <w:r w:rsidRPr="00397766">
        <w:rPr>
          <w:rFonts w:eastAsia="Times New Roman" w:cs="Times New Roman"/>
          <w:b/>
          <w:szCs w:val="24"/>
        </w:rPr>
        <w:t>Materials and Methods</w:t>
      </w:r>
    </w:p>
    <w:p w:rsidR="00397766" w:rsidRPr="00013C66" w:rsidRDefault="00397766" w:rsidP="00397766">
      <w:pPr>
        <w:pStyle w:val="Heading2"/>
        <w:spacing w:line="360" w:lineRule="auto"/>
        <w:rPr>
          <w:rFonts w:ascii="Times New Roman" w:eastAsia="Calibri" w:hAnsi="Times New Roman" w:cs="Times New Roman"/>
          <w:b/>
          <w:color w:val="auto"/>
          <w:sz w:val="24"/>
          <w:szCs w:val="24"/>
        </w:rPr>
      </w:pPr>
      <w:bookmarkStart w:id="0" w:name="_Toc197554785"/>
      <w:r w:rsidRPr="00013C66">
        <w:rPr>
          <w:rFonts w:ascii="Times New Roman" w:hAnsi="Times New Roman" w:cs="Times New Roman"/>
          <w:b/>
          <w:color w:val="auto"/>
          <w:sz w:val="24"/>
          <w:szCs w:val="24"/>
        </w:rPr>
        <w:t>Research Design</w:t>
      </w:r>
      <w:bookmarkEnd w:id="0"/>
    </w:p>
    <w:p w:rsidR="00397766" w:rsidRDefault="003415FE" w:rsidP="00397766">
      <w:pPr>
        <w:spacing w:after="0" w:line="360" w:lineRule="auto"/>
        <w:rPr>
          <w:rFonts w:cs="Times New Roman"/>
          <w:szCs w:val="24"/>
        </w:rPr>
      </w:pPr>
      <w:r>
        <w:t xml:space="preserve">This study adopted an experimental, laboratory-based research design, focusing on the acute effects of </w:t>
      </w:r>
      <w:r>
        <w:rPr>
          <w:rStyle w:val="Emphasis"/>
        </w:rPr>
        <w:t>Syngonium podophyllum</w:t>
      </w:r>
      <w:r>
        <w:t xml:space="preserve"> sap on corneal tissues in a controlled animal model. Experimental studies allow for a direct assessment of cause-and-effect relationships under standardized conditions, providing high internal validity.</w:t>
      </w:r>
      <w:r w:rsidR="004C34C4" w:rsidRPr="004C34C4">
        <w:rPr>
          <w:rFonts w:cs="Times New Roman"/>
          <w:szCs w:val="24"/>
          <w:vertAlign w:val="superscript"/>
        </w:rPr>
        <w:t>12</w:t>
      </w:r>
    </w:p>
    <w:p w:rsidR="00397766" w:rsidRDefault="003415FE" w:rsidP="00397766">
      <w:pPr>
        <w:spacing w:line="360" w:lineRule="auto"/>
        <w:rPr>
          <w:rFonts w:cs="Times New Roman"/>
          <w:szCs w:val="24"/>
        </w:rPr>
      </w:pPr>
      <w:r>
        <w:t>Animal models, particularly rabbits and rats, have been widely used in ophthalmic research due to their similarities in corneal structure and healing mechanisms compared to humans.</w:t>
      </w:r>
      <w:r w:rsidR="004C34C4" w:rsidRPr="004C34C4">
        <w:rPr>
          <w:rFonts w:cs="Times New Roman"/>
          <w:szCs w:val="24"/>
          <w:vertAlign w:val="superscript"/>
        </w:rPr>
        <w:t>13</w:t>
      </w:r>
    </w:p>
    <w:p w:rsidR="00397766" w:rsidRPr="00661412" w:rsidRDefault="00397766" w:rsidP="00661412">
      <w:pPr>
        <w:pStyle w:val="Heading2"/>
        <w:spacing w:before="0" w:line="360" w:lineRule="auto"/>
        <w:rPr>
          <w:rFonts w:ascii="Times New Roman" w:hAnsi="Times New Roman" w:cs="Times New Roman"/>
          <w:b/>
          <w:color w:val="auto"/>
          <w:sz w:val="24"/>
          <w:szCs w:val="24"/>
        </w:rPr>
      </w:pPr>
      <w:bookmarkStart w:id="1" w:name="_Toc197554786"/>
      <w:r w:rsidRPr="00661412">
        <w:rPr>
          <w:rFonts w:ascii="Times New Roman" w:hAnsi="Times New Roman" w:cs="Times New Roman"/>
          <w:b/>
          <w:color w:val="auto"/>
          <w:sz w:val="24"/>
          <w:szCs w:val="24"/>
        </w:rPr>
        <w:lastRenderedPageBreak/>
        <w:t>Study Area</w:t>
      </w:r>
      <w:bookmarkEnd w:id="1"/>
    </w:p>
    <w:p w:rsidR="00397766" w:rsidRDefault="003415FE" w:rsidP="00397766">
      <w:pPr>
        <w:spacing w:line="360" w:lineRule="auto"/>
        <w:rPr>
          <w:rFonts w:cs="Times New Roman"/>
          <w:szCs w:val="24"/>
        </w:rPr>
      </w:pPr>
      <w:r>
        <w:t>The experimental procedures were conducted at the Department of Anatomy Laboratory, Delta State University, Abraka, while histological processing was carried out at the Histology Unit of the department.</w:t>
      </w:r>
    </w:p>
    <w:p w:rsidR="00397766" w:rsidRPr="00661412" w:rsidRDefault="00397766" w:rsidP="00661412">
      <w:pPr>
        <w:pStyle w:val="Heading2"/>
        <w:spacing w:before="0" w:line="360" w:lineRule="auto"/>
        <w:rPr>
          <w:rFonts w:ascii="Times New Roman" w:hAnsi="Times New Roman" w:cs="Times New Roman"/>
          <w:b/>
          <w:color w:val="auto"/>
          <w:sz w:val="24"/>
          <w:szCs w:val="24"/>
        </w:rPr>
      </w:pPr>
      <w:bookmarkStart w:id="2" w:name="_Toc197554787"/>
      <w:r w:rsidRPr="00661412">
        <w:rPr>
          <w:rFonts w:ascii="Times New Roman" w:hAnsi="Times New Roman" w:cs="Times New Roman"/>
          <w:b/>
          <w:color w:val="auto"/>
          <w:sz w:val="24"/>
          <w:szCs w:val="24"/>
        </w:rPr>
        <w:t>Experimental Animals</w:t>
      </w:r>
      <w:bookmarkEnd w:id="2"/>
    </w:p>
    <w:p w:rsidR="00397766" w:rsidRDefault="00661412" w:rsidP="00397766">
      <w:pPr>
        <w:spacing w:line="360" w:lineRule="auto"/>
        <w:rPr>
          <w:rFonts w:cs="Times New Roman"/>
          <w:szCs w:val="24"/>
        </w:rPr>
      </w:pPr>
      <w:r>
        <w:rPr>
          <w:rFonts w:cs="Times New Roman"/>
          <w:szCs w:val="24"/>
        </w:rPr>
        <w:t>Sample</w:t>
      </w:r>
    </w:p>
    <w:p w:rsidR="00397766" w:rsidRDefault="00397766" w:rsidP="00397766">
      <w:pPr>
        <w:spacing w:line="360" w:lineRule="auto"/>
        <w:rPr>
          <w:rFonts w:cs="Times New Roman"/>
          <w:szCs w:val="24"/>
        </w:rPr>
      </w:pPr>
      <w:r>
        <w:rPr>
          <w:rFonts w:cs="Times New Roman"/>
          <w:szCs w:val="24"/>
        </w:rPr>
        <w:t xml:space="preserve">A total of 12 </w:t>
      </w:r>
      <w:r w:rsidR="00661412">
        <w:rPr>
          <w:rFonts w:cs="Times New Roman"/>
          <w:szCs w:val="24"/>
        </w:rPr>
        <w:t>adult Wistar</w:t>
      </w:r>
      <w:r w:rsidR="00AC5EB9">
        <w:rPr>
          <w:rFonts w:cs="Times New Roman"/>
          <w:szCs w:val="24"/>
        </w:rPr>
        <w:t xml:space="preserve"> rats (weighing 180-220g) were</w:t>
      </w:r>
      <w:r>
        <w:rPr>
          <w:rFonts w:cs="Times New Roman"/>
          <w:szCs w:val="24"/>
        </w:rPr>
        <w:t xml:space="preserve"> used.</w:t>
      </w:r>
    </w:p>
    <w:p w:rsidR="00397766" w:rsidRDefault="00397766" w:rsidP="00397766">
      <w:pPr>
        <w:spacing w:line="360" w:lineRule="auto"/>
        <w:rPr>
          <w:rFonts w:cs="Times New Roman"/>
          <w:szCs w:val="24"/>
        </w:rPr>
      </w:pPr>
      <w:r>
        <w:rPr>
          <w:rFonts w:cs="Times New Roman"/>
          <w:szCs w:val="24"/>
        </w:rPr>
        <w:t>Rats are preferred due to their ease of handling, cost-effectiveness, and documented use in toxicological ocular studies.</w:t>
      </w:r>
      <w:r w:rsidR="004C34C4" w:rsidRPr="004C34C4">
        <w:rPr>
          <w:rFonts w:cs="Times New Roman"/>
          <w:szCs w:val="24"/>
          <w:vertAlign w:val="superscript"/>
        </w:rPr>
        <w:t>14</w:t>
      </w:r>
    </w:p>
    <w:p w:rsidR="00397766" w:rsidRDefault="00661412" w:rsidP="00397766">
      <w:pPr>
        <w:spacing w:line="360" w:lineRule="auto"/>
        <w:rPr>
          <w:rFonts w:cs="Times New Roman"/>
          <w:szCs w:val="24"/>
        </w:rPr>
      </w:pPr>
      <w:r>
        <w:rPr>
          <w:rFonts w:cs="Times New Roman"/>
          <w:szCs w:val="24"/>
        </w:rPr>
        <w:t>Grouping</w:t>
      </w:r>
    </w:p>
    <w:p w:rsidR="003415FE" w:rsidRDefault="003415FE" w:rsidP="00397766">
      <w:pPr>
        <w:spacing w:line="360" w:lineRule="auto"/>
      </w:pPr>
      <w:r>
        <w:t>The rats were randomly divided into two groups of six animals each (three males and three females):</w:t>
      </w:r>
    </w:p>
    <w:p w:rsidR="00397766" w:rsidRDefault="00397766" w:rsidP="00397766">
      <w:pPr>
        <w:spacing w:line="360" w:lineRule="auto"/>
        <w:rPr>
          <w:rFonts w:cs="Times New Roman"/>
          <w:szCs w:val="24"/>
        </w:rPr>
      </w:pPr>
      <w:r>
        <w:rPr>
          <w:rFonts w:cs="Times New Roman"/>
          <w:szCs w:val="24"/>
        </w:rPr>
        <w:t>Group 1: Normal control group:</w:t>
      </w:r>
      <w:r w:rsidR="003415FE">
        <w:rPr>
          <w:rFonts w:cs="Times New Roman"/>
          <w:szCs w:val="24"/>
        </w:rPr>
        <w:t xml:space="preserve"> </w:t>
      </w:r>
      <w:r>
        <w:rPr>
          <w:rFonts w:cs="Times New Roman"/>
          <w:szCs w:val="24"/>
        </w:rPr>
        <w:t>administered with normal mice chow and water</w:t>
      </w:r>
    </w:p>
    <w:p w:rsidR="00397766" w:rsidRDefault="00661412" w:rsidP="00397766">
      <w:pPr>
        <w:spacing w:line="360" w:lineRule="auto"/>
        <w:rPr>
          <w:rFonts w:cs="Times New Roman"/>
          <w:szCs w:val="24"/>
        </w:rPr>
      </w:pPr>
      <w:r>
        <w:rPr>
          <w:rFonts w:cs="Times New Roman"/>
          <w:szCs w:val="24"/>
        </w:rPr>
        <w:t>Group 2:1ml (</w:t>
      </w:r>
      <w:r w:rsidR="00397766">
        <w:rPr>
          <w:rFonts w:cs="Times New Roman"/>
          <w:szCs w:val="24"/>
        </w:rPr>
        <w:t>5000</w:t>
      </w:r>
      <w:r w:rsidR="003415FE">
        <w:rPr>
          <w:rFonts w:cs="Times New Roman"/>
          <w:szCs w:val="24"/>
        </w:rPr>
        <w:t xml:space="preserve"> </w:t>
      </w:r>
      <w:r w:rsidR="00397766">
        <w:rPr>
          <w:rFonts w:cs="Times New Roman"/>
          <w:szCs w:val="24"/>
        </w:rPr>
        <w:t>mg/kg) of extract dissolved in DMSO</w:t>
      </w:r>
      <w:r w:rsidR="003415FE">
        <w:rPr>
          <w:rFonts w:cs="Times New Roman"/>
          <w:szCs w:val="24"/>
        </w:rPr>
        <w:t xml:space="preserve"> </w:t>
      </w:r>
      <w:r w:rsidR="00397766">
        <w:rPr>
          <w:rFonts w:cs="Times New Roman"/>
          <w:szCs w:val="24"/>
        </w:rPr>
        <w:t>(Dimethyl Sulfoxide)</w:t>
      </w:r>
    </w:p>
    <w:p w:rsidR="00397766" w:rsidRDefault="00661412" w:rsidP="00397766">
      <w:pPr>
        <w:spacing w:line="360" w:lineRule="auto"/>
        <w:rPr>
          <w:rFonts w:cs="Times New Roman"/>
          <w:szCs w:val="24"/>
        </w:rPr>
      </w:pPr>
      <w:r>
        <w:rPr>
          <w:rFonts w:cs="Times New Roman"/>
          <w:szCs w:val="24"/>
        </w:rPr>
        <w:t>Observation was</w:t>
      </w:r>
      <w:r w:rsidR="00397766">
        <w:rPr>
          <w:rFonts w:cs="Times New Roman"/>
          <w:szCs w:val="24"/>
        </w:rPr>
        <w:t xml:space="preserve"> carried out for 15 days </w:t>
      </w:r>
    </w:p>
    <w:p w:rsidR="00397766" w:rsidRPr="00661412" w:rsidRDefault="00397766" w:rsidP="00661412">
      <w:pPr>
        <w:pStyle w:val="Heading2"/>
        <w:spacing w:before="0" w:line="360" w:lineRule="auto"/>
        <w:rPr>
          <w:rFonts w:ascii="Times New Roman" w:hAnsi="Times New Roman" w:cs="Times New Roman"/>
          <w:b/>
          <w:color w:val="auto"/>
          <w:sz w:val="24"/>
          <w:szCs w:val="24"/>
        </w:rPr>
      </w:pPr>
      <w:bookmarkStart w:id="3" w:name="_Toc197554788"/>
      <w:r w:rsidRPr="00661412">
        <w:rPr>
          <w:rFonts w:ascii="Times New Roman" w:hAnsi="Times New Roman" w:cs="Times New Roman"/>
          <w:b/>
          <w:color w:val="auto"/>
          <w:sz w:val="24"/>
          <w:szCs w:val="24"/>
        </w:rPr>
        <w:t xml:space="preserve">Collection and Preparation of </w:t>
      </w:r>
      <w:r w:rsidRPr="003415FE">
        <w:rPr>
          <w:rFonts w:ascii="Times New Roman" w:hAnsi="Times New Roman" w:cs="Times New Roman"/>
          <w:b/>
          <w:i/>
          <w:color w:val="auto"/>
          <w:sz w:val="24"/>
          <w:szCs w:val="24"/>
        </w:rPr>
        <w:t>Syngonium</w:t>
      </w:r>
      <w:r w:rsidR="003415FE" w:rsidRPr="003415FE">
        <w:rPr>
          <w:rFonts w:ascii="Times New Roman" w:hAnsi="Times New Roman" w:cs="Times New Roman"/>
          <w:b/>
          <w:i/>
          <w:color w:val="auto"/>
          <w:sz w:val="24"/>
          <w:szCs w:val="24"/>
        </w:rPr>
        <w:t xml:space="preserve"> </w:t>
      </w:r>
      <w:r w:rsidRPr="003415FE">
        <w:rPr>
          <w:rFonts w:ascii="Times New Roman" w:hAnsi="Times New Roman" w:cs="Times New Roman"/>
          <w:b/>
          <w:i/>
          <w:color w:val="auto"/>
          <w:sz w:val="24"/>
          <w:szCs w:val="24"/>
        </w:rPr>
        <w:t>podophyllum</w:t>
      </w:r>
      <w:r w:rsidRPr="00661412">
        <w:rPr>
          <w:rFonts w:ascii="Times New Roman" w:hAnsi="Times New Roman" w:cs="Times New Roman"/>
          <w:b/>
          <w:color w:val="auto"/>
          <w:sz w:val="24"/>
          <w:szCs w:val="24"/>
        </w:rPr>
        <w:t xml:space="preserve"> Sap</w:t>
      </w:r>
      <w:bookmarkEnd w:id="3"/>
    </w:p>
    <w:p w:rsidR="007E1011" w:rsidRPr="007E1011" w:rsidRDefault="007E1011" w:rsidP="007E1011">
      <w:pPr>
        <w:spacing w:after="0" w:line="360" w:lineRule="auto"/>
        <w:rPr>
          <w:color w:val="FF0000"/>
        </w:rPr>
      </w:pPr>
      <w:r w:rsidRPr="007E1011">
        <w:rPr>
          <w:color w:val="FF0000"/>
        </w:rPr>
        <w:t xml:space="preserve">Fresh leaves of </w:t>
      </w:r>
      <w:r w:rsidRPr="007E1011">
        <w:rPr>
          <w:rStyle w:val="Emphasis"/>
          <w:color w:val="FF0000"/>
        </w:rPr>
        <w:t>Syngonium podophyllum</w:t>
      </w:r>
      <w:r w:rsidRPr="007E1011">
        <w:rPr>
          <w:color w:val="FF0000"/>
        </w:rPr>
        <w:t xml:space="preserve"> were collected from a verified botanical garden and authenticated by a plant taxonomist in the Department of Botany, Delta State University, Abraka. The collected plant materials were washed with distilled water to remove debris and air-dried at room temperature for two weeks.</w:t>
      </w:r>
    </w:p>
    <w:p w:rsidR="007E1011" w:rsidRPr="007E1011" w:rsidRDefault="007E1011" w:rsidP="007E1011">
      <w:pPr>
        <w:spacing w:after="0" w:line="360" w:lineRule="auto"/>
        <w:rPr>
          <w:rFonts w:cs="Times New Roman"/>
          <w:color w:val="FF0000"/>
          <w:szCs w:val="24"/>
        </w:rPr>
      </w:pPr>
      <w:r w:rsidRPr="007E1011">
        <w:rPr>
          <w:color w:val="FF0000"/>
        </w:rPr>
        <w:t>The dried leaves were pulverized into a fine powder using an electric blender. Approximately 500 g of the powdered plant material was subjected to maceration in 70% ethanol for 72 hours with intermittent shaking to ensure adequate extraction of bioactive compounds.</w:t>
      </w:r>
    </w:p>
    <w:p w:rsidR="007E1011" w:rsidRPr="007E1011" w:rsidRDefault="007E1011" w:rsidP="007E1011">
      <w:pPr>
        <w:spacing w:after="0" w:line="360" w:lineRule="auto"/>
        <w:rPr>
          <w:color w:val="FF0000"/>
        </w:rPr>
      </w:pPr>
      <w:r w:rsidRPr="007E1011">
        <w:rPr>
          <w:color w:val="FF0000"/>
        </w:rPr>
        <w:t>The mixture was filtered using Whatman No.1 filter paper to remove plant debris. The filtrate was then concentrated under reduced pressure using a rotary evaporator at 40°C to obtain a semi-solid crude extract. The concentrated extract was further dried in a water bath to remove residual solvent.</w:t>
      </w:r>
    </w:p>
    <w:p w:rsidR="007E1011" w:rsidRPr="000958A5" w:rsidRDefault="007E1011" w:rsidP="007E1011">
      <w:pPr>
        <w:spacing w:after="0" w:line="360" w:lineRule="auto"/>
        <w:rPr>
          <w:rFonts w:cs="Times New Roman"/>
          <w:color w:val="FF0000"/>
          <w:szCs w:val="24"/>
          <w:vertAlign w:val="superscript"/>
        </w:rPr>
      </w:pPr>
      <w:r w:rsidRPr="007E1011">
        <w:rPr>
          <w:color w:val="FF0000"/>
        </w:rPr>
        <w:lastRenderedPageBreak/>
        <w:t>The resulting crude extract was weighed and stored in airtight containers at 4°C until required for experimental use. For administration, the extract was reconstituted in dimethyl sulfoxide (DMSO) to obtain the desired experimental dose.</w:t>
      </w:r>
      <w:r w:rsidR="004C34C4" w:rsidRPr="007E1011">
        <w:rPr>
          <w:rFonts w:cs="Times New Roman"/>
          <w:color w:val="FF0000"/>
          <w:szCs w:val="24"/>
          <w:vertAlign w:val="superscript"/>
        </w:rPr>
        <w:t>15</w:t>
      </w:r>
    </w:p>
    <w:p w:rsidR="007E1011" w:rsidRPr="007E1011" w:rsidRDefault="007E1011" w:rsidP="007E1011">
      <w:pPr>
        <w:spacing w:after="0" w:line="360" w:lineRule="auto"/>
        <w:rPr>
          <w:rFonts w:cs="Times New Roman"/>
          <w:b/>
          <w:color w:val="FF0000"/>
          <w:szCs w:val="24"/>
        </w:rPr>
      </w:pPr>
      <w:r w:rsidRPr="007E1011">
        <w:rPr>
          <w:b/>
        </w:rPr>
        <w:t>Phytochemical Screening</w:t>
      </w:r>
    </w:p>
    <w:p w:rsidR="007E1011" w:rsidRPr="007E1011" w:rsidRDefault="007E1011" w:rsidP="00397766">
      <w:pPr>
        <w:pStyle w:val="Heading2"/>
        <w:spacing w:line="360" w:lineRule="auto"/>
        <w:rPr>
          <w:rFonts w:ascii="Times New Roman" w:hAnsi="Times New Roman" w:cs="Times New Roman"/>
          <w:b/>
          <w:color w:val="FF0000"/>
          <w:sz w:val="24"/>
          <w:szCs w:val="24"/>
        </w:rPr>
      </w:pPr>
      <w:bookmarkStart w:id="4" w:name="_Toc197554789"/>
      <w:r w:rsidRPr="007E1011">
        <w:rPr>
          <w:rFonts w:ascii="Times New Roman" w:hAnsi="Times New Roman" w:cs="Times New Roman"/>
          <w:color w:val="FF0000"/>
          <w:sz w:val="24"/>
          <w:szCs w:val="24"/>
        </w:rPr>
        <w:t xml:space="preserve">Preliminary phytochemical screening of the </w:t>
      </w:r>
      <w:r w:rsidRPr="007E1011">
        <w:rPr>
          <w:rStyle w:val="Emphasis"/>
          <w:rFonts w:ascii="Times New Roman" w:hAnsi="Times New Roman" w:cs="Times New Roman"/>
          <w:color w:val="FF0000"/>
          <w:sz w:val="24"/>
          <w:szCs w:val="24"/>
        </w:rPr>
        <w:t>Syngonium podophyllum</w:t>
      </w:r>
      <w:r w:rsidRPr="007E1011">
        <w:rPr>
          <w:rFonts w:ascii="Times New Roman" w:hAnsi="Times New Roman" w:cs="Times New Roman"/>
          <w:color w:val="FF0000"/>
          <w:sz w:val="24"/>
          <w:szCs w:val="24"/>
        </w:rPr>
        <w:t xml:space="preserve"> extract was conducted using standard qualitative methods to identify major bioactive constituents. The extract was tested for the presence of alkaloids, flavonoids, tannins, saponins, glycosides, terpenoids, and phenolic compounds using established phytochemical procedures.</w:t>
      </w:r>
    </w:p>
    <w:p w:rsidR="007E1011" w:rsidRPr="007E1011" w:rsidRDefault="007E1011" w:rsidP="00397766">
      <w:pPr>
        <w:pStyle w:val="Heading2"/>
        <w:spacing w:line="360" w:lineRule="auto"/>
        <w:rPr>
          <w:rFonts w:ascii="Times New Roman" w:hAnsi="Times New Roman" w:cs="Times New Roman"/>
          <w:b/>
          <w:color w:val="FF0000"/>
          <w:sz w:val="24"/>
          <w:szCs w:val="24"/>
        </w:rPr>
      </w:pPr>
      <w:r w:rsidRPr="007E1011">
        <w:rPr>
          <w:rFonts w:ascii="Times New Roman" w:hAnsi="Times New Roman" w:cs="Times New Roman"/>
          <w:color w:val="FF0000"/>
          <w:sz w:val="24"/>
          <w:szCs w:val="24"/>
        </w:rPr>
        <w:t>The presence of these compounds was determined based on characteristic color changes or precipitate formation according to standard phytochemical protocols described by Harborne.</w:t>
      </w:r>
      <w:r w:rsidR="008B6F9D" w:rsidRPr="00D16007">
        <w:rPr>
          <w:rFonts w:ascii="Times New Roman" w:hAnsi="Times New Roman" w:cs="Times New Roman"/>
          <w:color w:val="FF0000"/>
          <w:sz w:val="24"/>
          <w:szCs w:val="24"/>
          <w:vertAlign w:val="superscript"/>
        </w:rPr>
        <w:t>16</w:t>
      </w:r>
    </w:p>
    <w:p w:rsidR="00397766" w:rsidRPr="00661412" w:rsidRDefault="00397766" w:rsidP="00397766">
      <w:pPr>
        <w:pStyle w:val="Heading2"/>
        <w:spacing w:line="360" w:lineRule="auto"/>
        <w:rPr>
          <w:rFonts w:ascii="Times New Roman" w:hAnsi="Times New Roman" w:cs="Times New Roman"/>
          <w:b/>
          <w:color w:val="auto"/>
          <w:sz w:val="24"/>
          <w:szCs w:val="24"/>
        </w:rPr>
      </w:pPr>
      <w:r w:rsidRPr="00661412">
        <w:rPr>
          <w:rFonts w:ascii="Times New Roman" w:hAnsi="Times New Roman" w:cs="Times New Roman"/>
          <w:b/>
          <w:color w:val="auto"/>
          <w:sz w:val="24"/>
          <w:szCs w:val="24"/>
        </w:rPr>
        <w:t>Experimental Procedure</w:t>
      </w:r>
      <w:bookmarkEnd w:id="4"/>
    </w:p>
    <w:p w:rsidR="00397766" w:rsidRPr="00661412" w:rsidRDefault="00397766" w:rsidP="00397766">
      <w:pPr>
        <w:pStyle w:val="Heading3"/>
        <w:spacing w:line="360" w:lineRule="auto"/>
      </w:pPr>
      <w:bookmarkStart w:id="5" w:name="_Toc197554790"/>
      <w:r w:rsidRPr="00661412">
        <w:t>Induction of Ocular Exposure</w:t>
      </w:r>
      <w:bookmarkEnd w:id="5"/>
    </w:p>
    <w:p w:rsidR="00397766" w:rsidRDefault="004B1108" w:rsidP="00397766">
      <w:pPr>
        <w:spacing w:line="360" w:lineRule="auto"/>
        <w:rPr>
          <w:rFonts w:cs="Times New Roman"/>
          <w:szCs w:val="24"/>
        </w:rPr>
      </w:pPr>
      <w:r>
        <w:rPr>
          <w:rFonts w:cs="Times New Roman"/>
          <w:szCs w:val="24"/>
        </w:rPr>
        <w:t>Animals were</w:t>
      </w:r>
      <w:r w:rsidR="00397766">
        <w:rPr>
          <w:rFonts w:cs="Times New Roman"/>
          <w:szCs w:val="24"/>
        </w:rPr>
        <w:t xml:space="preserve"> anesthetized using ketamine (5000</w:t>
      </w:r>
      <w:r w:rsidR="003415FE">
        <w:rPr>
          <w:rFonts w:cs="Times New Roman"/>
          <w:szCs w:val="24"/>
        </w:rPr>
        <w:t xml:space="preserve"> </w:t>
      </w:r>
      <w:r w:rsidR="00397766">
        <w:rPr>
          <w:rFonts w:cs="Times New Roman"/>
          <w:szCs w:val="24"/>
        </w:rPr>
        <w:t>mg/kg) intraperitoneally to minimize distress.</w:t>
      </w:r>
    </w:p>
    <w:p w:rsidR="00397766" w:rsidRDefault="00397766" w:rsidP="00397766">
      <w:pPr>
        <w:spacing w:line="360" w:lineRule="auto"/>
        <w:rPr>
          <w:rFonts w:cs="Times New Roman"/>
          <w:szCs w:val="24"/>
        </w:rPr>
      </w:pPr>
      <w:r>
        <w:rPr>
          <w:rFonts w:cs="Times New Roman"/>
          <w:szCs w:val="24"/>
        </w:rPr>
        <w:t>A single drop (approximately 50 µL) of either normal sal</w:t>
      </w:r>
      <w:r w:rsidR="00661412">
        <w:rPr>
          <w:rFonts w:cs="Times New Roman"/>
          <w:szCs w:val="24"/>
        </w:rPr>
        <w:t>ine (Group 2), high dose was</w:t>
      </w:r>
      <w:r>
        <w:rPr>
          <w:rFonts w:cs="Times New Roman"/>
          <w:szCs w:val="24"/>
        </w:rPr>
        <w:t xml:space="preserve"> instilled into the right eye of each animal using a micropipette.</w:t>
      </w:r>
    </w:p>
    <w:p w:rsidR="00397766" w:rsidRDefault="00661412" w:rsidP="00397766">
      <w:pPr>
        <w:spacing w:line="360" w:lineRule="auto"/>
        <w:rPr>
          <w:rFonts w:cs="Times New Roman"/>
          <w:szCs w:val="24"/>
        </w:rPr>
      </w:pPr>
      <w:r>
        <w:rPr>
          <w:rFonts w:cs="Times New Roman"/>
          <w:szCs w:val="24"/>
        </w:rPr>
        <w:t>The left eye</w:t>
      </w:r>
      <w:r w:rsidR="00397766">
        <w:rPr>
          <w:rFonts w:cs="Times New Roman"/>
          <w:szCs w:val="24"/>
        </w:rPr>
        <w:t xml:space="preserve"> serve</w:t>
      </w:r>
      <w:r>
        <w:rPr>
          <w:rFonts w:cs="Times New Roman"/>
          <w:szCs w:val="24"/>
        </w:rPr>
        <w:t>d</w:t>
      </w:r>
      <w:r w:rsidR="00397766">
        <w:rPr>
          <w:rFonts w:cs="Times New Roman"/>
          <w:szCs w:val="24"/>
        </w:rPr>
        <w:t xml:space="preserve"> as an internal control (no exposure).</w:t>
      </w:r>
    </w:p>
    <w:p w:rsidR="00397766" w:rsidRDefault="00397766" w:rsidP="00397766">
      <w:pPr>
        <w:pStyle w:val="Heading3"/>
        <w:spacing w:line="360" w:lineRule="auto"/>
      </w:pPr>
      <w:bookmarkStart w:id="6" w:name="_Toc197554791"/>
      <w:r>
        <w:t>Observation Period</w:t>
      </w:r>
      <w:bookmarkEnd w:id="6"/>
    </w:p>
    <w:p w:rsidR="00397766" w:rsidRDefault="00661412" w:rsidP="00397766">
      <w:pPr>
        <w:spacing w:line="360" w:lineRule="auto"/>
        <w:rPr>
          <w:rFonts w:cs="Times New Roman"/>
          <w:szCs w:val="24"/>
        </w:rPr>
      </w:pPr>
      <w:r>
        <w:rPr>
          <w:rFonts w:cs="Times New Roman"/>
          <w:szCs w:val="24"/>
        </w:rPr>
        <w:t>Animals were</w:t>
      </w:r>
      <w:r w:rsidR="00397766">
        <w:rPr>
          <w:rFonts w:cs="Times New Roman"/>
          <w:szCs w:val="24"/>
        </w:rPr>
        <w:t xml:space="preserve"> monitored for 24hour post-exposure for acute ocular responses.</w:t>
      </w:r>
    </w:p>
    <w:p w:rsidR="00397766" w:rsidRDefault="00397766" w:rsidP="00397766">
      <w:pPr>
        <w:spacing w:line="360" w:lineRule="auto"/>
        <w:rPr>
          <w:rFonts w:cs="Times New Roman"/>
          <w:szCs w:val="24"/>
        </w:rPr>
      </w:pPr>
      <w:r>
        <w:rPr>
          <w:rFonts w:cs="Times New Roman"/>
          <w:szCs w:val="24"/>
        </w:rPr>
        <w:t>Clinical signs such as redness, blepharospasm, lacrimation, corneal opacity, or ul</w:t>
      </w:r>
      <w:r w:rsidR="00661412">
        <w:rPr>
          <w:rFonts w:cs="Times New Roman"/>
          <w:szCs w:val="24"/>
        </w:rPr>
        <w:t>ceration was</w:t>
      </w:r>
      <w:r>
        <w:rPr>
          <w:rFonts w:cs="Times New Roman"/>
          <w:szCs w:val="24"/>
        </w:rPr>
        <w:t xml:space="preserve"> documented.</w:t>
      </w:r>
      <w:r w:rsidR="004C34C4" w:rsidRPr="004C34C4">
        <w:rPr>
          <w:rFonts w:cs="Times New Roman"/>
          <w:szCs w:val="24"/>
          <w:vertAlign w:val="superscript"/>
        </w:rPr>
        <w:t>16</w:t>
      </w:r>
    </w:p>
    <w:p w:rsidR="00397766" w:rsidRPr="00661412" w:rsidRDefault="00397766" w:rsidP="00397766">
      <w:pPr>
        <w:pStyle w:val="Heading2"/>
        <w:spacing w:line="360" w:lineRule="auto"/>
        <w:rPr>
          <w:rFonts w:ascii="Times New Roman" w:hAnsi="Times New Roman" w:cs="Times New Roman"/>
          <w:b/>
          <w:color w:val="auto"/>
          <w:sz w:val="24"/>
          <w:szCs w:val="24"/>
        </w:rPr>
      </w:pPr>
      <w:bookmarkStart w:id="7" w:name="_Toc197554792"/>
      <w:r w:rsidRPr="00661412">
        <w:rPr>
          <w:rFonts w:ascii="Times New Roman" w:hAnsi="Times New Roman" w:cs="Times New Roman"/>
          <w:b/>
          <w:color w:val="auto"/>
          <w:sz w:val="24"/>
          <w:szCs w:val="24"/>
        </w:rPr>
        <w:t>Histological Analysis</w:t>
      </w:r>
      <w:bookmarkEnd w:id="7"/>
    </w:p>
    <w:p w:rsidR="00397766" w:rsidRPr="00661412" w:rsidRDefault="00397766" w:rsidP="00397766">
      <w:pPr>
        <w:spacing w:line="360" w:lineRule="auto"/>
        <w:rPr>
          <w:rFonts w:cs="Times New Roman"/>
          <w:szCs w:val="24"/>
        </w:rPr>
      </w:pPr>
      <w:r w:rsidRPr="00661412">
        <w:rPr>
          <w:rFonts w:cs="Times New Roman"/>
          <w:szCs w:val="24"/>
        </w:rPr>
        <w:t xml:space="preserve">  Assay in blood</w:t>
      </w:r>
    </w:p>
    <w:p w:rsidR="00397766" w:rsidRDefault="00397766" w:rsidP="00397766">
      <w:pPr>
        <w:spacing w:line="360" w:lineRule="auto"/>
      </w:pPr>
      <w:r>
        <w:t>• CBC (Complete Blood Count): You may observe mild leukocytosis with neutrophilia, reflecting acute irritation and inflammation.</w:t>
      </w:r>
    </w:p>
    <w:p w:rsidR="00397766" w:rsidRDefault="00397766" w:rsidP="00397766">
      <w:pPr>
        <w:spacing w:line="360" w:lineRule="auto"/>
      </w:pPr>
      <w:r>
        <w:t>• ESR (Erythrocyte Sedimentation Rate): Likely to be elevated as a nonspecific marker of ongoing inflammatory response.</w:t>
      </w:r>
    </w:p>
    <w:p w:rsidR="00397766" w:rsidRDefault="00397766" w:rsidP="00397766">
      <w:pPr>
        <w:spacing w:line="360" w:lineRule="auto"/>
      </w:pPr>
      <w:r>
        <w:rPr>
          <w:b/>
          <w:bCs/>
        </w:rPr>
        <w:lastRenderedPageBreak/>
        <w:t>.</w:t>
      </w:r>
      <w:r>
        <w:t xml:space="preserve">    Total Protein: Expected to increase due to increased vascular permeability and exudation.</w:t>
      </w:r>
    </w:p>
    <w:p w:rsidR="00397766" w:rsidRDefault="00397766" w:rsidP="00397766">
      <w:pPr>
        <w:spacing w:line="360" w:lineRule="auto"/>
      </w:pPr>
      <w:r>
        <w:t>•Glucose</w:t>
      </w:r>
      <w:r w:rsidR="003415FE">
        <w:t xml:space="preserve"> </w:t>
      </w:r>
      <w:r>
        <w:t>(aqueous &amp;v vitreous humour): Likely decreased, as inflammatory mediators and immune cells elevate metabolic demand.</w:t>
      </w:r>
    </w:p>
    <w:p w:rsidR="00397766" w:rsidRDefault="00397766" w:rsidP="00397766">
      <w:pPr>
        <w:spacing w:line="360" w:lineRule="auto"/>
      </w:pPr>
      <w:r>
        <w:t>• MDA: Although not often measured in ocular fluids, elevated corneal MDA suggests possible increase in nearby aqueous humour via diffusion.</w:t>
      </w:r>
    </w:p>
    <w:p w:rsidR="00397766" w:rsidRDefault="00397766" w:rsidP="00397766">
      <w:pPr>
        <w:spacing w:line="360" w:lineRule="auto"/>
      </w:pPr>
      <w:r>
        <w:t xml:space="preserve">Comparable patterns have been observed in diabetic retinopathy, where MDA remains elevated in ocular fluids during oxidative stress </w:t>
      </w:r>
    </w:p>
    <w:p w:rsidR="00397766" w:rsidRDefault="00397766" w:rsidP="00397766">
      <w:pPr>
        <w:pStyle w:val="Heading3"/>
        <w:spacing w:line="360" w:lineRule="auto"/>
      </w:pPr>
      <w:bookmarkStart w:id="8" w:name="_Toc197554793"/>
      <w:r>
        <w:t>Tissue Harvesting</w:t>
      </w:r>
      <w:bookmarkEnd w:id="8"/>
    </w:p>
    <w:p w:rsidR="003415FE" w:rsidRPr="000958A5" w:rsidRDefault="003415FE" w:rsidP="000958A5">
      <w:pPr>
        <w:spacing w:line="360" w:lineRule="auto"/>
        <w:rPr>
          <w:rFonts w:cs="Times New Roman"/>
          <w:szCs w:val="24"/>
        </w:rPr>
      </w:pPr>
      <w:r>
        <w:t>After the observation period, the rats were humanely euthanized under deep anesthesia. The eyeballs were carefully enucleated and fixed in 10% neutral buffered formalin for 48 hours.</w:t>
      </w:r>
      <w:bookmarkStart w:id="9" w:name="_Toc197554794"/>
    </w:p>
    <w:p w:rsidR="00397766" w:rsidRDefault="00397766" w:rsidP="00397766">
      <w:pPr>
        <w:pStyle w:val="Heading3"/>
        <w:spacing w:line="360" w:lineRule="auto"/>
      </w:pPr>
      <w:r>
        <w:t>Processing and Staining</w:t>
      </w:r>
      <w:bookmarkEnd w:id="9"/>
    </w:p>
    <w:p w:rsidR="00397766" w:rsidRDefault="00661412" w:rsidP="00397766">
      <w:pPr>
        <w:spacing w:line="360" w:lineRule="auto"/>
        <w:rPr>
          <w:rFonts w:cs="Times New Roman"/>
          <w:szCs w:val="24"/>
        </w:rPr>
      </w:pPr>
      <w:r>
        <w:rPr>
          <w:rFonts w:cs="Times New Roman"/>
          <w:szCs w:val="24"/>
        </w:rPr>
        <w:t>Fixed tissues</w:t>
      </w:r>
      <w:r w:rsidR="00397766">
        <w:rPr>
          <w:rFonts w:cs="Times New Roman"/>
          <w:szCs w:val="24"/>
        </w:rPr>
        <w:t xml:space="preserve"> undergo standard paraffin embedding.</w:t>
      </w:r>
    </w:p>
    <w:p w:rsidR="00397766" w:rsidRDefault="00661412" w:rsidP="00397766">
      <w:pPr>
        <w:spacing w:line="360" w:lineRule="auto"/>
        <w:rPr>
          <w:rFonts w:cs="Times New Roman"/>
          <w:szCs w:val="24"/>
        </w:rPr>
      </w:pPr>
      <w:r>
        <w:rPr>
          <w:rFonts w:cs="Times New Roman"/>
          <w:szCs w:val="24"/>
        </w:rPr>
        <w:t>Sections (5 µm thick) were</w:t>
      </w:r>
      <w:r w:rsidR="00397766">
        <w:rPr>
          <w:rFonts w:cs="Times New Roman"/>
          <w:szCs w:val="24"/>
        </w:rPr>
        <w:t xml:space="preserve"> cut and stained using Hematoxylin and Eosin (H&amp;E) for general histology.</w:t>
      </w:r>
    </w:p>
    <w:p w:rsidR="00397766" w:rsidRDefault="00397766" w:rsidP="00397766">
      <w:pPr>
        <w:pStyle w:val="Heading3"/>
        <w:spacing w:line="360" w:lineRule="auto"/>
      </w:pPr>
      <w:bookmarkStart w:id="10" w:name="_Toc197554795"/>
      <w:r>
        <w:t>Microscopic Evaluation</w:t>
      </w:r>
      <w:bookmarkEnd w:id="10"/>
    </w:p>
    <w:p w:rsidR="00397766" w:rsidRDefault="007110E7" w:rsidP="00397766">
      <w:pPr>
        <w:spacing w:line="360" w:lineRule="auto"/>
        <w:rPr>
          <w:rFonts w:cs="Times New Roman"/>
          <w:szCs w:val="24"/>
        </w:rPr>
      </w:pPr>
      <w:r>
        <w:rPr>
          <w:rFonts w:cs="Times New Roman"/>
          <w:szCs w:val="24"/>
        </w:rPr>
        <w:t>Slides were</w:t>
      </w:r>
      <w:r w:rsidR="00397766">
        <w:rPr>
          <w:rFonts w:cs="Times New Roman"/>
          <w:szCs w:val="24"/>
        </w:rPr>
        <w:t xml:space="preserve"> examined under a light microscope for:</w:t>
      </w:r>
    </w:p>
    <w:p w:rsidR="00397766" w:rsidRDefault="00397766" w:rsidP="00397766">
      <w:pPr>
        <w:spacing w:line="360" w:lineRule="auto"/>
        <w:rPr>
          <w:rFonts w:cs="Times New Roman"/>
          <w:szCs w:val="24"/>
        </w:rPr>
      </w:pPr>
      <w:r>
        <w:rPr>
          <w:rFonts w:cs="Times New Roman"/>
          <w:szCs w:val="24"/>
        </w:rPr>
        <w:t>Epithelial disruption</w:t>
      </w:r>
    </w:p>
    <w:p w:rsidR="00397766" w:rsidRDefault="00397766" w:rsidP="00397766">
      <w:pPr>
        <w:spacing w:line="360" w:lineRule="auto"/>
        <w:rPr>
          <w:rFonts w:cs="Times New Roman"/>
          <w:szCs w:val="24"/>
        </w:rPr>
      </w:pPr>
      <w:r>
        <w:rPr>
          <w:rFonts w:cs="Times New Roman"/>
          <w:szCs w:val="24"/>
        </w:rPr>
        <w:t>Stromal edema</w:t>
      </w:r>
    </w:p>
    <w:p w:rsidR="00397766" w:rsidRDefault="00397766" w:rsidP="00397766">
      <w:pPr>
        <w:spacing w:line="360" w:lineRule="auto"/>
        <w:rPr>
          <w:rFonts w:cs="Times New Roman"/>
          <w:szCs w:val="24"/>
        </w:rPr>
      </w:pPr>
      <w:r>
        <w:rPr>
          <w:rFonts w:cs="Times New Roman"/>
          <w:szCs w:val="24"/>
        </w:rPr>
        <w:t>Inflammatory cell infiltration</w:t>
      </w:r>
    </w:p>
    <w:p w:rsidR="00397766" w:rsidRDefault="00397766" w:rsidP="00397766">
      <w:pPr>
        <w:spacing w:line="360" w:lineRule="auto"/>
        <w:rPr>
          <w:rFonts w:cs="Times New Roman"/>
          <w:szCs w:val="24"/>
        </w:rPr>
      </w:pPr>
      <w:r>
        <w:rPr>
          <w:rFonts w:cs="Times New Roman"/>
          <w:szCs w:val="24"/>
        </w:rPr>
        <w:t>Neovascularization</w:t>
      </w:r>
    </w:p>
    <w:p w:rsidR="00397766" w:rsidRDefault="00397766" w:rsidP="00397766">
      <w:pPr>
        <w:spacing w:line="360" w:lineRule="auto"/>
        <w:rPr>
          <w:rFonts w:cs="Times New Roman"/>
          <w:szCs w:val="24"/>
        </w:rPr>
      </w:pPr>
      <w:r>
        <w:rPr>
          <w:rFonts w:cs="Times New Roman"/>
          <w:szCs w:val="24"/>
        </w:rPr>
        <w:t>Apoptotic changes</w:t>
      </w:r>
    </w:p>
    <w:p w:rsidR="00397766" w:rsidRPr="007110E7" w:rsidRDefault="00397766" w:rsidP="00397766">
      <w:pPr>
        <w:pStyle w:val="Heading2"/>
        <w:spacing w:line="360" w:lineRule="auto"/>
        <w:rPr>
          <w:rFonts w:ascii="Times New Roman" w:hAnsi="Times New Roman" w:cs="Times New Roman"/>
          <w:b/>
          <w:color w:val="auto"/>
          <w:sz w:val="24"/>
          <w:szCs w:val="24"/>
        </w:rPr>
      </w:pPr>
      <w:bookmarkStart w:id="11" w:name="_Toc197554796"/>
      <w:r w:rsidRPr="007110E7">
        <w:rPr>
          <w:rFonts w:ascii="Times New Roman" w:hAnsi="Times New Roman" w:cs="Times New Roman"/>
          <w:b/>
          <w:color w:val="auto"/>
          <w:sz w:val="24"/>
          <w:szCs w:val="24"/>
        </w:rPr>
        <w:lastRenderedPageBreak/>
        <w:t>Ethical Considerations</w:t>
      </w:r>
      <w:bookmarkEnd w:id="11"/>
    </w:p>
    <w:p w:rsidR="003415FE" w:rsidRPr="003415FE" w:rsidRDefault="003415FE" w:rsidP="003415FE">
      <w:pPr>
        <w:pStyle w:val="Heading2"/>
        <w:spacing w:before="0" w:line="360" w:lineRule="auto"/>
        <w:rPr>
          <w:rFonts w:ascii="Times New Roman" w:hAnsi="Times New Roman" w:cs="Times New Roman"/>
          <w:b/>
          <w:color w:val="auto"/>
          <w:sz w:val="24"/>
          <w:szCs w:val="24"/>
        </w:rPr>
      </w:pPr>
      <w:bookmarkStart w:id="12" w:name="_Toc197554797"/>
      <w:r w:rsidRPr="003415FE">
        <w:rPr>
          <w:rFonts w:ascii="Times New Roman" w:hAnsi="Times New Roman" w:cs="Times New Roman"/>
          <w:color w:val="auto"/>
          <w:sz w:val="24"/>
          <w:szCs w:val="24"/>
        </w:rPr>
        <w:t>Ethical approval was obtained from the Department of Human Anatomy and Cell Biology, Faculty of Basic Medical Sciences, College of Health Sciences, Delta State University, Abraka.</w:t>
      </w:r>
    </w:p>
    <w:p w:rsidR="00397766" w:rsidRPr="007110E7" w:rsidRDefault="00397766" w:rsidP="00397766">
      <w:pPr>
        <w:pStyle w:val="Heading2"/>
        <w:spacing w:line="360" w:lineRule="auto"/>
        <w:rPr>
          <w:rFonts w:ascii="Times New Roman" w:hAnsi="Times New Roman" w:cs="Times New Roman"/>
          <w:b/>
          <w:color w:val="auto"/>
          <w:sz w:val="24"/>
          <w:szCs w:val="24"/>
        </w:rPr>
      </w:pPr>
      <w:r w:rsidRPr="007110E7">
        <w:rPr>
          <w:rFonts w:ascii="Times New Roman" w:hAnsi="Times New Roman" w:cs="Times New Roman"/>
          <w:b/>
          <w:color w:val="auto"/>
          <w:sz w:val="24"/>
          <w:szCs w:val="24"/>
        </w:rPr>
        <w:t>Data Analysis</w:t>
      </w:r>
      <w:bookmarkEnd w:id="12"/>
    </w:p>
    <w:p w:rsidR="003415FE" w:rsidRPr="000958A5" w:rsidRDefault="003415FE" w:rsidP="00397766">
      <w:pPr>
        <w:spacing w:line="360" w:lineRule="auto"/>
        <w:rPr>
          <w:rFonts w:cs="Times New Roman"/>
          <w:szCs w:val="24"/>
        </w:rPr>
      </w:pPr>
      <w:r>
        <w:t>Quantitative data (e.g., clinical scores, histopathological grades) were analyzed using SPSS, version 26.0. Descriptive statistics (mean ± standard deviation) were presented. Differences between groups were assessed using one-way ANOVA followed by Tukey’s post hoc test for multiple comparisons. A p-value of &lt;0.05 was considered statistically significant.</w:t>
      </w:r>
      <w:r w:rsidR="004C34C4" w:rsidRPr="004C34C4">
        <w:rPr>
          <w:rFonts w:cs="Times New Roman"/>
          <w:szCs w:val="24"/>
          <w:vertAlign w:val="superscript"/>
        </w:rPr>
        <w:t>18</w:t>
      </w:r>
    </w:p>
    <w:p w:rsidR="0085296A" w:rsidRDefault="0085296A" w:rsidP="00397766">
      <w:pPr>
        <w:spacing w:line="360" w:lineRule="auto"/>
        <w:rPr>
          <w:rFonts w:cs="Times New Roman"/>
          <w:b/>
          <w:szCs w:val="24"/>
        </w:rPr>
      </w:pPr>
      <w:r w:rsidRPr="0085296A">
        <w:rPr>
          <w:rFonts w:cs="Times New Roman"/>
          <w:b/>
          <w:szCs w:val="24"/>
        </w:rPr>
        <w:t>Results</w:t>
      </w:r>
    </w:p>
    <w:p w:rsidR="00345DEC" w:rsidRPr="00345DEC" w:rsidRDefault="00345DEC" w:rsidP="00397766">
      <w:pPr>
        <w:spacing w:line="360" w:lineRule="auto"/>
        <w:rPr>
          <w:rFonts w:cs="Times New Roman"/>
          <w:b/>
          <w:szCs w:val="24"/>
        </w:rPr>
      </w:pPr>
      <w:r w:rsidRPr="00345DEC">
        <w:rPr>
          <w:b/>
        </w:rPr>
        <w:t xml:space="preserve">Table 1: Effect of </w:t>
      </w:r>
      <w:r w:rsidRPr="00345DEC">
        <w:rPr>
          <w:rStyle w:val="Emphasis"/>
          <w:b/>
        </w:rPr>
        <w:t>Syngonium podophyllum</w:t>
      </w:r>
      <w:r w:rsidRPr="00345DEC">
        <w:rPr>
          <w:b/>
        </w:rPr>
        <w:t xml:space="preserve"> Extract on ESR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6"/>
        <w:gridCol w:w="2887"/>
      </w:tblGrid>
      <w:tr w:rsidR="00345DEC" w:rsidRPr="00345DEC" w:rsidTr="00345DEC">
        <w:trPr>
          <w:tblHeader/>
          <w:tblCellSpacing w:w="15" w:type="dxa"/>
        </w:trPr>
        <w:tc>
          <w:tcPr>
            <w:tcW w:w="0" w:type="auto"/>
            <w:tcBorders>
              <w:top w:val="single" w:sz="4" w:space="0" w:color="auto"/>
              <w:bottom w:val="single" w:sz="4" w:space="0" w:color="auto"/>
            </w:tcBorders>
            <w:vAlign w:val="center"/>
            <w:hideMark/>
          </w:tcPr>
          <w:p w:rsidR="00345DEC" w:rsidRPr="00345DEC" w:rsidRDefault="00345DEC" w:rsidP="00345DEC">
            <w:pPr>
              <w:spacing w:after="0" w:line="240" w:lineRule="auto"/>
              <w:jc w:val="center"/>
              <w:rPr>
                <w:rFonts w:eastAsia="Times New Roman" w:cs="Times New Roman"/>
                <w:b/>
                <w:bCs/>
                <w:szCs w:val="24"/>
                <w:lang w:val="en-GB" w:eastAsia="en-GB"/>
              </w:rPr>
            </w:pPr>
            <w:r w:rsidRPr="00345DEC">
              <w:rPr>
                <w:rFonts w:eastAsia="Times New Roman" w:cs="Times New Roman"/>
                <w:b/>
                <w:bCs/>
                <w:szCs w:val="24"/>
                <w:lang w:val="en-GB" w:eastAsia="en-GB"/>
              </w:rPr>
              <w:t>Group</w:t>
            </w:r>
          </w:p>
        </w:tc>
        <w:tc>
          <w:tcPr>
            <w:tcW w:w="0" w:type="auto"/>
            <w:tcBorders>
              <w:top w:val="single" w:sz="4" w:space="0" w:color="auto"/>
              <w:bottom w:val="single" w:sz="4" w:space="0" w:color="auto"/>
            </w:tcBorders>
            <w:vAlign w:val="center"/>
            <w:hideMark/>
          </w:tcPr>
          <w:p w:rsidR="00345DEC" w:rsidRPr="00345DEC" w:rsidRDefault="00345DEC" w:rsidP="00345DEC">
            <w:pPr>
              <w:spacing w:after="0" w:line="240" w:lineRule="auto"/>
              <w:jc w:val="center"/>
              <w:rPr>
                <w:rFonts w:eastAsia="Times New Roman" w:cs="Times New Roman"/>
                <w:b/>
                <w:bCs/>
                <w:szCs w:val="24"/>
                <w:lang w:val="en-GB" w:eastAsia="en-GB"/>
              </w:rPr>
            </w:pPr>
            <w:r w:rsidRPr="00345DEC">
              <w:rPr>
                <w:rFonts w:eastAsia="Times New Roman" w:cs="Times New Roman"/>
                <w:b/>
                <w:bCs/>
                <w:szCs w:val="24"/>
                <w:lang w:val="en-GB" w:eastAsia="en-GB"/>
              </w:rPr>
              <w:t>ESR (mm/hr) Mean ± SEM</w:t>
            </w:r>
          </w:p>
        </w:tc>
      </w:tr>
      <w:tr w:rsidR="00345DEC" w:rsidRPr="00345DEC" w:rsidTr="00345DEC">
        <w:trPr>
          <w:tblCellSpacing w:w="15" w:type="dxa"/>
        </w:trPr>
        <w:tc>
          <w:tcPr>
            <w:tcW w:w="0" w:type="auto"/>
            <w:vAlign w:val="center"/>
            <w:hideMark/>
          </w:tcPr>
          <w:p w:rsidR="00345DEC" w:rsidRPr="00345DEC" w:rsidRDefault="00345DEC" w:rsidP="00345DEC">
            <w:pPr>
              <w:spacing w:after="0" w:line="240" w:lineRule="auto"/>
              <w:jc w:val="left"/>
              <w:rPr>
                <w:rFonts w:eastAsia="Times New Roman" w:cs="Times New Roman"/>
                <w:szCs w:val="24"/>
                <w:lang w:val="en-GB" w:eastAsia="en-GB"/>
              </w:rPr>
            </w:pPr>
            <w:r w:rsidRPr="00345DEC">
              <w:rPr>
                <w:rFonts w:eastAsia="Times New Roman" w:cs="Times New Roman"/>
                <w:szCs w:val="24"/>
                <w:lang w:val="en-GB" w:eastAsia="en-GB"/>
              </w:rPr>
              <w:t>Control</w:t>
            </w:r>
          </w:p>
        </w:tc>
        <w:tc>
          <w:tcPr>
            <w:tcW w:w="0" w:type="auto"/>
            <w:vAlign w:val="center"/>
            <w:hideMark/>
          </w:tcPr>
          <w:p w:rsidR="00345DEC" w:rsidRPr="00345DEC" w:rsidRDefault="00345DEC" w:rsidP="00345DEC">
            <w:pPr>
              <w:spacing w:after="0" w:line="240" w:lineRule="auto"/>
              <w:jc w:val="left"/>
              <w:rPr>
                <w:rFonts w:eastAsia="Times New Roman" w:cs="Times New Roman"/>
                <w:szCs w:val="24"/>
                <w:lang w:val="en-GB" w:eastAsia="en-GB"/>
              </w:rPr>
            </w:pPr>
            <w:r>
              <w:rPr>
                <w:rFonts w:eastAsia="Times New Roman" w:cs="Times New Roman"/>
                <w:szCs w:val="24"/>
                <w:lang w:val="en-GB" w:eastAsia="en-GB"/>
              </w:rPr>
              <w:t xml:space="preserve">                        </w:t>
            </w:r>
            <w:r w:rsidRPr="00345DEC">
              <w:rPr>
                <w:rFonts w:eastAsia="Times New Roman" w:cs="Times New Roman"/>
                <w:szCs w:val="24"/>
                <w:lang w:val="en-GB" w:eastAsia="en-GB"/>
              </w:rPr>
              <w:t>3.20 ± 0.45</w:t>
            </w:r>
          </w:p>
        </w:tc>
      </w:tr>
      <w:tr w:rsidR="00345DEC" w:rsidRPr="00345DEC" w:rsidTr="00345DEC">
        <w:trPr>
          <w:tblCellSpacing w:w="15" w:type="dxa"/>
        </w:trPr>
        <w:tc>
          <w:tcPr>
            <w:tcW w:w="0" w:type="auto"/>
            <w:tcBorders>
              <w:bottom w:val="single" w:sz="4" w:space="0" w:color="auto"/>
            </w:tcBorders>
            <w:vAlign w:val="center"/>
            <w:hideMark/>
          </w:tcPr>
          <w:p w:rsidR="00345DEC" w:rsidRPr="00345DEC" w:rsidRDefault="00345DEC" w:rsidP="00345DEC">
            <w:pPr>
              <w:spacing w:after="0" w:line="240" w:lineRule="auto"/>
              <w:jc w:val="left"/>
              <w:rPr>
                <w:rFonts w:eastAsia="Times New Roman" w:cs="Times New Roman"/>
                <w:szCs w:val="24"/>
                <w:lang w:val="en-GB" w:eastAsia="en-GB"/>
              </w:rPr>
            </w:pPr>
            <w:r w:rsidRPr="00345DEC">
              <w:rPr>
                <w:rFonts w:eastAsia="Times New Roman" w:cs="Times New Roman"/>
                <w:szCs w:val="24"/>
                <w:lang w:val="en-GB" w:eastAsia="en-GB"/>
              </w:rPr>
              <w:t>SP (5000 mg/kg)</w:t>
            </w:r>
          </w:p>
        </w:tc>
        <w:tc>
          <w:tcPr>
            <w:tcW w:w="0" w:type="auto"/>
            <w:tcBorders>
              <w:bottom w:val="single" w:sz="4" w:space="0" w:color="auto"/>
            </w:tcBorders>
            <w:vAlign w:val="center"/>
            <w:hideMark/>
          </w:tcPr>
          <w:p w:rsidR="00345DEC" w:rsidRPr="00345DEC" w:rsidRDefault="00345DEC" w:rsidP="00345DEC">
            <w:pPr>
              <w:spacing w:after="0" w:line="240" w:lineRule="auto"/>
              <w:jc w:val="left"/>
              <w:rPr>
                <w:rFonts w:eastAsia="Times New Roman" w:cs="Times New Roman"/>
                <w:szCs w:val="24"/>
                <w:lang w:val="en-GB" w:eastAsia="en-GB"/>
              </w:rPr>
            </w:pPr>
            <w:r>
              <w:rPr>
                <w:rFonts w:eastAsia="Times New Roman" w:cs="Times New Roman"/>
                <w:szCs w:val="24"/>
                <w:lang w:val="en-GB" w:eastAsia="en-GB"/>
              </w:rPr>
              <w:t xml:space="preserve">                       </w:t>
            </w:r>
            <w:r w:rsidRPr="00345DEC">
              <w:rPr>
                <w:rFonts w:eastAsia="Times New Roman" w:cs="Times New Roman"/>
                <w:szCs w:val="24"/>
                <w:lang w:val="en-GB" w:eastAsia="en-GB"/>
              </w:rPr>
              <w:t>7.80 ± 0.62*</w:t>
            </w:r>
          </w:p>
        </w:tc>
      </w:tr>
    </w:tbl>
    <w:p w:rsidR="00345DEC" w:rsidRDefault="00345DEC" w:rsidP="00397766">
      <w:pPr>
        <w:spacing w:line="360" w:lineRule="auto"/>
        <w:rPr>
          <w:rFonts w:cs="Times New Roman"/>
          <w:b/>
          <w:szCs w:val="24"/>
        </w:rPr>
      </w:pPr>
      <w:r>
        <w:t>Significant at p &lt; 0.05 compared with control</w:t>
      </w:r>
    </w:p>
    <w:p w:rsidR="00345DEC" w:rsidRPr="0085296A" w:rsidRDefault="00345DEC" w:rsidP="00397766">
      <w:pPr>
        <w:spacing w:line="360" w:lineRule="auto"/>
        <w:rPr>
          <w:rFonts w:cs="Times New Roman"/>
          <w:b/>
          <w:szCs w:val="24"/>
        </w:rPr>
      </w:pPr>
    </w:p>
    <w:p w:rsidR="0085296A" w:rsidRDefault="0085296A" w:rsidP="0085296A">
      <w:pPr>
        <w:spacing w:before="100" w:beforeAutospacing="1" w:after="100" w:afterAutospacing="1" w:line="360" w:lineRule="auto"/>
      </w:pPr>
      <w:r>
        <w:object w:dxaOrig="6615" w:dyaOrig="4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246pt" o:ole="">
            <v:imagedata r:id="rId5" o:title=""/>
          </v:shape>
          <o:OLEObject Type="Embed" ProgID="Prism8.Document" ShapeID="_x0000_i1025" DrawAspect="Content" ObjectID="_1834195559" r:id="rId6"/>
        </w:object>
      </w:r>
    </w:p>
    <w:p w:rsidR="0085296A" w:rsidRDefault="0085296A" w:rsidP="0085296A">
      <w:pPr>
        <w:spacing w:before="100" w:beforeAutospacing="1" w:after="100" w:afterAutospacing="1" w:line="360" w:lineRule="auto"/>
      </w:pPr>
      <w:r>
        <w:rPr>
          <w:b/>
          <w:bCs/>
        </w:rPr>
        <w:lastRenderedPageBreak/>
        <w:t xml:space="preserve">Fig. 1 </w:t>
      </w:r>
      <w:r>
        <w:t xml:space="preserve">showing how </w:t>
      </w:r>
      <w:r>
        <w:rPr>
          <w:rStyle w:val="Emphasis"/>
        </w:rPr>
        <w:t>Syngonium</w:t>
      </w:r>
      <w:r w:rsidR="003415FE">
        <w:rPr>
          <w:rStyle w:val="Emphasis"/>
        </w:rPr>
        <w:t xml:space="preserve"> </w:t>
      </w:r>
      <w:r>
        <w:rPr>
          <w:rStyle w:val="Emphasis"/>
        </w:rPr>
        <w:t>podophyllum</w:t>
      </w:r>
      <w:r w:rsidR="003415FE">
        <w:rPr>
          <w:rStyle w:val="Emphasis"/>
        </w:rPr>
        <w:t xml:space="preserve"> </w:t>
      </w:r>
      <w:r>
        <w:t xml:space="preserve">influences </w:t>
      </w:r>
      <w:r>
        <w:rPr>
          <w:rStyle w:val="Strong"/>
        </w:rPr>
        <w:t>ESR level</w:t>
      </w:r>
      <w:r w:rsidR="007110E7">
        <w:rPr>
          <w:rStyle w:val="Strong"/>
        </w:rPr>
        <w:t xml:space="preserve"> </w:t>
      </w:r>
      <w:r>
        <w:t xml:space="preserve">in rats model. Data are expressed as mean ± S.E.M. (n = 6) (One-way ANOVA followed by </w:t>
      </w:r>
      <w:r>
        <w:rPr>
          <w:i/>
        </w:rPr>
        <w:t>tukey</w:t>
      </w:r>
      <w:r>
        <w:t xml:space="preserve"> post hoc test). </w:t>
      </w:r>
    </w:p>
    <w:p w:rsidR="0085296A" w:rsidRDefault="0085296A" w:rsidP="0085296A">
      <w:pPr>
        <w:numPr>
          <w:ilvl w:val="0"/>
          <w:numId w:val="1"/>
        </w:numPr>
        <w:spacing w:before="100" w:beforeAutospacing="1" w:after="100" w:afterAutospacing="1" w:line="360" w:lineRule="auto"/>
      </w:pPr>
      <w:r>
        <w:rPr>
          <w:vertAlign w:val="superscript"/>
        </w:rPr>
        <w:t>a</w:t>
      </w:r>
      <w:r>
        <w:rPr>
          <w:i/>
          <w:iCs/>
        </w:rPr>
        <w:t>p</w:t>
      </w:r>
      <w:r>
        <w:t>&lt; 0.05 compared to the Control group</w:t>
      </w:r>
    </w:p>
    <w:p w:rsidR="0085296A" w:rsidRDefault="0085296A" w:rsidP="0085296A">
      <w:pPr>
        <w:spacing w:after="0" w:line="360" w:lineRule="auto"/>
        <w:ind w:left="360"/>
      </w:pPr>
      <w:r>
        <w:t xml:space="preserve">Figure 1 illustrates the subacute effects of </w:t>
      </w:r>
      <w:r w:rsidRPr="0085296A">
        <w:rPr>
          <w:i/>
          <w:iCs/>
        </w:rPr>
        <w:t>Syngonium</w:t>
      </w:r>
      <w:r w:rsidR="003415FE">
        <w:rPr>
          <w:i/>
          <w:iCs/>
        </w:rPr>
        <w:t xml:space="preserve"> </w:t>
      </w:r>
      <w:r w:rsidRPr="0085296A">
        <w:rPr>
          <w:i/>
          <w:iCs/>
        </w:rPr>
        <w:t>podophyllum</w:t>
      </w:r>
      <w:r>
        <w:t xml:space="preserve"> (SP) on ESR in rats. This study assessed these effects by analyzing levels of ESR, a key inflammatory marker. The results indicate that SP administration generally </w:t>
      </w:r>
      <w:r w:rsidRPr="0085296A">
        <w:rPr>
          <w:i/>
          <w:iCs/>
        </w:rPr>
        <w:t>increased</w:t>
      </w:r>
      <w:r>
        <w:t xml:space="preserve"> ESR, as evidenced by significantly </w:t>
      </w:r>
      <w:r w:rsidRPr="0085296A">
        <w:rPr>
          <w:i/>
          <w:iCs/>
        </w:rPr>
        <w:t>higher</w:t>
      </w:r>
      <w:r>
        <w:t xml:space="preserve"> ESR levels compared to the control group. This finding suggests a potential inflammatory effect of the plant extract on the brain.</w:t>
      </w:r>
    </w:p>
    <w:p w:rsidR="0085296A" w:rsidRDefault="0085296A" w:rsidP="0085296A">
      <w:pPr>
        <w:spacing w:after="0" w:line="360" w:lineRule="auto"/>
        <w:ind w:left="360"/>
      </w:pPr>
      <w:r>
        <w:t>However, the response varied depending on the dosage. Specifically, a high dose of SP (</w:t>
      </w:r>
      <w:r w:rsidR="00345DEC">
        <w:t>5</w:t>
      </w:r>
      <w:r>
        <w:t xml:space="preserve">000 mg/kg) produced a more pronounced effect, showing a marked increase in ESR levels. This suggests a possible dose-dependent relationship, in which different doses of SP could elicit different responses in the </w:t>
      </w:r>
      <w:r w:rsidR="00345DEC">
        <w:t>cornea tissue</w:t>
      </w:r>
      <w:r>
        <w:t>.</w:t>
      </w:r>
    </w:p>
    <w:p w:rsidR="00345DEC" w:rsidRDefault="00345DEC" w:rsidP="0085296A">
      <w:pPr>
        <w:spacing w:after="0" w:line="360" w:lineRule="auto"/>
        <w:ind w:left="360"/>
      </w:pPr>
    </w:p>
    <w:p w:rsidR="00345DEC" w:rsidRDefault="00345DEC" w:rsidP="0085296A">
      <w:pPr>
        <w:spacing w:after="0" w:line="360" w:lineRule="auto"/>
        <w:ind w:left="360"/>
      </w:pPr>
    </w:p>
    <w:p w:rsidR="0085296A" w:rsidRDefault="0085296A" w:rsidP="0085296A">
      <w:pPr>
        <w:spacing w:after="0" w:line="360" w:lineRule="auto"/>
        <w:ind w:left="360"/>
      </w:pPr>
    </w:p>
    <w:p w:rsidR="0085296A" w:rsidRDefault="0085296A" w:rsidP="0085296A">
      <w:pPr>
        <w:spacing w:after="0" w:line="360" w:lineRule="auto"/>
        <w:ind w:left="360"/>
      </w:pPr>
      <w:r>
        <w:object w:dxaOrig="6735" w:dyaOrig="4290">
          <v:shape id="_x0000_i1026" type="#_x0000_t75" style="width:336.75pt;height:214.5pt" o:ole="">
            <v:imagedata r:id="rId7" o:title=""/>
          </v:shape>
          <o:OLEObject Type="Embed" ProgID="Prism8.Document" ShapeID="_x0000_i1026" DrawAspect="Content" ObjectID="_1834195560" r:id="rId8"/>
        </w:object>
      </w:r>
    </w:p>
    <w:p w:rsidR="0085296A" w:rsidRDefault="0085296A" w:rsidP="0085296A">
      <w:pPr>
        <w:spacing w:before="100" w:beforeAutospacing="1" w:after="100" w:afterAutospacing="1" w:line="360" w:lineRule="auto"/>
      </w:pPr>
      <w:bookmarkStart w:id="13" w:name="OLE_LINK5"/>
      <w:r>
        <w:rPr>
          <w:b/>
          <w:bCs/>
        </w:rPr>
        <w:t xml:space="preserve">Fig. 2 </w:t>
      </w:r>
      <w:r>
        <w:t xml:space="preserve">showing how </w:t>
      </w:r>
      <w:r>
        <w:rPr>
          <w:rStyle w:val="Emphasis"/>
        </w:rPr>
        <w:t>Syngonium</w:t>
      </w:r>
      <w:r w:rsidR="003415FE">
        <w:rPr>
          <w:rStyle w:val="Emphasis"/>
        </w:rPr>
        <w:t xml:space="preserve"> </w:t>
      </w:r>
      <w:r>
        <w:rPr>
          <w:rStyle w:val="Emphasis"/>
        </w:rPr>
        <w:t>podophyllum</w:t>
      </w:r>
      <w:r w:rsidR="003415FE">
        <w:rPr>
          <w:rStyle w:val="Emphasis"/>
        </w:rPr>
        <w:t xml:space="preserve"> </w:t>
      </w:r>
      <w:r>
        <w:t>influences MDA status</w:t>
      </w:r>
      <w:r w:rsidR="003415FE">
        <w:t xml:space="preserve"> </w:t>
      </w:r>
      <w:r>
        <w:t xml:space="preserve">in rats brain. Data are expressed as mean ± S.E.M. (n = 6) (One-way ANOVA followed by </w:t>
      </w:r>
      <w:r>
        <w:rPr>
          <w:i/>
        </w:rPr>
        <w:t>tukey</w:t>
      </w:r>
      <w:r>
        <w:t xml:space="preserve"> post hoc test). </w:t>
      </w:r>
    </w:p>
    <w:p w:rsidR="0085296A" w:rsidRDefault="0085296A" w:rsidP="0085296A">
      <w:pPr>
        <w:numPr>
          <w:ilvl w:val="0"/>
          <w:numId w:val="1"/>
        </w:numPr>
        <w:spacing w:before="100" w:beforeAutospacing="1" w:after="100" w:afterAutospacing="1" w:line="360" w:lineRule="auto"/>
      </w:pPr>
      <w:r>
        <w:rPr>
          <w:vertAlign w:val="superscript"/>
        </w:rPr>
        <w:t>a</w:t>
      </w:r>
      <w:r>
        <w:rPr>
          <w:i/>
          <w:iCs/>
        </w:rPr>
        <w:t>p</w:t>
      </w:r>
      <w:r>
        <w:t>&lt; 0.05 compared to the Control group</w:t>
      </w:r>
      <w:bookmarkEnd w:id="13"/>
    </w:p>
    <w:p w:rsidR="0085296A" w:rsidRDefault="0085296A" w:rsidP="0085296A">
      <w:pPr>
        <w:pStyle w:val="NormalWeb"/>
        <w:numPr>
          <w:ilvl w:val="0"/>
          <w:numId w:val="1"/>
        </w:numPr>
        <w:spacing w:line="360" w:lineRule="auto"/>
        <w:jc w:val="both"/>
      </w:pPr>
      <w:r>
        <w:lastRenderedPageBreak/>
        <w:t xml:space="preserve">Figures 2 illustrated the impact of SP on the oxidative balance within the brain of rats. The study involved exposing rats to varying concentrations of SP: 5000 mg/kg. The results indicated a statistically significant (p &lt; 0.05) disruption of the oxidative state, characterized by an increase in oxidative stress markers </w:t>
      </w:r>
    </w:p>
    <w:p w:rsidR="0085296A" w:rsidRDefault="0085296A" w:rsidP="0085296A">
      <w:pPr>
        <w:pStyle w:val="NormalWeb"/>
        <w:numPr>
          <w:ilvl w:val="0"/>
          <w:numId w:val="1"/>
        </w:numPr>
        <w:spacing w:line="360" w:lineRule="auto"/>
        <w:jc w:val="both"/>
      </w:pPr>
      <w:r>
        <w:t>Specifically, the data revealed that as the SP dosage increased, the levels of malondialdehyde (Fig. 2) (MDA), a marker of oxidative damage, also significantly increased. These findings collectively suggest that SP exposure induces oxidative stress in the rats cornea tissues, leading to cellular damage due to an imbalance between the production of reactive oxygen species and the antioxidant defense mechanisms. The observed changes in MDA levels directly correlate with the dose of SP administered, highlighting its detrimental effects on the cornea tissues.</w:t>
      </w:r>
    </w:p>
    <w:bookmarkStart w:id="14" w:name="OLE_LINK2"/>
    <w:p w:rsidR="0085296A" w:rsidRDefault="0085296A" w:rsidP="0085296A">
      <w:pPr>
        <w:spacing w:line="360" w:lineRule="auto"/>
      </w:pPr>
      <w:r>
        <w:object w:dxaOrig="6855" w:dyaOrig="3855">
          <v:shape id="_x0000_i1027" type="#_x0000_t75" style="width:211.5pt;height:192.75pt" o:ole="">
            <v:imagedata r:id="rId9" o:title=""/>
          </v:shape>
          <o:OLEObject Type="Embed" ProgID="Prism8.Document" ShapeID="_x0000_i1027" DrawAspect="Content" ObjectID="_1834195561" r:id="rId10"/>
        </w:object>
      </w:r>
      <w:r>
        <w:object w:dxaOrig="7185" w:dyaOrig="4920">
          <v:shape id="_x0000_i1028" type="#_x0000_t75" style="width:195pt;height:210.75pt" o:ole="">
            <v:imagedata r:id="rId11" o:title=""/>
          </v:shape>
          <o:OLEObject Type="Embed" ProgID="Prism8.Document" ShapeID="_x0000_i1028" DrawAspect="Content" ObjectID="_1834195562" r:id="rId12"/>
        </w:object>
      </w:r>
    </w:p>
    <w:p w:rsidR="0085296A" w:rsidRDefault="0085296A" w:rsidP="0085296A">
      <w:pPr>
        <w:spacing w:line="360" w:lineRule="auto"/>
        <w:rPr>
          <w:bCs/>
        </w:rPr>
      </w:pPr>
    </w:p>
    <w:p w:rsidR="0085296A" w:rsidRDefault="0085296A" w:rsidP="0085296A">
      <w:pPr>
        <w:spacing w:before="100" w:beforeAutospacing="1" w:after="100" w:afterAutospacing="1" w:line="360" w:lineRule="auto"/>
      </w:pPr>
      <w:r>
        <w:rPr>
          <w:b/>
          <w:bCs/>
        </w:rPr>
        <w:t xml:space="preserve">Fig. 3a </w:t>
      </w:r>
      <w:r>
        <w:t xml:space="preserve">showing how </w:t>
      </w:r>
      <w:r>
        <w:rPr>
          <w:rStyle w:val="Emphasis"/>
        </w:rPr>
        <w:t>Syngonium</w:t>
      </w:r>
      <w:r w:rsidR="003415FE">
        <w:rPr>
          <w:rStyle w:val="Emphasis"/>
        </w:rPr>
        <w:t xml:space="preserve"> </w:t>
      </w:r>
      <w:r>
        <w:rPr>
          <w:rStyle w:val="Emphasis"/>
        </w:rPr>
        <w:t>podophyllum</w:t>
      </w:r>
      <w:r w:rsidR="003415FE">
        <w:rPr>
          <w:rStyle w:val="Emphasis"/>
        </w:rPr>
        <w:t xml:space="preserve"> </w:t>
      </w:r>
      <w:r>
        <w:t>influences glucose level</w:t>
      </w:r>
      <w:r w:rsidR="003415FE">
        <w:t xml:space="preserve"> </w:t>
      </w:r>
      <w:r>
        <w:t xml:space="preserve">in rats model. Data are expressed as mean ± S.E.M. (n = 6) (One-way ANOVA followed by </w:t>
      </w:r>
      <w:r>
        <w:rPr>
          <w:i/>
        </w:rPr>
        <w:t>tukey</w:t>
      </w:r>
      <w:r>
        <w:t xml:space="preserve"> post hoc test).  </w:t>
      </w:r>
      <w:r>
        <w:rPr>
          <w:vertAlign w:val="superscript"/>
        </w:rPr>
        <w:t>a</w:t>
      </w:r>
      <w:r>
        <w:rPr>
          <w:i/>
          <w:iCs/>
        </w:rPr>
        <w:t>p</w:t>
      </w:r>
      <w:r>
        <w:t>&lt; 0.05 compared to the Control group</w:t>
      </w:r>
      <w:bookmarkEnd w:id="14"/>
    </w:p>
    <w:p w:rsidR="0085296A" w:rsidRDefault="0085296A" w:rsidP="0085296A">
      <w:pPr>
        <w:spacing w:before="100" w:beforeAutospacing="1" w:after="100" w:afterAutospacing="1" w:line="360" w:lineRule="auto"/>
      </w:pPr>
      <w:r>
        <w:rPr>
          <w:b/>
          <w:bCs/>
        </w:rPr>
        <w:t xml:space="preserve">Fig. 3b </w:t>
      </w:r>
      <w:r>
        <w:t xml:space="preserve">showing how </w:t>
      </w:r>
      <w:r>
        <w:rPr>
          <w:rStyle w:val="Emphasis"/>
        </w:rPr>
        <w:t>Syngonium</w:t>
      </w:r>
      <w:r w:rsidR="003415FE">
        <w:rPr>
          <w:rStyle w:val="Emphasis"/>
        </w:rPr>
        <w:t xml:space="preserve"> </w:t>
      </w:r>
      <w:r>
        <w:rPr>
          <w:rStyle w:val="Emphasis"/>
        </w:rPr>
        <w:t>podophyllum</w:t>
      </w:r>
      <w:r w:rsidR="003415FE">
        <w:rPr>
          <w:rStyle w:val="Emphasis"/>
        </w:rPr>
        <w:t xml:space="preserve"> </w:t>
      </w:r>
      <w:r>
        <w:t xml:space="preserve">influences vitreous humor glucose levelin rats model. Data are expressed as mean ± S.E.M. (n = 6) (One-way ANOVA followed by </w:t>
      </w:r>
      <w:r>
        <w:rPr>
          <w:i/>
        </w:rPr>
        <w:t>tukey</w:t>
      </w:r>
      <w:r>
        <w:t xml:space="preserve"> post hoc test).  </w:t>
      </w:r>
      <w:r>
        <w:rPr>
          <w:vertAlign w:val="superscript"/>
        </w:rPr>
        <w:t>a</w:t>
      </w:r>
      <w:r>
        <w:rPr>
          <w:i/>
          <w:iCs/>
        </w:rPr>
        <w:t>p</w:t>
      </w:r>
      <w:r>
        <w:t>&lt; 0.05 compared to the Control group</w:t>
      </w:r>
    </w:p>
    <w:p w:rsidR="0085296A" w:rsidRDefault="0085296A" w:rsidP="0085296A">
      <w:pPr>
        <w:spacing w:before="100" w:beforeAutospacing="1" w:after="100" w:afterAutospacing="1" w:line="360" w:lineRule="auto"/>
        <w:ind w:left="360"/>
      </w:pPr>
      <w:r>
        <w:lastRenderedPageBreak/>
        <w:t xml:space="preserve">Figure 3 illustrates the subacute effects of </w:t>
      </w:r>
      <w:r w:rsidRPr="0085296A">
        <w:rPr>
          <w:i/>
          <w:iCs/>
        </w:rPr>
        <w:t>Syngonium</w:t>
      </w:r>
      <w:r w:rsidR="003415FE">
        <w:rPr>
          <w:i/>
          <w:iCs/>
        </w:rPr>
        <w:t xml:space="preserve"> </w:t>
      </w:r>
      <w:r w:rsidRPr="0085296A">
        <w:rPr>
          <w:i/>
          <w:iCs/>
        </w:rPr>
        <w:t>podophyllum</w:t>
      </w:r>
      <w:r>
        <w:t xml:space="preserve"> (SP) on glucose and vitreous humor glucose levels in rats. The study assessed these effects by analyzing glucose concentration in the vitreous humor, a measure reflecting overall glucose metabolism. The results suggest that SP administration generally decreased glucose and vitreous humor glucose levels, as evidenced by significantly lower concentration compared to the control group. This points to a potential glucose-lowering effect of the plant extract. Administering a high dose of SP (5000 mg/kg) resulted in a paradoxical effect: a marked decrease in glucose and vitreous humor glucose levels.</w:t>
      </w:r>
    </w:p>
    <w:p w:rsidR="0085296A" w:rsidRDefault="0085296A" w:rsidP="0085296A">
      <w:pPr>
        <w:spacing w:line="360" w:lineRule="auto"/>
      </w:pPr>
      <w:r>
        <w:object w:dxaOrig="6615" w:dyaOrig="3855">
          <v:shape id="_x0000_i1029" type="#_x0000_t75" style="width:330.75pt;height:192.75pt" o:ole="">
            <v:imagedata r:id="rId13" o:title=""/>
          </v:shape>
          <o:OLEObject Type="Embed" ProgID="Prism8.Document" ShapeID="_x0000_i1029" DrawAspect="Content" ObjectID="_1834195563" r:id="rId14"/>
        </w:object>
      </w:r>
    </w:p>
    <w:p w:rsidR="0085296A" w:rsidRDefault="0085296A" w:rsidP="0085296A">
      <w:pPr>
        <w:spacing w:line="360" w:lineRule="auto"/>
        <w:rPr>
          <w:bCs/>
        </w:rPr>
      </w:pPr>
    </w:p>
    <w:p w:rsidR="0085296A" w:rsidRDefault="0085296A" w:rsidP="0085296A">
      <w:pPr>
        <w:spacing w:before="100" w:beforeAutospacing="1" w:after="100" w:afterAutospacing="1" w:line="360" w:lineRule="auto"/>
      </w:pPr>
      <w:r>
        <w:rPr>
          <w:b/>
          <w:bCs/>
        </w:rPr>
        <w:t xml:space="preserve">Fig. 4 </w:t>
      </w:r>
      <w:r>
        <w:t xml:space="preserve">showing how </w:t>
      </w:r>
      <w:r>
        <w:rPr>
          <w:rStyle w:val="Emphasis"/>
        </w:rPr>
        <w:t>Syngonium</w:t>
      </w:r>
      <w:r w:rsidR="003415FE">
        <w:rPr>
          <w:rStyle w:val="Emphasis"/>
        </w:rPr>
        <w:t xml:space="preserve"> </w:t>
      </w:r>
      <w:r>
        <w:rPr>
          <w:rStyle w:val="Emphasis"/>
        </w:rPr>
        <w:t>podophyllum</w:t>
      </w:r>
      <w:r w:rsidR="003415FE">
        <w:rPr>
          <w:rStyle w:val="Emphasis"/>
        </w:rPr>
        <w:t xml:space="preserve"> </w:t>
      </w:r>
      <w:r>
        <w:t>influences total protein level</w:t>
      </w:r>
      <w:r w:rsidR="003415FE">
        <w:t xml:space="preserve"> </w:t>
      </w:r>
      <w:r>
        <w:t xml:space="preserve">in rats model. Data are expressed as mean ± S.E.M. (n = 6) (One-way ANOVA followed by </w:t>
      </w:r>
      <w:r>
        <w:rPr>
          <w:i/>
        </w:rPr>
        <w:t>tukey</w:t>
      </w:r>
      <w:r>
        <w:t xml:space="preserve"> post hoc test).  </w:t>
      </w:r>
      <w:r>
        <w:rPr>
          <w:vertAlign w:val="superscript"/>
        </w:rPr>
        <w:t>a</w:t>
      </w:r>
      <w:r>
        <w:rPr>
          <w:i/>
          <w:iCs/>
        </w:rPr>
        <w:t>p</w:t>
      </w:r>
      <w:r>
        <w:t>&lt; 0.05 compared to the Control group</w:t>
      </w:r>
    </w:p>
    <w:p w:rsidR="0085296A" w:rsidRDefault="0085296A" w:rsidP="0085296A">
      <w:pPr>
        <w:spacing w:before="100" w:beforeAutospacing="1" w:after="100" w:afterAutospacing="1" w:line="360" w:lineRule="auto"/>
      </w:pPr>
      <w:r>
        <w:t xml:space="preserve">Figure 4 illustrates the subacute effects of </w:t>
      </w:r>
      <w:r>
        <w:rPr>
          <w:i/>
          <w:iCs/>
        </w:rPr>
        <w:t>Syngonium</w:t>
      </w:r>
      <w:r w:rsidR="003415FE">
        <w:rPr>
          <w:i/>
          <w:iCs/>
        </w:rPr>
        <w:t xml:space="preserve"> </w:t>
      </w:r>
      <w:r>
        <w:rPr>
          <w:i/>
          <w:iCs/>
        </w:rPr>
        <w:t>podophyllum</w:t>
      </w:r>
      <w:r>
        <w:t xml:space="preserve"> (SP) on total protein in rats. The study measured these effects by analyzing levels of total protein, a key marker. The results indicate that SP administration generally decreased total protein, as evidenced by significantly lower total protein levels compared to the control group. This suggests a potential effect of the plant extract. Administering a high dose of SP (5000 mg/kg) resulted in a paradoxical effect: a marked increase in total protein levels.</w:t>
      </w:r>
    </w:p>
    <w:p w:rsidR="0085296A" w:rsidRPr="0085296A" w:rsidRDefault="0085296A" w:rsidP="00BE7A3D">
      <w:pPr>
        <w:spacing w:after="0" w:line="360" w:lineRule="auto"/>
        <w:rPr>
          <w:b/>
        </w:rPr>
      </w:pPr>
      <w:r w:rsidRPr="0085296A">
        <w:rPr>
          <w:b/>
        </w:rPr>
        <w:lastRenderedPageBreak/>
        <w:t>Discussion</w:t>
      </w:r>
    </w:p>
    <w:p w:rsidR="0085296A" w:rsidRDefault="0085296A" w:rsidP="007110E7">
      <w:pPr>
        <w:spacing w:after="0" w:line="360" w:lineRule="auto"/>
      </w:pPr>
      <w:r>
        <w:t xml:space="preserve">This study examined the subacute effects of </w:t>
      </w:r>
      <w:r w:rsidRPr="003415FE">
        <w:rPr>
          <w:i/>
        </w:rPr>
        <w:t>Syngonium</w:t>
      </w:r>
      <w:r w:rsidR="003415FE" w:rsidRPr="003415FE">
        <w:rPr>
          <w:i/>
        </w:rPr>
        <w:t xml:space="preserve"> </w:t>
      </w:r>
      <w:r w:rsidRPr="003415FE">
        <w:rPr>
          <w:i/>
        </w:rPr>
        <w:t>podophyllum</w:t>
      </w:r>
      <w:r>
        <w:t xml:space="preserve"> (SP) extract on several biochemical and physiological parameters in a rat model, including erythrocyte sedimentation rate (ESR), oxidative stress markers, glucose levels, and total protein. The results reveal complex, dose-dependent effects of the plant extract, some of which may suggest potential toxicological and therapeutic implications.The increase in ESR levels following SP administration indicates a possible pro-inflammatory response. ESR is a non-specific marker of inflammation; its elevation suggests the presence of an inflammatory process or immune activation. The observed dose-dependent increase, particularly at 1000 mg/kg, supports the hypothesis that higher concentrations of SP may provoke systemic inflammation. This aligns with earlier research linking certain plant-derived compounds to either immunomodulatory or irritative effects, depending on dosage and bioactivity.</w:t>
      </w:r>
      <w:r w:rsidR="003415FE">
        <w:t xml:space="preserve"> </w:t>
      </w:r>
      <w:r w:rsidRPr="003415FE">
        <w:rPr>
          <w:i/>
        </w:rPr>
        <w:t>SP</w:t>
      </w:r>
      <w:r>
        <w:t xml:space="preserve"> significantly elevated malondialdehyde (MDA) levels in rat brain tissue, pointing to increased oxidative stress.</w:t>
      </w:r>
      <w:r w:rsidR="00144E47" w:rsidRPr="00144E47">
        <w:rPr>
          <w:vertAlign w:val="superscript"/>
        </w:rPr>
        <w:t>2</w:t>
      </w:r>
      <w:r>
        <w:t xml:space="preserve"> MDA is a lipid peroxidation product and a hallmark of oxidative damage. The observed rise in MDA with increasing SP dosage suggests that SP disrupts the antioxidant defense mechanism, possibly overwhelming endogenous enzymes such as superoxide dismutase (SOD) or glutathione peroxidase (GPx). This oxidative imbalance could result in cellular injury, especially in the cornea tissues, which are highly sensitive to oxidative insults. These findings highlight the potential cytotoxic effects of SP when used at high concentrations.</w:t>
      </w:r>
      <w:r w:rsidR="008B6F9D">
        <w:t xml:space="preserve"> </w:t>
      </w:r>
      <w:r>
        <w:t>Interestingly, SP administration caused a statistically significant decrease in both blood and vitreous humor glucose levels, especially at 5000 mg/kg. This suggests a hypoglycemic effect of the plant extract. This could be due to the plant’s potential ability to enhance glucose uptake by peripheral tissues, inhibit gluconeogenesis, or stimulate insulin secretion. However, this effect could also be reflective of systemic toxicity affecting glucose metabolism. Further investigation is required to determine whether the hypoglycemic property is therapeutic or pathological.</w:t>
      </w:r>
      <w:r w:rsidR="008B6F9D">
        <w:t xml:space="preserve"> </w:t>
      </w:r>
      <w:r>
        <w:t xml:space="preserve">The study also found a reduction in total protein levels following SP administration, suggesting impaired protein synthesis or increased protein catabolism. However, at the highest dose (5000 mg/kg), a paradoxical increase in protein levels was noted, possibly due to tissue damage and the release of intracellular proteins or acute-phase protein responses. This indicates complex metabolic alterations and possible hepatic involvement. Total protein level is a marker of nutritional status, </w:t>
      </w:r>
      <w:r>
        <w:lastRenderedPageBreak/>
        <w:t>liver function, and systemic integrity; thus, the dose-dependent variation in protein levels further highlights the dual nature of SP as both a potential therapeutic and toxic agent.</w:t>
      </w:r>
    </w:p>
    <w:p w:rsidR="00BE7A3D" w:rsidRDefault="0085296A" w:rsidP="007110E7">
      <w:pPr>
        <w:spacing w:after="0" w:line="360" w:lineRule="auto"/>
        <w:rPr>
          <w:b/>
          <w:bCs/>
        </w:rPr>
      </w:pPr>
      <w:r>
        <w:rPr>
          <w:b/>
          <w:bCs/>
        </w:rPr>
        <w:t>C</w:t>
      </w:r>
      <w:r w:rsidR="00BE7A3D">
        <w:rPr>
          <w:b/>
          <w:bCs/>
        </w:rPr>
        <w:t>onclusion</w:t>
      </w:r>
    </w:p>
    <w:p w:rsidR="0085296A" w:rsidRDefault="001C4A0E" w:rsidP="007110E7">
      <w:pPr>
        <w:spacing w:after="0" w:line="360" w:lineRule="auto"/>
      </w:pPr>
      <w:r>
        <w:t xml:space="preserve">This study concludes that </w:t>
      </w:r>
      <w:r>
        <w:rPr>
          <w:rStyle w:val="Emphasis"/>
        </w:rPr>
        <w:t>Syngonium podophyllum</w:t>
      </w:r>
      <w:r>
        <w:t xml:space="preserve"> extract produces significant physiological, biochemical, and histopathological changes in a dose-dependent manner. While the extract demonstrated a potential hypoglycemic effect through the reduction of systemic and vitreous humor glucose levels, it also induced considerable adverse effects, including increased erythrocyte sedimentation rate (ESR), elevated malondialdehyde (MDA) levels, altered total protein concentrations, and histological damage to the cornea, such as neovascularization. These findings suggest that, at high doses, </w:t>
      </w:r>
      <w:r>
        <w:rPr>
          <w:rStyle w:val="Emphasis"/>
        </w:rPr>
        <w:t>S. podophyllum</w:t>
      </w:r>
      <w:r>
        <w:t xml:space="preserve"> may pose inflammatory and oxidative risks, particularly affecting sensitive tissues such as the eye.</w:t>
      </w:r>
    </w:p>
    <w:p w:rsidR="00BE7A3D" w:rsidRDefault="00BE7A3D" w:rsidP="00BE7A3D">
      <w:pPr>
        <w:spacing w:line="360" w:lineRule="auto"/>
      </w:pPr>
    </w:p>
    <w:p w:rsidR="00D56904" w:rsidRDefault="00D56904" w:rsidP="00D56904">
      <w:pPr>
        <w:rPr>
          <w:rFonts w:eastAsiaTheme="minorHAnsi" w:cstheme="minorBidi"/>
          <w:sz w:val="22"/>
          <w:highlight w:val="yellow"/>
        </w:rPr>
      </w:pPr>
      <w:r>
        <w:rPr>
          <w:highlight w:val="yellow"/>
        </w:rPr>
        <w:t>Disclaimer (Artificial intelligence)</w:t>
      </w:r>
    </w:p>
    <w:p w:rsidR="00D56904" w:rsidRDefault="00D56904" w:rsidP="00D56904">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BE7A3D" w:rsidRDefault="00BE7A3D" w:rsidP="00BE7A3D">
      <w:pPr>
        <w:spacing w:line="360" w:lineRule="auto"/>
        <w:jc w:val="center"/>
        <w:rPr>
          <w:b/>
        </w:rPr>
      </w:pPr>
      <w:r w:rsidRPr="00BE7A3D">
        <w:rPr>
          <w:b/>
        </w:rPr>
        <w:lastRenderedPageBreak/>
        <w:t>REFERENCES</w:t>
      </w:r>
    </w:p>
    <w:p w:rsidR="00EC11EF" w:rsidRDefault="00BE7A3D" w:rsidP="00EC11EF">
      <w:pPr>
        <w:pStyle w:val="NormalWeb"/>
        <w:numPr>
          <w:ilvl w:val="0"/>
          <w:numId w:val="3"/>
        </w:numPr>
        <w:jc w:val="both"/>
      </w:pPr>
      <w:r>
        <w:t>A</w:t>
      </w:r>
      <w:r w:rsidR="00DC3BE4">
        <w:t>bbey, A. M., &amp;Yoo, S. H</w:t>
      </w:r>
      <w:r>
        <w:t>. Corneal Anatomy and Optics. In Corneal Topography</w:t>
      </w:r>
      <w:r w:rsidR="00DC3BE4">
        <w:t>, 2024;</w:t>
      </w:r>
      <w:r>
        <w:t xml:space="preserve"> 1</w:t>
      </w:r>
      <w:r w:rsidR="00DC3BE4">
        <w:t>1-19</w:t>
      </w:r>
      <w:r>
        <w:t>.</w:t>
      </w:r>
    </w:p>
    <w:p w:rsidR="00EC11EF" w:rsidRDefault="00EC11EF" w:rsidP="00CA46E7">
      <w:pPr>
        <w:pStyle w:val="NormalWeb"/>
        <w:jc w:val="both"/>
      </w:pPr>
    </w:p>
    <w:p w:rsidR="00EC11EF" w:rsidRDefault="00EC11EF" w:rsidP="00EC11EF">
      <w:pPr>
        <w:pStyle w:val="NormalWeb"/>
        <w:numPr>
          <w:ilvl w:val="0"/>
          <w:numId w:val="3"/>
        </w:numPr>
        <w:spacing w:before="0" w:beforeAutospacing="0" w:after="0" w:afterAutospacing="0"/>
        <w:jc w:val="both"/>
      </w:pPr>
      <w:r>
        <w:t>Dua, H. S., Ting, D. S.</w:t>
      </w:r>
      <w:r w:rsidR="00482BA4">
        <w:t xml:space="preserve"> J., Al Saadi, A., &amp; Said, D. G</w:t>
      </w:r>
      <w:r>
        <w:t xml:space="preserve">. Chemical eye injury: pathophysiology, assessment and management. Eye, </w:t>
      </w:r>
      <w:r w:rsidR="00482BA4">
        <w:t xml:space="preserve">2020; </w:t>
      </w:r>
      <w:r>
        <w:t>34(11), 2001-2019.</w:t>
      </w:r>
    </w:p>
    <w:p w:rsidR="00FC702E" w:rsidRDefault="00FC702E" w:rsidP="00FC702E">
      <w:pPr>
        <w:pStyle w:val="ListParagraph"/>
      </w:pPr>
    </w:p>
    <w:p w:rsidR="00FC702E" w:rsidRDefault="00FC702E" w:rsidP="00FC702E">
      <w:pPr>
        <w:pStyle w:val="NormalWeb"/>
        <w:numPr>
          <w:ilvl w:val="0"/>
          <w:numId w:val="3"/>
        </w:numPr>
        <w:spacing w:before="0" w:beforeAutospacing="0" w:after="0" w:afterAutospacing="0"/>
        <w:jc w:val="both"/>
      </w:pPr>
      <w:r>
        <w:t>Salazar-Gómez, M. E., Martínez-Sánchez, M.</w:t>
      </w:r>
      <w:r w:rsidR="00482BA4">
        <w:t xml:space="preserve"> C., &amp; Vargas-Rodríguez, C. A. </w:t>
      </w:r>
      <w:r>
        <w:t xml:space="preserve">Araceae toxicity and its ocular implications: A review. PlantaMedica, </w:t>
      </w:r>
      <w:r w:rsidR="00482BA4">
        <w:t xml:space="preserve">2023; </w:t>
      </w:r>
      <w:r>
        <w:t>89(5), 367–375.</w:t>
      </w:r>
    </w:p>
    <w:p w:rsidR="00FC702E" w:rsidRDefault="00FC702E" w:rsidP="00FC702E">
      <w:pPr>
        <w:pStyle w:val="ListParagraph"/>
      </w:pPr>
    </w:p>
    <w:p w:rsidR="000A77D4" w:rsidRDefault="00FC702E" w:rsidP="000A77D4">
      <w:pPr>
        <w:pStyle w:val="NormalWeb"/>
        <w:numPr>
          <w:ilvl w:val="0"/>
          <w:numId w:val="3"/>
        </w:numPr>
        <w:spacing w:before="0" w:beforeAutospacing="0" w:after="0" w:afterAutospacing="0"/>
        <w:jc w:val="both"/>
      </w:pPr>
      <w:r>
        <w:t>Dehgan, B.  Angiosperms: flowering plants. In Garden Plants Taxonomy: Volume 1: Ferns, Gymnosperms, and Angiosperms (Monocots) (pp. 173-603). Cham: Sp</w:t>
      </w:r>
      <w:r w:rsidR="00D90D8B">
        <w:t>ringer International Publishing, 2023.</w:t>
      </w:r>
    </w:p>
    <w:p w:rsidR="000A77D4" w:rsidRDefault="000A77D4" w:rsidP="000A77D4">
      <w:pPr>
        <w:pStyle w:val="NormalWeb"/>
        <w:spacing w:before="0" w:beforeAutospacing="0" w:after="0" w:afterAutospacing="0"/>
        <w:jc w:val="both"/>
      </w:pPr>
    </w:p>
    <w:p w:rsidR="002B6449" w:rsidRDefault="000A77D4" w:rsidP="002B6449">
      <w:pPr>
        <w:pStyle w:val="NormalWeb"/>
        <w:numPr>
          <w:ilvl w:val="0"/>
          <w:numId w:val="3"/>
        </w:numPr>
        <w:spacing w:before="0" w:beforeAutospacing="0" w:after="0" w:afterAutospacing="0"/>
        <w:jc w:val="both"/>
      </w:pPr>
      <w:r>
        <w:t xml:space="preserve">Hein, K. Z., Saensouk, S., Saensouk, P., Rakarcha, S., Chanthavongsa, K., &amp; Boonma, T. </w:t>
      </w:r>
      <w:r w:rsidRPr="000A77D4">
        <w:rPr>
          <w:rStyle w:val="Emphasis"/>
          <w:rFonts w:eastAsiaTheme="majorEastAsia"/>
          <w:i w:val="0"/>
        </w:rPr>
        <w:t>Diversity, utilization, and conservation status of Araceae in Kalasin Province, Northeastern Thailand</w:t>
      </w:r>
      <w:r w:rsidRPr="000A77D4">
        <w:rPr>
          <w:i/>
        </w:rPr>
        <w:t xml:space="preserve">. </w:t>
      </w:r>
      <w:r w:rsidRPr="000A77D4">
        <w:rPr>
          <w:rStyle w:val="Emphasis"/>
          <w:rFonts w:eastAsiaTheme="majorEastAsia"/>
          <w:i w:val="0"/>
        </w:rPr>
        <w:t>Horticulturae</w:t>
      </w:r>
      <w:r w:rsidRPr="000A77D4">
        <w:rPr>
          <w:i/>
        </w:rPr>
        <w:t>,</w:t>
      </w:r>
      <w:r>
        <w:t xml:space="preserve"> 2025; </w:t>
      </w:r>
      <w:r w:rsidRPr="000A77D4">
        <w:rPr>
          <w:rStyle w:val="Emphasis"/>
          <w:rFonts w:eastAsiaTheme="majorEastAsia"/>
          <w:i w:val="0"/>
        </w:rPr>
        <w:t>11</w:t>
      </w:r>
      <w:r>
        <w:t>(4), 372.</w:t>
      </w:r>
    </w:p>
    <w:p w:rsidR="002B6449" w:rsidRDefault="002B6449" w:rsidP="002B6449">
      <w:pPr>
        <w:pStyle w:val="NormalWeb"/>
        <w:spacing w:before="0" w:beforeAutospacing="0" w:after="0" w:afterAutospacing="0"/>
        <w:jc w:val="both"/>
      </w:pPr>
    </w:p>
    <w:p w:rsidR="00B511D1" w:rsidRDefault="00432ED4" w:rsidP="00485CCE">
      <w:pPr>
        <w:pStyle w:val="NormalWeb"/>
        <w:numPr>
          <w:ilvl w:val="0"/>
          <w:numId w:val="3"/>
        </w:numPr>
        <w:spacing w:before="0" w:beforeAutospacing="0" w:after="0" w:afterAutospacing="0"/>
        <w:jc w:val="both"/>
      </w:pPr>
      <w:r>
        <w:t xml:space="preserve">Acevedo-Rodríguez P, Strong MT, Pace MR, editors. </w:t>
      </w:r>
      <w:r w:rsidRPr="002B6449">
        <w:rPr>
          <w:rStyle w:val="Emphasis"/>
          <w:rFonts w:eastAsiaTheme="majorEastAsia"/>
          <w:i w:val="0"/>
        </w:rPr>
        <w:t>Families and Genera of Climbing Plants in the Neotropics</w:t>
      </w:r>
      <w:r>
        <w:t>. Washington, DC: Smithsonian Institution Scholarly Press; 2025</w:t>
      </w:r>
      <w:r w:rsidR="002B6449">
        <w:t>.</w:t>
      </w:r>
    </w:p>
    <w:p w:rsidR="00B511D1" w:rsidRDefault="00B511D1" w:rsidP="00B511D1">
      <w:pPr>
        <w:pStyle w:val="ListParagraph"/>
      </w:pPr>
    </w:p>
    <w:p w:rsidR="00751007" w:rsidRDefault="00B511D1" w:rsidP="00751007">
      <w:pPr>
        <w:pStyle w:val="NormalWeb"/>
        <w:numPr>
          <w:ilvl w:val="0"/>
          <w:numId w:val="3"/>
        </w:numPr>
        <w:spacing w:before="0" w:beforeAutospacing="0" w:after="0" w:afterAutospacing="0"/>
        <w:jc w:val="both"/>
      </w:pPr>
      <w:r>
        <w:t xml:space="preserve">Modert M, Speck T, Masselter T. Leaf unfolding and lamina biomechanics in </w:t>
      </w:r>
      <w:r w:rsidRPr="00B511D1">
        <w:rPr>
          <w:rStyle w:val="Emphasis"/>
          <w:rFonts w:eastAsiaTheme="majorEastAsia"/>
        </w:rPr>
        <w:t>Syngonium podophyllum</w:t>
      </w:r>
      <w:r>
        <w:t xml:space="preserve"> and </w:t>
      </w:r>
      <w:r w:rsidRPr="00B511D1">
        <w:rPr>
          <w:rStyle w:val="Emphasis"/>
          <w:rFonts w:eastAsiaTheme="majorEastAsia"/>
        </w:rPr>
        <w:t>Pilea peperomioides</w:t>
      </w:r>
      <w:r>
        <w:t xml:space="preserve">. </w:t>
      </w:r>
      <w:r w:rsidRPr="00B511D1">
        <w:rPr>
          <w:rStyle w:val="Emphasis"/>
          <w:rFonts w:eastAsiaTheme="majorEastAsia"/>
          <w:i w:val="0"/>
        </w:rPr>
        <w:t>Bioinspirational Biomimetics</w:t>
      </w:r>
      <w:r w:rsidRPr="00B511D1">
        <w:rPr>
          <w:i/>
        </w:rPr>
        <w:t>.</w:t>
      </w:r>
      <w:r>
        <w:t xml:space="preserve"> 2024;19(3):036001.</w:t>
      </w:r>
    </w:p>
    <w:p w:rsidR="00751007" w:rsidRDefault="00751007" w:rsidP="00751007">
      <w:pPr>
        <w:pStyle w:val="NormalWeb"/>
        <w:spacing w:before="0" w:beforeAutospacing="0" w:after="0" w:afterAutospacing="0"/>
        <w:jc w:val="both"/>
      </w:pPr>
    </w:p>
    <w:p w:rsidR="00485CCE" w:rsidRDefault="00751007" w:rsidP="00485CCE">
      <w:pPr>
        <w:pStyle w:val="NormalWeb"/>
        <w:numPr>
          <w:ilvl w:val="0"/>
          <w:numId w:val="3"/>
        </w:numPr>
        <w:spacing w:before="0" w:beforeAutospacing="0" w:after="0" w:afterAutospacing="0"/>
        <w:jc w:val="both"/>
      </w:pPr>
      <w:r>
        <w:t xml:space="preserve">Kisvarga S, &amp; Orlóci L. </w:t>
      </w:r>
      <w:r w:rsidRPr="00751007">
        <w:rPr>
          <w:rStyle w:val="Emphasis"/>
          <w:rFonts w:eastAsiaTheme="majorEastAsia"/>
          <w:i w:val="0"/>
        </w:rPr>
        <w:t>Ornamental Plants and Urban Gardening II.</w:t>
      </w:r>
      <w:r w:rsidRPr="00751007">
        <w:rPr>
          <w:i/>
        </w:rPr>
        <w:t xml:space="preserve"> </w:t>
      </w:r>
      <w:r w:rsidRPr="00751007">
        <w:rPr>
          <w:rStyle w:val="Emphasis"/>
          <w:rFonts w:eastAsiaTheme="majorEastAsia"/>
          <w:i w:val="0"/>
        </w:rPr>
        <w:t>Plants</w:t>
      </w:r>
      <w:r w:rsidRPr="00751007">
        <w:rPr>
          <w:i/>
        </w:rPr>
        <w:t>.</w:t>
      </w:r>
      <w:r>
        <w:t xml:space="preserve"> 2025;14(23):3653.</w:t>
      </w:r>
    </w:p>
    <w:p w:rsidR="00751007" w:rsidRDefault="00751007" w:rsidP="00751007">
      <w:pPr>
        <w:pStyle w:val="NormalWeb"/>
        <w:spacing w:before="0" w:beforeAutospacing="0" w:after="0" w:afterAutospacing="0"/>
        <w:jc w:val="both"/>
      </w:pPr>
    </w:p>
    <w:p w:rsidR="00485CCE" w:rsidRDefault="00470F4D" w:rsidP="00CA46E7">
      <w:pPr>
        <w:pStyle w:val="NormalWeb"/>
        <w:numPr>
          <w:ilvl w:val="0"/>
          <w:numId w:val="3"/>
        </w:numPr>
        <w:jc w:val="both"/>
      </w:pPr>
      <w:r>
        <w:t xml:space="preserve">Rasheed H. The multifaceted role of indoor plants: A comprehensive review of their impact on air quality, health, and perception. </w:t>
      </w:r>
      <w:r w:rsidRPr="00470F4D">
        <w:rPr>
          <w:rStyle w:val="Emphasis"/>
          <w:rFonts w:eastAsiaTheme="majorEastAsia"/>
          <w:i w:val="0"/>
        </w:rPr>
        <w:t>Energy Build</w:t>
      </w:r>
      <w:r w:rsidRPr="00470F4D">
        <w:rPr>
          <w:i/>
        </w:rPr>
        <w:t>.</w:t>
      </w:r>
      <w:r>
        <w:t xml:space="preserve"> 2025;330:115312</w:t>
      </w:r>
    </w:p>
    <w:p w:rsidR="00814A16" w:rsidRDefault="00814A16" w:rsidP="00814A16">
      <w:pPr>
        <w:pStyle w:val="ListParagraph"/>
      </w:pPr>
    </w:p>
    <w:p w:rsidR="00814A16" w:rsidRDefault="00814A16" w:rsidP="00814A16">
      <w:pPr>
        <w:pStyle w:val="NormalWeb"/>
        <w:ind w:left="720"/>
        <w:jc w:val="both"/>
      </w:pPr>
    </w:p>
    <w:p w:rsidR="00FD1B7E" w:rsidRDefault="00FD1B7E" w:rsidP="00FD1B7E">
      <w:pPr>
        <w:pStyle w:val="NormalWeb"/>
        <w:numPr>
          <w:ilvl w:val="0"/>
          <w:numId w:val="3"/>
        </w:numPr>
        <w:jc w:val="both"/>
      </w:pPr>
      <w:r>
        <w:lastRenderedPageBreak/>
        <w:t xml:space="preserve">Rasheed H, Jayasree TK. The multifaceted role of indoor plants: A comprehensive review of their impact on air quality, health, and perception. </w:t>
      </w:r>
      <w:r w:rsidRPr="00FD1B7E">
        <w:rPr>
          <w:rStyle w:val="Emphasis"/>
          <w:rFonts w:eastAsiaTheme="majorEastAsia"/>
          <w:i w:val="0"/>
        </w:rPr>
        <w:t>Energy and Buildings</w:t>
      </w:r>
      <w:r w:rsidRPr="00FD1B7E">
        <w:rPr>
          <w:i/>
        </w:rPr>
        <w:t>.</w:t>
      </w:r>
      <w:r>
        <w:t xml:space="preserve"> 2025;330:115312.</w:t>
      </w:r>
    </w:p>
    <w:p w:rsidR="00FD1B7E" w:rsidRDefault="00FD1B7E" w:rsidP="00FD1B7E">
      <w:pPr>
        <w:pStyle w:val="NormalWeb"/>
        <w:ind w:left="720"/>
        <w:jc w:val="both"/>
      </w:pPr>
    </w:p>
    <w:p w:rsidR="00485CCE" w:rsidRDefault="00FD1B7E" w:rsidP="00485CCE">
      <w:pPr>
        <w:pStyle w:val="NormalWeb"/>
        <w:numPr>
          <w:ilvl w:val="0"/>
          <w:numId w:val="3"/>
        </w:numPr>
        <w:jc w:val="both"/>
      </w:pPr>
      <w:r>
        <w:t xml:space="preserve">Latif R, Nawaz T. Medicinal plants and human health: a comprehensive review of bioactive compounds, therapeutic effects, and applications. </w:t>
      </w:r>
      <w:r w:rsidRPr="00FD1B7E">
        <w:rPr>
          <w:rStyle w:val="Emphasis"/>
          <w:rFonts w:eastAsiaTheme="majorEastAsia"/>
          <w:i w:val="0"/>
        </w:rPr>
        <w:t>Phytochem Rev</w:t>
      </w:r>
      <w:r w:rsidRPr="00FD1B7E">
        <w:rPr>
          <w:i/>
        </w:rPr>
        <w:t xml:space="preserve">. </w:t>
      </w:r>
      <w:r>
        <w:t>2025. doi:10.1007/s11101-025-10194-7.</w:t>
      </w:r>
    </w:p>
    <w:p w:rsidR="00FD1B7E" w:rsidRDefault="00FD1B7E" w:rsidP="00FD1B7E">
      <w:pPr>
        <w:pStyle w:val="NormalWeb"/>
        <w:jc w:val="both"/>
      </w:pPr>
    </w:p>
    <w:p w:rsidR="00485CCE" w:rsidRDefault="00485CCE" w:rsidP="00485CCE">
      <w:pPr>
        <w:pStyle w:val="ListParagraph"/>
        <w:numPr>
          <w:ilvl w:val="0"/>
          <w:numId w:val="3"/>
        </w:numPr>
        <w:spacing w:line="240" w:lineRule="auto"/>
        <w:rPr>
          <w:rFonts w:cs="Times New Roman"/>
          <w:szCs w:val="24"/>
        </w:rPr>
      </w:pPr>
      <w:r w:rsidRPr="00485CCE">
        <w:rPr>
          <w:rFonts w:cs="Times New Roman"/>
          <w:szCs w:val="24"/>
        </w:rPr>
        <w:t>Creswell, J. W., &amp; Creswell, J. D. Research design: Qualitative, quantitative, and mixed methods approaches (5th ed.). Sage Publicati</w:t>
      </w:r>
      <w:r w:rsidR="007824CB">
        <w:rPr>
          <w:rFonts w:cs="Times New Roman"/>
          <w:szCs w:val="24"/>
        </w:rPr>
        <w:t>ons, 2018.</w:t>
      </w:r>
    </w:p>
    <w:p w:rsidR="003C5C0E" w:rsidRPr="003C5C0E" w:rsidRDefault="003C5C0E" w:rsidP="003C5C0E">
      <w:pPr>
        <w:pStyle w:val="ListParagraph"/>
        <w:rPr>
          <w:rFonts w:cs="Times New Roman"/>
          <w:szCs w:val="24"/>
        </w:rPr>
      </w:pPr>
    </w:p>
    <w:p w:rsidR="003C5C0E" w:rsidRPr="00485CCE" w:rsidRDefault="003C5C0E" w:rsidP="003C5C0E">
      <w:pPr>
        <w:pStyle w:val="ListParagraph"/>
        <w:spacing w:line="240" w:lineRule="auto"/>
        <w:rPr>
          <w:rFonts w:cs="Times New Roman"/>
          <w:szCs w:val="24"/>
        </w:rPr>
      </w:pPr>
    </w:p>
    <w:p w:rsidR="00FD1B7E" w:rsidRPr="00FD1B7E" w:rsidRDefault="00FD1B7E" w:rsidP="00FD1B7E">
      <w:pPr>
        <w:pStyle w:val="ListParagraph"/>
        <w:numPr>
          <w:ilvl w:val="0"/>
          <w:numId w:val="3"/>
        </w:numPr>
        <w:spacing w:line="240" w:lineRule="auto"/>
        <w:rPr>
          <w:rFonts w:cs="Times New Roman"/>
          <w:szCs w:val="24"/>
        </w:rPr>
      </w:pPr>
      <w:r>
        <w:t xml:space="preserve">Korkmaz I, Palamar M. Animal-based experimental models in dry eye research: current approaches and limitations. </w:t>
      </w:r>
      <w:r w:rsidRPr="00FD1B7E">
        <w:rPr>
          <w:rStyle w:val="Emphasis"/>
          <w:i w:val="0"/>
        </w:rPr>
        <w:t>Exp Eye Res</w:t>
      </w:r>
      <w:r w:rsidRPr="00FD1B7E">
        <w:rPr>
          <w:i/>
        </w:rPr>
        <w:t>.</w:t>
      </w:r>
      <w:r>
        <w:t xml:space="preserve"> 2026;266:110918.</w:t>
      </w:r>
    </w:p>
    <w:p w:rsidR="00FD1B7E" w:rsidRPr="00FD1B7E" w:rsidRDefault="00FD1B7E" w:rsidP="00FD1B7E">
      <w:pPr>
        <w:pStyle w:val="ListParagraph"/>
        <w:spacing w:line="240" w:lineRule="auto"/>
        <w:rPr>
          <w:rFonts w:cs="Times New Roman"/>
          <w:szCs w:val="24"/>
        </w:rPr>
      </w:pPr>
    </w:p>
    <w:p w:rsidR="00541A65" w:rsidRPr="00FD1B7E" w:rsidRDefault="00FD1B7E" w:rsidP="00FD1B7E">
      <w:pPr>
        <w:pStyle w:val="ListParagraph"/>
        <w:numPr>
          <w:ilvl w:val="0"/>
          <w:numId w:val="3"/>
        </w:numPr>
        <w:spacing w:line="240" w:lineRule="auto"/>
        <w:rPr>
          <w:rFonts w:cs="Times New Roman"/>
          <w:szCs w:val="24"/>
        </w:rPr>
      </w:pPr>
      <w:r>
        <w:t xml:space="preserve">Di Marsico L, Sturlese Verduri A, Marracci S, Amato R, Dal Monte M. Rodent models of glaucoma: how mice and rats can help human vision move out of the woods and into the light. </w:t>
      </w:r>
      <w:r w:rsidRPr="00FD1B7E">
        <w:rPr>
          <w:rStyle w:val="Emphasis"/>
          <w:i w:val="0"/>
        </w:rPr>
        <w:t>Cells</w:t>
      </w:r>
      <w:r w:rsidRPr="00FD1B7E">
        <w:rPr>
          <w:i/>
        </w:rPr>
        <w:t>.</w:t>
      </w:r>
      <w:r>
        <w:t xml:space="preserve"> 2025;14(21):1648.</w:t>
      </w:r>
    </w:p>
    <w:p w:rsidR="00FD1B7E" w:rsidRPr="00FD1B7E" w:rsidRDefault="00FD1B7E" w:rsidP="00FD1B7E">
      <w:pPr>
        <w:spacing w:line="240" w:lineRule="auto"/>
        <w:rPr>
          <w:rFonts w:cs="Times New Roman"/>
          <w:szCs w:val="24"/>
        </w:rPr>
      </w:pPr>
    </w:p>
    <w:p w:rsidR="00FD1B7E" w:rsidRDefault="00541A65" w:rsidP="00CA46E7">
      <w:pPr>
        <w:pStyle w:val="ListParagraph"/>
        <w:numPr>
          <w:ilvl w:val="0"/>
          <w:numId w:val="3"/>
        </w:numPr>
        <w:spacing w:after="0" w:line="240" w:lineRule="auto"/>
        <w:rPr>
          <w:rFonts w:cs="Times New Roman"/>
          <w:szCs w:val="24"/>
        </w:rPr>
      </w:pPr>
      <w:r w:rsidRPr="00541A65">
        <w:rPr>
          <w:rFonts w:cs="Times New Roman"/>
          <w:szCs w:val="24"/>
        </w:rPr>
        <w:t xml:space="preserve">Prychid, C. J., &amp;Rudall, P. J. Calcium oxalate crystals in monocotyledons: A review of their structure and systematics. Annals of Botany, </w:t>
      </w:r>
      <w:r w:rsidR="007824CB">
        <w:rPr>
          <w:rFonts w:cs="Times New Roman"/>
          <w:szCs w:val="24"/>
        </w:rPr>
        <w:t>1999; 84(6), 725-</w:t>
      </w:r>
      <w:r w:rsidRPr="00541A65">
        <w:rPr>
          <w:rFonts w:cs="Times New Roman"/>
          <w:szCs w:val="24"/>
        </w:rPr>
        <w:t xml:space="preserve">739. </w:t>
      </w:r>
    </w:p>
    <w:p w:rsidR="00FD1B7E" w:rsidRDefault="00FD1B7E" w:rsidP="00FD1B7E">
      <w:pPr>
        <w:pStyle w:val="ListParagraph"/>
      </w:pPr>
    </w:p>
    <w:p w:rsidR="00EC11EF" w:rsidRDefault="00D16007" w:rsidP="00EC11EF">
      <w:pPr>
        <w:pStyle w:val="NormalWeb"/>
        <w:numPr>
          <w:ilvl w:val="0"/>
          <w:numId w:val="3"/>
        </w:numPr>
        <w:jc w:val="both"/>
      </w:pPr>
      <w:r>
        <w:t xml:space="preserve">Harborne JB. </w:t>
      </w:r>
      <w:r w:rsidRPr="00D16007">
        <w:rPr>
          <w:rStyle w:val="Strong"/>
          <w:rFonts w:eastAsiaTheme="majorEastAsia"/>
          <w:b w:val="0"/>
        </w:rPr>
        <w:t>Phytoch</w:t>
      </w:r>
      <w:bookmarkStart w:id="15" w:name="_GoBack"/>
      <w:bookmarkEnd w:id="15"/>
      <w:r w:rsidRPr="00D16007">
        <w:rPr>
          <w:rStyle w:val="Strong"/>
          <w:rFonts w:eastAsiaTheme="majorEastAsia"/>
          <w:b w:val="0"/>
        </w:rPr>
        <w:t>emical methods: a guide to modern techniques of plant analysis.</w:t>
      </w:r>
      <w:r>
        <w:t xml:space="preserve"> 3rd ed. London: Chapman &amp; Hall; 1998</w:t>
      </w:r>
      <w:r w:rsidRPr="00482BA4">
        <w:t xml:space="preserve"> </w:t>
      </w:r>
      <w:r w:rsidR="00482BA4" w:rsidRPr="00482BA4">
        <w:t xml:space="preserve">Kim, T. K. Understanding one-way ANOVA using conceptual figures. Korean Journal of Anesthesiology, </w:t>
      </w:r>
      <w:r w:rsidR="007824CB">
        <w:t>2017; 70(1), 22-</w:t>
      </w:r>
      <w:r w:rsidR="00482BA4" w:rsidRPr="00482BA4">
        <w:t xml:space="preserve">26. </w:t>
      </w:r>
    </w:p>
    <w:p w:rsidR="00397766" w:rsidRPr="00397766" w:rsidRDefault="00397766" w:rsidP="00397766">
      <w:pPr>
        <w:spacing w:after="0" w:line="360" w:lineRule="auto"/>
        <w:rPr>
          <w:b/>
        </w:rPr>
      </w:pPr>
    </w:p>
    <w:sectPr w:rsidR="00397766" w:rsidRPr="00397766" w:rsidSect="004D5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72CC4"/>
    <w:multiLevelType w:val="multilevel"/>
    <w:tmpl w:val="10972CC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584C246E"/>
    <w:multiLevelType w:val="hybridMultilevel"/>
    <w:tmpl w:val="AAF29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5E4BA7"/>
    <w:multiLevelType w:val="singleLevel"/>
    <w:tmpl w:val="685E4BA7"/>
    <w:lvl w:ilvl="0">
      <w:start w:val="1"/>
      <w:numFmt w:val="upperLetter"/>
      <w:lvlText w:val="%1."/>
      <w:lvlJc w:val="left"/>
      <w:pPr>
        <w:ind w:left="0" w:firstLine="0"/>
      </w:pPr>
    </w:lvl>
  </w:abstractNum>
  <w:num w:numId="1">
    <w:abstractNumId w:val="0"/>
  </w:num>
  <w:num w:numId="2">
    <w:abstractNumId w:val="2"/>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DD"/>
    <w:rsid w:val="00013C66"/>
    <w:rsid w:val="00080D88"/>
    <w:rsid w:val="000958A5"/>
    <w:rsid w:val="000A3890"/>
    <w:rsid w:val="000A5733"/>
    <w:rsid w:val="000A77D4"/>
    <w:rsid w:val="00144E47"/>
    <w:rsid w:val="00173621"/>
    <w:rsid w:val="001C4A0E"/>
    <w:rsid w:val="002B6449"/>
    <w:rsid w:val="003415FE"/>
    <w:rsid w:val="00345DEC"/>
    <w:rsid w:val="00397766"/>
    <w:rsid w:val="003C5C0E"/>
    <w:rsid w:val="00432ED4"/>
    <w:rsid w:val="0044209C"/>
    <w:rsid w:val="00470F4D"/>
    <w:rsid w:val="00474CD5"/>
    <w:rsid w:val="00482BA4"/>
    <w:rsid w:val="00484F24"/>
    <w:rsid w:val="00485CCE"/>
    <w:rsid w:val="004B1108"/>
    <w:rsid w:val="004C34C4"/>
    <w:rsid w:val="004D549D"/>
    <w:rsid w:val="00541A65"/>
    <w:rsid w:val="00661412"/>
    <w:rsid w:val="006C6F0D"/>
    <w:rsid w:val="007110E7"/>
    <w:rsid w:val="00751007"/>
    <w:rsid w:val="007824CB"/>
    <w:rsid w:val="007878D9"/>
    <w:rsid w:val="007C3578"/>
    <w:rsid w:val="007E1011"/>
    <w:rsid w:val="008117DD"/>
    <w:rsid w:val="00814A16"/>
    <w:rsid w:val="0085296A"/>
    <w:rsid w:val="008B6F9D"/>
    <w:rsid w:val="008C491E"/>
    <w:rsid w:val="008F282C"/>
    <w:rsid w:val="0094173F"/>
    <w:rsid w:val="00A2026D"/>
    <w:rsid w:val="00A32FDB"/>
    <w:rsid w:val="00AC5EB9"/>
    <w:rsid w:val="00B511D1"/>
    <w:rsid w:val="00B758B3"/>
    <w:rsid w:val="00B858F3"/>
    <w:rsid w:val="00BE7A3D"/>
    <w:rsid w:val="00C868A5"/>
    <w:rsid w:val="00CA46E7"/>
    <w:rsid w:val="00D16007"/>
    <w:rsid w:val="00D3609F"/>
    <w:rsid w:val="00D56904"/>
    <w:rsid w:val="00D90D8B"/>
    <w:rsid w:val="00DC3BE4"/>
    <w:rsid w:val="00E758A6"/>
    <w:rsid w:val="00EC11EF"/>
    <w:rsid w:val="00EF2856"/>
    <w:rsid w:val="00F55A4E"/>
    <w:rsid w:val="00FC702E"/>
    <w:rsid w:val="00FD1B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59F5"/>
  <w15:docId w15:val="{44DD7C17-2CD4-4DF5-AF39-A19C9EEE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7DD"/>
    <w:pPr>
      <w:spacing w:after="200" w:line="480" w:lineRule="auto"/>
      <w:jc w:val="both"/>
    </w:pPr>
    <w:rPr>
      <w:rFonts w:ascii="Times New Roman" w:eastAsia="Calibri" w:hAnsi="Times New Roman" w:cs="SimSun"/>
      <w:sz w:val="24"/>
    </w:rPr>
  </w:style>
  <w:style w:type="paragraph" w:styleId="Heading2">
    <w:name w:val="heading 2"/>
    <w:basedOn w:val="Normal"/>
    <w:next w:val="Normal"/>
    <w:link w:val="Heading2Char"/>
    <w:uiPriority w:val="9"/>
    <w:semiHidden/>
    <w:unhideWhenUsed/>
    <w:qFormat/>
    <w:rsid w:val="003977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84F24"/>
    <w:pPr>
      <w:outlineLvl w:val="2"/>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84F24"/>
    <w:rPr>
      <w:rFonts w:ascii="Times New Roman" w:eastAsia="Calibri" w:hAnsi="Times New Roman" w:cs="Times New Roman"/>
      <w:b/>
      <w:sz w:val="24"/>
      <w:szCs w:val="24"/>
    </w:rPr>
  </w:style>
  <w:style w:type="character" w:customStyle="1" w:styleId="Heading2Char">
    <w:name w:val="Heading 2 Char"/>
    <w:basedOn w:val="DefaultParagraphFont"/>
    <w:link w:val="Heading2"/>
    <w:uiPriority w:val="9"/>
    <w:semiHidden/>
    <w:rsid w:val="0039776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85296A"/>
    <w:rPr>
      <w:i/>
      <w:iCs/>
    </w:rPr>
  </w:style>
  <w:style w:type="character" w:styleId="Strong">
    <w:name w:val="Strong"/>
    <w:basedOn w:val="DefaultParagraphFont"/>
    <w:uiPriority w:val="22"/>
    <w:qFormat/>
    <w:rsid w:val="0085296A"/>
    <w:rPr>
      <w:b/>
      <w:bCs/>
    </w:rPr>
  </w:style>
  <w:style w:type="paragraph" w:styleId="ListParagraph">
    <w:name w:val="List Paragraph"/>
    <w:basedOn w:val="Normal"/>
    <w:uiPriority w:val="34"/>
    <w:qFormat/>
    <w:rsid w:val="0085296A"/>
    <w:pPr>
      <w:ind w:left="720"/>
      <w:contextualSpacing/>
    </w:pPr>
  </w:style>
  <w:style w:type="paragraph" w:styleId="NormalWeb">
    <w:name w:val="Normal (Web)"/>
    <w:basedOn w:val="Normal"/>
    <w:uiPriority w:val="99"/>
    <w:unhideWhenUsed/>
    <w:rsid w:val="0085296A"/>
    <w:pPr>
      <w:spacing w:before="100" w:beforeAutospacing="1" w:after="100" w:afterAutospacing="1" w:line="240" w:lineRule="auto"/>
      <w:jc w:val="left"/>
    </w:pPr>
    <w:rPr>
      <w:rFonts w:eastAsia="Times New Roman" w:cs="Times New Roman"/>
      <w:szCs w:val="24"/>
    </w:rPr>
  </w:style>
  <w:style w:type="character" w:styleId="Hyperlink">
    <w:name w:val="Hyperlink"/>
    <w:basedOn w:val="DefaultParagraphFont"/>
    <w:uiPriority w:val="99"/>
    <w:semiHidden/>
    <w:unhideWhenUsed/>
    <w:rsid w:val="00BE7A3D"/>
    <w:rPr>
      <w:color w:val="0563C1"/>
      <w:u w:val="single"/>
    </w:rPr>
  </w:style>
  <w:style w:type="character" w:customStyle="1" w:styleId="whitespace-normal">
    <w:name w:val="whitespace-normal"/>
    <w:basedOn w:val="DefaultParagraphFont"/>
    <w:rsid w:val="00013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0520">
      <w:bodyDiv w:val="1"/>
      <w:marLeft w:val="0"/>
      <w:marRight w:val="0"/>
      <w:marTop w:val="0"/>
      <w:marBottom w:val="0"/>
      <w:divBdr>
        <w:top w:val="none" w:sz="0" w:space="0" w:color="auto"/>
        <w:left w:val="none" w:sz="0" w:space="0" w:color="auto"/>
        <w:bottom w:val="none" w:sz="0" w:space="0" w:color="auto"/>
        <w:right w:val="none" w:sz="0" w:space="0" w:color="auto"/>
      </w:divBdr>
    </w:div>
    <w:div w:id="145318351">
      <w:bodyDiv w:val="1"/>
      <w:marLeft w:val="0"/>
      <w:marRight w:val="0"/>
      <w:marTop w:val="0"/>
      <w:marBottom w:val="0"/>
      <w:divBdr>
        <w:top w:val="none" w:sz="0" w:space="0" w:color="auto"/>
        <w:left w:val="none" w:sz="0" w:space="0" w:color="auto"/>
        <w:bottom w:val="none" w:sz="0" w:space="0" w:color="auto"/>
        <w:right w:val="none" w:sz="0" w:space="0" w:color="auto"/>
      </w:divBdr>
    </w:div>
    <w:div w:id="195043763">
      <w:bodyDiv w:val="1"/>
      <w:marLeft w:val="0"/>
      <w:marRight w:val="0"/>
      <w:marTop w:val="0"/>
      <w:marBottom w:val="0"/>
      <w:divBdr>
        <w:top w:val="none" w:sz="0" w:space="0" w:color="auto"/>
        <w:left w:val="none" w:sz="0" w:space="0" w:color="auto"/>
        <w:bottom w:val="none" w:sz="0" w:space="0" w:color="auto"/>
        <w:right w:val="none" w:sz="0" w:space="0" w:color="auto"/>
      </w:divBdr>
    </w:div>
    <w:div w:id="304047962">
      <w:bodyDiv w:val="1"/>
      <w:marLeft w:val="0"/>
      <w:marRight w:val="0"/>
      <w:marTop w:val="0"/>
      <w:marBottom w:val="0"/>
      <w:divBdr>
        <w:top w:val="none" w:sz="0" w:space="0" w:color="auto"/>
        <w:left w:val="none" w:sz="0" w:space="0" w:color="auto"/>
        <w:bottom w:val="none" w:sz="0" w:space="0" w:color="auto"/>
        <w:right w:val="none" w:sz="0" w:space="0" w:color="auto"/>
      </w:divBdr>
    </w:div>
    <w:div w:id="327757536">
      <w:bodyDiv w:val="1"/>
      <w:marLeft w:val="0"/>
      <w:marRight w:val="0"/>
      <w:marTop w:val="0"/>
      <w:marBottom w:val="0"/>
      <w:divBdr>
        <w:top w:val="none" w:sz="0" w:space="0" w:color="auto"/>
        <w:left w:val="none" w:sz="0" w:space="0" w:color="auto"/>
        <w:bottom w:val="none" w:sz="0" w:space="0" w:color="auto"/>
        <w:right w:val="none" w:sz="0" w:space="0" w:color="auto"/>
      </w:divBdr>
    </w:div>
    <w:div w:id="404761384">
      <w:bodyDiv w:val="1"/>
      <w:marLeft w:val="0"/>
      <w:marRight w:val="0"/>
      <w:marTop w:val="0"/>
      <w:marBottom w:val="0"/>
      <w:divBdr>
        <w:top w:val="none" w:sz="0" w:space="0" w:color="auto"/>
        <w:left w:val="none" w:sz="0" w:space="0" w:color="auto"/>
        <w:bottom w:val="none" w:sz="0" w:space="0" w:color="auto"/>
        <w:right w:val="none" w:sz="0" w:space="0" w:color="auto"/>
      </w:divBdr>
    </w:div>
    <w:div w:id="472908084">
      <w:bodyDiv w:val="1"/>
      <w:marLeft w:val="0"/>
      <w:marRight w:val="0"/>
      <w:marTop w:val="0"/>
      <w:marBottom w:val="0"/>
      <w:divBdr>
        <w:top w:val="none" w:sz="0" w:space="0" w:color="auto"/>
        <w:left w:val="none" w:sz="0" w:space="0" w:color="auto"/>
        <w:bottom w:val="none" w:sz="0" w:space="0" w:color="auto"/>
        <w:right w:val="none" w:sz="0" w:space="0" w:color="auto"/>
      </w:divBdr>
    </w:div>
    <w:div w:id="507983940">
      <w:bodyDiv w:val="1"/>
      <w:marLeft w:val="0"/>
      <w:marRight w:val="0"/>
      <w:marTop w:val="0"/>
      <w:marBottom w:val="0"/>
      <w:divBdr>
        <w:top w:val="none" w:sz="0" w:space="0" w:color="auto"/>
        <w:left w:val="none" w:sz="0" w:space="0" w:color="auto"/>
        <w:bottom w:val="none" w:sz="0" w:space="0" w:color="auto"/>
        <w:right w:val="none" w:sz="0" w:space="0" w:color="auto"/>
      </w:divBdr>
    </w:div>
    <w:div w:id="528757212">
      <w:bodyDiv w:val="1"/>
      <w:marLeft w:val="0"/>
      <w:marRight w:val="0"/>
      <w:marTop w:val="0"/>
      <w:marBottom w:val="0"/>
      <w:divBdr>
        <w:top w:val="none" w:sz="0" w:space="0" w:color="auto"/>
        <w:left w:val="none" w:sz="0" w:space="0" w:color="auto"/>
        <w:bottom w:val="none" w:sz="0" w:space="0" w:color="auto"/>
        <w:right w:val="none" w:sz="0" w:space="0" w:color="auto"/>
      </w:divBdr>
    </w:div>
    <w:div w:id="644897588">
      <w:bodyDiv w:val="1"/>
      <w:marLeft w:val="0"/>
      <w:marRight w:val="0"/>
      <w:marTop w:val="0"/>
      <w:marBottom w:val="0"/>
      <w:divBdr>
        <w:top w:val="none" w:sz="0" w:space="0" w:color="auto"/>
        <w:left w:val="none" w:sz="0" w:space="0" w:color="auto"/>
        <w:bottom w:val="none" w:sz="0" w:space="0" w:color="auto"/>
        <w:right w:val="none" w:sz="0" w:space="0" w:color="auto"/>
      </w:divBdr>
    </w:div>
    <w:div w:id="650446460">
      <w:bodyDiv w:val="1"/>
      <w:marLeft w:val="0"/>
      <w:marRight w:val="0"/>
      <w:marTop w:val="0"/>
      <w:marBottom w:val="0"/>
      <w:divBdr>
        <w:top w:val="none" w:sz="0" w:space="0" w:color="auto"/>
        <w:left w:val="none" w:sz="0" w:space="0" w:color="auto"/>
        <w:bottom w:val="none" w:sz="0" w:space="0" w:color="auto"/>
        <w:right w:val="none" w:sz="0" w:space="0" w:color="auto"/>
      </w:divBdr>
    </w:div>
    <w:div w:id="713391045">
      <w:bodyDiv w:val="1"/>
      <w:marLeft w:val="0"/>
      <w:marRight w:val="0"/>
      <w:marTop w:val="0"/>
      <w:marBottom w:val="0"/>
      <w:divBdr>
        <w:top w:val="none" w:sz="0" w:space="0" w:color="auto"/>
        <w:left w:val="none" w:sz="0" w:space="0" w:color="auto"/>
        <w:bottom w:val="none" w:sz="0" w:space="0" w:color="auto"/>
        <w:right w:val="none" w:sz="0" w:space="0" w:color="auto"/>
      </w:divBdr>
    </w:div>
    <w:div w:id="716512461">
      <w:bodyDiv w:val="1"/>
      <w:marLeft w:val="0"/>
      <w:marRight w:val="0"/>
      <w:marTop w:val="0"/>
      <w:marBottom w:val="0"/>
      <w:divBdr>
        <w:top w:val="none" w:sz="0" w:space="0" w:color="auto"/>
        <w:left w:val="none" w:sz="0" w:space="0" w:color="auto"/>
        <w:bottom w:val="none" w:sz="0" w:space="0" w:color="auto"/>
        <w:right w:val="none" w:sz="0" w:space="0" w:color="auto"/>
      </w:divBdr>
    </w:div>
    <w:div w:id="728184825">
      <w:bodyDiv w:val="1"/>
      <w:marLeft w:val="0"/>
      <w:marRight w:val="0"/>
      <w:marTop w:val="0"/>
      <w:marBottom w:val="0"/>
      <w:divBdr>
        <w:top w:val="none" w:sz="0" w:space="0" w:color="auto"/>
        <w:left w:val="none" w:sz="0" w:space="0" w:color="auto"/>
        <w:bottom w:val="none" w:sz="0" w:space="0" w:color="auto"/>
        <w:right w:val="none" w:sz="0" w:space="0" w:color="auto"/>
      </w:divBdr>
    </w:div>
    <w:div w:id="738597376">
      <w:bodyDiv w:val="1"/>
      <w:marLeft w:val="0"/>
      <w:marRight w:val="0"/>
      <w:marTop w:val="0"/>
      <w:marBottom w:val="0"/>
      <w:divBdr>
        <w:top w:val="none" w:sz="0" w:space="0" w:color="auto"/>
        <w:left w:val="none" w:sz="0" w:space="0" w:color="auto"/>
        <w:bottom w:val="none" w:sz="0" w:space="0" w:color="auto"/>
        <w:right w:val="none" w:sz="0" w:space="0" w:color="auto"/>
      </w:divBdr>
    </w:div>
    <w:div w:id="804658815">
      <w:bodyDiv w:val="1"/>
      <w:marLeft w:val="0"/>
      <w:marRight w:val="0"/>
      <w:marTop w:val="0"/>
      <w:marBottom w:val="0"/>
      <w:divBdr>
        <w:top w:val="none" w:sz="0" w:space="0" w:color="auto"/>
        <w:left w:val="none" w:sz="0" w:space="0" w:color="auto"/>
        <w:bottom w:val="none" w:sz="0" w:space="0" w:color="auto"/>
        <w:right w:val="none" w:sz="0" w:space="0" w:color="auto"/>
      </w:divBdr>
    </w:div>
    <w:div w:id="974721746">
      <w:bodyDiv w:val="1"/>
      <w:marLeft w:val="0"/>
      <w:marRight w:val="0"/>
      <w:marTop w:val="0"/>
      <w:marBottom w:val="0"/>
      <w:divBdr>
        <w:top w:val="none" w:sz="0" w:space="0" w:color="auto"/>
        <w:left w:val="none" w:sz="0" w:space="0" w:color="auto"/>
        <w:bottom w:val="none" w:sz="0" w:space="0" w:color="auto"/>
        <w:right w:val="none" w:sz="0" w:space="0" w:color="auto"/>
      </w:divBdr>
    </w:div>
    <w:div w:id="1007176830">
      <w:bodyDiv w:val="1"/>
      <w:marLeft w:val="0"/>
      <w:marRight w:val="0"/>
      <w:marTop w:val="0"/>
      <w:marBottom w:val="0"/>
      <w:divBdr>
        <w:top w:val="none" w:sz="0" w:space="0" w:color="auto"/>
        <w:left w:val="none" w:sz="0" w:space="0" w:color="auto"/>
        <w:bottom w:val="none" w:sz="0" w:space="0" w:color="auto"/>
        <w:right w:val="none" w:sz="0" w:space="0" w:color="auto"/>
      </w:divBdr>
    </w:div>
    <w:div w:id="1018853746">
      <w:bodyDiv w:val="1"/>
      <w:marLeft w:val="0"/>
      <w:marRight w:val="0"/>
      <w:marTop w:val="0"/>
      <w:marBottom w:val="0"/>
      <w:divBdr>
        <w:top w:val="none" w:sz="0" w:space="0" w:color="auto"/>
        <w:left w:val="none" w:sz="0" w:space="0" w:color="auto"/>
        <w:bottom w:val="none" w:sz="0" w:space="0" w:color="auto"/>
        <w:right w:val="none" w:sz="0" w:space="0" w:color="auto"/>
      </w:divBdr>
    </w:div>
    <w:div w:id="1253509027">
      <w:bodyDiv w:val="1"/>
      <w:marLeft w:val="0"/>
      <w:marRight w:val="0"/>
      <w:marTop w:val="0"/>
      <w:marBottom w:val="0"/>
      <w:divBdr>
        <w:top w:val="none" w:sz="0" w:space="0" w:color="auto"/>
        <w:left w:val="none" w:sz="0" w:space="0" w:color="auto"/>
        <w:bottom w:val="none" w:sz="0" w:space="0" w:color="auto"/>
        <w:right w:val="none" w:sz="0" w:space="0" w:color="auto"/>
      </w:divBdr>
    </w:div>
    <w:div w:id="1286232800">
      <w:bodyDiv w:val="1"/>
      <w:marLeft w:val="0"/>
      <w:marRight w:val="0"/>
      <w:marTop w:val="0"/>
      <w:marBottom w:val="0"/>
      <w:divBdr>
        <w:top w:val="none" w:sz="0" w:space="0" w:color="auto"/>
        <w:left w:val="none" w:sz="0" w:space="0" w:color="auto"/>
        <w:bottom w:val="none" w:sz="0" w:space="0" w:color="auto"/>
        <w:right w:val="none" w:sz="0" w:space="0" w:color="auto"/>
      </w:divBdr>
    </w:div>
    <w:div w:id="1320186951">
      <w:bodyDiv w:val="1"/>
      <w:marLeft w:val="0"/>
      <w:marRight w:val="0"/>
      <w:marTop w:val="0"/>
      <w:marBottom w:val="0"/>
      <w:divBdr>
        <w:top w:val="none" w:sz="0" w:space="0" w:color="auto"/>
        <w:left w:val="none" w:sz="0" w:space="0" w:color="auto"/>
        <w:bottom w:val="none" w:sz="0" w:space="0" w:color="auto"/>
        <w:right w:val="none" w:sz="0" w:space="0" w:color="auto"/>
      </w:divBdr>
      <w:divsChild>
        <w:div w:id="664237416">
          <w:marLeft w:val="0"/>
          <w:marRight w:val="0"/>
          <w:marTop w:val="0"/>
          <w:marBottom w:val="0"/>
          <w:divBdr>
            <w:top w:val="none" w:sz="0" w:space="0" w:color="auto"/>
            <w:left w:val="none" w:sz="0" w:space="0" w:color="auto"/>
            <w:bottom w:val="none" w:sz="0" w:space="0" w:color="auto"/>
            <w:right w:val="none" w:sz="0" w:space="0" w:color="auto"/>
          </w:divBdr>
          <w:divsChild>
            <w:div w:id="1823112288">
              <w:marLeft w:val="0"/>
              <w:marRight w:val="0"/>
              <w:marTop w:val="0"/>
              <w:marBottom w:val="0"/>
              <w:divBdr>
                <w:top w:val="none" w:sz="0" w:space="0" w:color="auto"/>
                <w:left w:val="none" w:sz="0" w:space="0" w:color="auto"/>
                <w:bottom w:val="none" w:sz="0" w:space="0" w:color="auto"/>
                <w:right w:val="none" w:sz="0" w:space="0" w:color="auto"/>
              </w:divBdr>
              <w:divsChild>
                <w:div w:id="1937978928">
                  <w:marLeft w:val="0"/>
                  <w:marRight w:val="0"/>
                  <w:marTop w:val="0"/>
                  <w:marBottom w:val="0"/>
                  <w:divBdr>
                    <w:top w:val="none" w:sz="0" w:space="0" w:color="auto"/>
                    <w:left w:val="none" w:sz="0" w:space="0" w:color="auto"/>
                    <w:bottom w:val="none" w:sz="0" w:space="0" w:color="auto"/>
                    <w:right w:val="none" w:sz="0" w:space="0" w:color="auto"/>
                  </w:divBdr>
                  <w:divsChild>
                    <w:div w:id="1395158707">
                      <w:marLeft w:val="0"/>
                      <w:marRight w:val="0"/>
                      <w:marTop w:val="0"/>
                      <w:marBottom w:val="0"/>
                      <w:divBdr>
                        <w:top w:val="none" w:sz="0" w:space="0" w:color="auto"/>
                        <w:left w:val="none" w:sz="0" w:space="0" w:color="auto"/>
                        <w:bottom w:val="none" w:sz="0" w:space="0" w:color="auto"/>
                        <w:right w:val="none" w:sz="0" w:space="0" w:color="auto"/>
                      </w:divBdr>
                      <w:divsChild>
                        <w:div w:id="206526282">
                          <w:marLeft w:val="0"/>
                          <w:marRight w:val="0"/>
                          <w:marTop w:val="0"/>
                          <w:marBottom w:val="0"/>
                          <w:divBdr>
                            <w:top w:val="none" w:sz="0" w:space="0" w:color="auto"/>
                            <w:left w:val="none" w:sz="0" w:space="0" w:color="auto"/>
                            <w:bottom w:val="none" w:sz="0" w:space="0" w:color="auto"/>
                            <w:right w:val="none" w:sz="0" w:space="0" w:color="auto"/>
                          </w:divBdr>
                          <w:divsChild>
                            <w:div w:id="10055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259023">
      <w:bodyDiv w:val="1"/>
      <w:marLeft w:val="0"/>
      <w:marRight w:val="0"/>
      <w:marTop w:val="0"/>
      <w:marBottom w:val="0"/>
      <w:divBdr>
        <w:top w:val="none" w:sz="0" w:space="0" w:color="auto"/>
        <w:left w:val="none" w:sz="0" w:space="0" w:color="auto"/>
        <w:bottom w:val="none" w:sz="0" w:space="0" w:color="auto"/>
        <w:right w:val="none" w:sz="0" w:space="0" w:color="auto"/>
      </w:divBdr>
    </w:div>
    <w:div w:id="1455126799">
      <w:bodyDiv w:val="1"/>
      <w:marLeft w:val="0"/>
      <w:marRight w:val="0"/>
      <w:marTop w:val="0"/>
      <w:marBottom w:val="0"/>
      <w:divBdr>
        <w:top w:val="none" w:sz="0" w:space="0" w:color="auto"/>
        <w:left w:val="none" w:sz="0" w:space="0" w:color="auto"/>
        <w:bottom w:val="none" w:sz="0" w:space="0" w:color="auto"/>
        <w:right w:val="none" w:sz="0" w:space="0" w:color="auto"/>
      </w:divBdr>
    </w:div>
    <w:div w:id="1570774333">
      <w:bodyDiv w:val="1"/>
      <w:marLeft w:val="0"/>
      <w:marRight w:val="0"/>
      <w:marTop w:val="0"/>
      <w:marBottom w:val="0"/>
      <w:divBdr>
        <w:top w:val="none" w:sz="0" w:space="0" w:color="auto"/>
        <w:left w:val="none" w:sz="0" w:space="0" w:color="auto"/>
        <w:bottom w:val="none" w:sz="0" w:space="0" w:color="auto"/>
        <w:right w:val="none" w:sz="0" w:space="0" w:color="auto"/>
      </w:divBdr>
    </w:div>
    <w:div w:id="1577548989">
      <w:bodyDiv w:val="1"/>
      <w:marLeft w:val="0"/>
      <w:marRight w:val="0"/>
      <w:marTop w:val="0"/>
      <w:marBottom w:val="0"/>
      <w:divBdr>
        <w:top w:val="none" w:sz="0" w:space="0" w:color="auto"/>
        <w:left w:val="none" w:sz="0" w:space="0" w:color="auto"/>
        <w:bottom w:val="none" w:sz="0" w:space="0" w:color="auto"/>
        <w:right w:val="none" w:sz="0" w:space="0" w:color="auto"/>
      </w:divBdr>
    </w:div>
    <w:div w:id="1610431548">
      <w:bodyDiv w:val="1"/>
      <w:marLeft w:val="0"/>
      <w:marRight w:val="0"/>
      <w:marTop w:val="0"/>
      <w:marBottom w:val="0"/>
      <w:divBdr>
        <w:top w:val="none" w:sz="0" w:space="0" w:color="auto"/>
        <w:left w:val="none" w:sz="0" w:space="0" w:color="auto"/>
        <w:bottom w:val="none" w:sz="0" w:space="0" w:color="auto"/>
        <w:right w:val="none" w:sz="0" w:space="0" w:color="auto"/>
      </w:divBdr>
    </w:div>
    <w:div w:id="1650288802">
      <w:bodyDiv w:val="1"/>
      <w:marLeft w:val="0"/>
      <w:marRight w:val="0"/>
      <w:marTop w:val="0"/>
      <w:marBottom w:val="0"/>
      <w:divBdr>
        <w:top w:val="none" w:sz="0" w:space="0" w:color="auto"/>
        <w:left w:val="none" w:sz="0" w:space="0" w:color="auto"/>
        <w:bottom w:val="none" w:sz="0" w:space="0" w:color="auto"/>
        <w:right w:val="none" w:sz="0" w:space="0" w:color="auto"/>
      </w:divBdr>
    </w:div>
    <w:div w:id="1718505233">
      <w:bodyDiv w:val="1"/>
      <w:marLeft w:val="0"/>
      <w:marRight w:val="0"/>
      <w:marTop w:val="0"/>
      <w:marBottom w:val="0"/>
      <w:divBdr>
        <w:top w:val="none" w:sz="0" w:space="0" w:color="auto"/>
        <w:left w:val="none" w:sz="0" w:space="0" w:color="auto"/>
        <w:bottom w:val="none" w:sz="0" w:space="0" w:color="auto"/>
        <w:right w:val="none" w:sz="0" w:space="0" w:color="auto"/>
      </w:divBdr>
    </w:div>
    <w:div w:id="1750888335">
      <w:bodyDiv w:val="1"/>
      <w:marLeft w:val="0"/>
      <w:marRight w:val="0"/>
      <w:marTop w:val="0"/>
      <w:marBottom w:val="0"/>
      <w:divBdr>
        <w:top w:val="none" w:sz="0" w:space="0" w:color="auto"/>
        <w:left w:val="none" w:sz="0" w:space="0" w:color="auto"/>
        <w:bottom w:val="none" w:sz="0" w:space="0" w:color="auto"/>
        <w:right w:val="none" w:sz="0" w:space="0" w:color="auto"/>
      </w:divBdr>
    </w:div>
    <w:div w:id="1755856791">
      <w:bodyDiv w:val="1"/>
      <w:marLeft w:val="0"/>
      <w:marRight w:val="0"/>
      <w:marTop w:val="0"/>
      <w:marBottom w:val="0"/>
      <w:divBdr>
        <w:top w:val="none" w:sz="0" w:space="0" w:color="auto"/>
        <w:left w:val="none" w:sz="0" w:space="0" w:color="auto"/>
        <w:bottom w:val="none" w:sz="0" w:space="0" w:color="auto"/>
        <w:right w:val="none" w:sz="0" w:space="0" w:color="auto"/>
      </w:divBdr>
    </w:div>
    <w:div w:id="1868254714">
      <w:bodyDiv w:val="1"/>
      <w:marLeft w:val="0"/>
      <w:marRight w:val="0"/>
      <w:marTop w:val="0"/>
      <w:marBottom w:val="0"/>
      <w:divBdr>
        <w:top w:val="none" w:sz="0" w:space="0" w:color="auto"/>
        <w:left w:val="none" w:sz="0" w:space="0" w:color="auto"/>
        <w:bottom w:val="none" w:sz="0" w:space="0" w:color="auto"/>
        <w:right w:val="none" w:sz="0" w:space="0" w:color="auto"/>
      </w:divBdr>
    </w:div>
    <w:div w:id="1949191384">
      <w:bodyDiv w:val="1"/>
      <w:marLeft w:val="0"/>
      <w:marRight w:val="0"/>
      <w:marTop w:val="0"/>
      <w:marBottom w:val="0"/>
      <w:divBdr>
        <w:top w:val="none" w:sz="0" w:space="0" w:color="auto"/>
        <w:left w:val="none" w:sz="0" w:space="0" w:color="auto"/>
        <w:bottom w:val="none" w:sz="0" w:space="0" w:color="auto"/>
        <w:right w:val="none" w:sz="0" w:space="0" w:color="auto"/>
      </w:divBdr>
    </w:div>
    <w:div w:id="2032492006">
      <w:bodyDiv w:val="1"/>
      <w:marLeft w:val="0"/>
      <w:marRight w:val="0"/>
      <w:marTop w:val="0"/>
      <w:marBottom w:val="0"/>
      <w:divBdr>
        <w:top w:val="none" w:sz="0" w:space="0" w:color="auto"/>
        <w:left w:val="none" w:sz="0" w:space="0" w:color="auto"/>
        <w:bottom w:val="none" w:sz="0" w:space="0" w:color="auto"/>
        <w:right w:val="none" w:sz="0" w:space="0" w:color="auto"/>
      </w:divBdr>
    </w:div>
    <w:div w:id="2042901226">
      <w:bodyDiv w:val="1"/>
      <w:marLeft w:val="0"/>
      <w:marRight w:val="0"/>
      <w:marTop w:val="0"/>
      <w:marBottom w:val="0"/>
      <w:divBdr>
        <w:top w:val="none" w:sz="0" w:space="0" w:color="auto"/>
        <w:left w:val="none" w:sz="0" w:space="0" w:color="auto"/>
        <w:bottom w:val="none" w:sz="0" w:space="0" w:color="auto"/>
        <w:right w:val="none" w:sz="0" w:space="0" w:color="auto"/>
      </w:divBdr>
    </w:div>
    <w:div w:id="208864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3528</Words>
  <Characters>20115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HELLO</cp:lastModifiedBy>
  <cp:revision>2</cp:revision>
  <dcterms:created xsi:type="dcterms:W3CDTF">2026-03-05T04:59:00Z</dcterms:created>
  <dcterms:modified xsi:type="dcterms:W3CDTF">2026-03-05T04:59:00Z</dcterms:modified>
</cp:coreProperties>
</file>